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561" w:type="pct"/>
        <w:tblLook w:val="04A0" w:firstRow="1" w:lastRow="0" w:firstColumn="1" w:lastColumn="0" w:noHBand="0" w:noVBand="1"/>
      </w:tblPr>
      <w:tblGrid>
        <w:gridCol w:w="4175"/>
        <w:gridCol w:w="5005"/>
      </w:tblGrid>
      <w:tr w:rsidR="008C0709" w:rsidRPr="0062487B" w14:paraId="5E2173C9" w14:textId="77777777" w:rsidTr="0013418D">
        <w:trPr>
          <w:trHeight w:val="686"/>
        </w:trPr>
        <w:tc>
          <w:tcPr>
            <w:tcW w:w="5000" w:type="pct"/>
            <w:gridSpan w:val="2"/>
            <w:tcBorders>
              <w:top w:val="single" w:sz="6" w:space="0" w:color="auto"/>
              <w:left w:val="single" w:sz="6" w:space="0" w:color="auto"/>
              <w:bottom w:val="single" w:sz="6" w:space="0" w:color="auto"/>
              <w:right w:val="single" w:sz="6" w:space="0" w:color="auto"/>
            </w:tcBorders>
            <w:shd w:val="clear" w:color="auto" w:fill="DFE3F0" w:themeFill="accent1" w:themeFillTint="33"/>
            <w:vAlign w:val="center"/>
          </w:tcPr>
          <w:p w14:paraId="1B8C4D3E" w14:textId="77777777" w:rsidR="008C0709" w:rsidRPr="0062487B" w:rsidRDefault="008C0709" w:rsidP="007A57C4">
            <w:pPr>
              <w:pStyle w:val="NoSpacing"/>
              <w:ind w:right="540"/>
              <w:contextualSpacing/>
              <w:jc w:val="center"/>
              <w:rPr>
                <w:rFonts w:cstheme="minorHAnsi"/>
                <w:b/>
                <w:sz w:val="24"/>
                <w:szCs w:val="24"/>
              </w:rPr>
            </w:pPr>
            <w:r w:rsidRPr="0062487B">
              <w:rPr>
                <w:rFonts w:cstheme="minorHAnsi"/>
                <w:b/>
                <w:sz w:val="24"/>
                <w:szCs w:val="24"/>
              </w:rPr>
              <w:t>STAFF REPORT TO THE PUBLIC HEALTH COUNCIL</w:t>
            </w:r>
          </w:p>
          <w:p w14:paraId="707BF2E0" w14:textId="77777777" w:rsidR="008C0709" w:rsidRPr="0062487B" w:rsidRDefault="008C0709" w:rsidP="007A57C4">
            <w:pPr>
              <w:pStyle w:val="Header"/>
              <w:ind w:right="540"/>
              <w:contextualSpacing/>
              <w:jc w:val="center"/>
              <w:rPr>
                <w:rFonts w:asciiTheme="minorHAnsi" w:hAnsiTheme="minorHAnsi" w:cstheme="minorHAnsi"/>
                <w:b/>
              </w:rPr>
            </w:pPr>
            <w:r w:rsidRPr="0062487B">
              <w:rPr>
                <w:rFonts w:asciiTheme="minorHAnsi" w:hAnsiTheme="minorHAnsi" w:cstheme="minorHAnsi"/>
                <w:b/>
              </w:rPr>
              <w:t>FOR A DETERMINATION OF NEED</w:t>
            </w:r>
          </w:p>
        </w:tc>
      </w:tr>
      <w:tr w:rsidR="004313D9" w:rsidRPr="0062487B" w14:paraId="37A21A4B" w14:textId="77777777" w:rsidTr="0013418D">
        <w:trPr>
          <w:trHeight w:val="454"/>
        </w:trPr>
        <w:tc>
          <w:tcPr>
            <w:tcW w:w="2274" w:type="pct"/>
            <w:tcBorders>
              <w:top w:val="single" w:sz="6" w:space="0" w:color="auto"/>
            </w:tcBorders>
            <w:shd w:val="clear" w:color="auto" w:fill="auto"/>
            <w:vAlign w:val="center"/>
          </w:tcPr>
          <w:p w14:paraId="4463BBF6"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 xml:space="preserve">Applicant Name </w:t>
            </w:r>
          </w:p>
        </w:tc>
        <w:tc>
          <w:tcPr>
            <w:tcW w:w="2726" w:type="pct"/>
            <w:tcBorders>
              <w:top w:val="single" w:sz="6" w:space="0" w:color="auto"/>
            </w:tcBorders>
            <w:shd w:val="clear" w:color="auto" w:fill="auto"/>
            <w:vAlign w:val="center"/>
          </w:tcPr>
          <w:p w14:paraId="412EB352" w14:textId="5B889884" w:rsidR="004313D9" w:rsidRPr="0062487B" w:rsidRDefault="004D39A2" w:rsidP="004313D9">
            <w:pPr>
              <w:ind w:right="540"/>
              <w:contextualSpacing/>
              <w:rPr>
                <w:rFonts w:asciiTheme="minorHAnsi" w:hAnsiTheme="minorHAnsi" w:cstheme="minorHAnsi"/>
              </w:rPr>
            </w:pPr>
            <w:r w:rsidRPr="0062487B">
              <w:rPr>
                <w:rFonts w:asciiTheme="minorHAnsi" w:hAnsiTheme="minorHAnsi" w:cstheme="minorHAnsi"/>
              </w:rPr>
              <w:t>Mass General Brigham Incorporated</w:t>
            </w:r>
          </w:p>
        </w:tc>
      </w:tr>
      <w:tr w:rsidR="004313D9" w:rsidRPr="0062487B" w14:paraId="7D5C8C8A" w14:textId="77777777" w:rsidTr="30223CC4">
        <w:trPr>
          <w:trHeight w:val="306"/>
        </w:trPr>
        <w:tc>
          <w:tcPr>
            <w:tcW w:w="2274" w:type="pct"/>
            <w:shd w:val="clear" w:color="auto" w:fill="auto"/>
            <w:vAlign w:val="center"/>
          </w:tcPr>
          <w:p w14:paraId="60D7905A"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 xml:space="preserve">Applicant Address </w:t>
            </w:r>
          </w:p>
        </w:tc>
        <w:tc>
          <w:tcPr>
            <w:tcW w:w="2726" w:type="pct"/>
            <w:shd w:val="clear" w:color="auto" w:fill="auto"/>
            <w:vAlign w:val="center"/>
          </w:tcPr>
          <w:p w14:paraId="48C9B61F" w14:textId="2E384E1B" w:rsidR="004313D9" w:rsidRPr="0062487B" w:rsidRDefault="004D39A2" w:rsidP="004313D9">
            <w:pPr>
              <w:ind w:right="540"/>
              <w:contextualSpacing/>
              <w:rPr>
                <w:rFonts w:asciiTheme="minorHAnsi" w:hAnsiTheme="minorHAnsi" w:cstheme="minorHAnsi"/>
                <w:lang w:val="fr-FR"/>
              </w:rPr>
            </w:pPr>
            <w:r w:rsidRPr="0062487B">
              <w:rPr>
                <w:rFonts w:asciiTheme="minorHAnsi" w:hAnsiTheme="minorHAnsi" w:cstheme="minorHAnsi"/>
              </w:rPr>
              <w:t>800 Boylston Street, Suite 1150, Boston, MA 02199</w:t>
            </w:r>
          </w:p>
        </w:tc>
      </w:tr>
      <w:tr w:rsidR="004313D9" w:rsidRPr="0062487B" w14:paraId="7F48402A" w14:textId="77777777" w:rsidTr="30223CC4">
        <w:trPr>
          <w:trHeight w:val="323"/>
        </w:trPr>
        <w:tc>
          <w:tcPr>
            <w:tcW w:w="2274" w:type="pct"/>
            <w:shd w:val="clear" w:color="auto" w:fill="auto"/>
            <w:vAlign w:val="center"/>
          </w:tcPr>
          <w:p w14:paraId="62887CB2"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Filing Date</w:t>
            </w:r>
          </w:p>
        </w:tc>
        <w:tc>
          <w:tcPr>
            <w:tcW w:w="2726" w:type="pct"/>
            <w:shd w:val="clear" w:color="auto" w:fill="auto"/>
            <w:vAlign w:val="center"/>
          </w:tcPr>
          <w:p w14:paraId="2924AE87" w14:textId="3081D5F7" w:rsidR="004313D9" w:rsidRPr="0062487B" w:rsidRDefault="004F7619" w:rsidP="004313D9">
            <w:pPr>
              <w:ind w:right="540"/>
              <w:contextualSpacing/>
              <w:rPr>
                <w:rFonts w:asciiTheme="minorHAnsi" w:hAnsiTheme="minorHAnsi" w:cstheme="minorHAnsi"/>
              </w:rPr>
            </w:pPr>
            <w:r w:rsidRPr="0062487B">
              <w:rPr>
                <w:rFonts w:asciiTheme="minorHAnsi" w:hAnsiTheme="minorHAnsi" w:cstheme="minorHAnsi"/>
              </w:rPr>
              <w:t>February</w:t>
            </w:r>
            <w:r w:rsidR="004313D9" w:rsidRPr="0062487B">
              <w:rPr>
                <w:rFonts w:asciiTheme="minorHAnsi" w:hAnsiTheme="minorHAnsi" w:cstheme="minorHAnsi"/>
              </w:rPr>
              <w:t xml:space="preserve"> </w:t>
            </w:r>
            <w:r w:rsidRPr="0062487B">
              <w:rPr>
                <w:rFonts w:asciiTheme="minorHAnsi" w:hAnsiTheme="minorHAnsi" w:cstheme="minorHAnsi"/>
              </w:rPr>
              <w:t>1</w:t>
            </w:r>
            <w:r w:rsidR="00293B0F" w:rsidRPr="0062487B">
              <w:rPr>
                <w:rFonts w:asciiTheme="minorHAnsi" w:hAnsiTheme="minorHAnsi" w:cstheme="minorHAnsi"/>
              </w:rPr>
              <w:t>2</w:t>
            </w:r>
            <w:r w:rsidR="004313D9" w:rsidRPr="0062487B">
              <w:rPr>
                <w:rFonts w:asciiTheme="minorHAnsi" w:hAnsiTheme="minorHAnsi" w:cstheme="minorHAnsi"/>
              </w:rPr>
              <w:t>, 2020</w:t>
            </w:r>
          </w:p>
        </w:tc>
      </w:tr>
      <w:tr w:rsidR="004313D9" w:rsidRPr="0062487B" w14:paraId="45BF54E4" w14:textId="77777777" w:rsidTr="30223CC4">
        <w:trPr>
          <w:trHeight w:val="300"/>
        </w:trPr>
        <w:tc>
          <w:tcPr>
            <w:tcW w:w="2274" w:type="pct"/>
            <w:shd w:val="clear" w:color="auto" w:fill="auto"/>
            <w:vAlign w:val="center"/>
          </w:tcPr>
          <w:p w14:paraId="11D28445"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 xml:space="preserve">Type of </w:t>
            </w:r>
            <w:proofErr w:type="spellStart"/>
            <w:r w:rsidRPr="0062487B">
              <w:rPr>
                <w:rFonts w:asciiTheme="minorHAnsi" w:hAnsiTheme="minorHAnsi" w:cstheme="minorHAnsi"/>
              </w:rPr>
              <w:t>DoN</w:t>
            </w:r>
            <w:proofErr w:type="spellEnd"/>
            <w:r w:rsidRPr="0062487B">
              <w:rPr>
                <w:rFonts w:asciiTheme="minorHAnsi" w:hAnsiTheme="minorHAnsi" w:cstheme="minorHAnsi"/>
              </w:rPr>
              <w:t xml:space="preserve"> Application</w:t>
            </w:r>
          </w:p>
        </w:tc>
        <w:tc>
          <w:tcPr>
            <w:tcW w:w="2726" w:type="pct"/>
            <w:shd w:val="clear" w:color="auto" w:fill="auto"/>
            <w:vAlign w:val="center"/>
          </w:tcPr>
          <w:p w14:paraId="427CB215" w14:textId="48B6AED9" w:rsidR="004D39A2" w:rsidRPr="0062487B" w:rsidRDefault="004D39A2" w:rsidP="004313D9">
            <w:pPr>
              <w:ind w:right="540"/>
              <w:contextualSpacing/>
              <w:rPr>
                <w:rFonts w:asciiTheme="minorHAnsi" w:hAnsiTheme="minorHAnsi" w:cstheme="minorHAnsi"/>
              </w:rPr>
            </w:pPr>
            <w:r w:rsidRPr="0062487B">
              <w:rPr>
                <w:rFonts w:asciiTheme="minorHAnsi" w:hAnsiTheme="minorHAnsi" w:cstheme="minorHAnsi"/>
              </w:rPr>
              <w:t>Substantial Capital Expenditure</w:t>
            </w:r>
          </w:p>
          <w:p w14:paraId="54290C07" w14:textId="07A43B1E"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Substantial Change in Service</w:t>
            </w:r>
          </w:p>
        </w:tc>
      </w:tr>
      <w:tr w:rsidR="004313D9" w:rsidRPr="0062487B" w14:paraId="1C2D799A" w14:textId="77777777" w:rsidTr="30223CC4">
        <w:trPr>
          <w:trHeight w:val="300"/>
        </w:trPr>
        <w:tc>
          <w:tcPr>
            <w:tcW w:w="2274" w:type="pct"/>
            <w:shd w:val="clear" w:color="auto" w:fill="auto"/>
            <w:vAlign w:val="center"/>
          </w:tcPr>
          <w:p w14:paraId="58287B54"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Total Value</w:t>
            </w:r>
          </w:p>
        </w:tc>
        <w:tc>
          <w:tcPr>
            <w:tcW w:w="2726" w:type="pct"/>
            <w:shd w:val="clear" w:color="auto" w:fill="auto"/>
            <w:vAlign w:val="center"/>
          </w:tcPr>
          <w:p w14:paraId="241030D1" w14:textId="32F1AD23"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w:t>
            </w:r>
            <w:r w:rsidR="004D39A2" w:rsidRPr="0062487B">
              <w:rPr>
                <w:rFonts w:asciiTheme="minorHAnsi" w:hAnsiTheme="minorHAnsi" w:cstheme="minorHAnsi"/>
              </w:rPr>
              <w:t xml:space="preserve"> 150,098,582.00</w:t>
            </w:r>
          </w:p>
        </w:tc>
      </w:tr>
      <w:tr w:rsidR="004313D9" w:rsidRPr="0062487B" w14:paraId="375F89F8" w14:textId="77777777" w:rsidTr="30223CC4">
        <w:trPr>
          <w:trHeight w:val="300"/>
        </w:trPr>
        <w:tc>
          <w:tcPr>
            <w:tcW w:w="2274" w:type="pct"/>
            <w:shd w:val="clear" w:color="auto" w:fill="auto"/>
            <w:vAlign w:val="center"/>
          </w:tcPr>
          <w:p w14:paraId="179EBADA"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Project Number</w:t>
            </w:r>
          </w:p>
        </w:tc>
        <w:tc>
          <w:tcPr>
            <w:tcW w:w="2726" w:type="pct"/>
            <w:shd w:val="clear" w:color="auto" w:fill="auto"/>
            <w:vAlign w:val="center"/>
          </w:tcPr>
          <w:p w14:paraId="3F72EF9F" w14:textId="1276290F" w:rsidR="004313D9" w:rsidRPr="0062487B" w:rsidRDefault="004D39A2" w:rsidP="004313D9">
            <w:pPr>
              <w:ind w:right="540"/>
              <w:contextualSpacing/>
              <w:rPr>
                <w:rFonts w:asciiTheme="minorHAnsi" w:hAnsiTheme="minorHAnsi" w:cstheme="minorHAnsi"/>
              </w:rPr>
            </w:pPr>
            <w:r w:rsidRPr="0062487B">
              <w:rPr>
                <w:rFonts w:asciiTheme="minorHAnsi" w:hAnsiTheme="minorHAnsi" w:cstheme="minorHAnsi"/>
              </w:rPr>
              <w:t>MGB-20121716-HE</w:t>
            </w:r>
          </w:p>
        </w:tc>
      </w:tr>
      <w:tr w:rsidR="004313D9" w:rsidRPr="0062487B" w14:paraId="5AB437F4" w14:textId="77777777" w:rsidTr="30223CC4">
        <w:trPr>
          <w:trHeight w:val="300"/>
        </w:trPr>
        <w:tc>
          <w:tcPr>
            <w:tcW w:w="2274" w:type="pct"/>
            <w:shd w:val="clear" w:color="auto" w:fill="auto"/>
            <w:vAlign w:val="center"/>
          </w:tcPr>
          <w:p w14:paraId="673CB573"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Ten Taxpayer Groups (TTG)</w:t>
            </w:r>
          </w:p>
        </w:tc>
        <w:tc>
          <w:tcPr>
            <w:tcW w:w="2726" w:type="pct"/>
            <w:shd w:val="clear" w:color="auto" w:fill="auto"/>
            <w:vAlign w:val="center"/>
          </w:tcPr>
          <w:p w14:paraId="1F09EC20" w14:textId="7DE73346" w:rsidR="004313D9" w:rsidRPr="0062487B" w:rsidRDefault="004D39A2" w:rsidP="004313D9">
            <w:pPr>
              <w:ind w:right="540"/>
              <w:contextualSpacing/>
              <w:rPr>
                <w:rFonts w:asciiTheme="minorHAnsi" w:hAnsiTheme="minorHAnsi" w:cstheme="minorHAnsi"/>
              </w:rPr>
            </w:pPr>
            <w:r w:rsidRPr="0062487B">
              <w:rPr>
                <w:rFonts w:asciiTheme="minorHAnsi" w:hAnsiTheme="minorHAnsi" w:cstheme="minorHAnsi"/>
              </w:rPr>
              <w:t>Yes</w:t>
            </w:r>
          </w:p>
        </w:tc>
      </w:tr>
      <w:tr w:rsidR="004313D9" w:rsidRPr="0062487B" w14:paraId="4DC78A97" w14:textId="77777777" w:rsidTr="30223CC4">
        <w:trPr>
          <w:trHeight w:val="300"/>
        </w:trPr>
        <w:tc>
          <w:tcPr>
            <w:tcW w:w="2274" w:type="pct"/>
            <w:shd w:val="clear" w:color="auto" w:fill="auto"/>
            <w:vAlign w:val="center"/>
          </w:tcPr>
          <w:p w14:paraId="4ED36B8C"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Community Health Initiative (CHI)</w:t>
            </w:r>
            <w:r w:rsidRPr="0062487B" w:rsidDel="00FB532E">
              <w:rPr>
                <w:rFonts w:asciiTheme="minorHAnsi" w:hAnsiTheme="minorHAnsi" w:cstheme="minorHAnsi"/>
              </w:rPr>
              <w:t xml:space="preserve"> </w:t>
            </w:r>
          </w:p>
        </w:tc>
        <w:tc>
          <w:tcPr>
            <w:tcW w:w="2726" w:type="pct"/>
            <w:shd w:val="clear" w:color="auto" w:fill="auto"/>
            <w:vAlign w:val="center"/>
          </w:tcPr>
          <w:p w14:paraId="1FD1C6E2" w14:textId="59B8224A"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w:t>
            </w:r>
            <w:r w:rsidR="004D39A2" w:rsidRPr="0062487B">
              <w:rPr>
                <w:rFonts w:asciiTheme="minorHAnsi" w:hAnsiTheme="minorHAnsi" w:cstheme="minorHAnsi"/>
              </w:rPr>
              <w:t xml:space="preserve"> 7,504,929.10</w:t>
            </w:r>
          </w:p>
        </w:tc>
      </w:tr>
      <w:tr w:rsidR="004313D9" w:rsidRPr="0062487B" w14:paraId="328C674C" w14:textId="77777777" w:rsidTr="30223CC4">
        <w:trPr>
          <w:trHeight w:val="300"/>
        </w:trPr>
        <w:tc>
          <w:tcPr>
            <w:tcW w:w="2274" w:type="pct"/>
            <w:shd w:val="clear" w:color="auto" w:fill="auto"/>
            <w:vAlign w:val="center"/>
          </w:tcPr>
          <w:p w14:paraId="7B1CAF6C"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Staff Recommendation</w:t>
            </w:r>
          </w:p>
        </w:tc>
        <w:tc>
          <w:tcPr>
            <w:tcW w:w="2726" w:type="pct"/>
            <w:shd w:val="clear" w:color="auto" w:fill="auto"/>
            <w:vAlign w:val="center"/>
          </w:tcPr>
          <w:p w14:paraId="1682CA02" w14:textId="72D129AA" w:rsidR="004313D9" w:rsidRPr="0062487B" w:rsidRDefault="009A45AE" w:rsidP="004313D9">
            <w:pPr>
              <w:ind w:right="540"/>
              <w:contextualSpacing/>
              <w:rPr>
                <w:rFonts w:asciiTheme="minorHAnsi" w:hAnsiTheme="minorHAnsi" w:cstheme="minorHAnsi"/>
              </w:rPr>
            </w:pPr>
            <w:r w:rsidRPr="0062487B">
              <w:rPr>
                <w:rFonts w:asciiTheme="minorHAnsi" w:hAnsiTheme="minorHAnsi" w:cstheme="minorHAnsi"/>
              </w:rPr>
              <w:t xml:space="preserve">Approval </w:t>
            </w:r>
            <w:r w:rsidR="00310A15" w:rsidRPr="0062487B">
              <w:rPr>
                <w:rFonts w:asciiTheme="minorHAnsi" w:hAnsiTheme="minorHAnsi" w:cstheme="minorHAnsi"/>
              </w:rPr>
              <w:t>with conditions</w:t>
            </w:r>
          </w:p>
        </w:tc>
      </w:tr>
      <w:tr w:rsidR="004313D9" w:rsidRPr="0062487B" w14:paraId="40C51467" w14:textId="77777777" w:rsidTr="30223CC4">
        <w:trPr>
          <w:trHeight w:val="300"/>
        </w:trPr>
        <w:tc>
          <w:tcPr>
            <w:tcW w:w="2274" w:type="pct"/>
            <w:shd w:val="clear" w:color="auto" w:fill="auto"/>
            <w:vAlign w:val="center"/>
          </w:tcPr>
          <w:p w14:paraId="4F63ADC5" w14:textId="50D08DEE" w:rsidR="004313D9" w:rsidRPr="0062487B" w:rsidRDefault="00C40991" w:rsidP="004313D9">
            <w:pPr>
              <w:ind w:right="540"/>
              <w:contextualSpacing/>
              <w:rPr>
                <w:rFonts w:asciiTheme="minorHAnsi" w:hAnsiTheme="minorHAnsi" w:cstheme="minorHAnsi"/>
              </w:rPr>
            </w:pPr>
            <w:r w:rsidRPr="0062487B">
              <w:rPr>
                <w:rFonts w:asciiTheme="minorHAnsi" w:hAnsiTheme="minorHAnsi" w:cstheme="minorHAnsi"/>
              </w:rPr>
              <w:t>Public Health Council</w:t>
            </w:r>
          </w:p>
        </w:tc>
        <w:tc>
          <w:tcPr>
            <w:tcW w:w="2726" w:type="pct"/>
            <w:shd w:val="clear" w:color="auto" w:fill="auto"/>
            <w:vAlign w:val="center"/>
          </w:tcPr>
          <w:p w14:paraId="3E0E2C44" w14:textId="52AD3358" w:rsidR="004313D9" w:rsidRPr="0062487B" w:rsidRDefault="008364F0" w:rsidP="004313D9">
            <w:pPr>
              <w:ind w:right="540"/>
              <w:contextualSpacing/>
              <w:rPr>
                <w:rFonts w:asciiTheme="minorHAnsi" w:hAnsiTheme="minorHAnsi" w:cstheme="minorHAnsi"/>
              </w:rPr>
            </w:pPr>
            <w:r w:rsidRPr="00E94C54">
              <w:rPr>
                <w:rFonts w:asciiTheme="minorHAnsi" w:hAnsiTheme="minorHAnsi" w:cstheme="minorHAnsi"/>
              </w:rPr>
              <w:t>May 4, 2022</w:t>
            </w:r>
          </w:p>
        </w:tc>
      </w:tr>
      <w:tr w:rsidR="004313D9" w:rsidRPr="0062487B" w14:paraId="6FF2D4C8" w14:textId="77777777" w:rsidTr="30223CC4">
        <w:trPr>
          <w:trHeight w:val="54"/>
        </w:trPr>
        <w:tc>
          <w:tcPr>
            <w:tcW w:w="5000" w:type="pct"/>
            <w:gridSpan w:val="2"/>
            <w:shd w:val="clear" w:color="auto" w:fill="auto"/>
            <w:vAlign w:val="center"/>
          </w:tcPr>
          <w:p w14:paraId="63AC9C3E" w14:textId="77777777" w:rsidR="004313D9" w:rsidRPr="0062487B" w:rsidRDefault="004313D9" w:rsidP="004313D9">
            <w:pPr>
              <w:ind w:right="540"/>
              <w:contextualSpacing/>
              <w:rPr>
                <w:rFonts w:asciiTheme="minorHAnsi" w:hAnsiTheme="minorHAnsi" w:cstheme="minorHAnsi"/>
              </w:rPr>
            </w:pPr>
          </w:p>
        </w:tc>
      </w:tr>
      <w:tr w:rsidR="004313D9" w:rsidRPr="0062487B" w14:paraId="1EDDE24A" w14:textId="77777777" w:rsidTr="30223CC4">
        <w:tblPrEx>
          <w:tblLook w:val="0000" w:firstRow="0" w:lastRow="0" w:firstColumn="0" w:lastColumn="0" w:noHBand="0" w:noVBand="0"/>
        </w:tblPrEx>
        <w:trPr>
          <w:trHeight w:val="3509"/>
        </w:trPr>
        <w:tc>
          <w:tcPr>
            <w:tcW w:w="5000" w:type="pct"/>
            <w:gridSpan w:val="2"/>
          </w:tcPr>
          <w:p w14:paraId="51D9E9D3" w14:textId="77777777" w:rsidR="004313D9" w:rsidRPr="0062487B" w:rsidRDefault="004313D9" w:rsidP="004313D9">
            <w:pPr>
              <w:spacing w:after="200"/>
              <w:ind w:left="108"/>
              <w:jc w:val="center"/>
              <w:rPr>
                <w:rFonts w:asciiTheme="minorHAnsi" w:eastAsia="Calibri" w:hAnsiTheme="minorHAnsi" w:cstheme="minorHAnsi"/>
                <w:b/>
              </w:rPr>
            </w:pPr>
            <w:r w:rsidRPr="0062487B">
              <w:rPr>
                <w:rFonts w:asciiTheme="minorHAnsi" w:eastAsia="Calibri" w:hAnsiTheme="minorHAnsi" w:cstheme="minorHAnsi"/>
                <w:b/>
                <w:u w:val="single"/>
              </w:rPr>
              <w:t>Project Summary and Regulatory Review</w:t>
            </w:r>
          </w:p>
          <w:p w14:paraId="6272AE12" w14:textId="20EA1D5E" w:rsidR="004313D9" w:rsidRPr="0062487B" w:rsidRDefault="0013453E" w:rsidP="001F6405">
            <w:pPr>
              <w:spacing w:after="200"/>
              <w:ind w:left="108"/>
              <w:rPr>
                <w:rFonts w:asciiTheme="minorHAnsi" w:eastAsia="Calibri" w:hAnsiTheme="minorHAnsi" w:cstheme="minorHAnsi"/>
              </w:rPr>
            </w:pPr>
            <w:r w:rsidRPr="0062487B">
              <w:rPr>
                <w:rFonts w:asciiTheme="minorHAnsi" w:hAnsiTheme="minorHAnsi" w:cstheme="minorHAnsi"/>
              </w:rPr>
              <w:t xml:space="preserve">Mass General Brigham Incorporated </w:t>
            </w:r>
            <w:r w:rsidR="006064B6" w:rsidRPr="0062487B">
              <w:rPr>
                <w:rFonts w:asciiTheme="minorHAnsi" w:eastAsia="Calibri" w:hAnsiTheme="minorHAnsi" w:cstheme="minorHAnsi"/>
              </w:rPr>
              <w:t>(Applicant)</w:t>
            </w:r>
            <w:r w:rsidR="004313D9" w:rsidRPr="0062487B">
              <w:rPr>
                <w:rFonts w:asciiTheme="minorHAnsi" w:eastAsia="Calibri" w:hAnsiTheme="minorHAnsi" w:cstheme="minorHAnsi"/>
              </w:rPr>
              <w:t xml:space="preserve"> submitted a</w:t>
            </w:r>
            <w:r w:rsidR="006064B6" w:rsidRPr="0062487B">
              <w:rPr>
                <w:rFonts w:asciiTheme="minorHAnsi" w:eastAsia="Calibri" w:hAnsiTheme="minorHAnsi" w:cstheme="minorHAnsi"/>
              </w:rPr>
              <w:t xml:space="preserve">n </w:t>
            </w:r>
            <w:r w:rsidR="004313D9" w:rsidRPr="0062487B">
              <w:rPr>
                <w:rFonts w:asciiTheme="minorHAnsi" w:eastAsia="Calibri" w:hAnsiTheme="minorHAnsi" w:cstheme="minorHAnsi"/>
              </w:rPr>
              <w:t xml:space="preserve">Application for </w:t>
            </w:r>
            <w:r w:rsidR="006064B6" w:rsidRPr="0062487B">
              <w:rPr>
                <w:rFonts w:asciiTheme="minorHAnsi" w:eastAsia="Calibri" w:hAnsiTheme="minorHAnsi" w:cstheme="minorHAnsi"/>
              </w:rPr>
              <w:t xml:space="preserve">a Proposed Project </w:t>
            </w:r>
            <w:r w:rsidR="00457DA8" w:rsidRPr="0062487B">
              <w:rPr>
                <w:rFonts w:asciiTheme="minorHAnsi" w:eastAsia="Calibri" w:hAnsiTheme="minorHAnsi" w:cstheme="minorHAnsi"/>
              </w:rPr>
              <w:t xml:space="preserve">at the Brigham and Women’s Faulkner Hospital (BWFH) that consists of two </w:t>
            </w:r>
            <w:r w:rsidR="00AE6469" w:rsidRPr="0062487B">
              <w:rPr>
                <w:rFonts w:asciiTheme="minorHAnsi" w:eastAsia="Calibri" w:hAnsiTheme="minorHAnsi" w:cstheme="minorHAnsi"/>
              </w:rPr>
              <w:t xml:space="preserve">overarching </w:t>
            </w:r>
            <w:r w:rsidR="00457DA8" w:rsidRPr="0062487B">
              <w:rPr>
                <w:rFonts w:asciiTheme="minorHAnsi" w:eastAsia="Calibri" w:hAnsiTheme="minorHAnsi" w:cstheme="minorHAnsi"/>
              </w:rPr>
              <w:t xml:space="preserve">components: (A) construction </w:t>
            </w:r>
            <w:r w:rsidR="002A7FE9" w:rsidRPr="0062487B">
              <w:rPr>
                <w:rFonts w:asciiTheme="minorHAnsi" w:eastAsia="Calibri" w:hAnsiTheme="minorHAnsi" w:cstheme="minorHAnsi"/>
              </w:rPr>
              <w:t xml:space="preserve">of </w:t>
            </w:r>
            <w:r w:rsidR="001B5FD7" w:rsidRPr="0062487B">
              <w:rPr>
                <w:rFonts w:asciiTheme="minorHAnsi" w:eastAsia="Calibri" w:hAnsiTheme="minorHAnsi" w:cstheme="minorHAnsi"/>
              </w:rPr>
              <w:t>a</w:t>
            </w:r>
            <w:r w:rsidR="004964AA" w:rsidRPr="0062487B">
              <w:rPr>
                <w:rFonts w:asciiTheme="minorHAnsi" w:eastAsia="Calibri" w:hAnsiTheme="minorHAnsi" w:cstheme="minorHAnsi"/>
              </w:rPr>
              <w:t xml:space="preserve"> </w:t>
            </w:r>
            <w:r w:rsidR="00457DA8" w:rsidRPr="0062487B">
              <w:rPr>
                <w:rFonts w:asciiTheme="minorHAnsi" w:eastAsia="Calibri" w:hAnsiTheme="minorHAnsi" w:cstheme="minorHAnsi"/>
              </w:rPr>
              <w:t>five-story</w:t>
            </w:r>
            <w:r w:rsidR="003B5489" w:rsidRPr="0062487B">
              <w:rPr>
                <w:rFonts w:asciiTheme="minorHAnsi" w:eastAsia="Calibri" w:hAnsiTheme="minorHAnsi" w:cstheme="minorHAnsi"/>
              </w:rPr>
              <w:t xml:space="preserve"> addition</w:t>
            </w:r>
            <w:r w:rsidR="00457DA8" w:rsidRPr="0062487B">
              <w:rPr>
                <w:rFonts w:asciiTheme="minorHAnsi" w:eastAsia="Calibri" w:hAnsiTheme="minorHAnsi" w:cstheme="minorHAnsi"/>
              </w:rPr>
              <w:t xml:space="preserve"> to the existing BWFH facility that will contain</w:t>
            </w:r>
            <w:r w:rsidR="002A7FE9" w:rsidRPr="0062487B">
              <w:rPr>
                <w:rFonts w:asciiTheme="minorHAnsi" w:eastAsia="Calibri" w:hAnsiTheme="minorHAnsi" w:cstheme="minorHAnsi"/>
              </w:rPr>
              <w:t>:</w:t>
            </w:r>
            <w:r w:rsidR="00457DA8" w:rsidRPr="0062487B">
              <w:rPr>
                <w:rFonts w:asciiTheme="minorHAnsi" w:eastAsia="Calibri" w:hAnsiTheme="minorHAnsi" w:cstheme="minorHAnsi"/>
              </w:rPr>
              <w:t xml:space="preserve"> 78 medical/surgical inpatient beds; </w:t>
            </w:r>
            <w:r w:rsidR="00164200" w:rsidRPr="0062487B">
              <w:rPr>
                <w:rFonts w:asciiTheme="minorHAnsi" w:eastAsia="Calibri" w:hAnsiTheme="minorHAnsi" w:cstheme="minorHAnsi"/>
              </w:rPr>
              <w:t xml:space="preserve">an </w:t>
            </w:r>
            <w:r w:rsidR="00457DA8" w:rsidRPr="0062487B">
              <w:rPr>
                <w:rFonts w:asciiTheme="minorHAnsi" w:eastAsia="Calibri" w:hAnsiTheme="minorHAnsi" w:cstheme="minorHAnsi"/>
              </w:rPr>
              <w:t xml:space="preserve">8-bed observation unit; relocated and expanded endoscopy services and one additional procedure room; </w:t>
            </w:r>
            <w:r w:rsidR="00164200" w:rsidRPr="0062487B">
              <w:rPr>
                <w:rFonts w:asciiTheme="minorHAnsi" w:eastAsia="Calibri" w:hAnsiTheme="minorHAnsi" w:cstheme="minorHAnsi"/>
              </w:rPr>
              <w:t xml:space="preserve">a </w:t>
            </w:r>
            <w:r w:rsidR="00457DA8" w:rsidRPr="0062487B">
              <w:rPr>
                <w:rFonts w:asciiTheme="minorHAnsi" w:eastAsia="Calibri" w:hAnsiTheme="minorHAnsi" w:cstheme="minorHAnsi"/>
              </w:rPr>
              <w:t xml:space="preserve">3T magnetic resonance imaging (MRI) unit and certain relocated radiology services; </w:t>
            </w:r>
            <w:r w:rsidR="002A7FE9" w:rsidRPr="0062487B">
              <w:rPr>
                <w:rFonts w:asciiTheme="minorHAnsi" w:eastAsia="Calibri" w:hAnsiTheme="minorHAnsi" w:cstheme="minorHAnsi"/>
              </w:rPr>
              <w:t xml:space="preserve">and </w:t>
            </w:r>
            <w:r w:rsidR="00457DA8" w:rsidRPr="0062487B">
              <w:rPr>
                <w:rFonts w:asciiTheme="minorHAnsi" w:eastAsia="Calibri" w:hAnsiTheme="minorHAnsi" w:cstheme="minorHAnsi"/>
              </w:rPr>
              <w:t xml:space="preserve">shell space for future build out and (B) </w:t>
            </w:r>
            <w:r w:rsidR="00F50F70" w:rsidRPr="0062487B">
              <w:rPr>
                <w:rFonts w:asciiTheme="minorHAnsi" w:eastAsia="Calibri" w:hAnsiTheme="minorHAnsi" w:cstheme="minorHAnsi"/>
              </w:rPr>
              <w:t xml:space="preserve">other renovation projects at BWFH main campus. </w:t>
            </w:r>
            <w:r w:rsidR="008B1A15" w:rsidRPr="0062487B">
              <w:rPr>
                <w:rFonts w:asciiTheme="minorHAnsi" w:hAnsiTheme="minorHAnsi" w:cstheme="minorHAnsi"/>
              </w:rPr>
              <w:t xml:space="preserve">The Proposed Project’s total capital expenditure is $150,098,582.00; the Community Health Initiatives (CHI) contribution is $7,504,929.10.   </w:t>
            </w:r>
          </w:p>
          <w:p w14:paraId="2DABCDF5" w14:textId="4618914F" w:rsidR="00BA3DE8" w:rsidRPr="0062487B" w:rsidRDefault="004313D9" w:rsidP="0082022F">
            <w:pPr>
              <w:spacing w:after="200"/>
              <w:ind w:left="108"/>
              <w:rPr>
                <w:rFonts w:asciiTheme="minorHAnsi" w:eastAsia="Calibri" w:hAnsiTheme="minorHAnsi" w:cstheme="minorHAnsi"/>
              </w:rPr>
            </w:pPr>
            <w:r w:rsidRPr="0062487B">
              <w:rPr>
                <w:rFonts w:asciiTheme="minorHAnsi" w:eastAsia="Calibri" w:hAnsiTheme="minorHAnsi" w:cstheme="minorHAnsi"/>
              </w:rPr>
              <w:t xml:space="preserve">This </w:t>
            </w:r>
            <w:r w:rsidR="002A7FE9" w:rsidRPr="0062487B">
              <w:rPr>
                <w:rFonts w:asciiTheme="minorHAnsi" w:eastAsia="Calibri" w:hAnsiTheme="minorHAnsi" w:cstheme="minorHAnsi"/>
              </w:rPr>
              <w:t xml:space="preserve">Proposed Project consists of both a Substantial Capital Expenditure and a </w:t>
            </w:r>
            <w:r w:rsidRPr="0062487B">
              <w:rPr>
                <w:rFonts w:asciiTheme="minorHAnsi" w:eastAsia="Calibri" w:hAnsiTheme="minorHAnsi" w:cstheme="minorHAnsi"/>
              </w:rPr>
              <w:t xml:space="preserve">Substantial Change in Services, which </w:t>
            </w:r>
            <w:r w:rsidR="002A7FE9" w:rsidRPr="0062487B">
              <w:rPr>
                <w:rFonts w:asciiTheme="minorHAnsi" w:eastAsia="Calibri" w:hAnsiTheme="minorHAnsi" w:cstheme="minorHAnsi"/>
              </w:rPr>
              <w:t xml:space="preserve">are </w:t>
            </w:r>
            <w:r w:rsidRPr="0062487B">
              <w:rPr>
                <w:rFonts w:asciiTheme="minorHAnsi" w:eastAsia="Calibri" w:hAnsiTheme="minorHAnsi" w:cstheme="minorHAnsi"/>
              </w:rPr>
              <w:t xml:space="preserve">reviewed under the </w:t>
            </w:r>
            <w:proofErr w:type="spellStart"/>
            <w:r w:rsidRPr="0062487B">
              <w:rPr>
                <w:rFonts w:asciiTheme="minorHAnsi" w:eastAsia="Calibri" w:hAnsiTheme="minorHAnsi" w:cstheme="minorHAnsi"/>
              </w:rPr>
              <w:t>DoN</w:t>
            </w:r>
            <w:proofErr w:type="spellEnd"/>
            <w:r w:rsidRPr="0062487B">
              <w:rPr>
                <w:rFonts w:asciiTheme="minorHAnsi" w:eastAsia="Calibri" w:hAnsiTheme="minorHAnsi" w:cstheme="minorHAnsi"/>
              </w:rPr>
              <w:t xml:space="preserve"> regulation 105 CMR 100.000. The Department must determine that need exists for a Proposed Project, </w:t>
            </w:r>
            <w:proofErr w:type="gramStart"/>
            <w:r w:rsidRPr="0062487B">
              <w:rPr>
                <w:rFonts w:asciiTheme="minorHAnsi" w:eastAsia="Calibri" w:hAnsiTheme="minorHAnsi" w:cstheme="minorHAnsi"/>
              </w:rPr>
              <w:t>on the basis of</w:t>
            </w:r>
            <w:proofErr w:type="gramEnd"/>
            <w:r w:rsidRPr="0062487B">
              <w:rPr>
                <w:rFonts w:asciiTheme="minorHAnsi" w:eastAsia="Calibri" w:hAnsiTheme="minorHAnsi" w:cstheme="minorHAnsi"/>
              </w:rPr>
              <w:t xml:space="preserve"> material in the record, where the </w:t>
            </w:r>
            <w:r w:rsidR="008B1A15" w:rsidRPr="0062487B">
              <w:rPr>
                <w:rFonts w:asciiTheme="minorHAnsi" w:hAnsiTheme="minorHAnsi" w:cstheme="minorHAnsi"/>
              </w:rPr>
              <w:t>Applicant makes a clear and convincing demonstration that the Proposed Project meets each Determination of Need Factor set forth within 105 CMR 100.210.</w:t>
            </w:r>
          </w:p>
          <w:p w14:paraId="51692A81" w14:textId="368208AE" w:rsidR="00B42050" w:rsidRPr="0062487B" w:rsidRDefault="001D1945" w:rsidP="0082022F">
            <w:pPr>
              <w:spacing w:after="200"/>
              <w:ind w:left="108"/>
              <w:rPr>
                <w:rFonts w:asciiTheme="minorHAnsi" w:eastAsia="Calibri" w:hAnsiTheme="minorHAnsi" w:cstheme="minorHAnsi"/>
              </w:rPr>
            </w:pPr>
            <w:r w:rsidRPr="0062487B">
              <w:rPr>
                <w:rFonts w:asciiTheme="minorHAnsi" w:hAnsiTheme="minorHAnsi" w:cstheme="minorHAnsi"/>
              </w:rPr>
              <w:t xml:space="preserve">The Department received written comments and held a virtual public hearing on March 30, 2021. </w:t>
            </w:r>
            <w:r w:rsidR="00B42050" w:rsidRPr="0062487B">
              <w:rPr>
                <w:rFonts w:asciiTheme="minorHAnsi" w:eastAsia="Calibri" w:hAnsiTheme="minorHAnsi" w:cstheme="minorHAnsi"/>
              </w:rPr>
              <w:t xml:space="preserve">Seven Ten </w:t>
            </w:r>
            <w:proofErr w:type="gramStart"/>
            <w:r w:rsidR="00B42050" w:rsidRPr="0062487B">
              <w:rPr>
                <w:rFonts w:asciiTheme="minorHAnsi" w:eastAsia="Calibri" w:hAnsiTheme="minorHAnsi" w:cstheme="minorHAnsi"/>
              </w:rPr>
              <w:t>Tax Payer</w:t>
            </w:r>
            <w:proofErr w:type="gramEnd"/>
            <w:r w:rsidR="00B42050" w:rsidRPr="0062487B">
              <w:rPr>
                <w:rFonts w:asciiTheme="minorHAnsi" w:eastAsia="Calibri" w:hAnsiTheme="minorHAnsi" w:cstheme="minorHAnsi"/>
              </w:rPr>
              <w:t xml:space="preserve"> Groups (TTGs) were formed.</w:t>
            </w:r>
            <w:r w:rsidRPr="0062487B">
              <w:rPr>
                <w:rFonts w:asciiTheme="minorHAnsi" w:eastAsia="Calibri" w:hAnsiTheme="minorHAnsi" w:cstheme="minorHAnsi"/>
              </w:rPr>
              <w:t xml:space="preserve"> </w:t>
            </w:r>
            <w:r w:rsidRPr="0062487B">
              <w:rPr>
                <w:rFonts w:asciiTheme="minorHAnsi" w:hAnsiTheme="minorHAnsi" w:cstheme="minorHAnsi"/>
              </w:rPr>
              <w:t>Summaries of the comments can be found in Appendix A.</w:t>
            </w:r>
          </w:p>
          <w:p w14:paraId="13F45141" w14:textId="76680AFF" w:rsidR="001D1945" w:rsidRPr="0062487B" w:rsidRDefault="1EFEC51F" w:rsidP="0082022F">
            <w:pPr>
              <w:spacing w:after="200"/>
              <w:ind w:left="108"/>
              <w:rPr>
                <w:rFonts w:asciiTheme="minorHAnsi" w:eastAsia="Calibri" w:hAnsiTheme="minorHAnsi" w:cstheme="minorHAnsi"/>
              </w:rPr>
            </w:pPr>
            <w:r w:rsidRPr="0062487B">
              <w:rPr>
                <w:rFonts w:asciiTheme="minorHAnsi" w:hAnsiTheme="minorHAnsi" w:cstheme="minorHAnsi"/>
              </w:rPr>
              <w:t xml:space="preserve">The Department required an </w:t>
            </w:r>
            <w:r w:rsidRPr="00A644D8">
              <w:rPr>
                <w:rFonts w:asciiTheme="minorHAnsi" w:hAnsiTheme="minorHAnsi" w:cstheme="minorHAnsi"/>
              </w:rPr>
              <w:t>independent cost</w:t>
            </w:r>
            <w:r w:rsidR="00DB0432" w:rsidRPr="00A644D8">
              <w:rPr>
                <w:rFonts w:asciiTheme="minorHAnsi" w:hAnsiTheme="minorHAnsi" w:cstheme="minorHAnsi"/>
              </w:rPr>
              <w:t>-</w:t>
            </w:r>
            <w:r w:rsidRPr="00A644D8">
              <w:rPr>
                <w:rFonts w:asciiTheme="minorHAnsi" w:hAnsiTheme="minorHAnsi" w:cstheme="minorHAnsi"/>
              </w:rPr>
              <w:t>analysis</w:t>
            </w:r>
            <w:r w:rsidRPr="0062487B">
              <w:rPr>
                <w:rFonts w:asciiTheme="minorHAnsi" w:hAnsiTheme="minorHAnsi" w:cstheme="minorHAnsi"/>
              </w:rPr>
              <w:t xml:space="preserve"> (ICA) for the Proposed Project. </w:t>
            </w:r>
            <w:r w:rsidR="000A5D4A" w:rsidRPr="0062487B">
              <w:rPr>
                <w:rFonts w:asciiTheme="minorHAnsi" w:hAnsiTheme="minorHAnsi" w:cstheme="minorHAnsi"/>
              </w:rPr>
              <w:t>S</w:t>
            </w:r>
            <w:r w:rsidRPr="0062487B">
              <w:rPr>
                <w:rFonts w:asciiTheme="minorHAnsi" w:hAnsiTheme="minorHAnsi" w:cstheme="minorHAnsi"/>
              </w:rPr>
              <w:t xml:space="preserve">ummary </w:t>
            </w:r>
            <w:r w:rsidR="000A5D4A" w:rsidRPr="0062487B">
              <w:rPr>
                <w:rFonts w:asciiTheme="minorHAnsi" w:hAnsiTheme="minorHAnsi" w:cstheme="minorHAnsi"/>
              </w:rPr>
              <w:t xml:space="preserve">and analysis </w:t>
            </w:r>
            <w:r w:rsidRPr="0062487B">
              <w:rPr>
                <w:rFonts w:asciiTheme="minorHAnsi" w:hAnsiTheme="minorHAnsi" w:cstheme="minorHAnsi"/>
              </w:rPr>
              <w:t>of the ICA findings can be found in Factor</w:t>
            </w:r>
            <w:r w:rsidR="526EF746" w:rsidRPr="0062487B">
              <w:rPr>
                <w:rFonts w:asciiTheme="minorHAnsi" w:hAnsiTheme="minorHAnsi" w:cstheme="minorHAnsi"/>
              </w:rPr>
              <w:t>s 2 and</w:t>
            </w:r>
            <w:r w:rsidRPr="0062487B">
              <w:rPr>
                <w:rFonts w:asciiTheme="minorHAnsi" w:hAnsiTheme="minorHAnsi" w:cstheme="minorHAnsi"/>
              </w:rPr>
              <w:t xml:space="preserve"> 4. The Department received written comments on the ICA from Parties of Record.</w:t>
            </w:r>
          </w:p>
        </w:tc>
      </w:tr>
    </w:tbl>
    <w:p w14:paraId="413EE2C9" w14:textId="77777777" w:rsidR="00333EA3" w:rsidRPr="0062487B" w:rsidRDefault="00333EA3" w:rsidP="007A57C4">
      <w:pPr>
        <w:contextualSpacing/>
        <w:rPr>
          <w:rFonts w:asciiTheme="minorHAnsi" w:hAnsiTheme="minorHAnsi" w:cstheme="minorHAnsi"/>
        </w:rPr>
      </w:pPr>
    </w:p>
    <w:p w14:paraId="248F11D0" w14:textId="77777777" w:rsidR="007628F9" w:rsidRPr="0062487B" w:rsidRDefault="007628F9" w:rsidP="007A57C4">
      <w:pPr>
        <w:contextualSpacing/>
        <w:rPr>
          <w:rFonts w:asciiTheme="minorHAnsi" w:hAnsiTheme="minorHAnsi" w:cstheme="minorHAnsi"/>
        </w:rPr>
      </w:pPr>
    </w:p>
    <w:p w14:paraId="1FAB1568" w14:textId="77777777" w:rsidR="007628F9" w:rsidRPr="0062487B" w:rsidRDefault="007628F9" w:rsidP="007A57C4">
      <w:pPr>
        <w:contextualSpacing/>
        <w:rPr>
          <w:rFonts w:asciiTheme="minorHAnsi" w:hAnsiTheme="minorHAnsi" w:cstheme="minorHAnsi"/>
        </w:rPr>
      </w:pPr>
    </w:p>
    <w:bookmarkStart w:id="0" w:name="_Toc18922391" w:displacedByCustomXml="next"/>
    <w:sdt>
      <w:sdtPr>
        <w:rPr>
          <w:rFonts w:asciiTheme="minorHAnsi" w:eastAsiaTheme="minorHAnsi" w:hAnsiTheme="minorHAnsi" w:cstheme="minorHAnsi"/>
          <w:color w:val="auto"/>
          <w:sz w:val="24"/>
          <w:szCs w:val="24"/>
        </w:rPr>
        <w:id w:val="1525591903"/>
        <w:docPartObj>
          <w:docPartGallery w:val="Table of Contents"/>
          <w:docPartUnique/>
        </w:docPartObj>
      </w:sdtPr>
      <w:sdtEndPr>
        <w:rPr>
          <w:rFonts w:eastAsia="Times New Roman"/>
          <w:b/>
          <w:bCs/>
          <w:noProof/>
        </w:rPr>
      </w:sdtEndPr>
      <w:sdtContent>
        <w:p w14:paraId="166D7125" w14:textId="74A0A038" w:rsidR="00E8532F" w:rsidRPr="0062487B" w:rsidRDefault="00E8532F" w:rsidP="00804C82">
          <w:pPr>
            <w:pStyle w:val="TOCHeading"/>
            <w:spacing w:line="240" w:lineRule="auto"/>
            <w:ind w:right="90"/>
            <w:rPr>
              <w:rFonts w:asciiTheme="minorHAnsi" w:hAnsiTheme="minorHAnsi" w:cstheme="minorHAnsi"/>
              <w:sz w:val="24"/>
              <w:szCs w:val="24"/>
            </w:rPr>
          </w:pPr>
          <w:r w:rsidRPr="0062487B">
            <w:rPr>
              <w:rFonts w:asciiTheme="minorHAnsi" w:hAnsiTheme="minorHAnsi" w:cstheme="minorHAnsi"/>
              <w:sz w:val="24"/>
              <w:szCs w:val="24"/>
            </w:rPr>
            <w:t>Table of Contents</w:t>
          </w:r>
          <w:r w:rsidR="00B5536D" w:rsidRPr="0062487B">
            <w:rPr>
              <w:rFonts w:asciiTheme="minorHAnsi" w:hAnsiTheme="minorHAnsi" w:cstheme="minorHAnsi"/>
              <w:sz w:val="24"/>
              <w:szCs w:val="24"/>
            </w:rPr>
            <w:t xml:space="preserve"> </w:t>
          </w:r>
        </w:p>
        <w:p w14:paraId="696078D4" w14:textId="4284FD6B" w:rsidR="008364F0" w:rsidRDefault="00895FD3">
          <w:pPr>
            <w:pStyle w:val="TOC1"/>
            <w:rPr>
              <w:rFonts w:eastAsiaTheme="minorEastAsia" w:cstheme="minorBidi"/>
              <w:bCs w:val="0"/>
              <w:sz w:val="22"/>
              <w:szCs w:val="22"/>
            </w:rPr>
          </w:pPr>
          <w:r>
            <w:fldChar w:fldCharType="begin"/>
          </w:r>
          <w:r>
            <w:instrText xml:space="preserve"> TOC \o "1-3" \h \z \u </w:instrText>
          </w:r>
          <w:r>
            <w:fldChar w:fldCharType="separate"/>
          </w:r>
          <w:hyperlink w:anchor="_Toc99645430" w:history="1">
            <w:r w:rsidR="008364F0" w:rsidRPr="00AE5401">
              <w:rPr>
                <w:rStyle w:val="Hyperlink"/>
              </w:rPr>
              <w:t>Background: Mass General Brigham Incorporated (Applicant) and Application Overview</w:t>
            </w:r>
            <w:r w:rsidR="008364F0">
              <w:rPr>
                <w:webHidden/>
              </w:rPr>
              <w:tab/>
            </w:r>
            <w:r w:rsidR="008364F0">
              <w:rPr>
                <w:webHidden/>
              </w:rPr>
              <w:fldChar w:fldCharType="begin"/>
            </w:r>
            <w:r w:rsidR="008364F0">
              <w:rPr>
                <w:webHidden/>
              </w:rPr>
              <w:instrText xml:space="preserve"> PAGEREF _Toc99645430 \h </w:instrText>
            </w:r>
            <w:r w:rsidR="008364F0">
              <w:rPr>
                <w:webHidden/>
              </w:rPr>
            </w:r>
            <w:r w:rsidR="008364F0">
              <w:rPr>
                <w:webHidden/>
              </w:rPr>
              <w:fldChar w:fldCharType="separate"/>
            </w:r>
            <w:r w:rsidR="00A81296">
              <w:rPr>
                <w:webHidden/>
              </w:rPr>
              <w:t>3</w:t>
            </w:r>
            <w:r w:rsidR="008364F0">
              <w:rPr>
                <w:webHidden/>
              </w:rPr>
              <w:fldChar w:fldCharType="end"/>
            </w:r>
          </w:hyperlink>
        </w:p>
        <w:p w14:paraId="35085E0B" w14:textId="15971388" w:rsidR="008364F0" w:rsidRDefault="00F77267">
          <w:pPr>
            <w:pStyle w:val="TOC1"/>
            <w:rPr>
              <w:rFonts w:eastAsiaTheme="minorEastAsia" w:cstheme="minorBidi"/>
              <w:bCs w:val="0"/>
              <w:sz w:val="22"/>
              <w:szCs w:val="22"/>
            </w:rPr>
          </w:pPr>
          <w:hyperlink w:anchor="_Toc99645431" w:history="1">
            <w:r w:rsidR="008364F0" w:rsidRPr="00AE5401">
              <w:rPr>
                <w:rStyle w:val="Hyperlink"/>
              </w:rPr>
              <w:t>Patient Panel</w:t>
            </w:r>
            <w:r w:rsidR="008364F0">
              <w:rPr>
                <w:webHidden/>
              </w:rPr>
              <w:tab/>
            </w:r>
            <w:r w:rsidR="008364F0">
              <w:rPr>
                <w:webHidden/>
              </w:rPr>
              <w:fldChar w:fldCharType="begin"/>
            </w:r>
            <w:r w:rsidR="008364F0">
              <w:rPr>
                <w:webHidden/>
              </w:rPr>
              <w:instrText xml:space="preserve"> PAGEREF _Toc99645431 \h </w:instrText>
            </w:r>
            <w:r w:rsidR="008364F0">
              <w:rPr>
                <w:webHidden/>
              </w:rPr>
            </w:r>
            <w:r w:rsidR="008364F0">
              <w:rPr>
                <w:webHidden/>
              </w:rPr>
              <w:fldChar w:fldCharType="separate"/>
            </w:r>
            <w:r w:rsidR="00A81296">
              <w:rPr>
                <w:webHidden/>
              </w:rPr>
              <w:t>5</w:t>
            </w:r>
            <w:r w:rsidR="008364F0">
              <w:rPr>
                <w:webHidden/>
              </w:rPr>
              <w:fldChar w:fldCharType="end"/>
            </w:r>
          </w:hyperlink>
        </w:p>
        <w:p w14:paraId="1D0C9D98" w14:textId="563A7489" w:rsidR="008364F0" w:rsidRDefault="00F77267">
          <w:pPr>
            <w:pStyle w:val="TOC1"/>
            <w:rPr>
              <w:rFonts w:eastAsiaTheme="minorEastAsia" w:cstheme="minorBidi"/>
              <w:bCs w:val="0"/>
              <w:sz w:val="22"/>
              <w:szCs w:val="22"/>
            </w:rPr>
          </w:pPr>
          <w:hyperlink w:anchor="_Toc99645432" w:history="1">
            <w:r w:rsidR="008364F0" w:rsidRPr="00AE5401">
              <w:rPr>
                <w:rStyle w:val="Hyperlink"/>
              </w:rPr>
              <w:t>Patient Panel Information (FY19)</w:t>
            </w:r>
            <w:r w:rsidR="008364F0">
              <w:rPr>
                <w:webHidden/>
              </w:rPr>
              <w:tab/>
            </w:r>
            <w:r w:rsidR="008364F0">
              <w:rPr>
                <w:webHidden/>
              </w:rPr>
              <w:fldChar w:fldCharType="begin"/>
            </w:r>
            <w:r w:rsidR="008364F0">
              <w:rPr>
                <w:webHidden/>
              </w:rPr>
              <w:instrText xml:space="preserve"> PAGEREF _Toc99645432 \h </w:instrText>
            </w:r>
            <w:r w:rsidR="008364F0">
              <w:rPr>
                <w:webHidden/>
              </w:rPr>
            </w:r>
            <w:r w:rsidR="008364F0">
              <w:rPr>
                <w:webHidden/>
              </w:rPr>
              <w:fldChar w:fldCharType="separate"/>
            </w:r>
            <w:r w:rsidR="00A81296">
              <w:rPr>
                <w:webHidden/>
              </w:rPr>
              <w:t>5</w:t>
            </w:r>
            <w:r w:rsidR="008364F0">
              <w:rPr>
                <w:webHidden/>
              </w:rPr>
              <w:fldChar w:fldCharType="end"/>
            </w:r>
          </w:hyperlink>
        </w:p>
        <w:p w14:paraId="0806A2A5" w14:textId="111E9956" w:rsidR="008364F0" w:rsidRDefault="00F77267">
          <w:pPr>
            <w:pStyle w:val="TOC1"/>
            <w:rPr>
              <w:rFonts w:eastAsiaTheme="minorEastAsia" w:cstheme="minorBidi"/>
              <w:bCs w:val="0"/>
              <w:sz w:val="22"/>
              <w:szCs w:val="22"/>
            </w:rPr>
          </w:pPr>
          <w:hyperlink w:anchor="_Toc99645433" w:history="1">
            <w:r w:rsidR="008364F0" w:rsidRPr="00AE5401">
              <w:rPr>
                <w:rStyle w:val="Hyperlink"/>
                <w:rFonts w:eastAsia="Calibri"/>
              </w:rPr>
              <w:t>Factor 1a: Patient Panel Need</w:t>
            </w:r>
            <w:r w:rsidR="008364F0">
              <w:rPr>
                <w:webHidden/>
              </w:rPr>
              <w:tab/>
            </w:r>
            <w:r w:rsidR="008364F0">
              <w:rPr>
                <w:webHidden/>
              </w:rPr>
              <w:fldChar w:fldCharType="begin"/>
            </w:r>
            <w:r w:rsidR="008364F0">
              <w:rPr>
                <w:webHidden/>
              </w:rPr>
              <w:instrText xml:space="preserve"> PAGEREF _Toc99645433 \h </w:instrText>
            </w:r>
            <w:r w:rsidR="008364F0">
              <w:rPr>
                <w:webHidden/>
              </w:rPr>
            </w:r>
            <w:r w:rsidR="008364F0">
              <w:rPr>
                <w:webHidden/>
              </w:rPr>
              <w:fldChar w:fldCharType="separate"/>
            </w:r>
            <w:r w:rsidR="00A81296">
              <w:rPr>
                <w:webHidden/>
              </w:rPr>
              <w:t>8</w:t>
            </w:r>
            <w:r w:rsidR="008364F0">
              <w:rPr>
                <w:webHidden/>
              </w:rPr>
              <w:fldChar w:fldCharType="end"/>
            </w:r>
          </w:hyperlink>
        </w:p>
        <w:p w14:paraId="019A3FEE" w14:textId="5670B025" w:rsidR="008364F0" w:rsidRDefault="00F77267">
          <w:pPr>
            <w:pStyle w:val="TOC1"/>
            <w:rPr>
              <w:rFonts w:eastAsiaTheme="minorEastAsia" w:cstheme="minorBidi"/>
              <w:bCs w:val="0"/>
              <w:sz w:val="22"/>
              <w:szCs w:val="22"/>
            </w:rPr>
          </w:pPr>
          <w:hyperlink w:anchor="_Toc99645434" w:history="1">
            <w:r w:rsidR="008364F0" w:rsidRPr="00AE5401">
              <w:rPr>
                <w:rStyle w:val="Hyperlink"/>
              </w:rPr>
              <w:t>Factor 1: b) Public Health Value, Improved Health Outcomes and Quality of Life; Assurances of Health Equity</w:t>
            </w:r>
            <w:r w:rsidR="008364F0">
              <w:rPr>
                <w:webHidden/>
              </w:rPr>
              <w:tab/>
            </w:r>
            <w:r w:rsidR="008364F0">
              <w:rPr>
                <w:webHidden/>
              </w:rPr>
              <w:fldChar w:fldCharType="begin"/>
            </w:r>
            <w:r w:rsidR="008364F0">
              <w:rPr>
                <w:webHidden/>
              </w:rPr>
              <w:instrText xml:space="preserve"> PAGEREF _Toc99645434 \h </w:instrText>
            </w:r>
            <w:r w:rsidR="008364F0">
              <w:rPr>
                <w:webHidden/>
              </w:rPr>
            </w:r>
            <w:r w:rsidR="008364F0">
              <w:rPr>
                <w:webHidden/>
              </w:rPr>
              <w:fldChar w:fldCharType="separate"/>
            </w:r>
            <w:r w:rsidR="00A81296">
              <w:rPr>
                <w:webHidden/>
              </w:rPr>
              <w:t>16</w:t>
            </w:r>
            <w:r w:rsidR="008364F0">
              <w:rPr>
                <w:webHidden/>
              </w:rPr>
              <w:fldChar w:fldCharType="end"/>
            </w:r>
          </w:hyperlink>
        </w:p>
        <w:p w14:paraId="1593327A" w14:textId="562F9C5B" w:rsidR="008364F0" w:rsidRDefault="00F77267">
          <w:pPr>
            <w:pStyle w:val="TOC1"/>
            <w:rPr>
              <w:rFonts w:eastAsiaTheme="minorEastAsia" w:cstheme="minorBidi"/>
              <w:bCs w:val="0"/>
              <w:sz w:val="22"/>
              <w:szCs w:val="22"/>
            </w:rPr>
          </w:pPr>
          <w:hyperlink w:anchor="_Toc99645435" w:history="1">
            <w:r w:rsidR="008364F0" w:rsidRPr="00AE5401">
              <w:rPr>
                <w:rStyle w:val="Hyperlink"/>
              </w:rPr>
              <w:t>Factor 1: c) Efficiency, Continuity of Care, Coordination of Care</w:t>
            </w:r>
            <w:r w:rsidR="008364F0">
              <w:rPr>
                <w:webHidden/>
              </w:rPr>
              <w:tab/>
            </w:r>
            <w:r w:rsidR="008364F0">
              <w:rPr>
                <w:webHidden/>
              </w:rPr>
              <w:fldChar w:fldCharType="begin"/>
            </w:r>
            <w:r w:rsidR="008364F0">
              <w:rPr>
                <w:webHidden/>
              </w:rPr>
              <w:instrText xml:space="preserve"> PAGEREF _Toc99645435 \h </w:instrText>
            </w:r>
            <w:r w:rsidR="008364F0">
              <w:rPr>
                <w:webHidden/>
              </w:rPr>
            </w:r>
            <w:r w:rsidR="008364F0">
              <w:rPr>
                <w:webHidden/>
              </w:rPr>
              <w:fldChar w:fldCharType="separate"/>
            </w:r>
            <w:r w:rsidR="00A81296">
              <w:rPr>
                <w:webHidden/>
              </w:rPr>
              <w:t>19</w:t>
            </w:r>
            <w:r w:rsidR="008364F0">
              <w:rPr>
                <w:webHidden/>
              </w:rPr>
              <w:fldChar w:fldCharType="end"/>
            </w:r>
          </w:hyperlink>
        </w:p>
        <w:p w14:paraId="4B0441D2" w14:textId="69B8BC2D" w:rsidR="008364F0" w:rsidRDefault="00F77267">
          <w:pPr>
            <w:pStyle w:val="TOC1"/>
            <w:rPr>
              <w:rFonts w:eastAsiaTheme="minorEastAsia" w:cstheme="minorBidi"/>
              <w:bCs w:val="0"/>
              <w:sz w:val="22"/>
              <w:szCs w:val="22"/>
            </w:rPr>
          </w:pPr>
          <w:hyperlink w:anchor="_Toc99645436" w:history="1">
            <w:r w:rsidR="008364F0" w:rsidRPr="00AE5401">
              <w:rPr>
                <w:rStyle w:val="Hyperlink"/>
              </w:rPr>
              <w:t>Factor 1: d) Consultation</w:t>
            </w:r>
            <w:r w:rsidR="008364F0">
              <w:rPr>
                <w:webHidden/>
              </w:rPr>
              <w:tab/>
            </w:r>
            <w:r w:rsidR="008364F0">
              <w:rPr>
                <w:webHidden/>
              </w:rPr>
              <w:fldChar w:fldCharType="begin"/>
            </w:r>
            <w:r w:rsidR="008364F0">
              <w:rPr>
                <w:webHidden/>
              </w:rPr>
              <w:instrText xml:space="preserve"> PAGEREF _Toc99645436 \h </w:instrText>
            </w:r>
            <w:r w:rsidR="008364F0">
              <w:rPr>
                <w:webHidden/>
              </w:rPr>
            </w:r>
            <w:r w:rsidR="008364F0">
              <w:rPr>
                <w:webHidden/>
              </w:rPr>
              <w:fldChar w:fldCharType="separate"/>
            </w:r>
            <w:r w:rsidR="00A81296">
              <w:rPr>
                <w:webHidden/>
              </w:rPr>
              <w:t>21</w:t>
            </w:r>
            <w:r w:rsidR="008364F0">
              <w:rPr>
                <w:webHidden/>
              </w:rPr>
              <w:fldChar w:fldCharType="end"/>
            </w:r>
          </w:hyperlink>
        </w:p>
        <w:p w14:paraId="7D5DEFE9" w14:textId="3733D8A1" w:rsidR="008364F0" w:rsidRDefault="00F77267">
          <w:pPr>
            <w:pStyle w:val="TOC1"/>
            <w:rPr>
              <w:rFonts w:eastAsiaTheme="minorEastAsia" w:cstheme="minorBidi"/>
              <w:bCs w:val="0"/>
              <w:sz w:val="22"/>
              <w:szCs w:val="22"/>
            </w:rPr>
          </w:pPr>
          <w:hyperlink w:anchor="_Toc99645437" w:history="1">
            <w:r w:rsidR="008364F0" w:rsidRPr="00AE5401">
              <w:rPr>
                <w:rStyle w:val="Hyperlink"/>
              </w:rPr>
              <w:t>Factor 1: e) Evidence of Sound Community Engagement through the Patient Panel</w:t>
            </w:r>
            <w:r w:rsidR="008364F0">
              <w:rPr>
                <w:webHidden/>
              </w:rPr>
              <w:tab/>
            </w:r>
            <w:r w:rsidR="008364F0">
              <w:rPr>
                <w:webHidden/>
              </w:rPr>
              <w:fldChar w:fldCharType="begin"/>
            </w:r>
            <w:r w:rsidR="008364F0">
              <w:rPr>
                <w:webHidden/>
              </w:rPr>
              <w:instrText xml:space="preserve"> PAGEREF _Toc99645437 \h </w:instrText>
            </w:r>
            <w:r w:rsidR="008364F0">
              <w:rPr>
                <w:webHidden/>
              </w:rPr>
            </w:r>
            <w:r w:rsidR="008364F0">
              <w:rPr>
                <w:webHidden/>
              </w:rPr>
              <w:fldChar w:fldCharType="separate"/>
            </w:r>
            <w:r w:rsidR="00A81296">
              <w:rPr>
                <w:webHidden/>
              </w:rPr>
              <w:t>21</w:t>
            </w:r>
            <w:r w:rsidR="008364F0">
              <w:rPr>
                <w:webHidden/>
              </w:rPr>
              <w:fldChar w:fldCharType="end"/>
            </w:r>
          </w:hyperlink>
        </w:p>
        <w:p w14:paraId="17C9C544" w14:textId="4F139986" w:rsidR="008364F0" w:rsidRDefault="00F77267">
          <w:pPr>
            <w:pStyle w:val="TOC1"/>
            <w:rPr>
              <w:rFonts w:eastAsiaTheme="minorEastAsia" w:cstheme="minorBidi"/>
              <w:bCs w:val="0"/>
              <w:sz w:val="22"/>
              <w:szCs w:val="22"/>
            </w:rPr>
          </w:pPr>
          <w:hyperlink w:anchor="_Toc99645438" w:history="1">
            <w:r w:rsidR="008364F0" w:rsidRPr="00AE5401">
              <w:rPr>
                <w:rStyle w:val="Hyperlink"/>
              </w:rPr>
              <w:t>Factor 1: f) Competition on Price, Total Medical Expenses (TME), Costs and Other Measures of Health Care Spending</w:t>
            </w:r>
            <w:r w:rsidR="008364F0">
              <w:rPr>
                <w:webHidden/>
              </w:rPr>
              <w:tab/>
            </w:r>
            <w:r w:rsidR="008364F0">
              <w:rPr>
                <w:webHidden/>
              </w:rPr>
              <w:fldChar w:fldCharType="begin"/>
            </w:r>
            <w:r w:rsidR="008364F0">
              <w:rPr>
                <w:webHidden/>
              </w:rPr>
              <w:instrText xml:space="preserve"> PAGEREF _Toc99645438 \h </w:instrText>
            </w:r>
            <w:r w:rsidR="008364F0">
              <w:rPr>
                <w:webHidden/>
              </w:rPr>
            </w:r>
            <w:r w:rsidR="008364F0">
              <w:rPr>
                <w:webHidden/>
              </w:rPr>
              <w:fldChar w:fldCharType="separate"/>
            </w:r>
            <w:r w:rsidR="00A81296">
              <w:rPr>
                <w:webHidden/>
              </w:rPr>
              <w:t>22</w:t>
            </w:r>
            <w:r w:rsidR="008364F0">
              <w:rPr>
                <w:webHidden/>
              </w:rPr>
              <w:fldChar w:fldCharType="end"/>
            </w:r>
          </w:hyperlink>
        </w:p>
        <w:p w14:paraId="32A192DA" w14:textId="7EC6CBC4" w:rsidR="008364F0" w:rsidRDefault="00F77267">
          <w:pPr>
            <w:pStyle w:val="TOC1"/>
            <w:rPr>
              <w:rFonts w:eastAsiaTheme="minorEastAsia" w:cstheme="minorBidi"/>
              <w:bCs w:val="0"/>
              <w:sz w:val="22"/>
              <w:szCs w:val="22"/>
            </w:rPr>
          </w:pPr>
          <w:hyperlink w:anchor="_Toc99645439" w:history="1">
            <w:r w:rsidR="008364F0" w:rsidRPr="00AE5401">
              <w:rPr>
                <w:rStyle w:val="Hyperlink"/>
              </w:rPr>
              <w:t>Factor 3: Relevant Licensure/Oversight Compliance</w:t>
            </w:r>
            <w:r w:rsidR="008364F0">
              <w:rPr>
                <w:webHidden/>
              </w:rPr>
              <w:tab/>
            </w:r>
            <w:r w:rsidR="008364F0">
              <w:rPr>
                <w:webHidden/>
              </w:rPr>
              <w:fldChar w:fldCharType="begin"/>
            </w:r>
            <w:r w:rsidR="008364F0">
              <w:rPr>
                <w:webHidden/>
              </w:rPr>
              <w:instrText xml:space="preserve"> PAGEREF _Toc99645439 \h </w:instrText>
            </w:r>
            <w:r w:rsidR="008364F0">
              <w:rPr>
                <w:webHidden/>
              </w:rPr>
            </w:r>
            <w:r w:rsidR="008364F0">
              <w:rPr>
                <w:webHidden/>
              </w:rPr>
              <w:fldChar w:fldCharType="separate"/>
            </w:r>
            <w:r w:rsidR="00A81296">
              <w:rPr>
                <w:webHidden/>
              </w:rPr>
              <w:t>28</w:t>
            </w:r>
            <w:r w:rsidR="008364F0">
              <w:rPr>
                <w:webHidden/>
              </w:rPr>
              <w:fldChar w:fldCharType="end"/>
            </w:r>
          </w:hyperlink>
        </w:p>
        <w:p w14:paraId="7B8B842B" w14:textId="253FCB91" w:rsidR="008364F0" w:rsidRDefault="00F77267">
          <w:pPr>
            <w:pStyle w:val="TOC1"/>
            <w:rPr>
              <w:rFonts w:eastAsiaTheme="minorEastAsia" w:cstheme="minorBidi"/>
              <w:bCs w:val="0"/>
              <w:sz w:val="22"/>
              <w:szCs w:val="22"/>
            </w:rPr>
          </w:pPr>
          <w:hyperlink w:anchor="_Toc99645440" w:history="1">
            <w:r w:rsidR="008364F0" w:rsidRPr="00AE5401">
              <w:rPr>
                <w:rStyle w:val="Hyperlink"/>
              </w:rPr>
              <w:t>Factor 4: Demonstration of Sufficient Funds as Supported by an Independent CPA Analysis and Independent Cost-Analysis</w:t>
            </w:r>
            <w:r w:rsidR="008364F0">
              <w:rPr>
                <w:webHidden/>
              </w:rPr>
              <w:tab/>
            </w:r>
            <w:r w:rsidR="008364F0">
              <w:rPr>
                <w:webHidden/>
              </w:rPr>
              <w:fldChar w:fldCharType="begin"/>
            </w:r>
            <w:r w:rsidR="008364F0">
              <w:rPr>
                <w:webHidden/>
              </w:rPr>
              <w:instrText xml:space="preserve"> PAGEREF _Toc99645440 \h </w:instrText>
            </w:r>
            <w:r w:rsidR="008364F0">
              <w:rPr>
                <w:webHidden/>
              </w:rPr>
            </w:r>
            <w:r w:rsidR="008364F0">
              <w:rPr>
                <w:webHidden/>
              </w:rPr>
              <w:fldChar w:fldCharType="separate"/>
            </w:r>
            <w:r w:rsidR="00A81296">
              <w:rPr>
                <w:webHidden/>
              </w:rPr>
              <w:t>28</w:t>
            </w:r>
            <w:r w:rsidR="008364F0">
              <w:rPr>
                <w:webHidden/>
              </w:rPr>
              <w:fldChar w:fldCharType="end"/>
            </w:r>
          </w:hyperlink>
        </w:p>
        <w:p w14:paraId="325A50B2" w14:textId="42FDF2FA" w:rsidR="008364F0" w:rsidRDefault="00F77267">
          <w:pPr>
            <w:pStyle w:val="TOC1"/>
            <w:rPr>
              <w:rFonts w:eastAsiaTheme="minorEastAsia" w:cstheme="minorBidi"/>
              <w:bCs w:val="0"/>
              <w:sz w:val="22"/>
              <w:szCs w:val="22"/>
            </w:rPr>
          </w:pPr>
          <w:hyperlink w:anchor="_Toc99645441" w:history="1">
            <w:r w:rsidR="008364F0" w:rsidRPr="00AE5401">
              <w:rPr>
                <w:rStyle w:val="Hyperlink"/>
              </w:rPr>
              <w:t>Factor 5: Assessment of the Proposed Project’s Relative Merit</w:t>
            </w:r>
            <w:r w:rsidR="008364F0">
              <w:rPr>
                <w:webHidden/>
              </w:rPr>
              <w:tab/>
            </w:r>
            <w:r w:rsidR="008364F0">
              <w:rPr>
                <w:webHidden/>
              </w:rPr>
              <w:fldChar w:fldCharType="begin"/>
            </w:r>
            <w:r w:rsidR="008364F0">
              <w:rPr>
                <w:webHidden/>
              </w:rPr>
              <w:instrText xml:space="preserve"> PAGEREF _Toc99645441 \h </w:instrText>
            </w:r>
            <w:r w:rsidR="008364F0">
              <w:rPr>
                <w:webHidden/>
              </w:rPr>
            </w:r>
            <w:r w:rsidR="008364F0">
              <w:rPr>
                <w:webHidden/>
              </w:rPr>
              <w:fldChar w:fldCharType="separate"/>
            </w:r>
            <w:r w:rsidR="00A81296">
              <w:rPr>
                <w:webHidden/>
              </w:rPr>
              <w:t>30</w:t>
            </w:r>
            <w:r w:rsidR="008364F0">
              <w:rPr>
                <w:webHidden/>
              </w:rPr>
              <w:fldChar w:fldCharType="end"/>
            </w:r>
          </w:hyperlink>
        </w:p>
        <w:p w14:paraId="4DD685DE" w14:textId="6F38B0DC" w:rsidR="008364F0" w:rsidRDefault="00F77267">
          <w:pPr>
            <w:pStyle w:val="TOC1"/>
            <w:rPr>
              <w:rFonts w:eastAsiaTheme="minorEastAsia" w:cstheme="minorBidi"/>
              <w:bCs w:val="0"/>
              <w:sz w:val="22"/>
              <w:szCs w:val="22"/>
            </w:rPr>
          </w:pPr>
          <w:hyperlink w:anchor="_Toc99645442" w:history="1">
            <w:r w:rsidR="008364F0" w:rsidRPr="00AE5401">
              <w:rPr>
                <w:rStyle w:val="Hyperlink"/>
                <w:rFonts w:eastAsia="Times New Roman"/>
              </w:rPr>
              <w:t>Factor 6: Fulfillment of DPH Community-based Health Initiatives Guideline—</w:t>
            </w:r>
            <w:r w:rsidR="008364F0" w:rsidRPr="00AE5401">
              <w:rPr>
                <w:rStyle w:val="Hyperlink"/>
              </w:rPr>
              <w:t xml:space="preserve"> </w:t>
            </w:r>
            <w:r w:rsidR="008364F0" w:rsidRPr="00AE5401">
              <w:rPr>
                <w:rStyle w:val="Hyperlink"/>
                <w:rFonts w:eastAsia="Times New Roman"/>
              </w:rPr>
              <w:t>Overall Application</w:t>
            </w:r>
            <w:r w:rsidR="008364F0">
              <w:rPr>
                <w:webHidden/>
              </w:rPr>
              <w:tab/>
            </w:r>
            <w:r w:rsidR="008364F0">
              <w:rPr>
                <w:webHidden/>
              </w:rPr>
              <w:fldChar w:fldCharType="begin"/>
            </w:r>
            <w:r w:rsidR="008364F0">
              <w:rPr>
                <w:webHidden/>
              </w:rPr>
              <w:instrText xml:space="preserve"> PAGEREF _Toc99645442 \h </w:instrText>
            </w:r>
            <w:r w:rsidR="008364F0">
              <w:rPr>
                <w:webHidden/>
              </w:rPr>
            </w:r>
            <w:r w:rsidR="008364F0">
              <w:rPr>
                <w:webHidden/>
              </w:rPr>
              <w:fldChar w:fldCharType="separate"/>
            </w:r>
            <w:r w:rsidR="00A81296">
              <w:rPr>
                <w:webHidden/>
              </w:rPr>
              <w:t>31</w:t>
            </w:r>
            <w:r w:rsidR="008364F0">
              <w:rPr>
                <w:webHidden/>
              </w:rPr>
              <w:fldChar w:fldCharType="end"/>
            </w:r>
          </w:hyperlink>
        </w:p>
        <w:p w14:paraId="39DA813F" w14:textId="6316C25F" w:rsidR="008364F0" w:rsidRDefault="00F77267">
          <w:pPr>
            <w:pStyle w:val="TOC1"/>
            <w:rPr>
              <w:rFonts w:eastAsiaTheme="minorEastAsia" w:cstheme="minorBidi"/>
              <w:bCs w:val="0"/>
              <w:sz w:val="22"/>
              <w:szCs w:val="22"/>
            </w:rPr>
          </w:pPr>
          <w:hyperlink w:anchor="_Toc99645443" w:history="1">
            <w:r w:rsidR="008364F0" w:rsidRPr="00AE5401">
              <w:rPr>
                <w:rStyle w:val="Hyperlink"/>
                <w:rFonts w:ascii="Calibri Light" w:hAnsi="Calibri Light" w:cs="Calibri Light"/>
              </w:rPr>
              <w:t>Public Comments on the Application</w:t>
            </w:r>
            <w:r w:rsidR="008364F0">
              <w:rPr>
                <w:webHidden/>
              </w:rPr>
              <w:tab/>
            </w:r>
            <w:r w:rsidR="008364F0">
              <w:rPr>
                <w:webHidden/>
              </w:rPr>
              <w:fldChar w:fldCharType="begin"/>
            </w:r>
            <w:r w:rsidR="008364F0">
              <w:rPr>
                <w:webHidden/>
              </w:rPr>
              <w:instrText xml:space="preserve"> PAGEREF _Toc99645443 \h </w:instrText>
            </w:r>
            <w:r w:rsidR="008364F0">
              <w:rPr>
                <w:webHidden/>
              </w:rPr>
            </w:r>
            <w:r w:rsidR="008364F0">
              <w:rPr>
                <w:webHidden/>
              </w:rPr>
              <w:fldChar w:fldCharType="separate"/>
            </w:r>
            <w:r w:rsidR="00A81296">
              <w:rPr>
                <w:webHidden/>
              </w:rPr>
              <w:t>32</w:t>
            </w:r>
            <w:r w:rsidR="008364F0">
              <w:rPr>
                <w:webHidden/>
              </w:rPr>
              <w:fldChar w:fldCharType="end"/>
            </w:r>
          </w:hyperlink>
        </w:p>
        <w:p w14:paraId="0E9D216F" w14:textId="6C7C8E99" w:rsidR="008364F0" w:rsidRDefault="00F77267">
          <w:pPr>
            <w:pStyle w:val="TOC1"/>
            <w:rPr>
              <w:rFonts w:eastAsiaTheme="minorEastAsia" w:cstheme="minorBidi"/>
              <w:bCs w:val="0"/>
              <w:sz w:val="22"/>
              <w:szCs w:val="22"/>
            </w:rPr>
          </w:pPr>
          <w:hyperlink w:anchor="_Toc99645444" w:history="1">
            <w:r w:rsidR="008364F0" w:rsidRPr="00AE5401">
              <w:rPr>
                <w:rStyle w:val="Hyperlink"/>
                <w:b/>
              </w:rPr>
              <w:t>Conditions to the DoN</w:t>
            </w:r>
            <w:r w:rsidR="008364F0">
              <w:rPr>
                <w:webHidden/>
              </w:rPr>
              <w:tab/>
            </w:r>
            <w:r w:rsidR="008364F0">
              <w:rPr>
                <w:webHidden/>
              </w:rPr>
              <w:fldChar w:fldCharType="begin"/>
            </w:r>
            <w:r w:rsidR="008364F0">
              <w:rPr>
                <w:webHidden/>
              </w:rPr>
              <w:instrText xml:space="preserve"> PAGEREF _Toc99645444 \h </w:instrText>
            </w:r>
            <w:r w:rsidR="008364F0">
              <w:rPr>
                <w:webHidden/>
              </w:rPr>
            </w:r>
            <w:r w:rsidR="008364F0">
              <w:rPr>
                <w:webHidden/>
              </w:rPr>
              <w:fldChar w:fldCharType="separate"/>
            </w:r>
            <w:r w:rsidR="00A81296">
              <w:rPr>
                <w:webHidden/>
              </w:rPr>
              <w:t>34</w:t>
            </w:r>
            <w:r w:rsidR="008364F0">
              <w:rPr>
                <w:webHidden/>
              </w:rPr>
              <w:fldChar w:fldCharType="end"/>
            </w:r>
          </w:hyperlink>
        </w:p>
        <w:p w14:paraId="3D18671B" w14:textId="04B41A66" w:rsidR="008364F0" w:rsidRDefault="00F77267">
          <w:pPr>
            <w:pStyle w:val="TOC1"/>
            <w:rPr>
              <w:rFonts w:eastAsiaTheme="minorEastAsia" w:cstheme="minorBidi"/>
              <w:bCs w:val="0"/>
              <w:sz w:val="22"/>
              <w:szCs w:val="22"/>
            </w:rPr>
          </w:pPr>
          <w:hyperlink w:anchor="_Toc99645445" w:history="1">
            <w:r w:rsidR="008364F0" w:rsidRPr="00AE5401">
              <w:rPr>
                <w:rStyle w:val="Hyperlink"/>
                <w:rFonts w:eastAsia="Times New Roman"/>
              </w:rPr>
              <w:t>Attachment 1: Measures for Annual Reporting</w:t>
            </w:r>
            <w:r w:rsidR="008364F0">
              <w:rPr>
                <w:webHidden/>
              </w:rPr>
              <w:tab/>
            </w:r>
            <w:r w:rsidR="008364F0">
              <w:rPr>
                <w:webHidden/>
              </w:rPr>
              <w:fldChar w:fldCharType="begin"/>
            </w:r>
            <w:r w:rsidR="008364F0">
              <w:rPr>
                <w:webHidden/>
              </w:rPr>
              <w:instrText xml:space="preserve"> PAGEREF _Toc99645445 \h </w:instrText>
            </w:r>
            <w:r w:rsidR="008364F0">
              <w:rPr>
                <w:webHidden/>
              </w:rPr>
            </w:r>
            <w:r w:rsidR="008364F0">
              <w:rPr>
                <w:webHidden/>
              </w:rPr>
              <w:fldChar w:fldCharType="separate"/>
            </w:r>
            <w:r w:rsidR="00A81296">
              <w:rPr>
                <w:webHidden/>
              </w:rPr>
              <w:t>37</w:t>
            </w:r>
            <w:r w:rsidR="008364F0">
              <w:rPr>
                <w:webHidden/>
              </w:rPr>
              <w:fldChar w:fldCharType="end"/>
            </w:r>
          </w:hyperlink>
        </w:p>
        <w:p w14:paraId="6C385118" w14:textId="71DF5864" w:rsidR="008364F0" w:rsidRDefault="00F77267">
          <w:pPr>
            <w:pStyle w:val="TOC1"/>
            <w:rPr>
              <w:rFonts w:eastAsiaTheme="minorEastAsia" w:cstheme="minorBidi"/>
              <w:bCs w:val="0"/>
              <w:sz w:val="22"/>
              <w:szCs w:val="22"/>
            </w:rPr>
          </w:pPr>
          <w:hyperlink w:anchor="_Toc99645446" w:history="1">
            <w:r w:rsidR="008364F0" w:rsidRPr="00AE5401">
              <w:rPr>
                <w:rStyle w:val="Hyperlink"/>
              </w:rPr>
              <w:t>Appendix A: Other Renovation Projects</w:t>
            </w:r>
            <w:r w:rsidR="008364F0">
              <w:rPr>
                <w:webHidden/>
              </w:rPr>
              <w:tab/>
            </w:r>
            <w:r w:rsidR="008364F0">
              <w:rPr>
                <w:webHidden/>
              </w:rPr>
              <w:fldChar w:fldCharType="begin"/>
            </w:r>
            <w:r w:rsidR="008364F0">
              <w:rPr>
                <w:webHidden/>
              </w:rPr>
              <w:instrText xml:space="preserve"> PAGEREF _Toc99645446 \h </w:instrText>
            </w:r>
            <w:r w:rsidR="008364F0">
              <w:rPr>
                <w:webHidden/>
              </w:rPr>
            </w:r>
            <w:r w:rsidR="008364F0">
              <w:rPr>
                <w:webHidden/>
              </w:rPr>
              <w:fldChar w:fldCharType="separate"/>
            </w:r>
            <w:r w:rsidR="00A81296">
              <w:rPr>
                <w:webHidden/>
              </w:rPr>
              <w:t>40</w:t>
            </w:r>
            <w:r w:rsidR="008364F0">
              <w:rPr>
                <w:webHidden/>
              </w:rPr>
              <w:fldChar w:fldCharType="end"/>
            </w:r>
          </w:hyperlink>
        </w:p>
        <w:p w14:paraId="478C0133" w14:textId="1E06F426" w:rsidR="008364F0" w:rsidRDefault="00F77267">
          <w:pPr>
            <w:pStyle w:val="TOC1"/>
            <w:rPr>
              <w:rFonts w:eastAsiaTheme="minorEastAsia" w:cstheme="minorBidi"/>
              <w:bCs w:val="0"/>
              <w:sz w:val="22"/>
              <w:szCs w:val="22"/>
            </w:rPr>
          </w:pPr>
          <w:hyperlink w:anchor="_Toc99645447" w:history="1">
            <w:r w:rsidR="008364F0" w:rsidRPr="00AE5401">
              <w:rPr>
                <w:rStyle w:val="Hyperlink"/>
                <w:rFonts w:eastAsia="Times New Roman"/>
              </w:rPr>
              <w:t>Appendix B: Names of People Who Submitted Written Comments</w:t>
            </w:r>
            <w:r w:rsidR="008364F0">
              <w:rPr>
                <w:webHidden/>
              </w:rPr>
              <w:tab/>
            </w:r>
            <w:r w:rsidR="008364F0">
              <w:rPr>
                <w:webHidden/>
              </w:rPr>
              <w:fldChar w:fldCharType="begin"/>
            </w:r>
            <w:r w:rsidR="008364F0">
              <w:rPr>
                <w:webHidden/>
              </w:rPr>
              <w:instrText xml:space="preserve"> PAGEREF _Toc99645447 \h </w:instrText>
            </w:r>
            <w:r w:rsidR="008364F0">
              <w:rPr>
                <w:webHidden/>
              </w:rPr>
            </w:r>
            <w:r w:rsidR="008364F0">
              <w:rPr>
                <w:webHidden/>
              </w:rPr>
              <w:fldChar w:fldCharType="separate"/>
            </w:r>
            <w:r w:rsidR="00A81296">
              <w:rPr>
                <w:webHidden/>
              </w:rPr>
              <w:t>40</w:t>
            </w:r>
            <w:r w:rsidR="008364F0">
              <w:rPr>
                <w:webHidden/>
              </w:rPr>
              <w:fldChar w:fldCharType="end"/>
            </w:r>
          </w:hyperlink>
        </w:p>
        <w:p w14:paraId="6116E88D" w14:textId="08615481" w:rsidR="008364F0" w:rsidRDefault="00F77267">
          <w:pPr>
            <w:pStyle w:val="TOC1"/>
            <w:rPr>
              <w:rFonts w:eastAsiaTheme="minorEastAsia" w:cstheme="minorBidi"/>
              <w:bCs w:val="0"/>
              <w:sz w:val="22"/>
              <w:szCs w:val="22"/>
            </w:rPr>
          </w:pPr>
          <w:hyperlink w:anchor="_Toc99645448" w:history="1">
            <w:r w:rsidR="008364F0" w:rsidRPr="00AE5401">
              <w:rPr>
                <w:rStyle w:val="Hyperlink"/>
                <w:rFonts w:ascii="Calibri" w:eastAsia="Calibri" w:hAnsi="Calibri" w:cs="Calibri"/>
              </w:rPr>
              <w:t xml:space="preserve">Title and </w:t>
            </w:r>
            <w:r w:rsidR="008364F0" w:rsidRPr="00AE5401">
              <w:rPr>
                <w:rStyle w:val="Hyperlink"/>
              </w:rPr>
              <w:t>Organization</w:t>
            </w:r>
            <w:r w:rsidR="008364F0">
              <w:rPr>
                <w:webHidden/>
              </w:rPr>
              <w:tab/>
            </w:r>
            <w:r w:rsidR="008364F0">
              <w:rPr>
                <w:webHidden/>
              </w:rPr>
              <w:fldChar w:fldCharType="begin"/>
            </w:r>
            <w:r w:rsidR="008364F0">
              <w:rPr>
                <w:webHidden/>
              </w:rPr>
              <w:instrText xml:space="preserve"> PAGEREF _Toc99645448 \h </w:instrText>
            </w:r>
            <w:r w:rsidR="008364F0">
              <w:rPr>
                <w:webHidden/>
              </w:rPr>
            </w:r>
            <w:r w:rsidR="008364F0">
              <w:rPr>
                <w:webHidden/>
              </w:rPr>
              <w:fldChar w:fldCharType="separate"/>
            </w:r>
            <w:r w:rsidR="00A81296">
              <w:rPr>
                <w:webHidden/>
              </w:rPr>
              <w:t>40</w:t>
            </w:r>
            <w:r w:rsidR="008364F0">
              <w:rPr>
                <w:webHidden/>
              </w:rPr>
              <w:fldChar w:fldCharType="end"/>
            </w:r>
          </w:hyperlink>
        </w:p>
        <w:p w14:paraId="46E4600F" w14:textId="1B7AF380" w:rsidR="008364F0" w:rsidRDefault="00F77267">
          <w:pPr>
            <w:pStyle w:val="TOC1"/>
            <w:rPr>
              <w:rFonts w:eastAsiaTheme="minorEastAsia" w:cstheme="minorBidi"/>
              <w:bCs w:val="0"/>
              <w:sz w:val="22"/>
              <w:szCs w:val="22"/>
            </w:rPr>
          </w:pPr>
          <w:hyperlink w:anchor="_Toc99645449" w:history="1">
            <w:r w:rsidR="008364F0" w:rsidRPr="00AE5401">
              <w:rPr>
                <w:rStyle w:val="Hyperlink"/>
              </w:rPr>
              <w:t>Appendix C: Summary of Written Comments Submitted on the Proposed Project (Summarized by Factor)</w:t>
            </w:r>
            <w:r w:rsidR="008364F0">
              <w:rPr>
                <w:webHidden/>
              </w:rPr>
              <w:tab/>
            </w:r>
            <w:r w:rsidR="008364F0">
              <w:rPr>
                <w:webHidden/>
              </w:rPr>
              <w:fldChar w:fldCharType="begin"/>
            </w:r>
            <w:r w:rsidR="008364F0">
              <w:rPr>
                <w:webHidden/>
              </w:rPr>
              <w:instrText xml:space="preserve"> PAGEREF _Toc99645449 \h </w:instrText>
            </w:r>
            <w:r w:rsidR="008364F0">
              <w:rPr>
                <w:webHidden/>
              </w:rPr>
            </w:r>
            <w:r w:rsidR="008364F0">
              <w:rPr>
                <w:webHidden/>
              </w:rPr>
              <w:fldChar w:fldCharType="separate"/>
            </w:r>
            <w:r w:rsidR="00A81296">
              <w:rPr>
                <w:webHidden/>
              </w:rPr>
              <w:t>41</w:t>
            </w:r>
            <w:r w:rsidR="008364F0">
              <w:rPr>
                <w:webHidden/>
              </w:rPr>
              <w:fldChar w:fldCharType="end"/>
            </w:r>
          </w:hyperlink>
        </w:p>
        <w:p w14:paraId="4245FC6F" w14:textId="1A5D16B3" w:rsidR="008364F0" w:rsidRDefault="00F77267">
          <w:pPr>
            <w:pStyle w:val="TOC1"/>
            <w:rPr>
              <w:rFonts w:eastAsiaTheme="minorEastAsia" w:cstheme="minorBidi"/>
              <w:bCs w:val="0"/>
              <w:sz w:val="22"/>
              <w:szCs w:val="22"/>
            </w:rPr>
          </w:pPr>
          <w:hyperlink w:anchor="_Toc99645450" w:history="1">
            <w:r w:rsidR="008364F0" w:rsidRPr="00AE5401">
              <w:rPr>
                <w:rStyle w:val="Hyperlink"/>
                <w:rFonts w:eastAsia="Times New Roman"/>
              </w:rPr>
              <w:t>Appendix D: Population Health Management (PHM) Strategies</w:t>
            </w:r>
            <w:r w:rsidR="008364F0">
              <w:rPr>
                <w:webHidden/>
              </w:rPr>
              <w:tab/>
            </w:r>
            <w:r w:rsidR="008364F0">
              <w:rPr>
                <w:webHidden/>
              </w:rPr>
              <w:fldChar w:fldCharType="begin"/>
            </w:r>
            <w:r w:rsidR="008364F0">
              <w:rPr>
                <w:webHidden/>
              </w:rPr>
              <w:instrText xml:space="preserve"> PAGEREF _Toc99645450 \h </w:instrText>
            </w:r>
            <w:r w:rsidR="008364F0">
              <w:rPr>
                <w:webHidden/>
              </w:rPr>
            </w:r>
            <w:r w:rsidR="008364F0">
              <w:rPr>
                <w:webHidden/>
              </w:rPr>
              <w:fldChar w:fldCharType="separate"/>
            </w:r>
            <w:r w:rsidR="00A81296">
              <w:rPr>
                <w:webHidden/>
              </w:rPr>
              <w:t>42</w:t>
            </w:r>
            <w:r w:rsidR="008364F0">
              <w:rPr>
                <w:webHidden/>
              </w:rPr>
              <w:fldChar w:fldCharType="end"/>
            </w:r>
          </w:hyperlink>
        </w:p>
        <w:p w14:paraId="11F21820" w14:textId="7AF68FAF" w:rsidR="008364F0" w:rsidRDefault="00F77267">
          <w:pPr>
            <w:pStyle w:val="TOC1"/>
            <w:rPr>
              <w:rFonts w:eastAsiaTheme="minorEastAsia" w:cstheme="minorBidi"/>
              <w:bCs w:val="0"/>
              <w:sz w:val="22"/>
              <w:szCs w:val="22"/>
            </w:rPr>
          </w:pPr>
          <w:hyperlink w:anchor="_Toc99645451" w:history="1">
            <w:r w:rsidR="008364F0" w:rsidRPr="00AE5401">
              <w:rPr>
                <w:rStyle w:val="Hyperlink"/>
                <w:rFonts w:eastAsia="Times New Roman"/>
              </w:rPr>
              <w:t>Appendix E: Summary of ICA Data Sources and Listing of Questions Addressed Through Literature Search</w:t>
            </w:r>
            <w:r w:rsidR="008364F0">
              <w:rPr>
                <w:webHidden/>
              </w:rPr>
              <w:tab/>
            </w:r>
            <w:r w:rsidR="008364F0">
              <w:rPr>
                <w:webHidden/>
              </w:rPr>
              <w:fldChar w:fldCharType="begin"/>
            </w:r>
            <w:r w:rsidR="008364F0">
              <w:rPr>
                <w:webHidden/>
              </w:rPr>
              <w:instrText xml:space="preserve"> PAGEREF _Toc99645451 \h </w:instrText>
            </w:r>
            <w:r w:rsidR="008364F0">
              <w:rPr>
                <w:webHidden/>
              </w:rPr>
            </w:r>
            <w:r w:rsidR="008364F0">
              <w:rPr>
                <w:webHidden/>
              </w:rPr>
              <w:fldChar w:fldCharType="separate"/>
            </w:r>
            <w:r w:rsidR="00A81296">
              <w:rPr>
                <w:webHidden/>
              </w:rPr>
              <w:t>44</w:t>
            </w:r>
            <w:r w:rsidR="008364F0">
              <w:rPr>
                <w:webHidden/>
              </w:rPr>
              <w:fldChar w:fldCharType="end"/>
            </w:r>
          </w:hyperlink>
        </w:p>
        <w:p w14:paraId="0CA65F95" w14:textId="0F944963" w:rsidR="00E8532F" w:rsidRPr="0062487B" w:rsidRDefault="00895FD3" w:rsidP="007A57C4">
          <w:pPr>
            <w:ind w:right="90"/>
            <w:rPr>
              <w:rFonts w:asciiTheme="minorHAnsi" w:hAnsiTheme="minorHAnsi" w:cstheme="minorHAnsi"/>
            </w:rPr>
          </w:pPr>
          <w:r>
            <w:rPr>
              <w:rFonts w:asciiTheme="minorHAnsi" w:eastAsiaTheme="majorEastAsia" w:hAnsiTheme="minorHAnsi" w:cstheme="minorHAnsi"/>
              <w:noProof/>
            </w:rPr>
            <w:fldChar w:fldCharType="end"/>
          </w:r>
        </w:p>
      </w:sdtContent>
    </w:sdt>
    <w:p w14:paraId="65AD7C71" w14:textId="137AB919" w:rsidR="00AC5DD1" w:rsidRPr="0062487B" w:rsidRDefault="00F336DE" w:rsidP="00D667A8">
      <w:pPr>
        <w:pStyle w:val="Heading1"/>
        <w:tabs>
          <w:tab w:val="left" w:pos="2611"/>
          <w:tab w:val="left" w:pos="8055"/>
        </w:tabs>
        <w:spacing w:line="240" w:lineRule="auto"/>
        <w:rPr>
          <w:rFonts w:asciiTheme="minorHAnsi" w:hAnsiTheme="minorHAnsi" w:cstheme="minorHAnsi"/>
          <w:sz w:val="24"/>
          <w:szCs w:val="24"/>
        </w:rPr>
      </w:pPr>
      <w:r w:rsidRPr="0062487B">
        <w:rPr>
          <w:rFonts w:asciiTheme="minorHAnsi" w:hAnsiTheme="minorHAnsi" w:cstheme="minorHAnsi"/>
          <w:sz w:val="24"/>
          <w:szCs w:val="24"/>
        </w:rPr>
        <w:tab/>
      </w:r>
      <w:r w:rsidR="00D667A8" w:rsidRPr="0062487B">
        <w:rPr>
          <w:rFonts w:asciiTheme="minorHAnsi" w:hAnsiTheme="minorHAnsi" w:cstheme="minorHAnsi"/>
          <w:sz w:val="24"/>
          <w:szCs w:val="24"/>
        </w:rPr>
        <w:t xml:space="preserve"> </w:t>
      </w:r>
      <w:r w:rsidR="00D667A8" w:rsidRPr="0062487B">
        <w:rPr>
          <w:rFonts w:asciiTheme="minorHAnsi" w:hAnsiTheme="minorHAnsi" w:cstheme="minorHAnsi"/>
          <w:sz w:val="24"/>
          <w:szCs w:val="24"/>
        </w:rPr>
        <w:tab/>
      </w:r>
      <w:r w:rsidR="006020C2" w:rsidRPr="0062487B">
        <w:rPr>
          <w:rFonts w:asciiTheme="minorHAnsi" w:hAnsiTheme="minorHAnsi" w:cstheme="minorHAnsi"/>
          <w:sz w:val="24"/>
          <w:szCs w:val="24"/>
        </w:rPr>
        <w:t xml:space="preserve"> </w:t>
      </w:r>
    </w:p>
    <w:p w14:paraId="4B8BE66C" w14:textId="77777777" w:rsidR="00AC5DD1" w:rsidRPr="0062487B" w:rsidRDefault="00AC5DD1" w:rsidP="007A57C4">
      <w:pPr>
        <w:pStyle w:val="Heading1"/>
        <w:spacing w:line="240" w:lineRule="auto"/>
        <w:rPr>
          <w:rFonts w:asciiTheme="minorHAnsi" w:hAnsiTheme="minorHAnsi" w:cstheme="minorHAnsi"/>
          <w:sz w:val="24"/>
          <w:szCs w:val="24"/>
        </w:rPr>
      </w:pPr>
    </w:p>
    <w:p w14:paraId="5113A23D" w14:textId="77777777" w:rsidR="00C173D5" w:rsidRPr="0062487B" w:rsidRDefault="00C173D5" w:rsidP="007A57C4">
      <w:pPr>
        <w:rPr>
          <w:rFonts w:asciiTheme="minorHAnsi" w:hAnsiTheme="minorHAnsi" w:cstheme="minorHAnsi"/>
        </w:rPr>
      </w:pPr>
    </w:p>
    <w:p w14:paraId="4C07B085" w14:textId="07C05EF0" w:rsidR="00AC68E5" w:rsidRPr="0062487B" w:rsidRDefault="6581D64E" w:rsidP="17FA2F59">
      <w:pPr>
        <w:pStyle w:val="Heading1"/>
        <w:spacing w:line="240" w:lineRule="auto"/>
        <w:rPr>
          <w:rFonts w:asciiTheme="minorHAnsi" w:hAnsiTheme="minorHAnsi" w:cstheme="minorBidi"/>
          <w:color w:val="auto"/>
          <w:sz w:val="24"/>
          <w:szCs w:val="24"/>
        </w:rPr>
      </w:pPr>
      <w:bookmarkStart w:id="1" w:name="_Toc27567688"/>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bookmarkStart w:id="14" w:name="_Toc99645430"/>
      <w:bookmarkEnd w:id="0"/>
      <w:r w:rsidRPr="17FA2F59">
        <w:rPr>
          <w:rFonts w:asciiTheme="minorHAnsi" w:hAnsiTheme="minorHAnsi" w:cstheme="minorBidi"/>
          <w:color w:val="auto"/>
          <w:sz w:val="24"/>
          <w:szCs w:val="24"/>
        </w:rPr>
        <w:lastRenderedPageBreak/>
        <w:t>B</w:t>
      </w:r>
      <w:r w:rsidR="518392EF" w:rsidRPr="17FA2F59">
        <w:rPr>
          <w:rFonts w:asciiTheme="minorHAnsi" w:hAnsiTheme="minorHAnsi" w:cstheme="minorBidi"/>
          <w:color w:val="auto"/>
          <w:sz w:val="24"/>
          <w:szCs w:val="24"/>
        </w:rPr>
        <w:t xml:space="preserve">ackground: </w:t>
      </w:r>
      <w:bookmarkEnd w:id="1"/>
      <w:bookmarkEnd w:id="2"/>
      <w:bookmarkEnd w:id="3"/>
      <w:bookmarkEnd w:id="4"/>
      <w:bookmarkEnd w:id="5"/>
      <w:bookmarkEnd w:id="6"/>
      <w:bookmarkEnd w:id="7"/>
      <w:bookmarkEnd w:id="8"/>
      <w:bookmarkEnd w:id="9"/>
      <w:bookmarkEnd w:id="10"/>
      <w:bookmarkEnd w:id="11"/>
      <w:bookmarkEnd w:id="12"/>
      <w:bookmarkEnd w:id="13"/>
      <w:r w:rsidR="47D738AB" w:rsidRPr="17FA2F59">
        <w:rPr>
          <w:rFonts w:asciiTheme="minorHAnsi" w:hAnsiTheme="minorHAnsi" w:cstheme="minorBidi"/>
          <w:color w:val="auto"/>
          <w:sz w:val="24"/>
          <w:szCs w:val="24"/>
        </w:rPr>
        <w:t xml:space="preserve">Mass General Brigham Incorporated </w:t>
      </w:r>
      <w:r w:rsidR="5AB64E07" w:rsidRPr="17FA2F59">
        <w:rPr>
          <w:rFonts w:asciiTheme="minorHAnsi" w:hAnsiTheme="minorHAnsi" w:cstheme="minorBidi"/>
          <w:color w:val="auto"/>
          <w:sz w:val="24"/>
          <w:szCs w:val="24"/>
        </w:rPr>
        <w:t xml:space="preserve">(Applicant) </w:t>
      </w:r>
      <w:r w:rsidRPr="17FA2F59">
        <w:rPr>
          <w:rFonts w:asciiTheme="minorHAnsi" w:hAnsiTheme="minorHAnsi" w:cstheme="minorBidi"/>
          <w:color w:val="auto"/>
          <w:sz w:val="24"/>
          <w:szCs w:val="24"/>
        </w:rPr>
        <w:t>and Application Overview</w:t>
      </w:r>
      <w:bookmarkEnd w:id="14"/>
      <w:r w:rsidRPr="17FA2F59">
        <w:rPr>
          <w:rFonts w:asciiTheme="minorHAnsi" w:hAnsiTheme="minorHAnsi" w:cstheme="minorBidi"/>
          <w:color w:val="auto"/>
          <w:sz w:val="24"/>
          <w:szCs w:val="24"/>
        </w:rPr>
        <w:t xml:space="preserve"> </w:t>
      </w:r>
      <w:r w:rsidR="7DC5423B" w:rsidRPr="17FA2F59">
        <w:rPr>
          <w:rFonts w:asciiTheme="minorHAnsi" w:hAnsiTheme="minorHAnsi" w:cstheme="minorBidi"/>
          <w:color w:val="auto"/>
          <w:sz w:val="24"/>
          <w:szCs w:val="24"/>
        </w:rPr>
        <w:t xml:space="preserve"> </w:t>
      </w:r>
    </w:p>
    <w:p w14:paraId="26A9C642" w14:textId="77777777" w:rsidR="001D2D98" w:rsidRPr="0062487B" w:rsidRDefault="001D2D98" w:rsidP="001D2D98">
      <w:pPr>
        <w:rPr>
          <w:rFonts w:asciiTheme="minorHAnsi" w:eastAsia="Calibri" w:hAnsiTheme="minorHAnsi" w:cstheme="minorHAnsi"/>
        </w:rPr>
      </w:pPr>
      <w:bookmarkStart w:id="15" w:name="_Toc17474921"/>
      <w:r w:rsidRPr="0062487B">
        <w:rPr>
          <w:rFonts w:asciiTheme="minorHAnsi" w:eastAsia="Calibri" w:hAnsiTheme="minorHAnsi" w:cstheme="minorHAnsi"/>
        </w:rPr>
        <w:t xml:space="preserve">The Applicant, Mass General Brigham Incorporated (MGB), is a Massachusetts not-for-profit corporation, located at 800 Boylston Street, Suite 1150, Boston, Massachusetts 02199. MGB had 19.7% of all acute care hospital discharges in Massachusetts in FY19, the highest share of discharges among multihospital systems.  </w:t>
      </w:r>
    </w:p>
    <w:p w14:paraId="5C731026" w14:textId="77777777" w:rsidR="001D2D98" w:rsidRPr="0062487B" w:rsidRDefault="001D2D98" w:rsidP="001D2D98">
      <w:pPr>
        <w:rPr>
          <w:rFonts w:asciiTheme="minorHAnsi" w:eastAsia="Calibri" w:hAnsiTheme="minorHAnsi" w:cstheme="minorHAnsi"/>
        </w:rPr>
      </w:pPr>
    </w:p>
    <w:p w14:paraId="5EA08FC0" w14:textId="688AD359" w:rsidR="00E4171C" w:rsidRPr="0062487B" w:rsidRDefault="001D2D98" w:rsidP="001D2D98">
      <w:pPr>
        <w:rPr>
          <w:rFonts w:asciiTheme="minorHAnsi" w:eastAsia="Calibri" w:hAnsiTheme="minorHAnsi" w:cstheme="minorHAnsi"/>
        </w:rPr>
      </w:pPr>
      <w:r w:rsidRPr="0062487B">
        <w:rPr>
          <w:rFonts w:asciiTheme="minorHAnsi" w:eastAsia="Calibri" w:hAnsiTheme="minorHAnsi" w:cstheme="minorHAnsi"/>
        </w:rPr>
        <w:t>The Applicant is currently comprised of the following acute and non-acute care facilities</w:t>
      </w:r>
      <w:r w:rsidR="008364F0">
        <w:rPr>
          <w:rFonts w:asciiTheme="minorHAnsi" w:eastAsia="Calibri" w:hAnsiTheme="minorHAnsi" w:cstheme="minorHAnsi"/>
        </w:rPr>
        <w:t xml:space="preserve"> </w:t>
      </w:r>
      <w:r w:rsidR="008364F0" w:rsidRPr="00E94C54">
        <w:rPr>
          <w:rFonts w:asciiTheme="minorHAnsi" w:eastAsia="Calibri" w:hAnsiTheme="minorHAnsi" w:cstheme="minorHAnsi"/>
        </w:rPr>
        <w:t>in Massachusetts</w:t>
      </w:r>
      <w:r w:rsidRPr="0062487B">
        <w:rPr>
          <w:rFonts w:asciiTheme="minorHAnsi" w:eastAsia="Calibri" w:hAnsiTheme="minorHAnsi" w:cstheme="minorHAnsi"/>
        </w:rPr>
        <w:t xml:space="preserve"> by type:</w:t>
      </w:r>
    </w:p>
    <w:tbl>
      <w:tblPr>
        <w:tblStyle w:val="TableGrid"/>
        <w:tblW w:w="0" w:type="auto"/>
        <w:tblInd w:w="198" w:type="dxa"/>
        <w:tblLook w:val="04A0" w:firstRow="1" w:lastRow="0" w:firstColumn="1" w:lastColumn="0" w:noHBand="0" w:noVBand="1"/>
      </w:tblPr>
      <w:tblGrid>
        <w:gridCol w:w="4608"/>
        <w:gridCol w:w="4639"/>
      </w:tblGrid>
      <w:tr w:rsidR="00E4171C" w:rsidRPr="0062487B" w14:paraId="5565CF40" w14:textId="77777777" w:rsidTr="00532B59">
        <w:trPr>
          <w:trHeight w:val="300"/>
        </w:trPr>
        <w:tc>
          <w:tcPr>
            <w:tcW w:w="4608" w:type="dxa"/>
            <w:shd w:val="clear" w:color="auto" w:fill="DFE3F0" w:themeFill="accent1" w:themeFillTint="33"/>
            <w:noWrap/>
            <w:hideMark/>
          </w:tcPr>
          <w:p w14:paraId="3E7BF880" w14:textId="77777777" w:rsidR="00E4171C" w:rsidRPr="0062487B" w:rsidRDefault="00E4171C" w:rsidP="00621F12">
            <w:pPr>
              <w:contextualSpacing/>
              <w:rPr>
                <w:rFonts w:asciiTheme="minorHAnsi" w:eastAsia="Calibri" w:hAnsiTheme="minorHAnsi" w:cstheme="minorHAnsi"/>
                <w:b/>
                <w:bCs/>
              </w:rPr>
            </w:pPr>
            <w:r w:rsidRPr="0062487B">
              <w:rPr>
                <w:rFonts w:asciiTheme="minorHAnsi" w:eastAsia="Calibri" w:hAnsiTheme="minorHAnsi" w:cstheme="minorHAnsi"/>
                <w:b/>
                <w:bCs/>
              </w:rPr>
              <w:t>Acute Hospital</w:t>
            </w:r>
          </w:p>
        </w:tc>
        <w:tc>
          <w:tcPr>
            <w:tcW w:w="4639" w:type="dxa"/>
            <w:shd w:val="clear" w:color="auto" w:fill="DFE3F0" w:themeFill="accent1" w:themeFillTint="33"/>
            <w:noWrap/>
            <w:hideMark/>
          </w:tcPr>
          <w:p w14:paraId="34F9274F" w14:textId="518440B9" w:rsidR="00E4171C" w:rsidRPr="0062487B" w:rsidRDefault="00E4171C" w:rsidP="00621F12">
            <w:pPr>
              <w:contextualSpacing/>
              <w:rPr>
                <w:rFonts w:asciiTheme="minorHAnsi" w:eastAsia="Calibri" w:hAnsiTheme="minorHAnsi" w:cstheme="minorHAnsi"/>
                <w:b/>
                <w:bCs/>
              </w:rPr>
            </w:pPr>
            <w:r w:rsidRPr="0062487B">
              <w:rPr>
                <w:rFonts w:asciiTheme="minorHAnsi" w:eastAsia="Calibri" w:hAnsiTheme="minorHAnsi" w:cstheme="minorHAnsi"/>
                <w:b/>
                <w:bCs/>
              </w:rPr>
              <w:t>Type</w:t>
            </w:r>
            <w:r w:rsidR="008475AC" w:rsidRPr="0062487B">
              <w:rPr>
                <w:rFonts w:asciiTheme="minorHAnsi" w:eastAsia="Calibri" w:hAnsiTheme="minorHAnsi" w:cstheme="minorHAnsi"/>
                <w:b/>
                <w:bCs/>
              </w:rPr>
              <w:t xml:space="preserve"> (Per CHIA Category)</w:t>
            </w:r>
            <w:r w:rsidR="008475AC" w:rsidRPr="0062487B">
              <w:rPr>
                <w:rStyle w:val="FootnoteReference"/>
                <w:rFonts w:asciiTheme="minorHAnsi" w:eastAsia="Calibri" w:hAnsiTheme="minorHAnsi" w:cstheme="minorHAnsi"/>
                <w:b/>
                <w:bCs/>
              </w:rPr>
              <w:footnoteReference w:id="1"/>
            </w:r>
          </w:p>
        </w:tc>
      </w:tr>
      <w:tr w:rsidR="00E4171C" w:rsidRPr="0062487B" w14:paraId="6288F40A" w14:textId="77777777" w:rsidTr="002A05F9">
        <w:trPr>
          <w:trHeight w:val="300"/>
        </w:trPr>
        <w:tc>
          <w:tcPr>
            <w:tcW w:w="4608" w:type="dxa"/>
            <w:noWrap/>
            <w:hideMark/>
          </w:tcPr>
          <w:p w14:paraId="3DCCA404" w14:textId="77777777"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1. Brigham and Women’s Hospital</w:t>
            </w:r>
          </w:p>
        </w:tc>
        <w:tc>
          <w:tcPr>
            <w:tcW w:w="4639" w:type="dxa"/>
            <w:noWrap/>
            <w:hideMark/>
          </w:tcPr>
          <w:p w14:paraId="6EBCF827" w14:textId="6ABF44AD"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A</w:t>
            </w:r>
            <w:r w:rsidR="001D2D98" w:rsidRPr="0062487B">
              <w:rPr>
                <w:rFonts w:asciiTheme="minorHAnsi" w:eastAsia="Calibri" w:hAnsiTheme="minorHAnsi" w:cstheme="minorHAnsi"/>
              </w:rPr>
              <w:t xml:space="preserve">cademic </w:t>
            </w:r>
            <w:r w:rsidRPr="0062487B">
              <w:rPr>
                <w:rFonts w:asciiTheme="minorHAnsi" w:eastAsia="Calibri" w:hAnsiTheme="minorHAnsi" w:cstheme="minorHAnsi"/>
              </w:rPr>
              <w:t>M</w:t>
            </w:r>
            <w:r w:rsidR="001D2D98" w:rsidRPr="0062487B">
              <w:rPr>
                <w:rFonts w:asciiTheme="minorHAnsi" w:eastAsia="Calibri" w:hAnsiTheme="minorHAnsi" w:cstheme="minorHAnsi"/>
              </w:rPr>
              <w:t xml:space="preserve">edical </w:t>
            </w:r>
            <w:r w:rsidRPr="0062487B">
              <w:rPr>
                <w:rFonts w:asciiTheme="minorHAnsi" w:eastAsia="Calibri" w:hAnsiTheme="minorHAnsi" w:cstheme="minorHAnsi"/>
              </w:rPr>
              <w:t>C</w:t>
            </w:r>
            <w:r w:rsidR="001D2D98" w:rsidRPr="0062487B">
              <w:rPr>
                <w:rFonts w:asciiTheme="minorHAnsi" w:eastAsia="Calibri" w:hAnsiTheme="minorHAnsi" w:cstheme="minorHAnsi"/>
              </w:rPr>
              <w:t>enter</w:t>
            </w:r>
          </w:p>
        </w:tc>
      </w:tr>
      <w:tr w:rsidR="00E4171C" w:rsidRPr="0062487B" w14:paraId="728C7F63" w14:textId="77777777" w:rsidTr="002A05F9">
        <w:trPr>
          <w:trHeight w:val="300"/>
        </w:trPr>
        <w:tc>
          <w:tcPr>
            <w:tcW w:w="4608" w:type="dxa"/>
            <w:noWrap/>
            <w:hideMark/>
          </w:tcPr>
          <w:p w14:paraId="3B0717D9" w14:textId="77777777"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 xml:space="preserve">2. Massachusetts General Hospital </w:t>
            </w:r>
          </w:p>
        </w:tc>
        <w:tc>
          <w:tcPr>
            <w:tcW w:w="4639" w:type="dxa"/>
            <w:noWrap/>
            <w:hideMark/>
          </w:tcPr>
          <w:p w14:paraId="1A2AAF1C" w14:textId="1BB03079" w:rsidR="00E4171C" w:rsidRPr="0062487B" w:rsidRDefault="001D2D98" w:rsidP="00621F12">
            <w:pPr>
              <w:contextualSpacing/>
              <w:rPr>
                <w:rFonts w:asciiTheme="minorHAnsi" w:eastAsia="Calibri" w:hAnsiTheme="minorHAnsi" w:cstheme="minorHAnsi"/>
              </w:rPr>
            </w:pPr>
            <w:r w:rsidRPr="0062487B">
              <w:rPr>
                <w:rFonts w:asciiTheme="minorHAnsi" w:eastAsia="Calibri" w:hAnsiTheme="minorHAnsi" w:cstheme="minorHAnsi"/>
              </w:rPr>
              <w:t>Academic Medical Center</w:t>
            </w:r>
          </w:p>
        </w:tc>
      </w:tr>
      <w:tr w:rsidR="00E4171C" w:rsidRPr="0062487B" w14:paraId="32D37918" w14:textId="77777777" w:rsidTr="002A05F9">
        <w:trPr>
          <w:trHeight w:val="300"/>
        </w:trPr>
        <w:tc>
          <w:tcPr>
            <w:tcW w:w="4608" w:type="dxa"/>
            <w:noWrap/>
            <w:hideMark/>
          </w:tcPr>
          <w:p w14:paraId="12FFFE57" w14:textId="77777777"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3. Massachusetts Eye and Ear Infirmary</w:t>
            </w:r>
          </w:p>
        </w:tc>
        <w:tc>
          <w:tcPr>
            <w:tcW w:w="4639" w:type="dxa"/>
            <w:noWrap/>
            <w:hideMark/>
          </w:tcPr>
          <w:p w14:paraId="01CD0F60" w14:textId="2AF83BC9"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Specialty</w:t>
            </w:r>
            <w:r w:rsidR="001D2D98" w:rsidRPr="0062487B">
              <w:rPr>
                <w:rFonts w:asciiTheme="minorHAnsi" w:eastAsia="Calibri" w:hAnsiTheme="minorHAnsi" w:cstheme="minorHAnsi"/>
              </w:rPr>
              <w:t xml:space="preserve"> Hospital</w:t>
            </w:r>
          </w:p>
        </w:tc>
      </w:tr>
      <w:tr w:rsidR="00E4171C" w:rsidRPr="0062487B" w14:paraId="3C8DB6BB" w14:textId="77777777" w:rsidTr="002A05F9">
        <w:trPr>
          <w:trHeight w:val="300"/>
        </w:trPr>
        <w:tc>
          <w:tcPr>
            <w:tcW w:w="4608" w:type="dxa"/>
            <w:noWrap/>
            <w:hideMark/>
          </w:tcPr>
          <w:p w14:paraId="75D94F6E" w14:textId="77777777"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4. Brigham and Women’s Faulkner Hospital</w:t>
            </w:r>
          </w:p>
        </w:tc>
        <w:tc>
          <w:tcPr>
            <w:tcW w:w="4639" w:type="dxa"/>
            <w:noWrap/>
            <w:hideMark/>
          </w:tcPr>
          <w:p w14:paraId="2CC92B45" w14:textId="1D5AB2B3"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Community</w:t>
            </w:r>
            <w:r w:rsidR="001D2D98" w:rsidRPr="0062487B">
              <w:rPr>
                <w:rFonts w:asciiTheme="minorHAnsi" w:eastAsia="Calibri" w:hAnsiTheme="minorHAnsi" w:cstheme="minorHAnsi"/>
              </w:rPr>
              <w:t xml:space="preserve"> Hospital</w:t>
            </w:r>
          </w:p>
        </w:tc>
      </w:tr>
      <w:tr w:rsidR="00E4171C" w:rsidRPr="0062487B" w14:paraId="376E4701" w14:textId="77777777" w:rsidTr="002A05F9">
        <w:trPr>
          <w:trHeight w:val="300"/>
        </w:trPr>
        <w:tc>
          <w:tcPr>
            <w:tcW w:w="4608" w:type="dxa"/>
            <w:noWrap/>
            <w:hideMark/>
          </w:tcPr>
          <w:p w14:paraId="23A7F469" w14:textId="77777777"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5. Newton-Wellesley Hospital</w:t>
            </w:r>
          </w:p>
        </w:tc>
        <w:tc>
          <w:tcPr>
            <w:tcW w:w="4639" w:type="dxa"/>
            <w:noWrap/>
            <w:hideMark/>
          </w:tcPr>
          <w:p w14:paraId="7D5816C4" w14:textId="5CA42E07"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Community</w:t>
            </w:r>
            <w:r w:rsidR="001D2D98" w:rsidRPr="0062487B">
              <w:rPr>
                <w:rFonts w:asciiTheme="minorHAnsi" w:eastAsia="Calibri" w:hAnsiTheme="minorHAnsi" w:cstheme="minorHAnsi"/>
              </w:rPr>
              <w:t xml:space="preserve"> Hospital</w:t>
            </w:r>
          </w:p>
        </w:tc>
      </w:tr>
      <w:tr w:rsidR="00E4171C" w:rsidRPr="0062487B" w14:paraId="26E4A202" w14:textId="77777777" w:rsidTr="002A05F9">
        <w:trPr>
          <w:trHeight w:val="300"/>
        </w:trPr>
        <w:tc>
          <w:tcPr>
            <w:tcW w:w="4608" w:type="dxa"/>
            <w:noWrap/>
            <w:hideMark/>
          </w:tcPr>
          <w:p w14:paraId="1CA6B720" w14:textId="77777777"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6. Cooley Dickinson Hospital</w:t>
            </w:r>
          </w:p>
        </w:tc>
        <w:tc>
          <w:tcPr>
            <w:tcW w:w="4639" w:type="dxa"/>
            <w:noWrap/>
            <w:hideMark/>
          </w:tcPr>
          <w:p w14:paraId="42CBFE39" w14:textId="4477C9C8"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Community</w:t>
            </w:r>
            <w:r w:rsidR="001D2D98" w:rsidRPr="0062487B">
              <w:rPr>
                <w:rFonts w:asciiTheme="minorHAnsi" w:eastAsia="Calibri" w:hAnsiTheme="minorHAnsi" w:cstheme="minorHAnsi"/>
              </w:rPr>
              <w:t xml:space="preserve"> Hospital</w:t>
            </w:r>
          </w:p>
        </w:tc>
      </w:tr>
      <w:tr w:rsidR="00E4171C" w:rsidRPr="0062487B" w14:paraId="674A3938" w14:textId="77777777" w:rsidTr="002A05F9">
        <w:trPr>
          <w:trHeight w:val="300"/>
        </w:trPr>
        <w:tc>
          <w:tcPr>
            <w:tcW w:w="4608" w:type="dxa"/>
            <w:noWrap/>
            <w:hideMark/>
          </w:tcPr>
          <w:p w14:paraId="2C27DD47" w14:textId="77777777"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7. Martha’s Vineyard Hospital</w:t>
            </w:r>
          </w:p>
        </w:tc>
        <w:tc>
          <w:tcPr>
            <w:tcW w:w="4639" w:type="dxa"/>
            <w:noWrap/>
            <w:hideMark/>
          </w:tcPr>
          <w:p w14:paraId="1060A943" w14:textId="7DCD4EFC"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Community</w:t>
            </w:r>
            <w:r w:rsidR="001D2D98" w:rsidRPr="0062487B">
              <w:rPr>
                <w:rFonts w:asciiTheme="minorHAnsi" w:eastAsia="Calibri" w:hAnsiTheme="minorHAnsi" w:cstheme="minorHAnsi"/>
              </w:rPr>
              <w:t xml:space="preserve"> Hospital</w:t>
            </w:r>
          </w:p>
        </w:tc>
      </w:tr>
      <w:tr w:rsidR="00E4171C" w:rsidRPr="0062487B" w14:paraId="1E37DE50" w14:textId="77777777" w:rsidTr="002A05F9">
        <w:trPr>
          <w:trHeight w:val="300"/>
        </w:trPr>
        <w:tc>
          <w:tcPr>
            <w:tcW w:w="4608" w:type="dxa"/>
            <w:noWrap/>
            <w:hideMark/>
          </w:tcPr>
          <w:p w14:paraId="2581F6EE" w14:textId="77777777"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8. Nantucket Cottage Hospital</w:t>
            </w:r>
          </w:p>
        </w:tc>
        <w:tc>
          <w:tcPr>
            <w:tcW w:w="4639" w:type="dxa"/>
            <w:noWrap/>
            <w:hideMark/>
          </w:tcPr>
          <w:p w14:paraId="05EADD49" w14:textId="1137C25C"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Community</w:t>
            </w:r>
            <w:r w:rsidR="001D2D98" w:rsidRPr="0062487B">
              <w:rPr>
                <w:rFonts w:asciiTheme="minorHAnsi" w:eastAsia="Calibri" w:hAnsiTheme="minorHAnsi" w:cstheme="minorHAnsi"/>
              </w:rPr>
              <w:t xml:space="preserve"> Hospital</w:t>
            </w:r>
          </w:p>
        </w:tc>
      </w:tr>
      <w:tr w:rsidR="00E4171C" w:rsidRPr="0062487B" w14:paraId="622BACD6" w14:textId="77777777" w:rsidTr="002A05F9">
        <w:trPr>
          <w:trHeight w:val="300"/>
        </w:trPr>
        <w:tc>
          <w:tcPr>
            <w:tcW w:w="4608" w:type="dxa"/>
            <w:noWrap/>
            <w:hideMark/>
          </w:tcPr>
          <w:p w14:paraId="60585DA8" w14:textId="77777777"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9. North Shore Medical Center</w:t>
            </w:r>
          </w:p>
        </w:tc>
        <w:tc>
          <w:tcPr>
            <w:tcW w:w="4639" w:type="dxa"/>
            <w:noWrap/>
            <w:hideMark/>
          </w:tcPr>
          <w:p w14:paraId="390DD185" w14:textId="0E4DF500" w:rsidR="00E4171C" w:rsidRPr="0062487B" w:rsidRDefault="001D2D98" w:rsidP="00621F12">
            <w:pPr>
              <w:contextualSpacing/>
              <w:rPr>
                <w:rFonts w:asciiTheme="minorHAnsi" w:eastAsia="Calibri" w:hAnsiTheme="minorHAnsi" w:cstheme="minorHAnsi"/>
              </w:rPr>
            </w:pPr>
            <w:r w:rsidRPr="0062487B">
              <w:rPr>
                <w:rFonts w:asciiTheme="minorHAnsi" w:eastAsia="Calibri" w:hAnsiTheme="minorHAnsi" w:cstheme="minorHAnsi"/>
              </w:rPr>
              <w:t>Community</w:t>
            </w:r>
            <w:r w:rsidR="00767C6C">
              <w:rPr>
                <w:rFonts w:asciiTheme="minorHAnsi" w:eastAsia="Calibri" w:hAnsiTheme="minorHAnsi" w:cstheme="minorHAnsi"/>
              </w:rPr>
              <w:t xml:space="preserve"> </w:t>
            </w:r>
            <w:r w:rsidRPr="0062487B">
              <w:rPr>
                <w:rFonts w:asciiTheme="minorHAnsi" w:eastAsia="Calibri" w:hAnsiTheme="minorHAnsi" w:cstheme="minorHAnsi"/>
              </w:rPr>
              <w:t xml:space="preserve">- </w:t>
            </w:r>
            <w:r w:rsidR="00E4171C" w:rsidRPr="0062487B">
              <w:rPr>
                <w:rFonts w:asciiTheme="minorHAnsi" w:eastAsia="Calibri" w:hAnsiTheme="minorHAnsi" w:cstheme="minorHAnsi"/>
              </w:rPr>
              <w:t>High Public</w:t>
            </w:r>
            <w:r w:rsidR="002A05F9">
              <w:rPr>
                <w:rFonts w:asciiTheme="minorHAnsi" w:eastAsia="Calibri" w:hAnsiTheme="minorHAnsi" w:cstheme="minorHAnsi"/>
              </w:rPr>
              <w:t xml:space="preserve"> Payer Hospital</w:t>
            </w:r>
          </w:p>
        </w:tc>
      </w:tr>
      <w:tr w:rsidR="00E4171C" w:rsidRPr="0062487B" w14:paraId="28703EE0" w14:textId="77777777" w:rsidTr="00532B59">
        <w:trPr>
          <w:trHeight w:val="300"/>
        </w:trPr>
        <w:tc>
          <w:tcPr>
            <w:tcW w:w="4608" w:type="dxa"/>
            <w:shd w:val="clear" w:color="auto" w:fill="DFE3F0" w:themeFill="accent1" w:themeFillTint="33"/>
            <w:noWrap/>
            <w:hideMark/>
          </w:tcPr>
          <w:p w14:paraId="40927F8F" w14:textId="77777777" w:rsidR="00E4171C" w:rsidRPr="0062487B" w:rsidRDefault="00E4171C" w:rsidP="00621F12">
            <w:pPr>
              <w:contextualSpacing/>
              <w:rPr>
                <w:rFonts w:asciiTheme="minorHAnsi" w:eastAsia="Calibri" w:hAnsiTheme="minorHAnsi" w:cstheme="minorHAnsi"/>
                <w:b/>
                <w:bCs/>
              </w:rPr>
            </w:pPr>
            <w:r w:rsidRPr="0062487B">
              <w:rPr>
                <w:rFonts w:asciiTheme="minorHAnsi" w:eastAsia="Calibri" w:hAnsiTheme="minorHAnsi" w:cstheme="minorHAnsi"/>
                <w:b/>
                <w:bCs/>
              </w:rPr>
              <w:t>Non-Acute care facility and clinical service</w:t>
            </w:r>
          </w:p>
        </w:tc>
        <w:tc>
          <w:tcPr>
            <w:tcW w:w="4639" w:type="dxa"/>
            <w:shd w:val="clear" w:color="auto" w:fill="DFE3F0" w:themeFill="accent1" w:themeFillTint="33"/>
            <w:noWrap/>
            <w:hideMark/>
          </w:tcPr>
          <w:p w14:paraId="4F34676A" w14:textId="77777777"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 </w:t>
            </w:r>
          </w:p>
        </w:tc>
      </w:tr>
      <w:tr w:rsidR="00E4171C" w:rsidRPr="0062487B" w14:paraId="6510E814" w14:textId="77777777" w:rsidTr="002A05F9">
        <w:trPr>
          <w:trHeight w:val="300"/>
        </w:trPr>
        <w:tc>
          <w:tcPr>
            <w:tcW w:w="4608" w:type="dxa"/>
            <w:noWrap/>
            <w:hideMark/>
          </w:tcPr>
          <w:p w14:paraId="7528EA65" w14:textId="77777777"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1. McLean Hospital</w:t>
            </w:r>
          </w:p>
        </w:tc>
        <w:tc>
          <w:tcPr>
            <w:tcW w:w="4639" w:type="dxa"/>
            <w:noWrap/>
            <w:hideMark/>
          </w:tcPr>
          <w:p w14:paraId="3DB5086C" w14:textId="68A3C440" w:rsidR="00E4171C" w:rsidRPr="0062487B" w:rsidRDefault="001D2D98" w:rsidP="00621F12">
            <w:pPr>
              <w:contextualSpacing/>
              <w:rPr>
                <w:rFonts w:asciiTheme="minorHAnsi" w:eastAsia="Calibri" w:hAnsiTheme="minorHAnsi" w:cstheme="minorHAnsi"/>
              </w:rPr>
            </w:pPr>
            <w:r w:rsidRPr="0062487B">
              <w:rPr>
                <w:rFonts w:asciiTheme="minorHAnsi" w:eastAsia="Calibri" w:hAnsiTheme="minorHAnsi" w:cstheme="minorHAnsi"/>
              </w:rPr>
              <w:t>Psychiatric</w:t>
            </w:r>
            <w:r w:rsidR="00767C6C">
              <w:rPr>
                <w:rFonts w:asciiTheme="minorHAnsi" w:eastAsia="Calibri" w:hAnsiTheme="minorHAnsi" w:cstheme="minorHAnsi"/>
              </w:rPr>
              <w:t xml:space="preserve"> Hospital</w:t>
            </w:r>
          </w:p>
        </w:tc>
      </w:tr>
      <w:tr w:rsidR="00E4171C" w:rsidRPr="0062487B" w14:paraId="16BC30A4" w14:textId="77777777" w:rsidTr="002A05F9">
        <w:trPr>
          <w:trHeight w:val="300"/>
        </w:trPr>
        <w:tc>
          <w:tcPr>
            <w:tcW w:w="4608" w:type="dxa"/>
            <w:noWrap/>
            <w:hideMark/>
          </w:tcPr>
          <w:p w14:paraId="54A44718" w14:textId="77777777"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2. Spaulding Rehabilitation</w:t>
            </w:r>
          </w:p>
        </w:tc>
        <w:tc>
          <w:tcPr>
            <w:tcW w:w="4639" w:type="dxa"/>
            <w:noWrap/>
            <w:hideMark/>
          </w:tcPr>
          <w:p w14:paraId="3D4838EA" w14:textId="52193AB9" w:rsidR="00E4171C" w:rsidRPr="0062487B" w:rsidRDefault="00E4171C" w:rsidP="00621F12">
            <w:pPr>
              <w:contextualSpacing/>
              <w:rPr>
                <w:rFonts w:asciiTheme="minorHAnsi" w:eastAsia="Calibri" w:hAnsiTheme="minorHAnsi" w:cstheme="minorHAnsi"/>
              </w:rPr>
            </w:pPr>
            <w:r w:rsidRPr="0062487B">
              <w:rPr>
                <w:rFonts w:asciiTheme="minorHAnsi" w:eastAsia="Calibri" w:hAnsiTheme="minorHAnsi" w:cstheme="minorHAnsi"/>
              </w:rPr>
              <w:t>Rehabilitation</w:t>
            </w:r>
            <w:r w:rsidR="00767C6C">
              <w:rPr>
                <w:rFonts w:asciiTheme="minorHAnsi" w:eastAsia="Calibri" w:hAnsiTheme="minorHAnsi" w:cstheme="minorHAnsi"/>
              </w:rPr>
              <w:t xml:space="preserve"> Hospital</w:t>
            </w:r>
          </w:p>
        </w:tc>
      </w:tr>
    </w:tbl>
    <w:p w14:paraId="43DFC231" w14:textId="77777777" w:rsidR="00E4171C" w:rsidRPr="0062487B" w:rsidRDefault="00E4171C" w:rsidP="00E4171C">
      <w:pPr>
        <w:contextualSpacing/>
        <w:rPr>
          <w:rFonts w:asciiTheme="minorHAnsi" w:eastAsia="Calibri" w:hAnsiTheme="minorHAnsi" w:cstheme="minorHAnsi"/>
        </w:rPr>
      </w:pPr>
    </w:p>
    <w:p w14:paraId="21A11978" w14:textId="69399C92" w:rsidR="001D2D98" w:rsidRPr="0062487B" w:rsidRDefault="5B1CC3A5" w:rsidP="5B1CC3A5">
      <w:pPr>
        <w:contextualSpacing/>
        <w:rPr>
          <w:rFonts w:asciiTheme="minorHAnsi" w:eastAsia="Calibri" w:hAnsiTheme="minorHAnsi" w:cstheme="minorHAnsi"/>
        </w:rPr>
      </w:pPr>
      <w:r w:rsidRPr="0062487B">
        <w:rPr>
          <w:rFonts w:asciiTheme="minorHAnsi" w:eastAsia="Calibri" w:hAnsiTheme="minorHAnsi" w:cstheme="minorHAnsi"/>
        </w:rPr>
        <w:t xml:space="preserve">It also operates </w:t>
      </w:r>
      <w:r w:rsidRPr="00A644D8">
        <w:rPr>
          <w:rFonts w:asciiTheme="minorHAnsi" w:eastAsia="Calibri" w:hAnsiTheme="minorHAnsi" w:cstheme="minorHAnsi"/>
        </w:rPr>
        <w:t>a</w:t>
      </w:r>
      <w:r w:rsidRPr="0062487B">
        <w:rPr>
          <w:rFonts w:asciiTheme="minorHAnsi" w:eastAsia="Calibri" w:hAnsiTheme="minorHAnsi" w:cstheme="minorHAnsi"/>
        </w:rPr>
        <w:t xml:space="preserve"> home health agency, Mass General Brigham Home Care.  </w:t>
      </w:r>
    </w:p>
    <w:p w14:paraId="0146629E" w14:textId="51F5269A" w:rsidR="001D2D98" w:rsidRPr="0062487B" w:rsidRDefault="001D2D98" w:rsidP="5B1CC3A5">
      <w:pPr>
        <w:contextualSpacing/>
        <w:rPr>
          <w:rFonts w:asciiTheme="minorHAnsi" w:eastAsia="Calibri" w:hAnsiTheme="minorHAnsi" w:cstheme="minorHAnsi"/>
        </w:rPr>
      </w:pPr>
    </w:p>
    <w:p w14:paraId="78B4C9F8" w14:textId="75075691" w:rsidR="001D2D98" w:rsidRPr="0062487B" w:rsidRDefault="001D2D98" w:rsidP="001D2D98">
      <w:pPr>
        <w:contextualSpacing/>
        <w:rPr>
          <w:rFonts w:asciiTheme="minorHAnsi" w:eastAsia="Calibri" w:hAnsiTheme="minorHAnsi" w:cstheme="minorHAnsi"/>
        </w:rPr>
      </w:pPr>
      <w:r w:rsidRPr="0062487B">
        <w:rPr>
          <w:rFonts w:asciiTheme="minorHAnsi" w:eastAsia="Calibri" w:hAnsiTheme="minorHAnsi" w:cstheme="minorHAnsi"/>
        </w:rPr>
        <w:t>Its hospitals are principal teaching affiliates of the medical and dental schools of Harvard University; and it operates a graduate level program for health sciences.</w:t>
      </w:r>
    </w:p>
    <w:p w14:paraId="09332201" w14:textId="77777777" w:rsidR="001D2D98" w:rsidRPr="0062487B" w:rsidRDefault="001D2D98" w:rsidP="001D2D98">
      <w:pPr>
        <w:contextualSpacing/>
        <w:rPr>
          <w:rFonts w:asciiTheme="minorHAnsi" w:eastAsia="Calibri" w:hAnsiTheme="minorHAnsi" w:cstheme="minorHAnsi"/>
        </w:rPr>
      </w:pPr>
    </w:p>
    <w:p w14:paraId="7A5DB579" w14:textId="63433AD0" w:rsidR="001D2D98" w:rsidRPr="0062487B" w:rsidRDefault="001D2D98" w:rsidP="001D2D98">
      <w:pPr>
        <w:contextualSpacing/>
        <w:rPr>
          <w:rFonts w:asciiTheme="minorHAnsi" w:eastAsia="Calibri" w:hAnsiTheme="minorHAnsi" w:cstheme="minorHAnsi"/>
        </w:rPr>
      </w:pPr>
      <w:r w:rsidRPr="0062487B">
        <w:rPr>
          <w:rFonts w:asciiTheme="minorHAnsi" w:eastAsia="Calibri" w:hAnsiTheme="minorHAnsi" w:cstheme="minorHAnsi"/>
        </w:rPr>
        <w:t xml:space="preserve">Its physician network comprises approximately 7,500 employed and affiliated primary care and specialty care physicians that include: </w:t>
      </w:r>
    </w:p>
    <w:p w14:paraId="2534274A" w14:textId="77777777" w:rsidR="001D2D98" w:rsidRPr="0062487B" w:rsidRDefault="001D2D98" w:rsidP="001D2D98">
      <w:pPr>
        <w:contextualSpacing/>
        <w:rPr>
          <w:rFonts w:asciiTheme="minorHAnsi" w:eastAsia="Calibri" w:hAnsiTheme="minorHAnsi" w:cstheme="minorHAnsi"/>
        </w:rPr>
      </w:pPr>
    </w:p>
    <w:p w14:paraId="22F5B304" w14:textId="77777777" w:rsidR="001D2D98" w:rsidRPr="0062487B" w:rsidRDefault="001D2D98" w:rsidP="00EB5776">
      <w:pPr>
        <w:pStyle w:val="ListParagraph"/>
        <w:numPr>
          <w:ilvl w:val="0"/>
          <w:numId w:val="20"/>
        </w:numPr>
        <w:rPr>
          <w:rFonts w:asciiTheme="minorHAnsi" w:eastAsia="Calibri" w:hAnsiTheme="minorHAnsi" w:cstheme="minorHAnsi"/>
        </w:rPr>
      </w:pPr>
      <w:r w:rsidRPr="0062487B">
        <w:rPr>
          <w:rFonts w:asciiTheme="minorHAnsi" w:eastAsia="Calibri" w:hAnsiTheme="minorHAnsi" w:cstheme="minorHAnsi"/>
        </w:rPr>
        <w:t xml:space="preserve">Brigham and Women’s Physicians Organization, </w:t>
      </w:r>
    </w:p>
    <w:p w14:paraId="46E1769F" w14:textId="77777777" w:rsidR="001D2D98" w:rsidRPr="0062487B" w:rsidRDefault="001D2D98" w:rsidP="00EB5776">
      <w:pPr>
        <w:pStyle w:val="ListParagraph"/>
        <w:numPr>
          <w:ilvl w:val="0"/>
          <w:numId w:val="20"/>
        </w:numPr>
        <w:rPr>
          <w:rFonts w:asciiTheme="minorHAnsi" w:eastAsia="Calibri" w:hAnsiTheme="minorHAnsi" w:cstheme="minorHAnsi"/>
        </w:rPr>
      </w:pPr>
      <w:r w:rsidRPr="0062487B">
        <w:rPr>
          <w:rFonts w:asciiTheme="minorHAnsi" w:eastAsia="Calibri" w:hAnsiTheme="minorHAnsi" w:cstheme="minorHAnsi"/>
        </w:rPr>
        <w:t xml:space="preserve">Massachusetts General Physicians Organization, </w:t>
      </w:r>
    </w:p>
    <w:p w14:paraId="52908741" w14:textId="77777777" w:rsidR="001D2D98" w:rsidRPr="0062487B" w:rsidRDefault="001D2D98" w:rsidP="00EB5776">
      <w:pPr>
        <w:pStyle w:val="ListParagraph"/>
        <w:numPr>
          <w:ilvl w:val="0"/>
          <w:numId w:val="20"/>
        </w:numPr>
        <w:rPr>
          <w:rFonts w:asciiTheme="minorHAnsi" w:eastAsia="Calibri" w:hAnsiTheme="minorHAnsi" w:cstheme="minorHAnsi"/>
        </w:rPr>
      </w:pPr>
      <w:r w:rsidRPr="0062487B">
        <w:rPr>
          <w:rFonts w:asciiTheme="minorHAnsi" w:eastAsia="Calibri" w:hAnsiTheme="minorHAnsi" w:cstheme="minorHAnsi"/>
        </w:rPr>
        <w:t xml:space="preserve">Newton-Wellesley Medical Group, </w:t>
      </w:r>
    </w:p>
    <w:p w14:paraId="0DA1AC1F" w14:textId="77777777" w:rsidR="001D2D98" w:rsidRPr="0062487B" w:rsidRDefault="001D2D98" w:rsidP="00EB5776">
      <w:pPr>
        <w:pStyle w:val="ListParagraph"/>
        <w:numPr>
          <w:ilvl w:val="0"/>
          <w:numId w:val="20"/>
        </w:numPr>
        <w:rPr>
          <w:rFonts w:asciiTheme="minorHAnsi" w:eastAsia="Calibri" w:hAnsiTheme="minorHAnsi" w:cstheme="minorHAnsi"/>
        </w:rPr>
      </w:pPr>
      <w:r w:rsidRPr="0062487B">
        <w:rPr>
          <w:rFonts w:asciiTheme="minorHAnsi" w:eastAsia="Calibri" w:hAnsiTheme="minorHAnsi" w:cstheme="minorHAnsi"/>
        </w:rPr>
        <w:t xml:space="preserve">North Shore Physicians Group, </w:t>
      </w:r>
    </w:p>
    <w:p w14:paraId="0E54DD22" w14:textId="77777777" w:rsidR="001D2D98" w:rsidRPr="0062487B" w:rsidRDefault="001D2D98" w:rsidP="00EB5776">
      <w:pPr>
        <w:pStyle w:val="ListParagraph"/>
        <w:numPr>
          <w:ilvl w:val="0"/>
          <w:numId w:val="20"/>
        </w:numPr>
        <w:rPr>
          <w:rFonts w:asciiTheme="minorHAnsi" w:eastAsia="Calibri" w:hAnsiTheme="minorHAnsi" w:cstheme="minorHAnsi"/>
        </w:rPr>
      </w:pPr>
      <w:r w:rsidRPr="0062487B">
        <w:rPr>
          <w:rFonts w:asciiTheme="minorHAnsi" w:eastAsia="Calibri" w:hAnsiTheme="minorHAnsi" w:cstheme="minorHAnsi"/>
        </w:rPr>
        <w:t xml:space="preserve">Cooley Dickinson Physician Hospital Organization (PHO), and </w:t>
      </w:r>
    </w:p>
    <w:p w14:paraId="68B419D8" w14:textId="77777777" w:rsidR="001D2D98" w:rsidRPr="0062487B" w:rsidRDefault="001D2D98" w:rsidP="00EB5776">
      <w:pPr>
        <w:pStyle w:val="ListParagraph"/>
        <w:numPr>
          <w:ilvl w:val="0"/>
          <w:numId w:val="20"/>
        </w:numPr>
        <w:rPr>
          <w:rFonts w:asciiTheme="minorHAnsi" w:eastAsia="Calibri" w:hAnsiTheme="minorHAnsi" w:cstheme="minorHAnsi"/>
        </w:rPr>
      </w:pPr>
      <w:r w:rsidRPr="0062487B">
        <w:rPr>
          <w:rFonts w:asciiTheme="minorHAnsi" w:eastAsia="Calibri" w:hAnsiTheme="minorHAnsi" w:cstheme="minorHAnsi"/>
        </w:rPr>
        <w:t>Mass General Brigham Community Physicians.</w:t>
      </w:r>
    </w:p>
    <w:p w14:paraId="0993B6E8" w14:textId="77777777" w:rsidR="00E4171C" w:rsidRPr="0062487B" w:rsidRDefault="00E4171C" w:rsidP="00E4171C">
      <w:pPr>
        <w:contextualSpacing/>
        <w:rPr>
          <w:rFonts w:asciiTheme="minorHAnsi" w:eastAsia="Calibri" w:hAnsiTheme="minorHAnsi" w:cstheme="minorHAnsi"/>
        </w:rPr>
      </w:pPr>
    </w:p>
    <w:p w14:paraId="73195A20" w14:textId="0588198D" w:rsidR="002D77B4" w:rsidRPr="0062487B" w:rsidRDefault="62A89302" w:rsidP="00E4171C">
      <w:pPr>
        <w:contextualSpacing/>
        <w:rPr>
          <w:rFonts w:asciiTheme="minorHAnsi" w:eastAsia="Calibri" w:hAnsiTheme="minorHAnsi" w:cstheme="minorHAnsi"/>
        </w:rPr>
      </w:pPr>
      <w:r w:rsidRPr="0062487B">
        <w:rPr>
          <w:rFonts w:asciiTheme="minorHAnsi" w:eastAsia="Calibri" w:hAnsiTheme="minorHAnsi" w:cstheme="minorHAnsi"/>
        </w:rPr>
        <w:t xml:space="preserve">It operates both a for-profit insurance company, and a non-profit managed care organization that provide health insurance, and administrative services products to commercial populations and the MassHealth Program (Medicaid), and </w:t>
      </w:r>
      <w:proofErr w:type="spellStart"/>
      <w:r w:rsidRPr="0062487B">
        <w:rPr>
          <w:rFonts w:asciiTheme="minorHAnsi" w:eastAsia="Calibri" w:hAnsiTheme="minorHAnsi" w:cstheme="minorHAnsi"/>
        </w:rPr>
        <w:t>ConnectorCare</w:t>
      </w:r>
      <w:proofErr w:type="spellEnd"/>
      <w:r w:rsidRPr="0062487B">
        <w:rPr>
          <w:rFonts w:asciiTheme="minorHAnsi" w:eastAsia="Calibri" w:hAnsiTheme="minorHAnsi" w:cstheme="minorHAnsi"/>
        </w:rPr>
        <w:t xml:space="preserve">. </w:t>
      </w:r>
      <w:r w:rsidRPr="0062487B" w:rsidDel="004B1635">
        <w:rPr>
          <w:rFonts w:asciiTheme="minorHAnsi" w:eastAsia="Calibri" w:hAnsiTheme="minorHAnsi" w:cstheme="minorHAnsi"/>
        </w:rPr>
        <w:t xml:space="preserve">Mass General Brigham Inc. is a Health Policy </w:t>
      </w:r>
      <w:r w:rsidRPr="0062487B" w:rsidDel="004B1635">
        <w:rPr>
          <w:rFonts w:asciiTheme="minorHAnsi" w:eastAsia="Calibri" w:hAnsiTheme="minorHAnsi" w:cstheme="minorHAnsi"/>
        </w:rPr>
        <w:lastRenderedPageBreak/>
        <w:t xml:space="preserve">Commission-certified ACO, </w:t>
      </w:r>
      <w:r w:rsidR="5396B109" w:rsidRPr="0062487B">
        <w:rPr>
          <w:rFonts w:asciiTheme="minorHAnsi" w:eastAsia="Calibri" w:hAnsiTheme="minorHAnsi" w:cstheme="minorHAnsi"/>
        </w:rPr>
        <w:t xml:space="preserve">under the name </w:t>
      </w:r>
      <w:r w:rsidR="3000D724" w:rsidRPr="0062487B">
        <w:rPr>
          <w:rFonts w:asciiTheme="minorHAnsi" w:hAnsiTheme="minorHAnsi" w:cstheme="minorHAnsi"/>
        </w:rPr>
        <w:t>Mass General Brigham Incorporated</w:t>
      </w:r>
      <w:r w:rsidR="00F40FED">
        <w:rPr>
          <w:rFonts w:asciiTheme="minorHAnsi" w:hAnsiTheme="minorHAnsi" w:cstheme="minorHAnsi"/>
        </w:rPr>
        <w:t>,</w:t>
      </w:r>
      <w:r w:rsidR="3000D724" w:rsidRPr="0062487B">
        <w:rPr>
          <w:rFonts w:asciiTheme="minorHAnsi" w:hAnsiTheme="minorHAnsi" w:cstheme="minorHAnsi"/>
        </w:rPr>
        <w:t xml:space="preserve"> </w:t>
      </w:r>
      <w:r w:rsidRPr="0062487B" w:rsidDel="004B1635">
        <w:rPr>
          <w:rFonts w:asciiTheme="minorHAnsi" w:eastAsia="Calibri" w:hAnsiTheme="minorHAnsi" w:cstheme="minorHAnsi"/>
        </w:rPr>
        <w:t xml:space="preserve">inclusive of </w:t>
      </w:r>
      <w:r w:rsidR="000A5D4A" w:rsidRPr="0062487B">
        <w:rPr>
          <w:rFonts w:asciiTheme="minorHAnsi" w:hAnsiTheme="minorHAnsi" w:cstheme="minorHAnsi"/>
        </w:rPr>
        <w:t>Mass General Brigham ACO, LLC</w:t>
      </w:r>
      <w:r w:rsidRPr="0062487B" w:rsidDel="004B1635">
        <w:rPr>
          <w:rFonts w:asciiTheme="minorHAnsi" w:eastAsia="Calibri" w:hAnsiTheme="minorHAnsi" w:cstheme="minorHAnsi"/>
        </w:rPr>
        <w:t>.</w:t>
      </w:r>
      <w:r w:rsidR="00CB7E70" w:rsidRPr="0062487B">
        <w:rPr>
          <w:rStyle w:val="FootnoteReference"/>
          <w:rFonts w:asciiTheme="minorHAnsi" w:eastAsia="Calibri" w:hAnsiTheme="minorHAnsi" w:cstheme="minorHAnsi"/>
        </w:rPr>
        <w:footnoteReference w:id="2"/>
      </w:r>
      <w:r w:rsidR="10704C7E" w:rsidRPr="0062487B">
        <w:rPr>
          <w:rFonts w:asciiTheme="minorHAnsi" w:eastAsia="Calibri" w:hAnsiTheme="minorHAnsi" w:cstheme="minorHAnsi"/>
        </w:rPr>
        <w:t>,</w:t>
      </w:r>
      <w:r w:rsidR="007F5E40" w:rsidRPr="0062487B">
        <w:rPr>
          <w:rStyle w:val="FootnoteReference"/>
          <w:rFonts w:asciiTheme="minorHAnsi" w:eastAsia="Calibri" w:hAnsiTheme="minorHAnsi" w:cstheme="minorHAnsi"/>
        </w:rPr>
        <w:footnoteReference w:id="3"/>
      </w:r>
      <w:r w:rsidRPr="0062487B" w:rsidDel="004B1635">
        <w:rPr>
          <w:rFonts w:asciiTheme="minorHAnsi" w:eastAsia="Calibri" w:hAnsiTheme="minorHAnsi" w:cstheme="minorHAnsi"/>
        </w:rPr>
        <w:t xml:space="preserve"> </w:t>
      </w:r>
    </w:p>
    <w:p w14:paraId="64333C18" w14:textId="77777777" w:rsidR="00E4171C" w:rsidRPr="0062487B" w:rsidRDefault="00E4171C" w:rsidP="00E4171C">
      <w:pPr>
        <w:contextualSpacing/>
        <w:rPr>
          <w:rFonts w:asciiTheme="minorHAnsi" w:eastAsia="Calibri" w:hAnsiTheme="minorHAnsi" w:cstheme="minorHAnsi"/>
        </w:rPr>
      </w:pPr>
    </w:p>
    <w:p w14:paraId="0ABFB2A9" w14:textId="77777777" w:rsidR="0005042D" w:rsidRPr="0062487B" w:rsidRDefault="0005042D" w:rsidP="0005042D">
      <w:pPr>
        <w:rPr>
          <w:rFonts w:asciiTheme="minorHAnsi" w:eastAsia="Calibri" w:hAnsiTheme="minorHAnsi" w:cstheme="minorHAnsi"/>
        </w:rPr>
      </w:pPr>
      <w:r w:rsidRPr="0062487B">
        <w:rPr>
          <w:rFonts w:asciiTheme="minorHAnsi" w:eastAsia="Calibri" w:hAnsiTheme="minorHAnsi" w:cstheme="minorHAnsi"/>
        </w:rPr>
        <w:t>In addition, it maintains the Mass General Research Institute, and the Brigham Research Institute; both are private, non-profit medical research enterprises.</w:t>
      </w:r>
    </w:p>
    <w:p w14:paraId="35EC00BA" w14:textId="77777777" w:rsidR="0005042D" w:rsidRPr="0062487B" w:rsidRDefault="0005042D" w:rsidP="0005042D">
      <w:pPr>
        <w:rPr>
          <w:rFonts w:asciiTheme="minorHAnsi" w:eastAsia="Calibri" w:hAnsiTheme="minorHAnsi" w:cstheme="minorHAnsi"/>
        </w:rPr>
      </w:pPr>
    </w:p>
    <w:p w14:paraId="0B0629F5" w14:textId="62387710" w:rsidR="0005042D" w:rsidRPr="0062487B" w:rsidRDefault="0005042D" w:rsidP="0005042D">
      <w:pPr>
        <w:rPr>
          <w:rFonts w:asciiTheme="minorHAnsi" w:eastAsia="Calibri" w:hAnsiTheme="minorHAnsi" w:cstheme="minorHAnsi"/>
        </w:rPr>
      </w:pPr>
      <w:r w:rsidRPr="0062487B">
        <w:rPr>
          <w:rFonts w:asciiTheme="minorHAnsi" w:eastAsia="Calibri" w:hAnsiTheme="minorHAnsi" w:cstheme="minorHAnsi"/>
        </w:rPr>
        <w:t xml:space="preserve">The Applicant states its four-part mission is to provide patient care, research, </w:t>
      </w:r>
      <w:r w:rsidR="00193095" w:rsidRPr="0062487B">
        <w:rPr>
          <w:rFonts w:asciiTheme="minorHAnsi" w:eastAsia="Calibri" w:hAnsiTheme="minorHAnsi" w:cstheme="minorHAnsi"/>
        </w:rPr>
        <w:t>education,</w:t>
      </w:r>
      <w:r w:rsidRPr="0062487B">
        <w:rPr>
          <w:rFonts w:asciiTheme="minorHAnsi" w:eastAsia="Calibri" w:hAnsiTheme="minorHAnsi" w:cstheme="minorHAnsi"/>
        </w:rPr>
        <w:t xml:space="preserve"> and community service, and that as discussed herein, this project will contribute to this goal.</w:t>
      </w:r>
    </w:p>
    <w:p w14:paraId="4A3F916D" w14:textId="77777777" w:rsidR="0005042D" w:rsidRPr="0062487B" w:rsidRDefault="0005042D" w:rsidP="0005042D">
      <w:pPr>
        <w:rPr>
          <w:rFonts w:asciiTheme="minorHAnsi" w:eastAsia="Calibri" w:hAnsiTheme="minorHAnsi" w:cstheme="minorHAnsi"/>
        </w:rPr>
      </w:pPr>
    </w:p>
    <w:p w14:paraId="136C561B" w14:textId="77777777" w:rsidR="0005042D" w:rsidRPr="0062487B" w:rsidRDefault="0005042D" w:rsidP="0005042D">
      <w:pPr>
        <w:rPr>
          <w:rFonts w:asciiTheme="minorHAnsi" w:hAnsiTheme="minorHAnsi" w:cstheme="minorHAnsi"/>
        </w:rPr>
      </w:pPr>
      <w:r w:rsidRPr="0062487B">
        <w:rPr>
          <w:rFonts w:asciiTheme="minorHAnsi" w:hAnsiTheme="minorHAnsi" w:cstheme="minorHAnsi"/>
          <w:b/>
          <w:bCs/>
        </w:rPr>
        <w:t>Proposed Project</w:t>
      </w:r>
    </w:p>
    <w:p w14:paraId="067874FA" w14:textId="2B3C7B7A" w:rsidR="00B616DC" w:rsidRPr="0062487B" w:rsidRDefault="00B54003" w:rsidP="00331EDC">
      <w:pPr>
        <w:rPr>
          <w:rFonts w:asciiTheme="minorHAnsi" w:hAnsiTheme="minorHAnsi" w:cstheme="minorHAnsi"/>
        </w:rPr>
      </w:pPr>
      <w:r w:rsidRPr="0062487B">
        <w:rPr>
          <w:rFonts w:asciiTheme="minorHAnsi" w:hAnsiTheme="minorHAnsi" w:cstheme="minorHAnsi"/>
        </w:rPr>
        <w:t xml:space="preserve">The site of the Proposed Project is </w:t>
      </w:r>
      <w:r w:rsidR="00CA7EE4" w:rsidRPr="0062487B">
        <w:rPr>
          <w:rFonts w:asciiTheme="minorHAnsi" w:hAnsiTheme="minorHAnsi" w:cstheme="minorHAnsi"/>
        </w:rPr>
        <w:t xml:space="preserve">Brigham and Women’s Faulkner Hospital (BWFH), </w:t>
      </w:r>
      <w:r w:rsidR="00070711" w:rsidRPr="0062487B">
        <w:rPr>
          <w:rFonts w:asciiTheme="minorHAnsi" w:hAnsiTheme="minorHAnsi" w:cstheme="minorHAnsi"/>
        </w:rPr>
        <w:t>a</w:t>
      </w:r>
      <w:r w:rsidR="00C46B15" w:rsidRPr="0062487B">
        <w:rPr>
          <w:rFonts w:asciiTheme="minorHAnsi" w:hAnsiTheme="minorHAnsi" w:cstheme="minorHAnsi"/>
        </w:rPr>
        <w:t>n</w:t>
      </w:r>
      <w:r w:rsidR="00070711" w:rsidRPr="0062487B">
        <w:rPr>
          <w:rFonts w:asciiTheme="minorHAnsi" w:hAnsiTheme="minorHAnsi" w:cstheme="minorHAnsi"/>
        </w:rPr>
        <w:t xml:space="preserve"> acute care </w:t>
      </w:r>
      <w:r w:rsidR="00C46B15" w:rsidRPr="0062487B">
        <w:rPr>
          <w:rFonts w:asciiTheme="minorHAnsi" w:hAnsiTheme="minorHAnsi" w:cstheme="minorHAnsi"/>
        </w:rPr>
        <w:t xml:space="preserve">community </w:t>
      </w:r>
      <w:r w:rsidR="00070711" w:rsidRPr="0062487B">
        <w:rPr>
          <w:rFonts w:asciiTheme="minorHAnsi" w:hAnsiTheme="minorHAnsi" w:cstheme="minorHAnsi"/>
        </w:rPr>
        <w:t xml:space="preserve">hospital that provides comprehensive medical, </w:t>
      </w:r>
      <w:r w:rsidR="008F680D" w:rsidRPr="0062487B">
        <w:rPr>
          <w:rFonts w:asciiTheme="minorHAnsi" w:hAnsiTheme="minorHAnsi" w:cstheme="minorHAnsi"/>
        </w:rPr>
        <w:t>surgical,</w:t>
      </w:r>
      <w:r w:rsidR="00070711" w:rsidRPr="0062487B">
        <w:rPr>
          <w:rFonts w:asciiTheme="minorHAnsi" w:hAnsiTheme="minorHAnsi" w:cstheme="minorHAnsi"/>
        </w:rPr>
        <w:t xml:space="preserve"> and psychiatric care </w:t>
      </w:r>
      <w:r w:rsidR="00B616DC" w:rsidRPr="0062487B">
        <w:rPr>
          <w:rFonts w:asciiTheme="minorHAnsi" w:hAnsiTheme="minorHAnsi" w:cstheme="minorHAnsi"/>
        </w:rPr>
        <w:t>as well as</w:t>
      </w:r>
      <w:r w:rsidR="00070711" w:rsidRPr="0062487B">
        <w:rPr>
          <w:rFonts w:asciiTheme="minorHAnsi" w:hAnsiTheme="minorHAnsi" w:cstheme="minorHAnsi"/>
        </w:rPr>
        <w:t xml:space="preserve"> emergency, </w:t>
      </w:r>
      <w:proofErr w:type="gramStart"/>
      <w:r w:rsidR="00070711" w:rsidRPr="0062487B">
        <w:rPr>
          <w:rFonts w:asciiTheme="minorHAnsi" w:hAnsiTheme="minorHAnsi" w:cstheme="minorHAnsi"/>
        </w:rPr>
        <w:t>ambulatory</w:t>
      </w:r>
      <w:proofErr w:type="gramEnd"/>
      <w:r w:rsidR="00070711" w:rsidRPr="0062487B">
        <w:rPr>
          <w:rFonts w:asciiTheme="minorHAnsi" w:hAnsiTheme="minorHAnsi" w:cstheme="minorHAnsi"/>
        </w:rPr>
        <w:t xml:space="preserve"> and diagnostic services. BWFH</w:t>
      </w:r>
      <w:r w:rsidR="00CA7EE4" w:rsidRPr="0062487B">
        <w:rPr>
          <w:rFonts w:asciiTheme="minorHAnsi" w:hAnsiTheme="minorHAnsi" w:cstheme="minorHAnsi"/>
        </w:rPr>
        <w:t xml:space="preserve"> is part of Brigham Health</w:t>
      </w:r>
      <w:r w:rsidR="00B616DC" w:rsidRPr="0062487B">
        <w:rPr>
          <w:rFonts w:asciiTheme="minorHAnsi" w:hAnsiTheme="minorHAnsi" w:cstheme="minorHAnsi"/>
        </w:rPr>
        <w:t>, which</w:t>
      </w:r>
      <w:r w:rsidR="00CA7EE4" w:rsidRPr="0062487B">
        <w:rPr>
          <w:rFonts w:asciiTheme="minorHAnsi" w:hAnsiTheme="minorHAnsi" w:cstheme="minorHAnsi"/>
        </w:rPr>
        <w:t xml:space="preserve"> also includes Brigham and Women’s Hospital (BWH), and Brigham and Women’s Physician Organization. </w:t>
      </w:r>
    </w:p>
    <w:p w14:paraId="27504F24" w14:textId="77777777" w:rsidR="00B616DC" w:rsidRPr="0062487B" w:rsidRDefault="00B616DC" w:rsidP="00331EDC">
      <w:pPr>
        <w:rPr>
          <w:rFonts w:asciiTheme="minorHAnsi" w:hAnsiTheme="minorHAnsi" w:cstheme="minorHAnsi"/>
        </w:rPr>
      </w:pPr>
    </w:p>
    <w:p w14:paraId="2353AABF" w14:textId="657776BB" w:rsidR="002C241A" w:rsidRPr="0062487B" w:rsidRDefault="00CA7EE4" w:rsidP="00331EDC">
      <w:pPr>
        <w:rPr>
          <w:rFonts w:asciiTheme="minorHAnsi" w:hAnsiTheme="minorHAnsi" w:cstheme="minorHAnsi"/>
        </w:rPr>
      </w:pPr>
      <w:r w:rsidRPr="0062487B">
        <w:rPr>
          <w:rFonts w:asciiTheme="minorHAnsi" w:hAnsiTheme="minorHAnsi" w:cstheme="minorHAnsi"/>
        </w:rPr>
        <w:t xml:space="preserve">MGB proposes to construct a five-story addition to </w:t>
      </w:r>
      <w:r w:rsidR="001A00BD" w:rsidRPr="0062487B">
        <w:rPr>
          <w:rFonts w:asciiTheme="minorHAnsi" w:hAnsiTheme="minorHAnsi" w:cstheme="minorHAnsi"/>
        </w:rPr>
        <w:t xml:space="preserve">the existing </w:t>
      </w:r>
      <w:r w:rsidRPr="0062487B">
        <w:rPr>
          <w:rFonts w:asciiTheme="minorHAnsi" w:hAnsiTheme="minorHAnsi" w:cstheme="minorHAnsi"/>
        </w:rPr>
        <w:t xml:space="preserve">BWFH facility located at 1153 Centre Street, Boston, MA 02130. </w:t>
      </w:r>
      <w:r w:rsidR="002C241A" w:rsidRPr="0062487B">
        <w:rPr>
          <w:rFonts w:asciiTheme="minorHAnsi" w:hAnsiTheme="minorHAnsi" w:cstheme="minorHAnsi"/>
        </w:rPr>
        <w:t xml:space="preserve">The Proposed Project seeks to enhance access to </w:t>
      </w:r>
      <w:r w:rsidR="002C241A" w:rsidRPr="00A644D8">
        <w:rPr>
          <w:rFonts w:asciiTheme="minorHAnsi" w:hAnsiTheme="minorHAnsi" w:cstheme="minorHAnsi"/>
        </w:rPr>
        <w:t>health</w:t>
      </w:r>
      <w:r w:rsidR="008F680D" w:rsidRPr="00A644D8">
        <w:rPr>
          <w:rFonts w:asciiTheme="minorHAnsi" w:hAnsiTheme="minorHAnsi" w:cstheme="minorHAnsi"/>
        </w:rPr>
        <w:t xml:space="preserve"> </w:t>
      </w:r>
      <w:r w:rsidR="002C241A" w:rsidRPr="00A644D8">
        <w:rPr>
          <w:rFonts w:asciiTheme="minorHAnsi" w:hAnsiTheme="minorHAnsi" w:cstheme="minorHAnsi"/>
        </w:rPr>
        <w:t>care</w:t>
      </w:r>
      <w:r w:rsidR="002C241A" w:rsidRPr="0062487B">
        <w:rPr>
          <w:rFonts w:asciiTheme="minorHAnsi" w:hAnsiTheme="minorHAnsi" w:cstheme="minorHAnsi"/>
        </w:rPr>
        <w:t xml:space="preserve"> services across Brigham Health with the goal of ensuring that patients have access to care in the appropriate settin</w:t>
      </w:r>
      <w:r w:rsidR="002C241A" w:rsidRPr="00A644D8">
        <w:rPr>
          <w:rFonts w:asciiTheme="minorHAnsi" w:hAnsiTheme="minorHAnsi" w:cstheme="minorHAnsi"/>
        </w:rPr>
        <w:t>g</w:t>
      </w:r>
      <w:r w:rsidR="008F680D" w:rsidRPr="00A644D8">
        <w:rPr>
          <w:rFonts w:asciiTheme="minorHAnsi" w:hAnsiTheme="minorHAnsi" w:cstheme="minorHAnsi"/>
        </w:rPr>
        <w:t>,</w:t>
      </w:r>
      <w:r w:rsidR="002C241A" w:rsidRPr="0062487B">
        <w:rPr>
          <w:rFonts w:asciiTheme="minorHAnsi" w:hAnsiTheme="minorHAnsi" w:cstheme="minorHAnsi"/>
        </w:rPr>
        <w:t xml:space="preserve"> and at BWFH to address its capacity constraints and improve throughput.</w:t>
      </w:r>
    </w:p>
    <w:p w14:paraId="75BCAF5B" w14:textId="25BDF456" w:rsidR="002C241A" w:rsidRPr="0062487B" w:rsidRDefault="002C241A" w:rsidP="00331EDC">
      <w:pPr>
        <w:rPr>
          <w:rFonts w:asciiTheme="minorHAnsi" w:hAnsiTheme="minorHAnsi" w:cstheme="minorHAnsi"/>
        </w:rPr>
      </w:pPr>
    </w:p>
    <w:p w14:paraId="34C6B14A" w14:textId="035A353E" w:rsidR="00255C56" w:rsidRDefault="3C37F478" w:rsidP="78F650E0">
      <w:pPr>
        <w:rPr>
          <w:rFonts w:asciiTheme="minorHAnsi" w:hAnsiTheme="minorHAnsi" w:cstheme="minorBidi"/>
        </w:rPr>
      </w:pPr>
      <w:r w:rsidRPr="78F650E0">
        <w:rPr>
          <w:rFonts w:asciiTheme="minorHAnsi" w:hAnsiTheme="minorHAnsi" w:cstheme="minorBidi"/>
        </w:rPr>
        <w:t xml:space="preserve">The </w:t>
      </w:r>
      <w:r w:rsidR="4B2F4430" w:rsidRPr="78F650E0">
        <w:rPr>
          <w:rFonts w:asciiTheme="minorHAnsi" w:hAnsiTheme="minorHAnsi" w:cstheme="minorBidi"/>
        </w:rPr>
        <w:t xml:space="preserve">new building </w:t>
      </w:r>
      <w:r w:rsidR="75B8A057" w:rsidRPr="78F650E0">
        <w:rPr>
          <w:rFonts w:asciiTheme="minorHAnsi" w:hAnsiTheme="minorHAnsi" w:cstheme="minorBidi"/>
        </w:rPr>
        <w:t xml:space="preserve">will include: </w:t>
      </w:r>
    </w:p>
    <w:p w14:paraId="36B9399B" w14:textId="77777777" w:rsidR="001B15A5" w:rsidRPr="0062487B" w:rsidRDefault="001B15A5" w:rsidP="78F650E0">
      <w:pPr>
        <w:rPr>
          <w:rFonts w:asciiTheme="minorHAnsi" w:hAnsiTheme="minorHAnsi" w:cstheme="minorBidi"/>
        </w:rPr>
      </w:pPr>
    </w:p>
    <w:p w14:paraId="2A96C522" w14:textId="3312CC29" w:rsidR="00387B0A" w:rsidRPr="00CC1636" w:rsidRDefault="001A00BD" w:rsidP="00CC1636">
      <w:pPr>
        <w:pStyle w:val="ListParagraph"/>
        <w:numPr>
          <w:ilvl w:val="0"/>
          <w:numId w:val="33"/>
        </w:numPr>
        <w:rPr>
          <w:rFonts w:asciiTheme="minorHAnsi" w:eastAsia="Calibri" w:hAnsiTheme="minorHAnsi" w:cstheme="minorHAnsi"/>
        </w:rPr>
      </w:pPr>
      <w:r w:rsidRPr="00CC1636">
        <w:rPr>
          <w:rFonts w:asciiTheme="minorHAnsi" w:eastAsia="Calibri" w:hAnsiTheme="minorHAnsi" w:cstheme="minorHAnsi"/>
        </w:rPr>
        <w:t xml:space="preserve">78 additional medical/surgical </w:t>
      </w:r>
      <w:r w:rsidR="00F3182C" w:rsidRPr="00CC1636">
        <w:rPr>
          <w:rFonts w:asciiTheme="minorHAnsi" w:eastAsia="Calibri" w:hAnsiTheme="minorHAnsi" w:cstheme="minorHAnsi"/>
        </w:rPr>
        <w:t xml:space="preserve">inpatient </w:t>
      </w:r>
      <w:r w:rsidR="002C241A" w:rsidRPr="00CC1636">
        <w:rPr>
          <w:rFonts w:asciiTheme="minorHAnsi" w:eastAsia="Calibri" w:hAnsiTheme="minorHAnsi" w:cstheme="minorHAnsi"/>
        </w:rPr>
        <w:t>beds</w:t>
      </w:r>
      <w:r w:rsidR="008F680D">
        <w:rPr>
          <w:rFonts w:asciiTheme="minorHAnsi" w:eastAsia="Calibri" w:hAnsiTheme="minorHAnsi" w:cstheme="minorHAnsi"/>
        </w:rPr>
        <w:t>,</w:t>
      </w:r>
    </w:p>
    <w:p w14:paraId="00AD8C67" w14:textId="732F0DC5" w:rsidR="00255C56" w:rsidRPr="00CC1636" w:rsidRDefault="5971F300" w:rsidP="00CC1636">
      <w:pPr>
        <w:pStyle w:val="ListParagraph"/>
        <w:numPr>
          <w:ilvl w:val="0"/>
          <w:numId w:val="33"/>
        </w:numPr>
        <w:rPr>
          <w:rFonts w:asciiTheme="minorHAnsi" w:eastAsia="Calibri" w:hAnsiTheme="minorHAnsi" w:cstheme="minorHAnsi"/>
        </w:rPr>
      </w:pPr>
      <w:r w:rsidRPr="00CC1636">
        <w:rPr>
          <w:rFonts w:asciiTheme="minorHAnsi" w:eastAsia="Calibri" w:hAnsiTheme="minorHAnsi" w:cstheme="minorHAnsi"/>
        </w:rPr>
        <w:t>A</w:t>
      </w:r>
      <w:r w:rsidR="6147059D" w:rsidRPr="00CC1636">
        <w:rPr>
          <w:rFonts w:asciiTheme="minorHAnsi" w:eastAsia="Calibri" w:hAnsiTheme="minorHAnsi" w:cstheme="minorHAnsi"/>
        </w:rPr>
        <w:t xml:space="preserve">n 8-bed observation </w:t>
      </w:r>
      <w:r w:rsidR="6E1F4824" w:rsidRPr="00CC1636">
        <w:rPr>
          <w:rFonts w:asciiTheme="minorHAnsi" w:eastAsia="Calibri" w:hAnsiTheme="minorHAnsi" w:cstheme="minorHAnsi"/>
        </w:rPr>
        <w:t>unit</w:t>
      </w:r>
      <w:r w:rsidR="008F680D">
        <w:rPr>
          <w:rFonts w:asciiTheme="minorHAnsi" w:eastAsia="Calibri" w:hAnsiTheme="minorHAnsi" w:cstheme="minorHAnsi"/>
        </w:rPr>
        <w:t>,</w:t>
      </w:r>
    </w:p>
    <w:p w14:paraId="3C6BDBE0" w14:textId="6F302657" w:rsidR="00255C56" w:rsidRPr="00CC1636" w:rsidRDefault="09036FA9" w:rsidP="00CC1636">
      <w:pPr>
        <w:pStyle w:val="ListParagraph"/>
        <w:numPr>
          <w:ilvl w:val="0"/>
          <w:numId w:val="33"/>
        </w:numPr>
        <w:rPr>
          <w:rFonts w:asciiTheme="minorHAnsi" w:eastAsia="Calibri" w:hAnsiTheme="minorHAnsi" w:cstheme="minorHAnsi"/>
        </w:rPr>
      </w:pPr>
      <w:r w:rsidRPr="00CC1636">
        <w:rPr>
          <w:rFonts w:asciiTheme="minorHAnsi" w:eastAsia="Calibri" w:hAnsiTheme="minorHAnsi" w:cstheme="minorHAnsi"/>
        </w:rPr>
        <w:t>R</w:t>
      </w:r>
      <w:r w:rsidR="09908E9C" w:rsidRPr="00CC1636">
        <w:rPr>
          <w:rFonts w:asciiTheme="minorHAnsi" w:eastAsia="Calibri" w:hAnsiTheme="minorHAnsi" w:cstheme="minorHAnsi"/>
        </w:rPr>
        <w:t>elocated and expanded endoscopy services, including one additional procedure room</w:t>
      </w:r>
      <w:r w:rsidR="7A31D5B5" w:rsidRPr="00CC1636">
        <w:rPr>
          <w:rFonts w:asciiTheme="minorHAnsi" w:eastAsia="Calibri" w:hAnsiTheme="minorHAnsi" w:cstheme="minorHAnsi"/>
        </w:rPr>
        <w:t xml:space="preserve"> for advanced endoscopic procedures with capability for fluoroscopy (e.g., endoscopic retrograde cholangiopancreatography (ERCP) and endoscopic ultrasound (EUS) procedures</w:t>
      </w:r>
      <w:r w:rsidR="6183F98A" w:rsidRPr="00CC1636">
        <w:rPr>
          <w:rFonts w:asciiTheme="minorHAnsi" w:eastAsia="Calibri" w:hAnsiTheme="minorHAnsi" w:cstheme="minorHAnsi"/>
        </w:rPr>
        <w:t>)</w:t>
      </w:r>
      <w:r w:rsidR="008F680D">
        <w:rPr>
          <w:rFonts w:asciiTheme="minorHAnsi" w:eastAsia="Calibri" w:hAnsiTheme="minorHAnsi" w:cstheme="minorHAnsi"/>
        </w:rPr>
        <w:t>,</w:t>
      </w:r>
      <w:r w:rsidR="09908E9C" w:rsidRPr="00CC1636">
        <w:rPr>
          <w:rFonts w:asciiTheme="minorHAnsi" w:eastAsia="Calibri" w:hAnsiTheme="minorHAnsi" w:cstheme="minorHAnsi"/>
        </w:rPr>
        <w:t xml:space="preserve"> </w:t>
      </w:r>
    </w:p>
    <w:p w14:paraId="55A64C60" w14:textId="253BC77A" w:rsidR="00255C56" w:rsidRPr="00CC1636" w:rsidRDefault="6ADFF952" w:rsidP="00CC1636">
      <w:pPr>
        <w:pStyle w:val="ListParagraph"/>
        <w:numPr>
          <w:ilvl w:val="0"/>
          <w:numId w:val="33"/>
        </w:numPr>
        <w:rPr>
          <w:rFonts w:asciiTheme="minorHAnsi" w:eastAsia="Calibri" w:hAnsiTheme="minorHAnsi" w:cstheme="minorHAnsi"/>
        </w:rPr>
      </w:pPr>
      <w:r w:rsidRPr="00CC1636">
        <w:rPr>
          <w:rFonts w:asciiTheme="minorHAnsi" w:eastAsia="Calibri" w:hAnsiTheme="minorHAnsi" w:cstheme="minorHAnsi"/>
        </w:rPr>
        <w:t>E</w:t>
      </w:r>
      <w:r w:rsidR="2EF79892" w:rsidRPr="00CC1636">
        <w:rPr>
          <w:rFonts w:asciiTheme="minorHAnsi" w:eastAsia="Calibri" w:hAnsiTheme="minorHAnsi" w:cstheme="minorHAnsi"/>
        </w:rPr>
        <w:t>xpand</w:t>
      </w:r>
      <w:r w:rsidR="41D14A64" w:rsidRPr="00CC1636">
        <w:rPr>
          <w:rFonts w:asciiTheme="minorHAnsi" w:eastAsia="Calibri" w:hAnsiTheme="minorHAnsi" w:cstheme="minorHAnsi"/>
        </w:rPr>
        <w:t>ed</w:t>
      </w:r>
      <w:r w:rsidR="2EF79892" w:rsidRPr="00CC1636">
        <w:rPr>
          <w:rFonts w:asciiTheme="minorHAnsi" w:eastAsia="Calibri" w:hAnsiTheme="minorHAnsi" w:cstheme="minorHAnsi"/>
        </w:rPr>
        <w:t xml:space="preserve"> </w:t>
      </w:r>
      <w:r w:rsidR="6147059D" w:rsidRPr="00CC1636">
        <w:rPr>
          <w:rFonts w:asciiTheme="minorHAnsi" w:eastAsia="Calibri" w:hAnsiTheme="minorHAnsi" w:cstheme="minorHAnsi"/>
        </w:rPr>
        <w:t xml:space="preserve">magnetic resonance imaging (MRI) </w:t>
      </w:r>
      <w:r w:rsidR="41D14A64" w:rsidRPr="00CC1636">
        <w:rPr>
          <w:rFonts w:asciiTheme="minorHAnsi" w:eastAsia="Calibri" w:hAnsiTheme="minorHAnsi" w:cstheme="minorHAnsi"/>
        </w:rPr>
        <w:t xml:space="preserve">capacity </w:t>
      </w:r>
      <w:r w:rsidR="2EF79892" w:rsidRPr="00CC1636">
        <w:rPr>
          <w:rFonts w:asciiTheme="minorHAnsi" w:eastAsia="Calibri" w:hAnsiTheme="minorHAnsi" w:cstheme="minorHAnsi"/>
        </w:rPr>
        <w:t xml:space="preserve">with a 3T MRI </w:t>
      </w:r>
      <w:r w:rsidR="6147059D" w:rsidRPr="00CC1636">
        <w:rPr>
          <w:rFonts w:asciiTheme="minorHAnsi" w:eastAsia="Calibri" w:hAnsiTheme="minorHAnsi" w:cstheme="minorHAnsi"/>
        </w:rPr>
        <w:t xml:space="preserve">unit and </w:t>
      </w:r>
      <w:r w:rsidR="070AE1DA" w:rsidRPr="00CC1636">
        <w:rPr>
          <w:rFonts w:asciiTheme="minorHAnsi" w:eastAsia="Calibri" w:hAnsiTheme="minorHAnsi" w:cstheme="minorHAnsi"/>
        </w:rPr>
        <w:t>renovate</w:t>
      </w:r>
      <w:r w:rsidR="41D14A64" w:rsidRPr="00CC1636">
        <w:rPr>
          <w:rFonts w:asciiTheme="minorHAnsi" w:eastAsia="Calibri" w:hAnsiTheme="minorHAnsi" w:cstheme="minorHAnsi"/>
        </w:rPr>
        <w:t>d</w:t>
      </w:r>
      <w:r w:rsidR="070AE1DA" w:rsidRPr="00CC1636">
        <w:rPr>
          <w:rFonts w:asciiTheme="minorHAnsi" w:eastAsia="Calibri" w:hAnsiTheme="minorHAnsi" w:cstheme="minorHAnsi"/>
        </w:rPr>
        <w:t xml:space="preserve"> and expand</w:t>
      </w:r>
      <w:r w:rsidR="41D14A64" w:rsidRPr="00CC1636">
        <w:rPr>
          <w:rFonts w:asciiTheme="minorHAnsi" w:eastAsia="Calibri" w:hAnsiTheme="minorHAnsi" w:cstheme="minorHAnsi"/>
        </w:rPr>
        <w:t>ed</w:t>
      </w:r>
      <w:r w:rsidR="070AE1DA" w:rsidRPr="00CC1636">
        <w:rPr>
          <w:rFonts w:asciiTheme="minorHAnsi" w:eastAsia="Calibri" w:hAnsiTheme="minorHAnsi" w:cstheme="minorHAnsi"/>
        </w:rPr>
        <w:t xml:space="preserve"> Radiology Department by adding an angiographic interventional radiology program, additional pre- and post-procedure recovery space, and additional support space</w:t>
      </w:r>
      <w:r w:rsidR="008F680D">
        <w:rPr>
          <w:rFonts w:asciiTheme="minorHAnsi" w:eastAsia="Calibri" w:hAnsiTheme="minorHAnsi" w:cstheme="minorHAnsi"/>
        </w:rPr>
        <w:t>,</w:t>
      </w:r>
    </w:p>
    <w:p w14:paraId="3BC791F1" w14:textId="01604E25" w:rsidR="00255C56" w:rsidRPr="00CC1636" w:rsidRDefault="2CBCBD8B" w:rsidP="00CC1636">
      <w:pPr>
        <w:pStyle w:val="ListParagraph"/>
        <w:numPr>
          <w:ilvl w:val="0"/>
          <w:numId w:val="33"/>
        </w:numPr>
        <w:rPr>
          <w:rFonts w:asciiTheme="minorHAnsi" w:eastAsia="Calibri" w:hAnsiTheme="minorHAnsi" w:cstheme="minorHAnsi"/>
        </w:rPr>
      </w:pPr>
      <w:r w:rsidRPr="00CC1636">
        <w:rPr>
          <w:rFonts w:asciiTheme="minorHAnsi" w:eastAsia="Calibri" w:hAnsiTheme="minorHAnsi" w:cstheme="minorHAnsi"/>
        </w:rPr>
        <w:t>S</w:t>
      </w:r>
      <w:r w:rsidR="6147059D" w:rsidRPr="00CC1636">
        <w:rPr>
          <w:rFonts w:asciiTheme="minorHAnsi" w:eastAsia="Calibri" w:hAnsiTheme="minorHAnsi" w:cstheme="minorHAnsi"/>
        </w:rPr>
        <w:t>hell space for future build</w:t>
      </w:r>
      <w:r w:rsidR="1F717A84" w:rsidRPr="00CC1636">
        <w:rPr>
          <w:rFonts w:asciiTheme="minorHAnsi" w:eastAsia="Calibri" w:hAnsiTheme="minorHAnsi" w:cstheme="minorHAnsi"/>
        </w:rPr>
        <w:t>-</w:t>
      </w:r>
      <w:r w:rsidR="6147059D" w:rsidRPr="00CC1636">
        <w:rPr>
          <w:rFonts w:asciiTheme="minorHAnsi" w:eastAsia="Calibri" w:hAnsiTheme="minorHAnsi" w:cstheme="minorHAnsi"/>
        </w:rPr>
        <w:t>out</w:t>
      </w:r>
      <w:r w:rsidR="070AE1DA" w:rsidRPr="00CC1636">
        <w:rPr>
          <w:rFonts w:asciiTheme="minorHAnsi" w:eastAsia="Calibri" w:hAnsiTheme="minorHAnsi" w:cstheme="minorHAnsi"/>
        </w:rPr>
        <w:t xml:space="preserve"> for </w:t>
      </w:r>
      <w:r w:rsidR="18CC0CFB" w:rsidRPr="00CC1636">
        <w:rPr>
          <w:rFonts w:asciiTheme="minorHAnsi" w:eastAsia="Calibri" w:hAnsiTheme="minorHAnsi" w:cstheme="minorHAnsi"/>
        </w:rPr>
        <w:t>anticipated</w:t>
      </w:r>
      <w:r w:rsidR="41D14A64" w:rsidRPr="00CC1636">
        <w:rPr>
          <w:rFonts w:asciiTheme="minorHAnsi" w:eastAsia="Calibri" w:hAnsiTheme="minorHAnsi" w:cstheme="minorHAnsi"/>
        </w:rPr>
        <w:t xml:space="preserve"> </w:t>
      </w:r>
      <w:r w:rsidR="070AE1DA" w:rsidRPr="00CC1636">
        <w:rPr>
          <w:rFonts w:asciiTheme="minorHAnsi" w:eastAsia="Calibri" w:hAnsiTheme="minorHAnsi" w:cstheme="minorHAnsi"/>
        </w:rPr>
        <w:t>expanded clinical services</w:t>
      </w:r>
      <w:r w:rsidR="008F680D">
        <w:rPr>
          <w:rFonts w:asciiTheme="minorHAnsi" w:eastAsia="Calibri" w:hAnsiTheme="minorHAnsi" w:cstheme="minorHAnsi"/>
        </w:rPr>
        <w:t>.</w:t>
      </w:r>
      <w:r w:rsidR="070AE1DA" w:rsidRPr="00CC1636">
        <w:rPr>
          <w:rFonts w:asciiTheme="minorHAnsi" w:eastAsia="Calibri" w:hAnsiTheme="minorHAnsi" w:cstheme="minorHAnsi"/>
        </w:rPr>
        <w:t xml:space="preserve"> </w:t>
      </w:r>
      <w:r w:rsidR="6147059D" w:rsidRPr="00CC1636">
        <w:rPr>
          <w:rFonts w:asciiTheme="minorHAnsi" w:eastAsia="Calibri" w:hAnsiTheme="minorHAnsi" w:cstheme="minorHAnsi"/>
        </w:rPr>
        <w:t xml:space="preserve"> </w:t>
      </w:r>
    </w:p>
    <w:p w14:paraId="1B78B372" w14:textId="77777777" w:rsidR="008C0BE9" w:rsidRPr="0062487B" w:rsidRDefault="008C0BE9" w:rsidP="00331EDC">
      <w:pPr>
        <w:rPr>
          <w:rFonts w:asciiTheme="minorHAnsi" w:hAnsiTheme="minorHAnsi" w:cstheme="minorHAnsi"/>
        </w:rPr>
      </w:pPr>
    </w:p>
    <w:p w14:paraId="67B64FE2" w14:textId="02652D53" w:rsidR="00E37919" w:rsidRPr="0062487B" w:rsidRDefault="502EE3C7" w:rsidP="78F650E0">
      <w:pPr>
        <w:rPr>
          <w:rFonts w:asciiTheme="minorHAnsi" w:hAnsiTheme="minorHAnsi" w:cstheme="minorBidi"/>
        </w:rPr>
      </w:pPr>
      <w:r w:rsidRPr="17FA2F59">
        <w:rPr>
          <w:rFonts w:asciiTheme="minorHAnsi" w:hAnsiTheme="minorHAnsi" w:cstheme="minorBidi"/>
        </w:rPr>
        <w:t>MGB also proposes other renovation projects to</w:t>
      </w:r>
      <w:r w:rsidR="34AEC5FA" w:rsidRPr="17FA2F59">
        <w:rPr>
          <w:rFonts w:asciiTheme="minorHAnsi" w:hAnsiTheme="minorHAnsi" w:cstheme="minorBidi"/>
        </w:rPr>
        <w:t xml:space="preserve"> </w:t>
      </w:r>
      <w:r w:rsidRPr="17FA2F59">
        <w:rPr>
          <w:rFonts w:asciiTheme="minorHAnsi" w:hAnsiTheme="minorHAnsi" w:cstheme="minorBidi"/>
        </w:rPr>
        <w:t>improve existing services and facilities at the BWFH main campus</w:t>
      </w:r>
      <w:r w:rsidR="5E9305C4" w:rsidRPr="17FA2F59">
        <w:rPr>
          <w:rFonts w:asciiTheme="minorHAnsi" w:hAnsiTheme="minorHAnsi" w:cstheme="minorBidi"/>
        </w:rPr>
        <w:t xml:space="preserve"> that includes work to facilitate the Proposed Project (listed in Appendix A). </w:t>
      </w:r>
      <w:r w:rsidR="118D2560" w:rsidRPr="17FA2F59">
        <w:rPr>
          <w:rFonts w:asciiTheme="minorHAnsi" w:hAnsiTheme="minorHAnsi" w:cstheme="minorBidi"/>
        </w:rPr>
        <w:t>As the building is an addition</w:t>
      </w:r>
      <w:r w:rsidR="28A12B3D" w:rsidRPr="17FA2F59">
        <w:rPr>
          <w:rFonts w:asciiTheme="minorHAnsi" w:hAnsiTheme="minorHAnsi" w:cstheme="minorBidi"/>
        </w:rPr>
        <w:t xml:space="preserve"> to an existing building</w:t>
      </w:r>
      <w:r w:rsidR="118D2560" w:rsidRPr="17FA2F59">
        <w:rPr>
          <w:rFonts w:asciiTheme="minorHAnsi" w:hAnsiTheme="minorHAnsi" w:cstheme="minorBidi"/>
        </w:rPr>
        <w:t xml:space="preserve">, there will be access points on each floor that will disrupt a pre-existing function (e.g., Staff Lactation room relocation, </w:t>
      </w:r>
      <w:r w:rsidR="61354243" w:rsidRPr="17FA2F59">
        <w:rPr>
          <w:rFonts w:asciiTheme="minorHAnsi" w:hAnsiTheme="minorHAnsi" w:cstheme="minorBidi"/>
        </w:rPr>
        <w:t xml:space="preserve">Infectious Disease physician office replication, conference room and clinical support staff offices). </w:t>
      </w:r>
      <w:r w:rsidR="118D2560" w:rsidRPr="17FA2F59">
        <w:rPr>
          <w:rFonts w:asciiTheme="minorHAnsi" w:hAnsiTheme="minorHAnsi" w:cstheme="minorBidi"/>
        </w:rPr>
        <w:t>The other renovation projects entail relocation of the Patient Experience Department, straightening a corridor that will take part of the cafeteria dining room</w:t>
      </w:r>
      <w:r w:rsidR="3D2CB29A" w:rsidRPr="17FA2F59">
        <w:rPr>
          <w:rFonts w:asciiTheme="minorHAnsi" w:hAnsiTheme="minorHAnsi" w:cstheme="minorBidi"/>
        </w:rPr>
        <w:t>,</w:t>
      </w:r>
      <w:r w:rsidR="118D2560" w:rsidRPr="17FA2F59">
        <w:rPr>
          <w:rFonts w:asciiTheme="minorHAnsi" w:hAnsiTheme="minorHAnsi" w:cstheme="minorBidi"/>
        </w:rPr>
        <w:t xml:space="preserve"> and addition of a dining room (</w:t>
      </w:r>
      <w:proofErr w:type="gramStart"/>
      <w:r w:rsidR="118D2560" w:rsidRPr="17FA2F59">
        <w:rPr>
          <w:rFonts w:asciiTheme="minorHAnsi" w:hAnsiTheme="minorHAnsi" w:cstheme="minorBidi"/>
        </w:rPr>
        <w:t>as a result of</w:t>
      </w:r>
      <w:proofErr w:type="gramEnd"/>
      <w:r w:rsidR="118D2560" w:rsidRPr="17FA2F59">
        <w:rPr>
          <w:rFonts w:asciiTheme="minorHAnsi" w:hAnsiTheme="minorHAnsi" w:cstheme="minorBidi"/>
        </w:rPr>
        <w:t xml:space="preserve"> taking part of it for the corridor). </w:t>
      </w:r>
      <w:r w:rsidR="4867A6CB" w:rsidRPr="17FA2F59">
        <w:rPr>
          <w:rFonts w:asciiTheme="minorHAnsi" w:hAnsiTheme="minorHAnsi" w:cstheme="minorBidi"/>
        </w:rPr>
        <w:t>Staff acknowledge</w:t>
      </w:r>
      <w:r w:rsidR="3112EBFA" w:rsidRPr="17FA2F59">
        <w:rPr>
          <w:rFonts w:asciiTheme="minorHAnsi" w:hAnsiTheme="minorHAnsi" w:cstheme="minorBidi"/>
        </w:rPr>
        <w:t>s</w:t>
      </w:r>
      <w:r w:rsidR="4867A6CB" w:rsidRPr="17FA2F59">
        <w:rPr>
          <w:rFonts w:asciiTheme="minorHAnsi" w:hAnsiTheme="minorHAnsi" w:cstheme="minorBidi"/>
        </w:rPr>
        <w:t xml:space="preserve"> a need for these projects, and they will not be discussed further in this report.</w:t>
      </w:r>
    </w:p>
    <w:p w14:paraId="7846F921" w14:textId="0EA93C02" w:rsidR="008E477D" w:rsidRPr="0062487B" w:rsidRDefault="008E477D" w:rsidP="00376206">
      <w:pPr>
        <w:rPr>
          <w:rFonts w:asciiTheme="minorHAnsi" w:hAnsiTheme="minorHAnsi" w:cstheme="minorHAnsi"/>
        </w:rPr>
      </w:pPr>
    </w:p>
    <w:p w14:paraId="4275121D" w14:textId="4115ED80" w:rsidR="008E477D" w:rsidRPr="0062487B" w:rsidRDefault="004C4D4D" w:rsidP="008E477D">
      <w:pPr>
        <w:rPr>
          <w:rFonts w:asciiTheme="minorHAnsi" w:hAnsiTheme="minorHAnsi" w:cstheme="minorHAnsi"/>
        </w:rPr>
      </w:pPr>
      <w:r w:rsidRPr="0062487B">
        <w:rPr>
          <w:rFonts w:asciiTheme="minorHAnsi" w:hAnsiTheme="minorHAnsi" w:cstheme="minorHAnsi"/>
        </w:rPr>
        <w:t>T</w:t>
      </w:r>
      <w:r w:rsidR="007443A8" w:rsidRPr="0062487B">
        <w:rPr>
          <w:rFonts w:asciiTheme="minorHAnsi" w:hAnsiTheme="minorHAnsi" w:cstheme="minorHAnsi"/>
        </w:rPr>
        <w:t xml:space="preserve">he </w:t>
      </w:r>
      <w:r w:rsidR="00233314" w:rsidRPr="0062487B">
        <w:rPr>
          <w:rFonts w:asciiTheme="minorHAnsi" w:hAnsiTheme="minorHAnsi" w:cstheme="minorHAnsi"/>
        </w:rPr>
        <w:t xml:space="preserve">Applicant asserts the </w:t>
      </w:r>
      <w:r w:rsidR="007443A8" w:rsidRPr="0062487B">
        <w:rPr>
          <w:rFonts w:asciiTheme="minorHAnsi" w:hAnsiTheme="minorHAnsi" w:cstheme="minorHAnsi"/>
        </w:rPr>
        <w:t xml:space="preserve">Proposed Project will help </w:t>
      </w:r>
      <w:r w:rsidR="00527BB6" w:rsidRPr="0062487B">
        <w:rPr>
          <w:rFonts w:asciiTheme="minorHAnsi" w:hAnsiTheme="minorHAnsi" w:cstheme="minorHAnsi"/>
        </w:rPr>
        <w:t xml:space="preserve">relieve pressure in </w:t>
      </w:r>
      <w:r w:rsidR="00B616DC" w:rsidRPr="0062487B">
        <w:rPr>
          <w:rFonts w:asciiTheme="minorHAnsi" w:hAnsiTheme="minorHAnsi" w:cstheme="minorHAnsi"/>
        </w:rPr>
        <w:t xml:space="preserve">the </w:t>
      </w:r>
      <w:r w:rsidR="007443A8" w:rsidRPr="0062487B">
        <w:rPr>
          <w:rFonts w:asciiTheme="minorHAnsi" w:hAnsiTheme="minorHAnsi" w:cstheme="minorHAnsi"/>
        </w:rPr>
        <w:t xml:space="preserve">BWFH and BWH </w:t>
      </w:r>
      <w:r w:rsidR="00387B0A" w:rsidRPr="0062487B">
        <w:rPr>
          <w:rFonts w:asciiTheme="minorHAnsi" w:hAnsiTheme="minorHAnsi" w:cstheme="minorHAnsi"/>
        </w:rPr>
        <w:t>Emergency</w:t>
      </w:r>
      <w:r w:rsidR="00B616DC" w:rsidRPr="0062487B">
        <w:rPr>
          <w:rFonts w:asciiTheme="minorHAnsi" w:hAnsiTheme="minorHAnsi" w:cstheme="minorHAnsi"/>
        </w:rPr>
        <w:t xml:space="preserve"> Departments (</w:t>
      </w:r>
      <w:r w:rsidR="007443A8" w:rsidRPr="0062487B">
        <w:rPr>
          <w:rFonts w:asciiTheme="minorHAnsi" w:hAnsiTheme="minorHAnsi" w:cstheme="minorHAnsi"/>
        </w:rPr>
        <w:t>ED</w:t>
      </w:r>
      <w:r w:rsidR="00B616DC" w:rsidRPr="0062487B">
        <w:rPr>
          <w:rFonts w:asciiTheme="minorHAnsi" w:hAnsiTheme="minorHAnsi" w:cstheme="minorHAnsi"/>
        </w:rPr>
        <w:t>)</w:t>
      </w:r>
      <w:r w:rsidR="007443A8" w:rsidRPr="0062487B">
        <w:rPr>
          <w:rFonts w:asciiTheme="minorHAnsi" w:hAnsiTheme="minorHAnsi" w:cstheme="minorHAnsi"/>
        </w:rPr>
        <w:t xml:space="preserve">, increase access to inpatient care, </w:t>
      </w:r>
      <w:r w:rsidR="0081411C" w:rsidRPr="0062487B">
        <w:rPr>
          <w:rFonts w:asciiTheme="minorHAnsi" w:hAnsiTheme="minorHAnsi" w:cstheme="minorHAnsi"/>
        </w:rPr>
        <w:t xml:space="preserve">ensure that patients are treated in the appropriate areas of the hospital, which will free up nursing resources in areas such as </w:t>
      </w:r>
      <w:r w:rsidR="007443A8" w:rsidRPr="0062487B">
        <w:rPr>
          <w:rFonts w:asciiTheme="minorHAnsi" w:hAnsiTheme="minorHAnsi" w:cstheme="minorHAnsi"/>
        </w:rPr>
        <w:t>phase one recovery spaces</w:t>
      </w:r>
      <w:r w:rsidR="0081411C" w:rsidRPr="0062487B">
        <w:rPr>
          <w:rFonts w:asciiTheme="minorHAnsi" w:hAnsiTheme="minorHAnsi" w:cstheme="minorHAnsi"/>
        </w:rPr>
        <w:t xml:space="preserve"> in the PACU and interventional radiology recovery rooms</w:t>
      </w:r>
      <w:r w:rsidR="007443A8" w:rsidRPr="0062487B">
        <w:rPr>
          <w:rFonts w:asciiTheme="minorHAnsi" w:hAnsiTheme="minorHAnsi" w:cstheme="minorHAnsi"/>
        </w:rPr>
        <w:t xml:space="preserve">, </w:t>
      </w:r>
      <w:r w:rsidR="000E1446" w:rsidRPr="0062487B">
        <w:rPr>
          <w:rFonts w:asciiTheme="minorHAnsi" w:hAnsiTheme="minorHAnsi" w:cstheme="minorHAnsi"/>
        </w:rPr>
        <w:t xml:space="preserve">and </w:t>
      </w:r>
      <w:r w:rsidR="007443A8" w:rsidRPr="0062487B">
        <w:rPr>
          <w:rFonts w:asciiTheme="minorHAnsi" w:hAnsiTheme="minorHAnsi" w:cstheme="minorHAnsi"/>
        </w:rPr>
        <w:t>accommodate advanced endoscopy care</w:t>
      </w:r>
      <w:r w:rsidR="000E1446" w:rsidRPr="0062487B">
        <w:rPr>
          <w:rFonts w:asciiTheme="minorHAnsi" w:hAnsiTheme="minorHAnsi" w:cstheme="minorHAnsi"/>
        </w:rPr>
        <w:t xml:space="preserve"> and imaging services.</w:t>
      </w:r>
      <w:r w:rsidR="004254A5" w:rsidRPr="0062487B">
        <w:rPr>
          <w:rFonts w:asciiTheme="minorHAnsi" w:hAnsiTheme="minorHAnsi" w:cstheme="minorHAnsi"/>
        </w:rPr>
        <w:t xml:space="preserve"> The Applicant asserts this project will be instrumental in </w:t>
      </w:r>
      <w:r w:rsidR="00B616DC" w:rsidRPr="0062487B">
        <w:rPr>
          <w:rFonts w:asciiTheme="minorHAnsi" w:hAnsiTheme="minorHAnsi" w:cstheme="minorHAnsi"/>
        </w:rPr>
        <w:t xml:space="preserve">meeting </w:t>
      </w:r>
      <w:r w:rsidR="004254A5" w:rsidRPr="0062487B">
        <w:rPr>
          <w:rFonts w:asciiTheme="minorHAnsi" w:hAnsiTheme="minorHAnsi" w:cstheme="minorHAnsi"/>
        </w:rPr>
        <w:t>its goal to appropriately shift some care from its Academic Medical Center facility</w:t>
      </w:r>
      <w:r w:rsidR="00B616DC" w:rsidRPr="0062487B">
        <w:rPr>
          <w:rFonts w:asciiTheme="minorHAnsi" w:hAnsiTheme="minorHAnsi" w:cstheme="minorHAnsi"/>
        </w:rPr>
        <w:t xml:space="preserve"> (BWH)</w:t>
      </w:r>
      <w:r w:rsidR="004254A5" w:rsidRPr="0062487B">
        <w:rPr>
          <w:rFonts w:asciiTheme="minorHAnsi" w:hAnsiTheme="minorHAnsi" w:cstheme="minorHAnsi"/>
        </w:rPr>
        <w:t xml:space="preserve"> to a community hospital setting</w:t>
      </w:r>
      <w:r w:rsidR="00B616DC" w:rsidRPr="0062487B">
        <w:rPr>
          <w:rFonts w:asciiTheme="minorHAnsi" w:hAnsiTheme="minorHAnsi" w:cstheme="minorHAnsi"/>
        </w:rPr>
        <w:t xml:space="preserve"> (BWFH)</w:t>
      </w:r>
      <w:r w:rsidR="008B1A15" w:rsidRPr="0062487B">
        <w:rPr>
          <w:rFonts w:asciiTheme="minorHAnsi" w:hAnsiTheme="minorHAnsi" w:cstheme="minorHAnsi"/>
        </w:rPr>
        <w:t>.</w:t>
      </w:r>
    </w:p>
    <w:p w14:paraId="729A8812" w14:textId="46197145" w:rsidR="003964D0" w:rsidRPr="0062487B" w:rsidRDefault="5C648CF6" w:rsidP="17FA2F59">
      <w:pPr>
        <w:pStyle w:val="Heading1"/>
        <w:spacing w:line="240" w:lineRule="auto"/>
        <w:rPr>
          <w:rFonts w:asciiTheme="minorHAnsi" w:hAnsiTheme="minorHAnsi" w:cstheme="minorBidi"/>
          <w:sz w:val="24"/>
          <w:szCs w:val="24"/>
        </w:rPr>
      </w:pPr>
      <w:bookmarkStart w:id="16" w:name="_Toc17151135"/>
      <w:bookmarkStart w:id="17" w:name="_Toc17731308"/>
      <w:bookmarkStart w:id="18" w:name="_Toc18420176"/>
      <w:bookmarkStart w:id="19" w:name="_Toc18922397"/>
      <w:bookmarkStart w:id="20" w:name="_Toc27567690"/>
      <w:bookmarkStart w:id="21" w:name="_Toc17151137"/>
      <w:bookmarkStart w:id="22" w:name="_Toc99645431"/>
      <w:r w:rsidRPr="17FA2F59">
        <w:rPr>
          <w:rFonts w:asciiTheme="minorHAnsi" w:hAnsiTheme="minorHAnsi" w:cstheme="minorBidi"/>
          <w:color w:val="auto"/>
          <w:sz w:val="24"/>
          <w:szCs w:val="24"/>
        </w:rPr>
        <w:t>Patient Panel</w:t>
      </w:r>
      <w:r w:rsidR="0060259B" w:rsidRPr="17FA2F59">
        <w:rPr>
          <w:rFonts w:asciiTheme="minorHAnsi" w:hAnsiTheme="minorHAnsi" w:cstheme="minorBidi"/>
          <w:b w:val="0"/>
          <w:bCs w:val="0"/>
          <w:sz w:val="24"/>
          <w:szCs w:val="24"/>
          <w:vertAlign w:val="superscript"/>
        </w:rPr>
        <w:footnoteReference w:id="4"/>
      </w:r>
      <w:bookmarkStart w:id="23" w:name="_Toc17731309"/>
      <w:bookmarkStart w:id="24" w:name="_Toc18922398"/>
      <w:bookmarkEnd w:id="16"/>
      <w:bookmarkEnd w:id="17"/>
      <w:bookmarkEnd w:id="18"/>
      <w:bookmarkEnd w:id="19"/>
      <w:bookmarkEnd w:id="20"/>
      <w:bookmarkEnd w:id="21"/>
      <w:bookmarkEnd w:id="22"/>
    </w:p>
    <w:p w14:paraId="3172DA93" w14:textId="43D67DD7" w:rsidR="00F7780F" w:rsidRPr="0062487B" w:rsidRDefault="2C034F50" w:rsidP="00F7780F">
      <w:pPr>
        <w:contextualSpacing/>
        <w:rPr>
          <w:rFonts w:asciiTheme="minorHAnsi" w:hAnsiTheme="minorHAnsi" w:cstheme="minorHAnsi"/>
          <w:color w:val="000000" w:themeColor="text1"/>
        </w:rPr>
      </w:pPr>
      <w:r w:rsidRPr="17FA2F59">
        <w:rPr>
          <w:rFonts w:asciiTheme="minorHAnsi" w:hAnsiTheme="minorHAnsi" w:cstheme="minorBidi"/>
          <w:color w:val="000000" w:themeColor="text1"/>
        </w:rPr>
        <w:t xml:space="preserve">The MGB Patient Panel consisted of 1,611,095 patients in fiscal year </w:t>
      </w:r>
      <w:r w:rsidR="015B2209" w:rsidRPr="17FA2F59">
        <w:rPr>
          <w:rFonts w:asciiTheme="minorHAnsi" w:hAnsiTheme="minorHAnsi" w:cstheme="minorBidi"/>
          <w:color w:val="000000" w:themeColor="text1"/>
        </w:rPr>
        <w:t>20</w:t>
      </w:r>
      <w:r w:rsidRPr="17FA2F59">
        <w:rPr>
          <w:rFonts w:asciiTheme="minorHAnsi" w:hAnsiTheme="minorHAnsi" w:cstheme="minorBidi"/>
          <w:color w:val="000000" w:themeColor="text1"/>
        </w:rPr>
        <w:t xml:space="preserve">20. As shown in Table 1, the number of patients utilizing MGB’s services increased by 7% between FY18 </w:t>
      </w:r>
      <w:r w:rsidR="015B2209" w:rsidRPr="17FA2F59">
        <w:rPr>
          <w:rFonts w:asciiTheme="minorHAnsi" w:hAnsiTheme="minorHAnsi" w:cstheme="minorBidi"/>
          <w:color w:val="000000" w:themeColor="text1"/>
        </w:rPr>
        <w:t>and</w:t>
      </w:r>
      <w:r w:rsidRPr="17FA2F59">
        <w:rPr>
          <w:rFonts w:asciiTheme="minorHAnsi" w:hAnsiTheme="minorHAnsi" w:cstheme="minorBidi"/>
          <w:color w:val="000000" w:themeColor="text1"/>
        </w:rPr>
        <w:t xml:space="preserve"> FY20.</w:t>
      </w:r>
    </w:p>
    <w:p w14:paraId="534CF29E" w14:textId="573FDF0A" w:rsidR="17FA2F59" w:rsidRDefault="17FA2F59" w:rsidP="17FA2F59">
      <w:pPr>
        <w:rPr>
          <w:rFonts w:asciiTheme="minorHAnsi" w:eastAsiaTheme="minorEastAsia" w:hAnsiTheme="minorHAnsi" w:cstheme="minorBidi"/>
        </w:rPr>
      </w:pPr>
    </w:p>
    <w:p w14:paraId="7B6AD3B9" w14:textId="09DDC424" w:rsidR="00F7780F" w:rsidRPr="0062487B" w:rsidRDefault="2C034F50" w:rsidP="00BD7E81">
      <w:pPr>
        <w:spacing w:after="160"/>
        <w:contextualSpacing/>
        <w:rPr>
          <w:rFonts w:asciiTheme="minorHAnsi" w:hAnsiTheme="minorHAnsi" w:cstheme="minorBidi"/>
          <w:b/>
          <w:bCs/>
          <w:color w:val="2F5897" w:themeColor="text2"/>
        </w:rPr>
      </w:pPr>
      <w:r w:rsidRPr="17FA2F59">
        <w:rPr>
          <w:rFonts w:asciiTheme="minorHAnsi" w:eastAsiaTheme="minorEastAsia" w:hAnsiTheme="minorHAnsi" w:cstheme="minorBidi"/>
          <w:b/>
          <w:bCs/>
          <w:u w:val="single"/>
        </w:rPr>
        <w:t>Table 1</w:t>
      </w:r>
      <w:r w:rsidRPr="17FA2F59">
        <w:rPr>
          <w:rFonts w:asciiTheme="minorHAnsi" w:eastAsiaTheme="minorEastAsia" w:hAnsiTheme="minorHAnsi" w:cstheme="minorBidi"/>
          <w:b/>
          <w:bCs/>
        </w:rPr>
        <w:t xml:space="preserve">: </w:t>
      </w:r>
      <w:r w:rsidRPr="17FA2F59">
        <w:rPr>
          <w:rFonts w:asciiTheme="minorHAnsi" w:hAnsiTheme="minorHAnsi" w:cstheme="minorBidi"/>
          <w:b/>
          <w:bCs/>
        </w:rPr>
        <w:t>MGB Patient Panel</w:t>
      </w:r>
    </w:p>
    <w:tbl>
      <w:tblPr>
        <w:tblW w:w="0" w:type="auto"/>
        <w:tblInd w:w="-10" w:type="dxa"/>
        <w:tblCellMar>
          <w:left w:w="0" w:type="dxa"/>
          <w:right w:w="0" w:type="dxa"/>
        </w:tblCellMar>
        <w:tblLook w:val="04A0" w:firstRow="1" w:lastRow="0" w:firstColumn="1" w:lastColumn="0" w:noHBand="0" w:noVBand="1"/>
      </w:tblPr>
      <w:tblGrid>
        <w:gridCol w:w="1188"/>
        <w:gridCol w:w="1188"/>
        <w:gridCol w:w="1188"/>
        <w:gridCol w:w="1322"/>
      </w:tblGrid>
      <w:tr w:rsidR="00D52FEC" w:rsidRPr="0062487B" w14:paraId="6F4A42E3" w14:textId="5A62C666" w:rsidTr="00BD7E81">
        <w:tc>
          <w:tcPr>
            <w:tcW w:w="0" w:type="auto"/>
            <w:tcBorders>
              <w:top w:val="single" w:sz="8" w:space="0" w:color="auto"/>
              <w:left w:val="single" w:sz="8" w:space="0" w:color="auto"/>
              <w:bottom w:val="single" w:sz="8" w:space="0" w:color="auto"/>
              <w:right w:val="single" w:sz="8" w:space="0" w:color="auto"/>
            </w:tcBorders>
            <w:shd w:val="clear" w:color="auto" w:fill="DFE3F0" w:themeFill="accent1" w:themeFillTint="33"/>
            <w:tcMar>
              <w:top w:w="0" w:type="dxa"/>
              <w:left w:w="108" w:type="dxa"/>
              <w:bottom w:w="0" w:type="dxa"/>
              <w:right w:w="108" w:type="dxa"/>
            </w:tcMar>
            <w:hideMark/>
          </w:tcPr>
          <w:p w14:paraId="1E380FF2" w14:textId="77777777" w:rsidR="00D52FEC" w:rsidRPr="0062487B" w:rsidRDefault="00D52FEC" w:rsidP="00D42048">
            <w:pPr>
              <w:spacing w:before="100" w:beforeAutospacing="1" w:after="100" w:afterAutospacing="1"/>
              <w:jc w:val="center"/>
              <w:rPr>
                <w:rFonts w:asciiTheme="minorHAnsi" w:hAnsiTheme="minorHAnsi" w:cstheme="minorHAnsi"/>
              </w:rPr>
            </w:pPr>
            <w:r w:rsidRPr="0062487B">
              <w:rPr>
                <w:rFonts w:asciiTheme="minorHAnsi" w:hAnsiTheme="minorHAnsi" w:cstheme="minorHAnsi"/>
                <w:b/>
                <w:bCs/>
                <w:bdr w:val="none" w:sz="0" w:space="0" w:color="auto" w:frame="1"/>
              </w:rPr>
              <w:t>FY18</w:t>
            </w:r>
          </w:p>
        </w:tc>
        <w:tc>
          <w:tcPr>
            <w:tcW w:w="0" w:type="auto"/>
            <w:tcBorders>
              <w:top w:val="single" w:sz="8" w:space="0" w:color="auto"/>
              <w:left w:val="nil"/>
              <w:bottom w:val="single" w:sz="8" w:space="0" w:color="auto"/>
              <w:right w:val="single" w:sz="8" w:space="0" w:color="auto"/>
            </w:tcBorders>
            <w:shd w:val="clear" w:color="auto" w:fill="DFE3F0" w:themeFill="accent1" w:themeFillTint="33"/>
            <w:tcMar>
              <w:top w:w="0" w:type="dxa"/>
              <w:left w:w="108" w:type="dxa"/>
              <w:bottom w:w="0" w:type="dxa"/>
              <w:right w:w="108" w:type="dxa"/>
            </w:tcMar>
            <w:hideMark/>
          </w:tcPr>
          <w:p w14:paraId="67C888E2" w14:textId="77777777" w:rsidR="00D52FEC" w:rsidRPr="0062487B" w:rsidRDefault="00D52FEC" w:rsidP="00683AED">
            <w:pPr>
              <w:spacing w:beforeAutospacing="1" w:afterAutospacing="1"/>
              <w:jc w:val="center"/>
              <w:rPr>
                <w:rFonts w:asciiTheme="minorHAnsi" w:hAnsiTheme="minorHAnsi" w:cstheme="minorHAnsi"/>
              </w:rPr>
            </w:pPr>
            <w:r w:rsidRPr="0062487B">
              <w:rPr>
                <w:rFonts w:asciiTheme="minorHAnsi" w:hAnsiTheme="minorHAnsi" w:cstheme="minorHAnsi"/>
                <w:b/>
                <w:bCs/>
                <w:color w:val="000000"/>
                <w:bdr w:val="none" w:sz="0" w:space="0" w:color="auto" w:frame="1"/>
              </w:rPr>
              <w:t>FY19</w:t>
            </w:r>
          </w:p>
        </w:tc>
        <w:tc>
          <w:tcPr>
            <w:tcW w:w="0" w:type="auto"/>
            <w:tcBorders>
              <w:top w:val="single" w:sz="8" w:space="0" w:color="auto"/>
              <w:left w:val="nil"/>
              <w:bottom w:val="single" w:sz="8" w:space="0" w:color="auto"/>
              <w:right w:val="single" w:sz="8" w:space="0" w:color="auto"/>
            </w:tcBorders>
            <w:shd w:val="clear" w:color="auto" w:fill="DFE3F0" w:themeFill="accent1" w:themeFillTint="33"/>
            <w:tcMar>
              <w:top w:w="0" w:type="dxa"/>
              <w:left w:w="108" w:type="dxa"/>
              <w:bottom w:w="0" w:type="dxa"/>
              <w:right w:w="108" w:type="dxa"/>
            </w:tcMar>
            <w:hideMark/>
          </w:tcPr>
          <w:p w14:paraId="13383B5E" w14:textId="77777777" w:rsidR="00D52FEC" w:rsidRPr="0062487B" w:rsidRDefault="00D52FEC" w:rsidP="00683AED">
            <w:pPr>
              <w:spacing w:beforeAutospacing="1" w:afterAutospacing="1"/>
              <w:jc w:val="center"/>
              <w:rPr>
                <w:rFonts w:asciiTheme="minorHAnsi" w:hAnsiTheme="minorHAnsi" w:cstheme="minorHAnsi"/>
              </w:rPr>
            </w:pPr>
            <w:r w:rsidRPr="0062487B">
              <w:rPr>
                <w:rFonts w:asciiTheme="minorHAnsi" w:hAnsiTheme="minorHAnsi" w:cstheme="minorHAnsi"/>
                <w:b/>
                <w:bCs/>
                <w:color w:val="000000"/>
                <w:bdr w:val="none" w:sz="0" w:space="0" w:color="auto" w:frame="1"/>
              </w:rPr>
              <w:t>FY20</w:t>
            </w:r>
          </w:p>
        </w:tc>
        <w:tc>
          <w:tcPr>
            <w:tcW w:w="1322" w:type="dxa"/>
            <w:tcBorders>
              <w:top w:val="single" w:sz="8" w:space="0" w:color="auto"/>
              <w:left w:val="nil"/>
              <w:bottom w:val="single" w:sz="8" w:space="0" w:color="auto"/>
              <w:right w:val="single" w:sz="8" w:space="0" w:color="auto"/>
            </w:tcBorders>
            <w:shd w:val="clear" w:color="auto" w:fill="DFE3F0" w:themeFill="accent1" w:themeFillTint="33"/>
          </w:tcPr>
          <w:p w14:paraId="1A622979" w14:textId="4AC66CCB" w:rsidR="00D52FEC" w:rsidRPr="0062487B" w:rsidRDefault="00D52FEC" w:rsidP="00683AED">
            <w:pPr>
              <w:spacing w:beforeAutospacing="1" w:afterAutospacing="1"/>
              <w:jc w:val="center"/>
              <w:rPr>
                <w:rFonts w:asciiTheme="minorHAnsi" w:hAnsiTheme="minorHAnsi" w:cstheme="minorHAnsi"/>
                <w:b/>
                <w:bCs/>
                <w:color w:val="000000"/>
                <w:bdr w:val="none" w:sz="0" w:space="0" w:color="auto" w:frame="1"/>
              </w:rPr>
            </w:pPr>
            <w:r w:rsidRPr="0062487B">
              <w:rPr>
                <w:rFonts w:asciiTheme="minorHAnsi" w:hAnsiTheme="minorHAnsi" w:cstheme="minorHAnsi"/>
                <w:b/>
                <w:bCs/>
                <w:color w:val="000000"/>
                <w:bdr w:val="none" w:sz="0" w:space="0" w:color="auto" w:frame="1"/>
              </w:rPr>
              <w:t>% Change FY18-FY20</w:t>
            </w:r>
          </w:p>
        </w:tc>
      </w:tr>
      <w:tr w:rsidR="00D52FEC" w:rsidRPr="0062487B" w14:paraId="370E94C4" w14:textId="42DDC872" w:rsidTr="00BD7E8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4F215" w14:textId="77777777" w:rsidR="00D52FEC" w:rsidRPr="0062487B" w:rsidRDefault="00D52FEC" w:rsidP="00683AED">
            <w:pPr>
              <w:spacing w:beforeAutospacing="1" w:afterAutospacing="1"/>
              <w:jc w:val="center"/>
              <w:rPr>
                <w:rFonts w:asciiTheme="minorHAnsi" w:hAnsiTheme="minorHAnsi" w:cstheme="minorHAnsi"/>
              </w:rPr>
            </w:pPr>
            <w:r w:rsidRPr="0062487B">
              <w:rPr>
                <w:rFonts w:asciiTheme="minorHAnsi" w:hAnsiTheme="minorHAnsi" w:cstheme="minorHAnsi"/>
                <w:bdr w:val="none" w:sz="0" w:space="0" w:color="auto" w:frame="1"/>
              </w:rPr>
              <w:t>1,504,625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5F7CD98" w14:textId="77777777" w:rsidR="00D52FEC" w:rsidRPr="0062487B" w:rsidRDefault="00D52FEC" w:rsidP="00683AED">
            <w:pPr>
              <w:spacing w:beforeAutospacing="1" w:afterAutospacing="1"/>
              <w:jc w:val="center"/>
              <w:rPr>
                <w:rFonts w:asciiTheme="minorHAnsi" w:hAnsiTheme="minorHAnsi" w:cstheme="minorHAnsi"/>
              </w:rPr>
            </w:pPr>
            <w:r w:rsidRPr="0062487B">
              <w:rPr>
                <w:rFonts w:asciiTheme="minorHAnsi" w:hAnsiTheme="minorHAnsi" w:cstheme="minorHAnsi"/>
                <w:bdr w:val="none" w:sz="0" w:space="0" w:color="auto" w:frame="1"/>
              </w:rPr>
              <w:t>1,528,359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E97225F" w14:textId="77777777" w:rsidR="00D52FEC" w:rsidRPr="0062487B" w:rsidRDefault="00D52FEC" w:rsidP="00683AED">
            <w:pPr>
              <w:spacing w:beforeAutospacing="1" w:afterAutospacing="1"/>
              <w:jc w:val="center"/>
              <w:rPr>
                <w:rFonts w:asciiTheme="minorHAnsi" w:hAnsiTheme="minorHAnsi" w:cstheme="minorHAnsi"/>
              </w:rPr>
            </w:pPr>
            <w:r w:rsidRPr="0062487B">
              <w:rPr>
                <w:rFonts w:asciiTheme="minorHAnsi" w:hAnsiTheme="minorHAnsi" w:cstheme="minorHAnsi"/>
                <w:bdr w:val="none" w:sz="0" w:space="0" w:color="auto" w:frame="1"/>
              </w:rPr>
              <w:t>1,611,095</w:t>
            </w:r>
          </w:p>
        </w:tc>
        <w:tc>
          <w:tcPr>
            <w:tcW w:w="1322" w:type="dxa"/>
            <w:tcBorders>
              <w:top w:val="nil"/>
              <w:left w:val="nil"/>
              <w:bottom w:val="single" w:sz="8" w:space="0" w:color="auto"/>
              <w:right w:val="single" w:sz="8" w:space="0" w:color="auto"/>
            </w:tcBorders>
          </w:tcPr>
          <w:p w14:paraId="515F8DD0" w14:textId="2D9C4362" w:rsidR="00D52FEC" w:rsidRPr="0062487B" w:rsidRDefault="00D52FEC" w:rsidP="00683AED">
            <w:pPr>
              <w:spacing w:beforeAutospacing="1" w:afterAutospacing="1"/>
              <w:jc w:val="center"/>
              <w:rPr>
                <w:rFonts w:asciiTheme="minorHAnsi" w:hAnsiTheme="minorHAnsi" w:cstheme="minorHAnsi"/>
                <w:bdr w:val="none" w:sz="0" w:space="0" w:color="auto" w:frame="1"/>
              </w:rPr>
            </w:pPr>
            <w:r w:rsidRPr="0062487B">
              <w:rPr>
                <w:rFonts w:asciiTheme="minorHAnsi" w:hAnsiTheme="minorHAnsi" w:cstheme="minorHAnsi"/>
                <w:bdr w:val="none" w:sz="0" w:space="0" w:color="auto" w:frame="1"/>
              </w:rPr>
              <w:t>7.1%</w:t>
            </w:r>
          </w:p>
        </w:tc>
      </w:tr>
    </w:tbl>
    <w:p w14:paraId="31A4F5B0" w14:textId="40E27901" w:rsidR="00A12513" w:rsidRPr="0062487B" w:rsidRDefault="6E645F3D" w:rsidP="17FA2F59">
      <w:pPr>
        <w:pStyle w:val="Heading1"/>
        <w:spacing w:line="240" w:lineRule="auto"/>
        <w:rPr>
          <w:rFonts w:asciiTheme="minorHAnsi" w:hAnsiTheme="minorHAnsi" w:cstheme="minorBidi"/>
          <w:color w:val="auto"/>
          <w:sz w:val="24"/>
          <w:szCs w:val="24"/>
        </w:rPr>
      </w:pPr>
      <w:bookmarkStart w:id="25" w:name="_Toc99645432"/>
      <w:r w:rsidRPr="17FA2F59">
        <w:rPr>
          <w:rFonts w:asciiTheme="minorHAnsi" w:hAnsiTheme="minorHAnsi" w:cstheme="minorBidi"/>
          <w:color w:val="auto"/>
          <w:sz w:val="24"/>
          <w:szCs w:val="24"/>
        </w:rPr>
        <w:t>Patient P</w:t>
      </w:r>
      <w:r w:rsidR="65C1557E" w:rsidRPr="17FA2F59">
        <w:rPr>
          <w:rFonts w:asciiTheme="minorHAnsi" w:hAnsiTheme="minorHAnsi" w:cstheme="minorBidi"/>
          <w:color w:val="auto"/>
          <w:sz w:val="24"/>
          <w:szCs w:val="24"/>
        </w:rPr>
        <w:t>anel</w:t>
      </w:r>
      <w:r w:rsidRPr="17FA2F59">
        <w:rPr>
          <w:rFonts w:asciiTheme="minorHAnsi" w:hAnsiTheme="minorHAnsi" w:cstheme="minorBidi"/>
          <w:color w:val="auto"/>
          <w:sz w:val="24"/>
          <w:szCs w:val="24"/>
        </w:rPr>
        <w:t xml:space="preserve"> Information (FY19)</w:t>
      </w:r>
      <w:bookmarkEnd w:id="25"/>
    </w:p>
    <w:p w14:paraId="26C41E80" w14:textId="0CA41C51" w:rsidR="008F318D" w:rsidRPr="0062487B" w:rsidRDefault="00A12513" w:rsidP="00A12513">
      <w:pPr>
        <w:contextualSpacing/>
        <w:rPr>
          <w:rFonts w:asciiTheme="minorHAnsi" w:hAnsiTheme="minorHAnsi" w:cstheme="minorHAnsi"/>
          <w:color w:val="000000" w:themeColor="text1"/>
        </w:rPr>
      </w:pPr>
      <w:r w:rsidRPr="0062487B">
        <w:rPr>
          <w:rFonts w:asciiTheme="minorHAnsi" w:hAnsiTheme="minorHAnsi" w:cstheme="minorHAnsi"/>
          <w:color w:val="000000" w:themeColor="text1"/>
        </w:rPr>
        <w:t>Tables 2</w:t>
      </w:r>
      <w:r w:rsidR="008F318D" w:rsidRPr="0062487B">
        <w:rPr>
          <w:rFonts w:asciiTheme="minorHAnsi" w:hAnsiTheme="minorHAnsi" w:cstheme="minorHAnsi"/>
          <w:color w:val="000000" w:themeColor="text1"/>
        </w:rPr>
        <w:t xml:space="preserve"> and 3 </w:t>
      </w:r>
      <w:r w:rsidRPr="0062487B">
        <w:rPr>
          <w:rFonts w:asciiTheme="minorHAnsi" w:hAnsiTheme="minorHAnsi" w:cstheme="minorHAnsi"/>
          <w:color w:val="000000" w:themeColor="text1"/>
        </w:rPr>
        <w:t xml:space="preserve">present patient information for </w:t>
      </w:r>
      <w:r w:rsidR="008F318D" w:rsidRPr="0062487B">
        <w:rPr>
          <w:rFonts w:asciiTheme="minorHAnsi" w:hAnsiTheme="minorHAnsi" w:cstheme="minorHAnsi"/>
          <w:color w:val="000000" w:themeColor="text1"/>
        </w:rPr>
        <w:t xml:space="preserve">MGB and </w:t>
      </w:r>
      <w:r w:rsidRPr="0062487B">
        <w:rPr>
          <w:rFonts w:asciiTheme="minorHAnsi" w:hAnsiTheme="minorHAnsi" w:cstheme="minorHAnsi"/>
          <w:color w:val="000000" w:themeColor="text1"/>
        </w:rPr>
        <w:t xml:space="preserve">BWFH </w:t>
      </w:r>
      <w:r w:rsidR="008F318D" w:rsidRPr="0062487B">
        <w:rPr>
          <w:rFonts w:asciiTheme="minorHAnsi" w:hAnsiTheme="minorHAnsi" w:cstheme="minorHAnsi"/>
          <w:color w:val="000000" w:themeColor="text1"/>
        </w:rPr>
        <w:t>patients.</w:t>
      </w:r>
      <w:r w:rsidR="008F318D" w:rsidRPr="0062487B">
        <w:rPr>
          <w:rFonts w:asciiTheme="minorHAnsi" w:hAnsiTheme="minorHAnsi" w:cstheme="minorHAnsi"/>
        </w:rPr>
        <w:t xml:space="preserve"> </w:t>
      </w:r>
      <w:r w:rsidR="00A37B12" w:rsidRPr="0062487B">
        <w:rPr>
          <w:rFonts w:asciiTheme="minorHAnsi" w:hAnsiTheme="minorHAnsi" w:cstheme="minorHAnsi"/>
        </w:rPr>
        <w:t>S</w:t>
      </w:r>
      <w:r w:rsidR="008F318D" w:rsidRPr="0062487B">
        <w:rPr>
          <w:rFonts w:asciiTheme="minorHAnsi" w:hAnsiTheme="minorHAnsi" w:cstheme="minorHAnsi"/>
        </w:rPr>
        <w:t>taff notes the following observations about these data below:</w:t>
      </w:r>
    </w:p>
    <w:p w14:paraId="5887FE80" w14:textId="0E20F71C" w:rsidR="00A12513" w:rsidRPr="00D42048" w:rsidRDefault="00A12513" w:rsidP="00D42048">
      <w:pPr>
        <w:pStyle w:val="ListParagraph"/>
        <w:numPr>
          <w:ilvl w:val="0"/>
          <w:numId w:val="34"/>
        </w:numPr>
        <w:spacing w:after="120"/>
        <w:rPr>
          <w:rFonts w:asciiTheme="minorHAnsi" w:hAnsiTheme="minorHAnsi" w:cstheme="minorHAnsi"/>
          <w:color w:val="000000" w:themeColor="text1"/>
        </w:rPr>
      </w:pPr>
      <w:r w:rsidRPr="00D42048">
        <w:rPr>
          <w:rFonts w:asciiTheme="minorHAnsi" w:hAnsiTheme="minorHAnsi" w:cstheme="minorHAnsi"/>
          <w:b/>
          <w:bCs/>
          <w:color w:val="000000" w:themeColor="text1"/>
        </w:rPr>
        <w:t>Age</w:t>
      </w:r>
      <w:r w:rsidR="008B1A15" w:rsidRPr="00D42048">
        <w:rPr>
          <w:rFonts w:asciiTheme="minorHAnsi" w:hAnsiTheme="minorHAnsi" w:cstheme="minorHAnsi"/>
          <w:b/>
          <w:bCs/>
          <w:color w:val="000000" w:themeColor="text1"/>
        </w:rPr>
        <w:t>:</w:t>
      </w:r>
      <w:r w:rsidRPr="00D42048">
        <w:rPr>
          <w:rFonts w:asciiTheme="minorHAnsi" w:hAnsiTheme="minorHAnsi" w:cstheme="minorHAnsi"/>
          <w:color w:val="000000" w:themeColor="text1"/>
        </w:rPr>
        <w:t xml:space="preserve"> </w:t>
      </w:r>
      <w:r w:rsidR="00A37B12" w:rsidRPr="00D42048">
        <w:rPr>
          <w:rFonts w:asciiTheme="minorHAnsi" w:hAnsiTheme="minorHAnsi" w:cstheme="minorHAnsi"/>
        </w:rPr>
        <w:t>P</w:t>
      </w:r>
      <w:r w:rsidR="008F318D" w:rsidRPr="00D42048">
        <w:rPr>
          <w:rFonts w:asciiTheme="minorHAnsi" w:hAnsiTheme="minorHAnsi" w:cstheme="minorHAnsi"/>
        </w:rPr>
        <w:t>atients ages 65 and over represent ~2</w:t>
      </w:r>
      <w:r w:rsidR="00A625B5" w:rsidRPr="00D42048">
        <w:rPr>
          <w:rFonts w:asciiTheme="minorHAnsi" w:hAnsiTheme="minorHAnsi" w:cstheme="minorHAnsi"/>
        </w:rPr>
        <w:t>6</w:t>
      </w:r>
      <w:r w:rsidR="008F318D" w:rsidRPr="00D42048">
        <w:rPr>
          <w:rFonts w:asciiTheme="minorHAnsi" w:hAnsiTheme="minorHAnsi" w:cstheme="minorHAnsi"/>
        </w:rPr>
        <w:t>% and 36% of the MGB and BWFH patient populations</w:t>
      </w:r>
      <w:r w:rsidR="00A37B12" w:rsidRPr="00D42048">
        <w:rPr>
          <w:rFonts w:asciiTheme="minorHAnsi" w:hAnsiTheme="minorHAnsi" w:cstheme="minorHAnsi"/>
        </w:rPr>
        <w:t>, respectively</w:t>
      </w:r>
      <w:r w:rsidR="008F318D" w:rsidRPr="00D42048">
        <w:rPr>
          <w:rFonts w:asciiTheme="minorHAnsi" w:hAnsiTheme="minorHAnsi" w:cstheme="minorHAnsi"/>
        </w:rPr>
        <w:t>.</w:t>
      </w:r>
    </w:p>
    <w:p w14:paraId="669BB099" w14:textId="4B1A9024" w:rsidR="008F318D" w:rsidRPr="00D42048" w:rsidRDefault="00A12513" w:rsidP="00D42048">
      <w:pPr>
        <w:pStyle w:val="ListParagraph"/>
        <w:numPr>
          <w:ilvl w:val="0"/>
          <w:numId w:val="34"/>
        </w:numPr>
        <w:spacing w:after="160"/>
        <w:rPr>
          <w:rFonts w:asciiTheme="minorHAnsi" w:hAnsiTheme="minorHAnsi" w:cstheme="minorHAnsi"/>
          <w:b/>
          <w:bCs/>
        </w:rPr>
      </w:pPr>
      <w:r w:rsidRPr="00D42048">
        <w:rPr>
          <w:rFonts w:asciiTheme="minorHAnsi" w:hAnsiTheme="minorHAnsi" w:cstheme="minorHAnsi"/>
          <w:b/>
          <w:bCs/>
          <w:color w:val="000000" w:themeColor="text1"/>
        </w:rPr>
        <w:t>Race/Ethnicity</w:t>
      </w:r>
      <w:r w:rsidR="008B1A15" w:rsidRPr="00D42048">
        <w:rPr>
          <w:rFonts w:asciiTheme="minorHAnsi" w:hAnsiTheme="minorHAnsi" w:cstheme="minorHAnsi"/>
          <w:b/>
          <w:bCs/>
          <w:color w:val="000000" w:themeColor="text1"/>
        </w:rPr>
        <w:t>:</w:t>
      </w:r>
      <w:r w:rsidRPr="00D42048">
        <w:rPr>
          <w:rFonts w:asciiTheme="minorHAnsi" w:hAnsiTheme="minorHAnsi" w:cstheme="minorHAnsi"/>
          <w:color w:val="000000" w:themeColor="text1"/>
        </w:rPr>
        <w:t xml:space="preserve"> </w:t>
      </w:r>
      <w:r w:rsidR="008F318D" w:rsidRPr="00D42048">
        <w:rPr>
          <w:rFonts w:asciiTheme="minorHAnsi" w:hAnsiTheme="minorHAnsi" w:cstheme="minorHAnsi"/>
        </w:rPr>
        <w:t>A majority (</w:t>
      </w:r>
      <w:r w:rsidR="00BD7E81">
        <w:rPr>
          <w:rFonts w:asciiTheme="minorHAnsi" w:hAnsiTheme="minorHAnsi" w:cstheme="minorHAnsi"/>
        </w:rPr>
        <w:t>just</w:t>
      </w:r>
      <w:r w:rsidR="008F318D" w:rsidRPr="00D42048">
        <w:rPr>
          <w:rFonts w:asciiTheme="minorHAnsi" w:hAnsiTheme="minorHAnsi" w:cstheme="minorHAnsi"/>
        </w:rPr>
        <w:t xml:space="preserve"> over </w:t>
      </w:r>
      <w:r w:rsidR="00D610BD">
        <w:rPr>
          <w:rFonts w:asciiTheme="minorHAnsi" w:hAnsiTheme="minorHAnsi" w:cstheme="minorHAnsi"/>
        </w:rPr>
        <w:t>~</w:t>
      </w:r>
      <w:r w:rsidR="008F318D" w:rsidRPr="00D42048">
        <w:rPr>
          <w:rFonts w:asciiTheme="minorHAnsi" w:hAnsiTheme="minorHAnsi" w:cstheme="minorHAnsi"/>
        </w:rPr>
        <w:t xml:space="preserve">70%) of MGB and BWFH patients identify as </w:t>
      </w:r>
      <w:r w:rsidR="00483F85" w:rsidRPr="00D42048">
        <w:rPr>
          <w:rFonts w:asciiTheme="minorHAnsi" w:hAnsiTheme="minorHAnsi" w:cstheme="minorHAnsi"/>
        </w:rPr>
        <w:t>w</w:t>
      </w:r>
      <w:r w:rsidR="008F318D" w:rsidRPr="00D42048">
        <w:rPr>
          <w:rFonts w:asciiTheme="minorHAnsi" w:hAnsiTheme="minorHAnsi" w:cstheme="minorHAnsi"/>
        </w:rPr>
        <w:t xml:space="preserve">hite. </w:t>
      </w:r>
    </w:p>
    <w:p w14:paraId="22AC2C1B" w14:textId="77D62ADA" w:rsidR="00A12513" w:rsidRPr="00D42048" w:rsidRDefault="00A12513" w:rsidP="00D42048">
      <w:pPr>
        <w:pStyle w:val="ListParagraph"/>
        <w:numPr>
          <w:ilvl w:val="0"/>
          <w:numId w:val="34"/>
        </w:numPr>
        <w:rPr>
          <w:rFonts w:asciiTheme="minorHAnsi" w:hAnsiTheme="minorHAnsi" w:cstheme="minorHAnsi"/>
          <w:color w:val="000000" w:themeColor="text1"/>
        </w:rPr>
      </w:pPr>
      <w:r w:rsidRPr="00D42048">
        <w:rPr>
          <w:rFonts w:asciiTheme="minorHAnsi" w:hAnsiTheme="minorHAnsi" w:cstheme="minorHAnsi"/>
          <w:b/>
          <w:bCs/>
          <w:color w:val="000000" w:themeColor="text1"/>
        </w:rPr>
        <w:t>Patient Origin</w:t>
      </w:r>
      <w:r w:rsidR="008B1A15" w:rsidRPr="00D42048">
        <w:rPr>
          <w:rFonts w:asciiTheme="minorHAnsi" w:hAnsiTheme="minorHAnsi" w:cstheme="minorHAnsi"/>
          <w:b/>
          <w:bCs/>
          <w:color w:val="000000" w:themeColor="text1"/>
        </w:rPr>
        <w:t>:</w:t>
      </w:r>
      <w:r w:rsidRPr="00D42048">
        <w:rPr>
          <w:rFonts w:asciiTheme="minorHAnsi" w:hAnsiTheme="minorHAnsi" w:cstheme="minorHAnsi"/>
          <w:color w:val="000000" w:themeColor="text1"/>
        </w:rPr>
        <w:t xml:space="preserve"> </w:t>
      </w:r>
      <w:r w:rsidR="008F318D" w:rsidRPr="00D42048">
        <w:rPr>
          <w:rFonts w:asciiTheme="minorHAnsi" w:hAnsiTheme="minorHAnsi" w:cstheme="minorHAnsi"/>
          <w:color w:val="000000" w:themeColor="text1"/>
        </w:rPr>
        <w:t xml:space="preserve">Of the six health service areas (HSAs), </w:t>
      </w:r>
      <w:r w:rsidR="00C46B15" w:rsidRPr="00D42048">
        <w:rPr>
          <w:rFonts w:asciiTheme="minorHAnsi" w:hAnsiTheme="minorHAnsi" w:cstheme="minorHAnsi"/>
          <w:color w:val="000000" w:themeColor="text1"/>
        </w:rPr>
        <w:t xml:space="preserve">a plurality </w:t>
      </w:r>
      <w:r w:rsidR="008F318D" w:rsidRPr="00D42048">
        <w:rPr>
          <w:rFonts w:asciiTheme="minorHAnsi" w:hAnsiTheme="minorHAnsi" w:cstheme="minorHAnsi"/>
          <w:color w:val="000000" w:themeColor="text1"/>
        </w:rPr>
        <w:t>of MGB’s and BWFH’s patient</w:t>
      </w:r>
      <w:r w:rsidR="00A37B12" w:rsidRPr="00D42048">
        <w:rPr>
          <w:rFonts w:asciiTheme="minorHAnsi" w:hAnsiTheme="minorHAnsi" w:cstheme="minorHAnsi"/>
          <w:color w:val="000000" w:themeColor="text1"/>
        </w:rPr>
        <w:t>s</w:t>
      </w:r>
      <w:r w:rsidR="008F318D" w:rsidRPr="00D42048">
        <w:rPr>
          <w:rFonts w:asciiTheme="minorHAnsi" w:hAnsiTheme="minorHAnsi" w:cstheme="minorHAnsi"/>
          <w:color w:val="000000" w:themeColor="text1"/>
        </w:rPr>
        <w:t xml:space="preserve"> originate from </w:t>
      </w:r>
      <w:r w:rsidR="009D3109">
        <w:rPr>
          <w:rFonts w:asciiTheme="minorHAnsi" w:hAnsiTheme="minorHAnsi" w:cstheme="minorHAnsi"/>
          <w:color w:val="000000" w:themeColor="text1"/>
        </w:rPr>
        <w:t xml:space="preserve">HSA </w:t>
      </w:r>
      <w:r w:rsidRPr="00D42048">
        <w:rPr>
          <w:rFonts w:asciiTheme="minorHAnsi" w:hAnsiTheme="minorHAnsi" w:cstheme="minorHAnsi"/>
          <w:color w:val="000000" w:themeColor="text1"/>
        </w:rPr>
        <w:t>4 (</w:t>
      </w:r>
      <w:r w:rsidR="008F318D" w:rsidRPr="00D42048">
        <w:rPr>
          <w:rFonts w:asciiTheme="minorHAnsi" w:hAnsiTheme="minorHAnsi" w:cstheme="minorHAnsi"/>
          <w:color w:val="000000" w:themeColor="text1"/>
        </w:rPr>
        <w:t>44.6%</w:t>
      </w:r>
      <w:r w:rsidR="00BD7E81">
        <w:rPr>
          <w:rFonts w:asciiTheme="minorHAnsi" w:hAnsiTheme="minorHAnsi" w:cstheme="minorHAnsi"/>
          <w:color w:val="000000" w:themeColor="text1"/>
        </w:rPr>
        <w:t>and 72.9%, respectively</w:t>
      </w:r>
      <w:r w:rsidRPr="00D42048">
        <w:rPr>
          <w:rFonts w:asciiTheme="minorHAnsi" w:hAnsiTheme="minorHAnsi" w:cstheme="minorHAnsi"/>
          <w:color w:val="000000" w:themeColor="text1"/>
        </w:rPr>
        <w:t>)</w:t>
      </w:r>
      <w:r w:rsidR="008F318D" w:rsidRPr="00D42048">
        <w:rPr>
          <w:rFonts w:asciiTheme="minorHAnsi" w:hAnsiTheme="minorHAnsi" w:cstheme="minorHAnsi"/>
          <w:color w:val="000000" w:themeColor="text1"/>
        </w:rPr>
        <w:t>.</w:t>
      </w:r>
      <w:r w:rsidR="008F318D" w:rsidRPr="0062487B">
        <w:rPr>
          <w:vertAlign w:val="superscript"/>
        </w:rPr>
        <w:footnoteReference w:id="5"/>
      </w:r>
    </w:p>
    <w:p w14:paraId="06C04FDF" w14:textId="50A43C9F" w:rsidR="00D42048" w:rsidRDefault="00A12513" w:rsidP="00D42048">
      <w:pPr>
        <w:pStyle w:val="ListParagraph"/>
        <w:numPr>
          <w:ilvl w:val="0"/>
          <w:numId w:val="34"/>
        </w:numPr>
        <w:rPr>
          <w:rFonts w:asciiTheme="minorHAnsi" w:hAnsiTheme="minorHAnsi" w:cstheme="minorHAnsi"/>
        </w:rPr>
      </w:pPr>
      <w:r w:rsidRPr="00D42048">
        <w:rPr>
          <w:rFonts w:asciiTheme="minorHAnsi" w:hAnsiTheme="minorHAnsi" w:cstheme="minorHAnsi"/>
          <w:b/>
          <w:bCs/>
          <w:color w:val="000000" w:themeColor="text1"/>
        </w:rPr>
        <w:t>Payer Mix</w:t>
      </w:r>
      <w:r w:rsidR="008B1A15" w:rsidRPr="00D42048">
        <w:rPr>
          <w:rFonts w:asciiTheme="minorHAnsi" w:hAnsiTheme="minorHAnsi" w:cstheme="minorHAnsi"/>
          <w:b/>
          <w:bCs/>
          <w:color w:val="000000" w:themeColor="text1"/>
        </w:rPr>
        <w:t>:</w:t>
      </w:r>
      <w:r w:rsidRPr="00D42048">
        <w:rPr>
          <w:rFonts w:asciiTheme="minorHAnsi" w:hAnsiTheme="minorHAnsi" w:cstheme="minorHAnsi"/>
          <w:color w:val="000000" w:themeColor="text1"/>
        </w:rPr>
        <w:t xml:space="preserve"> </w:t>
      </w:r>
      <w:r w:rsidR="00A94A1C" w:rsidRPr="00D42048">
        <w:rPr>
          <w:rFonts w:asciiTheme="minorHAnsi" w:hAnsiTheme="minorHAnsi" w:cstheme="minorHAnsi"/>
        </w:rPr>
        <w:t>There is a higher percentage of MassHealth, Managed Medicaid (MassHealth ACO), Commercial Medicare</w:t>
      </w:r>
      <w:r w:rsidR="00870194" w:rsidRPr="00D42048">
        <w:rPr>
          <w:rFonts w:asciiTheme="minorHAnsi" w:hAnsiTheme="minorHAnsi" w:cstheme="minorHAnsi"/>
        </w:rPr>
        <w:t xml:space="preserve">, and Medicare </w:t>
      </w:r>
      <w:r w:rsidR="009D3109">
        <w:rPr>
          <w:rFonts w:asciiTheme="minorHAnsi" w:hAnsiTheme="minorHAnsi" w:cstheme="minorHAnsi"/>
        </w:rPr>
        <w:t>fee-for-service (</w:t>
      </w:r>
      <w:r w:rsidR="00870194" w:rsidRPr="00D42048">
        <w:rPr>
          <w:rFonts w:asciiTheme="minorHAnsi" w:hAnsiTheme="minorHAnsi" w:cstheme="minorHAnsi"/>
        </w:rPr>
        <w:t>FFS</w:t>
      </w:r>
      <w:r w:rsidR="009D3109">
        <w:rPr>
          <w:rFonts w:asciiTheme="minorHAnsi" w:hAnsiTheme="minorHAnsi" w:cstheme="minorHAnsi"/>
        </w:rPr>
        <w:t>)</w:t>
      </w:r>
      <w:r w:rsidR="00A94A1C" w:rsidRPr="00D42048">
        <w:rPr>
          <w:rFonts w:asciiTheme="minorHAnsi" w:hAnsiTheme="minorHAnsi" w:cstheme="minorHAnsi"/>
        </w:rPr>
        <w:t xml:space="preserve"> at </w:t>
      </w:r>
      <w:r w:rsidR="00A37B12" w:rsidRPr="00D42048">
        <w:rPr>
          <w:rFonts w:asciiTheme="minorHAnsi" w:hAnsiTheme="minorHAnsi" w:cstheme="minorHAnsi"/>
        </w:rPr>
        <w:t>BWF</w:t>
      </w:r>
      <w:r w:rsidR="00A94A1C" w:rsidRPr="00D42048">
        <w:rPr>
          <w:rFonts w:asciiTheme="minorHAnsi" w:hAnsiTheme="minorHAnsi" w:cstheme="minorHAnsi"/>
        </w:rPr>
        <w:t>H than at the MGB overall</w:t>
      </w:r>
      <w:r w:rsidR="008C7A41">
        <w:rPr>
          <w:rFonts w:asciiTheme="minorHAnsi" w:hAnsiTheme="minorHAnsi" w:cstheme="minorHAnsi"/>
        </w:rPr>
        <w:t>.</w:t>
      </w:r>
      <w:r w:rsidR="00A94A1C" w:rsidRPr="00D42048">
        <w:rPr>
          <w:rFonts w:asciiTheme="minorHAnsi" w:hAnsiTheme="minorHAnsi" w:cstheme="minorHAnsi"/>
        </w:rPr>
        <w:t xml:space="preserve"> </w:t>
      </w:r>
      <w:r w:rsidR="00870194" w:rsidRPr="00D42048">
        <w:rPr>
          <w:rFonts w:asciiTheme="minorHAnsi" w:hAnsiTheme="minorHAnsi" w:cstheme="minorHAnsi"/>
        </w:rPr>
        <w:t>The percent of c</w:t>
      </w:r>
      <w:r w:rsidR="00A94A1C" w:rsidRPr="00D42048">
        <w:rPr>
          <w:rFonts w:asciiTheme="minorHAnsi" w:hAnsiTheme="minorHAnsi" w:cstheme="minorHAnsi"/>
        </w:rPr>
        <w:t xml:space="preserve">ommercial </w:t>
      </w:r>
      <w:r w:rsidR="00870194" w:rsidRPr="00D42048">
        <w:rPr>
          <w:rFonts w:asciiTheme="minorHAnsi" w:hAnsiTheme="minorHAnsi" w:cstheme="minorHAnsi"/>
        </w:rPr>
        <w:t>payers</w:t>
      </w:r>
      <w:r w:rsidR="00A94A1C" w:rsidRPr="00D42048">
        <w:rPr>
          <w:rFonts w:asciiTheme="minorHAnsi" w:hAnsiTheme="minorHAnsi" w:cstheme="minorHAnsi"/>
        </w:rPr>
        <w:t xml:space="preserve"> </w:t>
      </w:r>
      <w:r w:rsidR="00870194" w:rsidRPr="00D42048">
        <w:rPr>
          <w:rFonts w:asciiTheme="minorHAnsi" w:hAnsiTheme="minorHAnsi" w:cstheme="minorHAnsi"/>
        </w:rPr>
        <w:t>is</w:t>
      </w:r>
      <w:r w:rsidR="00A94A1C" w:rsidRPr="00D42048">
        <w:rPr>
          <w:rFonts w:asciiTheme="minorHAnsi" w:hAnsiTheme="minorHAnsi" w:cstheme="minorHAnsi"/>
        </w:rPr>
        <w:t xml:space="preserve"> higher at MGB than within BWFH patients (58.8% vs. 51.1%).</w:t>
      </w:r>
      <w:r w:rsidR="0054659C" w:rsidRPr="00D42048">
        <w:rPr>
          <w:rFonts w:asciiTheme="minorHAnsi" w:hAnsiTheme="minorHAnsi" w:cstheme="minorHAnsi"/>
        </w:rPr>
        <w:t xml:space="preserve"> </w:t>
      </w:r>
    </w:p>
    <w:p w14:paraId="7AA3A90F" w14:textId="37926884" w:rsidR="00F02DB9" w:rsidRPr="00D42048" w:rsidRDefault="0D83A3E6" w:rsidP="00D42048">
      <w:pPr>
        <w:pStyle w:val="ListParagraph"/>
        <w:numPr>
          <w:ilvl w:val="0"/>
          <w:numId w:val="34"/>
        </w:numPr>
        <w:rPr>
          <w:rFonts w:asciiTheme="minorHAnsi" w:hAnsiTheme="minorHAnsi" w:cstheme="minorHAnsi"/>
        </w:rPr>
      </w:pPr>
      <w:r w:rsidRPr="00D42048">
        <w:rPr>
          <w:rFonts w:asciiTheme="minorHAnsi" w:hAnsiTheme="minorHAnsi" w:cstheme="minorBidi"/>
          <w:b/>
          <w:bCs/>
        </w:rPr>
        <w:t xml:space="preserve">ACO and Alternative Payment Method (APM) Contracts: </w:t>
      </w:r>
      <w:r w:rsidRPr="00D42048">
        <w:rPr>
          <w:rFonts w:asciiTheme="minorHAnsi" w:hAnsiTheme="minorHAnsi" w:cstheme="minorBidi"/>
        </w:rPr>
        <w:t xml:space="preserve">In FY19, 57.9% of the MGB primary care lives were covered in risk contracts. The Applicant notes that this percentage is derived from the number of primary care lives within the patient panels of the MGB primary care </w:t>
      </w:r>
      <w:r w:rsidRPr="00D42048">
        <w:rPr>
          <w:rFonts w:asciiTheme="minorHAnsi" w:hAnsiTheme="minorHAnsi" w:cstheme="minorBidi"/>
        </w:rPr>
        <w:lastRenderedPageBreak/>
        <w:t>physicians (PCPs) that are covered under risk contracts (in which MGB bears the risk).</w:t>
      </w:r>
      <w:r w:rsidR="00F02DB9" w:rsidRPr="78F650E0">
        <w:rPr>
          <w:rStyle w:val="FootnoteReference"/>
          <w:rFonts w:asciiTheme="minorHAnsi" w:hAnsiTheme="minorHAnsi" w:cstheme="minorBidi"/>
        </w:rPr>
        <w:footnoteReference w:id="6"/>
      </w:r>
      <w:r w:rsidRPr="00D42048">
        <w:rPr>
          <w:rFonts w:asciiTheme="minorHAnsi" w:hAnsiTheme="minorHAnsi" w:cstheme="minorBidi"/>
        </w:rPr>
        <w:t xml:space="preserve"> T</w:t>
      </w:r>
      <w:r w:rsidR="728AB688" w:rsidRPr="00D42048">
        <w:rPr>
          <w:rFonts w:asciiTheme="minorHAnsi" w:hAnsiTheme="minorHAnsi" w:cstheme="minorBidi"/>
        </w:rPr>
        <w:t>h</w:t>
      </w:r>
      <w:r w:rsidRPr="00D42048">
        <w:rPr>
          <w:rFonts w:asciiTheme="minorHAnsi" w:hAnsiTheme="minorHAnsi" w:cstheme="minorBidi"/>
        </w:rPr>
        <w:t xml:space="preserve">ese data were not provided for BWFH. </w:t>
      </w:r>
    </w:p>
    <w:p w14:paraId="1604B29D" w14:textId="1CE8B2AE" w:rsidR="00DC0064" w:rsidRPr="0062487B" w:rsidRDefault="00DC0064" w:rsidP="00202311">
      <w:pPr>
        <w:rPr>
          <w:rFonts w:asciiTheme="minorHAnsi" w:eastAsia="Calibri" w:hAnsiTheme="minorHAnsi" w:cstheme="minorHAnsi"/>
        </w:rPr>
      </w:pPr>
    </w:p>
    <w:p w14:paraId="013AA067" w14:textId="7DCFB8C3" w:rsidR="00DC0064" w:rsidRPr="0062487B" w:rsidRDefault="00DC0064" w:rsidP="008821D1">
      <w:pPr>
        <w:contextualSpacing/>
        <w:rPr>
          <w:rFonts w:asciiTheme="minorHAnsi" w:hAnsiTheme="minorHAnsi" w:cstheme="minorHAnsi"/>
        </w:rPr>
      </w:pPr>
      <w:r w:rsidRPr="0062487B">
        <w:rPr>
          <w:rFonts w:asciiTheme="minorHAnsi" w:hAnsiTheme="minorHAnsi" w:cstheme="minorHAnsi"/>
        </w:rPr>
        <w:t>Due to the small numbers in some of the categories at BWFH, the</w:t>
      </w:r>
      <w:r w:rsidR="003C2306" w:rsidRPr="0062487B">
        <w:rPr>
          <w:rFonts w:asciiTheme="minorHAnsi" w:hAnsiTheme="minorHAnsi" w:cstheme="minorHAnsi"/>
        </w:rPr>
        <w:t xml:space="preserve"> Applicant</w:t>
      </w:r>
      <w:r w:rsidRPr="0062487B">
        <w:rPr>
          <w:rFonts w:asciiTheme="minorHAnsi" w:hAnsiTheme="minorHAnsi" w:cstheme="minorHAnsi"/>
        </w:rPr>
        <w:t xml:space="preserve"> aggregated with larger categories</w:t>
      </w:r>
      <w:r w:rsidR="00AD3BE3" w:rsidRPr="0062487B">
        <w:rPr>
          <w:rFonts w:asciiTheme="minorHAnsi" w:hAnsiTheme="minorHAnsi" w:cstheme="minorHAnsi"/>
        </w:rPr>
        <w:t xml:space="preserve"> for privacy</w:t>
      </w:r>
      <w:r w:rsidRPr="0062487B">
        <w:rPr>
          <w:rFonts w:asciiTheme="minorHAnsi" w:hAnsiTheme="minorHAnsi" w:cstheme="minorHAnsi"/>
        </w:rPr>
        <w:t xml:space="preserve">. This was not </w:t>
      </w:r>
      <w:r w:rsidR="008821D1" w:rsidRPr="0062487B">
        <w:rPr>
          <w:rFonts w:asciiTheme="minorHAnsi" w:hAnsiTheme="minorHAnsi" w:cstheme="minorHAnsi"/>
        </w:rPr>
        <w:t>done for</w:t>
      </w:r>
      <w:r w:rsidRPr="0062487B">
        <w:rPr>
          <w:rFonts w:asciiTheme="minorHAnsi" w:hAnsiTheme="minorHAnsi" w:cstheme="minorHAnsi"/>
        </w:rPr>
        <w:t xml:space="preserve"> MGB.</w:t>
      </w:r>
    </w:p>
    <w:p w14:paraId="24F00B6A" w14:textId="2B03EB71" w:rsidR="00FC030F" w:rsidRPr="0062487B" w:rsidRDefault="00FC030F" w:rsidP="008821D1">
      <w:pPr>
        <w:contextualSpacing/>
        <w:rPr>
          <w:rFonts w:asciiTheme="minorHAnsi" w:hAnsiTheme="minorHAnsi" w:cstheme="minorHAnsi"/>
        </w:rPr>
      </w:pPr>
    </w:p>
    <w:p w14:paraId="506C11B6" w14:textId="6A21C3D4" w:rsidR="00FC030F" w:rsidRPr="0062487B" w:rsidRDefault="00FC030F" w:rsidP="008821D1">
      <w:pPr>
        <w:contextualSpacing/>
        <w:rPr>
          <w:rFonts w:asciiTheme="minorHAnsi" w:hAnsiTheme="minorHAnsi" w:cstheme="minorHAnsi"/>
        </w:rPr>
      </w:pPr>
      <w:r w:rsidRPr="0062487B">
        <w:rPr>
          <w:rFonts w:asciiTheme="minorHAnsi" w:hAnsiTheme="minorHAnsi" w:cstheme="minorHAnsi"/>
        </w:rPr>
        <w:t xml:space="preserve">Please note, Patient Panel refers to the </w:t>
      </w:r>
      <w:r w:rsidR="00233314" w:rsidRPr="0062487B">
        <w:rPr>
          <w:rFonts w:asciiTheme="minorHAnsi" w:hAnsiTheme="minorHAnsi" w:cstheme="minorHAnsi"/>
        </w:rPr>
        <w:t xml:space="preserve">patients in the </w:t>
      </w:r>
      <w:r w:rsidRPr="0062487B">
        <w:rPr>
          <w:rFonts w:asciiTheme="minorHAnsi" w:hAnsiTheme="minorHAnsi" w:cstheme="minorHAnsi"/>
        </w:rPr>
        <w:t xml:space="preserve">MGB system. As this report focuses primarily on </w:t>
      </w:r>
      <w:r w:rsidR="0084166D">
        <w:rPr>
          <w:rFonts w:asciiTheme="minorHAnsi" w:hAnsiTheme="minorHAnsi" w:cstheme="minorHAnsi"/>
        </w:rPr>
        <w:t>Brigham</w:t>
      </w:r>
      <w:r w:rsidR="0084166D" w:rsidRPr="0062487B">
        <w:rPr>
          <w:rFonts w:asciiTheme="minorHAnsi" w:hAnsiTheme="minorHAnsi" w:cstheme="minorHAnsi"/>
        </w:rPr>
        <w:t xml:space="preserve"> </w:t>
      </w:r>
      <w:r w:rsidRPr="0062487B">
        <w:rPr>
          <w:rFonts w:asciiTheme="minorHAnsi" w:hAnsiTheme="minorHAnsi" w:cstheme="minorHAnsi"/>
        </w:rPr>
        <w:t xml:space="preserve">Health, a subsidiary of </w:t>
      </w:r>
      <w:r w:rsidR="00CB61B2">
        <w:rPr>
          <w:rFonts w:asciiTheme="minorHAnsi" w:hAnsiTheme="minorHAnsi" w:cstheme="minorHAnsi"/>
        </w:rPr>
        <w:t>MGB</w:t>
      </w:r>
      <w:r w:rsidRPr="0062487B">
        <w:rPr>
          <w:rFonts w:asciiTheme="minorHAnsi" w:hAnsiTheme="minorHAnsi" w:cstheme="minorHAnsi"/>
        </w:rPr>
        <w:t xml:space="preserve">, discussion of patients seen at either or both BWH and BWFH </w:t>
      </w:r>
      <w:r w:rsidR="00E87F70" w:rsidRPr="0062487B">
        <w:rPr>
          <w:rFonts w:asciiTheme="minorHAnsi" w:hAnsiTheme="minorHAnsi" w:cstheme="minorHAnsi"/>
        </w:rPr>
        <w:t>may</w:t>
      </w:r>
      <w:r w:rsidRPr="0062487B">
        <w:rPr>
          <w:rFonts w:asciiTheme="minorHAnsi" w:hAnsiTheme="minorHAnsi" w:cstheme="minorHAnsi"/>
        </w:rPr>
        <w:t xml:space="preserve"> refer to that group of patients at the “patient population.”</w:t>
      </w:r>
    </w:p>
    <w:p w14:paraId="04413019" w14:textId="77777777" w:rsidR="00AD3BE3" w:rsidRPr="0062487B" w:rsidRDefault="00AD3BE3" w:rsidP="00CC34A1">
      <w:pPr>
        <w:contextualSpacing/>
        <w:rPr>
          <w:rFonts w:asciiTheme="minorHAnsi" w:eastAsiaTheme="minorHAnsi" w:hAnsiTheme="minorHAnsi" w:cstheme="minorHAnsi"/>
          <w:color w:val="2F5897" w:themeColor="text2"/>
        </w:rPr>
      </w:pPr>
    </w:p>
    <w:p w14:paraId="33CA285C" w14:textId="5087B514" w:rsidR="00CC34A1" w:rsidRPr="0062487B" w:rsidRDefault="624988A3" w:rsidP="17FA2F59">
      <w:pPr>
        <w:contextualSpacing/>
        <w:rPr>
          <w:rFonts w:asciiTheme="minorHAnsi" w:hAnsiTheme="minorHAnsi" w:cstheme="minorBidi"/>
          <w:b/>
          <w:bCs/>
          <w:color w:val="2F5897" w:themeColor="text2"/>
        </w:rPr>
      </w:pPr>
      <w:r w:rsidRPr="17FA2F59">
        <w:rPr>
          <w:rFonts w:asciiTheme="minorHAnsi" w:eastAsiaTheme="minorEastAsia" w:hAnsiTheme="minorHAnsi" w:cstheme="minorBidi"/>
          <w:b/>
          <w:bCs/>
          <w:u w:val="single"/>
        </w:rPr>
        <w:t xml:space="preserve">Table </w:t>
      </w:r>
      <w:r w:rsidR="2C034F50" w:rsidRPr="17FA2F59">
        <w:rPr>
          <w:rFonts w:asciiTheme="minorHAnsi" w:eastAsiaTheme="minorEastAsia" w:hAnsiTheme="minorHAnsi" w:cstheme="minorBidi"/>
          <w:b/>
          <w:bCs/>
          <w:u w:val="single"/>
        </w:rPr>
        <w:t>2</w:t>
      </w:r>
      <w:r w:rsidRPr="17FA2F59">
        <w:rPr>
          <w:rFonts w:asciiTheme="minorHAnsi" w:eastAsiaTheme="minorEastAsia" w:hAnsiTheme="minorHAnsi" w:cstheme="minorBidi"/>
          <w:b/>
          <w:bCs/>
        </w:rPr>
        <w:t>: Overview of Patients</w:t>
      </w:r>
      <w:r w:rsidRPr="17FA2F59">
        <w:rPr>
          <w:rFonts w:asciiTheme="minorHAnsi" w:hAnsiTheme="minorHAnsi" w:cstheme="minorBidi"/>
          <w:b/>
          <w:bCs/>
        </w:rPr>
        <w:t xml:space="preserve"> for</w:t>
      </w:r>
      <w:r w:rsidRPr="17FA2F59">
        <w:rPr>
          <w:rFonts w:asciiTheme="minorHAnsi" w:eastAsiaTheme="minorEastAsia" w:hAnsiTheme="minorHAnsi" w:cstheme="minorBidi"/>
          <w:b/>
          <w:bCs/>
        </w:rPr>
        <w:t xml:space="preserve"> Applicant</w:t>
      </w:r>
      <w:r w:rsidRPr="17FA2F59">
        <w:rPr>
          <w:rFonts w:asciiTheme="minorHAnsi" w:hAnsiTheme="minorHAnsi" w:cstheme="minorBidi"/>
          <w:b/>
          <w:bCs/>
        </w:rPr>
        <w:t xml:space="preserve"> (MGB) and </w:t>
      </w:r>
      <w:r w:rsidRPr="17FA2F59">
        <w:rPr>
          <w:rFonts w:asciiTheme="minorHAnsi" w:eastAsiaTheme="minorEastAsia" w:hAnsiTheme="minorHAnsi" w:cstheme="minorBidi"/>
          <w:b/>
          <w:bCs/>
        </w:rPr>
        <w:t>BWFH, FY19</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73"/>
        <w:gridCol w:w="2935"/>
        <w:gridCol w:w="3352"/>
      </w:tblGrid>
      <w:tr w:rsidR="00CC34A1" w:rsidRPr="0062487B" w14:paraId="090A5D47" w14:textId="77777777" w:rsidTr="00AC39CB">
        <w:tc>
          <w:tcPr>
            <w:tcW w:w="3773" w:type="dxa"/>
            <w:shd w:val="clear" w:color="auto" w:fill="DFE3F0" w:themeFill="accent1" w:themeFillTint="33"/>
          </w:tcPr>
          <w:p w14:paraId="6D7B1A06" w14:textId="77777777" w:rsidR="00CC34A1" w:rsidRPr="0062487B" w:rsidRDefault="00CC34A1" w:rsidP="0020678A">
            <w:pPr>
              <w:contextualSpacing/>
              <w:jc w:val="center"/>
              <w:rPr>
                <w:rFonts w:asciiTheme="minorHAnsi" w:hAnsiTheme="minorHAnsi" w:cstheme="minorHAnsi"/>
                <w:color w:val="2F5897" w:themeColor="text2"/>
              </w:rPr>
            </w:pPr>
          </w:p>
        </w:tc>
        <w:tc>
          <w:tcPr>
            <w:tcW w:w="2935" w:type="dxa"/>
            <w:shd w:val="clear" w:color="auto" w:fill="DFE3F0" w:themeFill="accent1" w:themeFillTint="33"/>
          </w:tcPr>
          <w:p w14:paraId="26A258C2" w14:textId="77777777" w:rsidR="00CC34A1" w:rsidRPr="0062487B" w:rsidRDefault="00CC34A1" w:rsidP="0020678A">
            <w:pPr>
              <w:contextualSpacing/>
              <w:jc w:val="center"/>
              <w:rPr>
                <w:rFonts w:asciiTheme="minorHAnsi" w:hAnsiTheme="minorHAnsi" w:cstheme="minorHAnsi"/>
                <w:color w:val="2F5897" w:themeColor="text2"/>
              </w:rPr>
            </w:pPr>
            <w:r w:rsidRPr="0062487B">
              <w:rPr>
                <w:rFonts w:asciiTheme="minorHAnsi" w:eastAsia="Calibri" w:hAnsiTheme="minorHAnsi" w:cstheme="minorHAnsi"/>
                <w:b/>
              </w:rPr>
              <w:t>MGB</w:t>
            </w:r>
          </w:p>
        </w:tc>
        <w:tc>
          <w:tcPr>
            <w:tcW w:w="3352" w:type="dxa"/>
            <w:shd w:val="clear" w:color="auto" w:fill="DFE3F0" w:themeFill="accent1" w:themeFillTint="33"/>
          </w:tcPr>
          <w:p w14:paraId="3D33D8A1" w14:textId="77777777" w:rsidR="00CC34A1" w:rsidRPr="0062487B" w:rsidRDefault="00CC34A1" w:rsidP="0020678A">
            <w:pPr>
              <w:contextualSpacing/>
              <w:jc w:val="center"/>
              <w:rPr>
                <w:rFonts w:asciiTheme="minorHAnsi" w:hAnsiTheme="minorHAnsi" w:cstheme="minorHAnsi"/>
                <w:color w:val="2F5897" w:themeColor="text2"/>
              </w:rPr>
            </w:pPr>
            <w:r w:rsidRPr="0062487B">
              <w:rPr>
                <w:rFonts w:asciiTheme="minorHAnsi" w:eastAsia="Calibri" w:hAnsiTheme="minorHAnsi" w:cstheme="minorHAnsi"/>
                <w:b/>
              </w:rPr>
              <w:t>BWFH</w:t>
            </w:r>
          </w:p>
        </w:tc>
      </w:tr>
      <w:tr w:rsidR="00CC34A1" w:rsidRPr="0062487B" w14:paraId="43CF0A97" w14:textId="77777777" w:rsidTr="00AC39CB">
        <w:tc>
          <w:tcPr>
            <w:tcW w:w="3773" w:type="dxa"/>
          </w:tcPr>
          <w:p w14:paraId="6DA91687" w14:textId="77777777" w:rsidR="00CC34A1" w:rsidRPr="0062487B" w:rsidRDefault="00CC34A1" w:rsidP="0020678A">
            <w:pPr>
              <w:contextualSpacing/>
              <w:rPr>
                <w:rFonts w:asciiTheme="minorHAnsi" w:hAnsiTheme="minorHAnsi" w:cstheme="minorHAnsi"/>
                <w:color w:val="2F5897" w:themeColor="text2"/>
              </w:rPr>
            </w:pPr>
            <w:r w:rsidRPr="0062487B">
              <w:rPr>
                <w:rFonts w:asciiTheme="minorHAnsi" w:eastAsia="Calibri" w:hAnsiTheme="minorHAnsi" w:cstheme="minorHAnsi"/>
                <w:b/>
              </w:rPr>
              <w:t>Total Unique Patients</w:t>
            </w:r>
          </w:p>
        </w:tc>
        <w:tc>
          <w:tcPr>
            <w:tcW w:w="2935" w:type="dxa"/>
          </w:tcPr>
          <w:p w14:paraId="0AD2198E" w14:textId="3BD305A1" w:rsidR="00CC34A1" w:rsidRPr="0062487B" w:rsidRDefault="00F7780F" w:rsidP="00A838E8">
            <w:pPr>
              <w:contextualSpacing/>
              <w:jc w:val="right"/>
              <w:rPr>
                <w:rFonts w:asciiTheme="minorHAnsi" w:hAnsiTheme="minorHAnsi" w:cstheme="minorHAnsi"/>
                <w:b/>
                <w:bCs/>
                <w:color w:val="000000" w:themeColor="text1"/>
              </w:rPr>
            </w:pPr>
            <w:r w:rsidRPr="0062487B">
              <w:rPr>
                <w:rFonts w:asciiTheme="minorHAnsi" w:hAnsiTheme="minorHAnsi" w:cstheme="minorHAnsi"/>
                <w:b/>
                <w:bCs/>
                <w:color w:val="000000" w:themeColor="text1"/>
              </w:rPr>
              <w:t>1,528,359</w:t>
            </w:r>
          </w:p>
        </w:tc>
        <w:tc>
          <w:tcPr>
            <w:tcW w:w="3352" w:type="dxa"/>
          </w:tcPr>
          <w:p w14:paraId="392B0E44" w14:textId="137C2B76" w:rsidR="00CC34A1" w:rsidRPr="0062487B" w:rsidRDefault="002D3EEE" w:rsidP="00A838E8">
            <w:pPr>
              <w:contextualSpacing/>
              <w:jc w:val="right"/>
              <w:rPr>
                <w:rFonts w:asciiTheme="minorHAnsi" w:hAnsiTheme="minorHAnsi" w:cstheme="minorHAnsi"/>
                <w:b/>
                <w:bCs/>
                <w:color w:val="000000" w:themeColor="text1"/>
              </w:rPr>
            </w:pPr>
            <w:r w:rsidRPr="0062487B">
              <w:rPr>
                <w:rFonts w:asciiTheme="minorHAnsi" w:hAnsiTheme="minorHAnsi" w:cstheme="minorHAnsi"/>
                <w:b/>
                <w:bCs/>
                <w:color w:val="000000" w:themeColor="text1"/>
              </w:rPr>
              <w:t>34,522</w:t>
            </w:r>
          </w:p>
        </w:tc>
      </w:tr>
      <w:tr w:rsidR="00CC34A1" w:rsidRPr="0062487B" w14:paraId="62F53890" w14:textId="77777777" w:rsidTr="00AC39CB">
        <w:tc>
          <w:tcPr>
            <w:tcW w:w="3773" w:type="dxa"/>
          </w:tcPr>
          <w:p w14:paraId="78D60C0F" w14:textId="77777777" w:rsidR="00CC34A1" w:rsidRPr="0062487B" w:rsidRDefault="00CC34A1" w:rsidP="0020678A">
            <w:pPr>
              <w:contextualSpacing/>
              <w:rPr>
                <w:rFonts w:asciiTheme="minorHAnsi" w:eastAsia="Calibri" w:hAnsiTheme="minorHAnsi" w:cstheme="minorHAnsi"/>
                <w:bCs/>
              </w:rPr>
            </w:pPr>
            <w:r w:rsidRPr="0062487B">
              <w:rPr>
                <w:rFonts w:asciiTheme="minorHAnsi" w:eastAsia="Calibri" w:hAnsiTheme="minorHAnsi" w:cstheme="minorHAnsi"/>
                <w:b/>
              </w:rPr>
              <w:t>Gender</w:t>
            </w:r>
          </w:p>
          <w:p w14:paraId="4699870C" w14:textId="77777777" w:rsidR="00CC34A1" w:rsidRPr="0062487B" w:rsidRDefault="00CC34A1" w:rsidP="00D52094">
            <w:pPr>
              <w:ind w:left="720" w:hanging="557"/>
              <w:contextualSpacing/>
              <w:rPr>
                <w:rFonts w:asciiTheme="minorHAnsi" w:eastAsia="Calibri" w:hAnsiTheme="minorHAnsi" w:cstheme="minorHAnsi"/>
                <w:bCs/>
              </w:rPr>
            </w:pPr>
            <w:r w:rsidRPr="0062487B">
              <w:rPr>
                <w:rFonts w:asciiTheme="minorHAnsi" w:eastAsia="Calibri" w:hAnsiTheme="minorHAnsi" w:cstheme="minorHAnsi"/>
                <w:bCs/>
              </w:rPr>
              <w:t>Female</w:t>
            </w:r>
          </w:p>
          <w:p w14:paraId="4D9A234F" w14:textId="1A3EC676" w:rsidR="00DC0064" w:rsidRPr="0062487B" w:rsidRDefault="00DC0064" w:rsidP="00D52094">
            <w:pPr>
              <w:ind w:left="720" w:hanging="557"/>
              <w:contextualSpacing/>
              <w:rPr>
                <w:rFonts w:asciiTheme="minorHAnsi" w:eastAsia="Calibri" w:hAnsiTheme="minorHAnsi" w:cstheme="minorHAnsi"/>
                <w:bCs/>
              </w:rPr>
            </w:pPr>
            <w:r w:rsidRPr="0062487B">
              <w:rPr>
                <w:rFonts w:asciiTheme="minorHAnsi" w:eastAsia="Calibri" w:hAnsiTheme="minorHAnsi" w:cstheme="minorHAnsi"/>
                <w:bCs/>
              </w:rPr>
              <w:t>Male</w:t>
            </w:r>
          </w:p>
          <w:p w14:paraId="0ADEAAE8" w14:textId="4460B8B0" w:rsidR="00CC34A1" w:rsidRPr="0062487B" w:rsidRDefault="00CC34A1" w:rsidP="00D52094">
            <w:pPr>
              <w:ind w:left="720" w:hanging="557"/>
              <w:contextualSpacing/>
              <w:rPr>
                <w:rFonts w:asciiTheme="minorHAnsi" w:hAnsiTheme="minorHAnsi" w:cstheme="minorHAnsi"/>
                <w:color w:val="2F5897" w:themeColor="text2"/>
              </w:rPr>
            </w:pPr>
            <w:r w:rsidRPr="0062487B">
              <w:rPr>
                <w:rFonts w:asciiTheme="minorHAnsi" w:eastAsia="Calibri" w:hAnsiTheme="minorHAnsi" w:cstheme="minorHAnsi"/>
                <w:bCs/>
              </w:rPr>
              <w:t>Male/Other/Unknown</w:t>
            </w:r>
            <w:r w:rsidR="00A76563" w:rsidRPr="0062487B">
              <w:rPr>
                <w:rFonts w:asciiTheme="minorHAnsi" w:eastAsia="Calibri" w:hAnsiTheme="minorHAnsi" w:cstheme="minorHAnsi"/>
                <w:bCs/>
              </w:rPr>
              <w:t>*</w:t>
            </w:r>
          </w:p>
        </w:tc>
        <w:tc>
          <w:tcPr>
            <w:tcW w:w="2935" w:type="dxa"/>
          </w:tcPr>
          <w:p w14:paraId="2DA2AEA9" w14:textId="77777777" w:rsidR="00CC34A1" w:rsidRPr="0062487B" w:rsidRDefault="00CC34A1" w:rsidP="0020678A">
            <w:pPr>
              <w:contextualSpacing/>
              <w:rPr>
                <w:rFonts w:asciiTheme="minorHAnsi" w:hAnsiTheme="minorHAnsi" w:cstheme="minorHAnsi"/>
                <w:color w:val="000000" w:themeColor="text1"/>
              </w:rPr>
            </w:pPr>
          </w:p>
          <w:p w14:paraId="7A997889" w14:textId="77777777"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57.8%</w:t>
            </w:r>
          </w:p>
          <w:p w14:paraId="1B4F4E11" w14:textId="7B63CE35"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42.2%</w:t>
            </w:r>
          </w:p>
        </w:tc>
        <w:tc>
          <w:tcPr>
            <w:tcW w:w="3352" w:type="dxa"/>
          </w:tcPr>
          <w:p w14:paraId="04BE60B7" w14:textId="1690F4B8" w:rsidR="00CC34A1" w:rsidRPr="0062487B" w:rsidRDefault="00CC34A1" w:rsidP="0082022F">
            <w:pPr>
              <w:contextualSpacing/>
              <w:jc w:val="right"/>
              <w:rPr>
                <w:rFonts w:asciiTheme="minorHAnsi" w:hAnsiTheme="minorHAnsi" w:cstheme="minorHAnsi"/>
                <w:color w:val="000000" w:themeColor="text1"/>
              </w:rPr>
            </w:pPr>
          </w:p>
          <w:p w14:paraId="5208FF13" w14:textId="73F58B70" w:rsidR="002D3EEE" w:rsidRPr="0062487B" w:rsidRDefault="002D3EEE"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65.</w:t>
            </w:r>
            <w:r w:rsidR="006A6499" w:rsidRPr="0062487B">
              <w:rPr>
                <w:rFonts w:asciiTheme="minorHAnsi" w:hAnsiTheme="minorHAnsi" w:cstheme="minorHAnsi"/>
                <w:color w:val="000000" w:themeColor="text1"/>
              </w:rPr>
              <w:t>8</w:t>
            </w:r>
            <w:r w:rsidRPr="0062487B">
              <w:rPr>
                <w:rFonts w:asciiTheme="minorHAnsi" w:hAnsiTheme="minorHAnsi" w:cstheme="minorHAnsi"/>
                <w:color w:val="000000" w:themeColor="text1"/>
              </w:rPr>
              <w:t>%</w:t>
            </w:r>
          </w:p>
          <w:p w14:paraId="3C2F17BF" w14:textId="2C1D4609" w:rsidR="002D3EEE" w:rsidRPr="0062487B" w:rsidRDefault="002D3EEE" w:rsidP="0082022F">
            <w:pPr>
              <w:contextualSpacing/>
              <w:jc w:val="right"/>
              <w:rPr>
                <w:rFonts w:asciiTheme="minorHAnsi" w:hAnsiTheme="minorHAnsi" w:cstheme="minorHAnsi"/>
                <w:color w:val="000000" w:themeColor="text1"/>
              </w:rPr>
            </w:pPr>
          </w:p>
          <w:p w14:paraId="4C72961A" w14:textId="2C492E12" w:rsidR="00DC0064" w:rsidRPr="0062487B" w:rsidRDefault="00DC0064"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34.2%</w:t>
            </w:r>
          </w:p>
        </w:tc>
      </w:tr>
      <w:tr w:rsidR="00CC34A1" w:rsidRPr="0062487B" w14:paraId="6C6AAFC1" w14:textId="77777777" w:rsidTr="00AC39CB">
        <w:tc>
          <w:tcPr>
            <w:tcW w:w="3773" w:type="dxa"/>
          </w:tcPr>
          <w:p w14:paraId="7487D356" w14:textId="77777777" w:rsidR="00CC34A1" w:rsidRPr="0062487B" w:rsidRDefault="00CC34A1" w:rsidP="0020678A">
            <w:pPr>
              <w:contextualSpacing/>
              <w:rPr>
                <w:rFonts w:asciiTheme="minorHAnsi" w:eastAsia="Calibri" w:hAnsiTheme="minorHAnsi" w:cstheme="minorHAnsi"/>
                <w:bCs/>
              </w:rPr>
            </w:pPr>
            <w:r w:rsidRPr="0062487B">
              <w:rPr>
                <w:rFonts w:asciiTheme="minorHAnsi" w:eastAsia="Calibri" w:hAnsiTheme="minorHAnsi" w:cstheme="minorHAnsi"/>
                <w:b/>
              </w:rPr>
              <w:t>Age</w:t>
            </w:r>
          </w:p>
          <w:p w14:paraId="19C38115" w14:textId="77777777" w:rsidR="00CC34A1" w:rsidRPr="0062487B" w:rsidRDefault="00CC34A1" w:rsidP="00D52094">
            <w:pPr>
              <w:ind w:left="720" w:hanging="557"/>
              <w:contextualSpacing/>
              <w:rPr>
                <w:rFonts w:asciiTheme="minorHAnsi" w:eastAsia="Calibri" w:hAnsiTheme="minorHAnsi" w:cstheme="minorHAnsi"/>
                <w:bCs/>
              </w:rPr>
            </w:pPr>
            <w:r w:rsidRPr="0062487B">
              <w:rPr>
                <w:rFonts w:asciiTheme="minorHAnsi" w:eastAsia="Calibri" w:hAnsiTheme="minorHAnsi" w:cstheme="minorHAnsi"/>
                <w:bCs/>
              </w:rPr>
              <w:t>0-17</w:t>
            </w:r>
          </w:p>
          <w:p w14:paraId="7C3BB966" w14:textId="77777777" w:rsidR="00CC34A1" w:rsidRPr="0062487B" w:rsidRDefault="00CC34A1" w:rsidP="00D52094">
            <w:pPr>
              <w:ind w:left="720" w:hanging="557"/>
              <w:contextualSpacing/>
              <w:rPr>
                <w:rFonts w:asciiTheme="minorHAnsi" w:eastAsia="Calibri" w:hAnsiTheme="minorHAnsi" w:cstheme="minorHAnsi"/>
                <w:bCs/>
              </w:rPr>
            </w:pPr>
            <w:r w:rsidRPr="0062487B">
              <w:rPr>
                <w:rFonts w:asciiTheme="minorHAnsi" w:eastAsia="Calibri" w:hAnsiTheme="minorHAnsi" w:cstheme="minorHAnsi"/>
                <w:bCs/>
              </w:rPr>
              <w:t>18-64</w:t>
            </w:r>
          </w:p>
          <w:p w14:paraId="1A4475CB" w14:textId="4A45A92A" w:rsidR="00CC34A1" w:rsidRPr="0062487B" w:rsidRDefault="00CC34A1" w:rsidP="00D52094">
            <w:pPr>
              <w:ind w:left="720" w:hanging="557"/>
              <w:contextualSpacing/>
              <w:rPr>
                <w:rFonts w:asciiTheme="minorHAnsi" w:hAnsiTheme="minorHAnsi" w:cstheme="minorHAnsi"/>
                <w:color w:val="2F5897" w:themeColor="text2"/>
              </w:rPr>
            </w:pPr>
            <w:r w:rsidRPr="0062487B">
              <w:rPr>
                <w:rFonts w:asciiTheme="minorHAnsi" w:eastAsia="Calibri" w:hAnsiTheme="minorHAnsi" w:cstheme="minorHAnsi"/>
                <w:bCs/>
              </w:rPr>
              <w:t>65+/Unknown</w:t>
            </w:r>
            <w:r w:rsidR="00A76563" w:rsidRPr="0062487B">
              <w:rPr>
                <w:rFonts w:asciiTheme="minorHAnsi" w:eastAsia="Calibri" w:hAnsiTheme="minorHAnsi" w:cstheme="minorHAnsi"/>
                <w:bCs/>
              </w:rPr>
              <w:t>*</w:t>
            </w:r>
          </w:p>
        </w:tc>
        <w:tc>
          <w:tcPr>
            <w:tcW w:w="2935" w:type="dxa"/>
          </w:tcPr>
          <w:p w14:paraId="37885D1E" w14:textId="77777777" w:rsidR="00CC34A1" w:rsidRPr="0062487B" w:rsidRDefault="00CC34A1" w:rsidP="0020678A">
            <w:pPr>
              <w:contextualSpacing/>
              <w:rPr>
                <w:rFonts w:asciiTheme="minorHAnsi" w:hAnsiTheme="minorHAnsi" w:cstheme="minorHAnsi"/>
                <w:color w:val="000000" w:themeColor="text1"/>
              </w:rPr>
            </w:pPr>
          </w:p>
          <w:p w14:paraId="0BF9336D" w14:textId="77777777"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11.7%</w:t>
            </w:r>
          </w:p>
          <w:p w14:paraId="723694CB" w14:textId="77777777"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62.1%</w:t>
            </w:r>
          </w:p>
          <w:p w14:paraId="4F67AA69" w14:textId="32F7126E"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26.2%</w:t>
            </w:r>
          </w:p>
        </w:tc>
        <w:tc>
          <w:tcPr>
            <w:tcW w:w="3352" w:type="dxa"/>
          </w:tcPr>
          <w:p w14:paraId="16FF67FC" w14:textId="77777777" w:rsidR="00CC34A1" w:rsidRPr="0062487B" w:rsidRDefault="00CC34A1" w:rsidP="0082022F">
            <w:pPr>
              <w:contextualSpacing/>
              <w:jc w:val="right"/>
              <w:rPr>
                <w:rFonts w:asciiTheme="minorHAnsi" w:hAnsiTheme="minorHAnsi" w:cstheme="minorHAnsi"/>
                <w:color w:val="000000" w:themeColor="text1"/>
              </w:rPr>
            </w:pPr>
          </w:p>
          <w:p w14:paraId="39E2DAFC" w14:textId="77777777" w:rsidR="006A6499" w:rsidRPr="0062487B" w:rsidRDefault="006A6499"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1.4%</w:t>
            </w:r>
          </w:p>
          <w:p w14:paraId="65821F6A" w14:textId="77777777" w:rsidR="006A6499" w:rsidRPr="0062487B" w:rsidRDefault="006A6499"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62.7%</w:t>
            </w:r>
          </w:p>
          <w:p w14:paraId="57016ACA" w14:textId="606DF450" w:rsidR="006A6499" w:rsidRPr="0062487B" w:rsidRDefault="006A6499"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36.0%</w:t>
            </w:r>
          </w:p>
        </w:tc>
      </w:tr>
      <w:tr w:rsidR="00CC34A1" w:rsidRPr="0062487B" w14:paraId="3C7649AF" w14:textId="77777777" w:rsidTr="00AC39CB">
        <w:tc>
          <w:tcPr>
            <w:tcW w:w="3773" w:type="dxa"/>
          </w:tcPr>
          <w:p w14:paraId="53E5804A" w14:textId="77777777" w:rsidR="00CC34A1" w:rsidRPr="0062487B" w:rsidRDefault="00CC34A1" w:rsidP="0020678A">
            <w:pPr>
              <w:contextualSpacing/>
              <w:rPr>
                <w:rFonts w:asciiTheme="minorHAnsi" w:eastAsia="Calibri" w:hAnsiTheme="minorHAnsi" w:cstheme="minorHAnsi"/>
                <w:bCs/>
              </w:rPr>
            </w:pPr>
            <w:r w:rsidRPr="0062487B">
              <w:rPr>
                <w:rFonts w:asciiTheme="minorHAnsi" w:eastAsia="Calibri" w:hAnsiTheme="minorHAnsi" w:cstheme="minorHAnsi"/>
                <w:b/>
              </w:rPr>
              <w:t>Race</w:t>
            </w:r>
          </w:p>
          <w:p w14:paraId="2677766B" w14:textId="77777777" w:rsidR="00CC34A1" w:rsidRPr="0062487B" w:rsidRDefault="00CC34A1" w:rsidP="00613FA7">
            <w:pPr>
              <w:ind w:left="343" w:hanging="180"/>
              <w:contextualSpacing/>
              <w:rPr>
                <w:rFonts w:asciiTheme="minorHAnsi" w:eastAsia="Calibri" w:hAnsiTheme="minorHAnsi" w:cstheme="minorHAnsi"/>
                <w:bCs/>
              </w:rPr>
            </w:pPr>
            <w:r w:rsidRPr="0062487B">
              <w:rPr>
                <w:rFonts w:asciiTheme="minorHAnsi" w:eastAsia="Calibri" w:hAnsiTheme="minorHAnsi" w:cstheme="minorHAnsi"/>
                <w:bCs/>
              </w:rPr>
              <w:t>American Indian or Alaska Native</w:t>
            </w:r>
          </w:p>
          <w:p w14:paraId="5006B10D" w14:textId="77777777" w:rsidR="00CC34A1" w:rsidRPr="0062487B" w:rsidRDefault="00CC34A1" w:rsidP="00D52094">
            <w:pPr>
              <w:ind w:left="720" w:hanging="557"/>
              <w:contextualSpacing/>
              <w:rPr>
                <w:rFonts w:asciiTheme="minorHAnsi" w:eastAsia="Calibri" w:hAnsiTheme="minorHAnsi" w:cstheme="minorHAnsi"/>
                <w:bCs/>
              </w:rPr>
            </w:pPr>
            <w:r w:rsidRPr="0062487B">
              <w:rPr>
                <w:rFonts w:asciiTheme="minorHAnsi" w:eastAsia="Calibri" w:hAnsiTheme="minorHAnsi" w:cstheme="minorHAnsi"/>
                <w:bCs/>
              </w:rPr>
              <w:t>Asian</w:t>
            </w:r>
          </w:p>
          <w:p w14:paraId="2BC312D2" w14:textId="77777777" w:rsidR="00CC34A1" w:rsidRPr="0062487B" w:rsidRDefault="00CC34A1" w:rsidP="00D52094">
            <w:pPr>
              <w:ind w:left="720" w:hanging="557"/>
              <w:contextualSpacing/>
              <w:rPr>
                <w:rFonts w:asciiTheme="minorHAnsi" w:eastAsia="Calibri" w:hAnsiTheme="minorHAnsi" w:cstheme="minorHAnsi"/>
                <w:bCs/>
              </w:rPr>
            </w:pPr>
            <w:r w:rsidRPr="0062487B">
              <w:rPr>
                <w:rFonts w:asciiTheme="minorHAnsi" w:eastAsia="Calibri" w:hAnsiTheme="minorHAnsi" w:cstheme="minorHAnsi"/>
                <w:bCs/>
              </w:rPr>
              <w:t>Black or African American</w:t>
            </w:r>
          </w:p>
          <w:p w14:paraId="75B5C69F" w14:textId="77777777" w:rsidR="00CC34A1" w:rsidRPr="0062487B" w:rsidRDefault="00CC34A1" w:rsidP="00D52094">
            <w:pPr>
              <w:ind w:left="720" w:hanging="557"/>
              <w:contextualSpacing/>
              <w:rPr>
                <w:rFonts w:asciiTheme="minorHAnsi" w:eastAsia="Calibri" w:hAnsiTheme="minorHAnsi" w:cstheme="minorHAnsi"/>
                <w:bCs/>
              </w:rPr>
            </w:pPr>
            <w:r w:rsidRPr="0062487B">
              <w:rPr>
                <w:rFonts w:asciiTheme="minorHAnsi" w:eastAsia="Calibri" w:hAnsiTheme="minorHAnsi" w:cstheme="minorHAnsi"/>
                <w:bCs/>
              </w:rPr>
              <w:t>Hispanic/Latino</w:t>
            </w:r>
          </w:p>
          <w:p w14:paraId="5991B4C7" w14:textId="1FE25CC5" w:rsidR="00CC34A1" w:rsidRPr="0062487B" w:rsidRDefault="00CC34A1" w:rsidP="00D52094">
            <w:pPr>
              <w:ind w:left="343" w:hanging="180"/>
              <w:contextualSpacing/>
              <w:rPr>
                <w:rFonts w:asciiTheme="minorHAnsi" w:eastAsia="Calibri" w:hAnsiTheme="minorHAnsi" w:cstheme="minorHAnsi"/>
                <w:bCs/>
              </w:rPr>
            </w:pPr>
            <w:r w:rsidRPr="0062487B">
              <w:rPr>
                <w:rFonts w:asciiTheme="minorHAnsi" w:eastAsia="Calibri" w:hAnsiTheme="minorHAnsi" w:cstheme="minorHAnsi"/>
                <w:bCs/>
              </w:rPr>
              <w:t>Other/Unknown/Native Hawaiian or Other Pacific Islander</w:t>
            </w:r>
            <w:r w:rsidR="00A76563" w:rsidRPr="0062487B">
              <w:rPr>
                <w:rFonts w:asciiTheme="minorHAnsi" w:eastAsia="Calibri" w:hAnsiTheme="minorHAnsi" w:cstheme="minorHAnsi"/>
                <w:bCs/>
              </w:rPr>
              <w:t>*</w:t>
            </w:r>
          </w:p>
          <w:p w14:paraId="5B72048C" w14:textId="62F06733" w:rsidR="00F7780F" w:rsidRPr="0062487B" w:rsidRDefault="00F7780F" w:rsidP="00F7780F">
            <w:pPr>
              <w:ind w:left="343" w:hanging="180"/>
              <w:contextualSpacing/>
              <w:rPr>
                <w:rFonts w:asciiTheme="minorHAnsi" w:eastAsia="Calibri" w:hAnsiTheme="minorHAnsi" w:cstheme="minorHAnsi"/>
                <w:bCs/>
              </w:rPr>
            </w:pPr>
            <w:r w:rsidRPr="0062487B">
              <w:rPr>
                <w:rFonts w:asciiTheme="minorHAnsi" w:eastAsia="Calibri" w:hAnsiTheme="minorHAnsi" w:cstheme="minorHAnsi"/>
                <w:bCs/>
              </w:rPr>
              <w:t>Native Hawaiian or Other Pacific Islander</w:t>
            </w:r>
          </w:p>
          <w:p w14:paraId="691E8776" w14:textId="77777777" w:rsidR="00CC34A1" w:rsidRPr="0062487B" w:rsidRDefault="00CC34A1" w:rsidP="00D52094">
            <w:pPr>
              <w:ind w:left="720" w:hanging="557"/>
              <w:contextualSpacing/>
              <w:rPr>
                <w:rFonts w:asciiTheme="minorHAnsi" w:eastAsia="Calibri" w:hAnsiTheme="minorHAnsi" w:cstheme="minorHAnsi"/>
                <w:bCs/>
              </w:rPr>
            </w:pPr>
            <w:r w:rsidRPr="0062487B">
              <w:rPr>
                <w:rFonts w:asciiTheme="minorHAnsi" w:eastAsia="Calibri" w:hAnsiTheme="minorHAnsi" w:cstheme="minorHAnsi"/>
                <w:bCs/>
              </w:rPr>
              <w:t>White</w:t>
            </w:r>
          </w:p>
          <w:p w14:paraId="45D1093D" w14:textId="0C783FDF" w:rsidR="00FC41C2" w:rsidRPr="0062487B" w:rsidRDefault="00FC41C2" w:rsidP="00D52094">
            <w:pPr>
              <w:ind w:left="720" w:hanging="557"/>
              <w:contextualSpacing/>
              <w:rPr>
                <w:rFonts w:asciiTheme="minorHAnsi" w:hAnsiTheme="minorHAnsi" w:cstheme="minorHAnsi"/>
                <w:color w:val="2F5897" w:themeColor="text2"/>
              </w:rPr>
            </w:pPr>
            <w:r w:rsidRPr="0062487B">
              <w:rPr>
                <w:rFonts w:asciiTheme="minorHAnsi" w:eastAsia="Calibri" w:hAnsiTheme="minorHAnsi" w:cstheme="minorHAnsi"/>
                <w:bCs/>
              </w:rPr>
              <w:t>Other/Unknown</w:t>
            </w:r>
          </w:p>
        </w:tc>
        <w:tc>
          <w:tcPr>
            <w:tcW w:w="2935" w:type="dxa"/>
          </w:tcPr>
          <w:p w14:paraId="2264A679" w14:textId="77777777" w:rsidR="00CC34A1" w:rsidRPr="0062487B" w:rsidRDefault="00CC34A1" w:rsidP="0020678A">
            <w:pPr>
              <w:contextualSpacing/>
              <w:rPr>
                <w:rFonts w:asciiTheme="minorHAnsi" w:hAnsiTheme="minorHAnsi" w:cstheme="minorHAnsi"/>
                <w:color w:val="000000" w:themeColor="text1"/>
              </w:rPr>
            </w:pPr>
          </w:p>
          <w:p w14:paraId="4A63A0ED" w14:textId="77777777"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0.1%</w:t>
            </w:r>
          </w:p>
          <w:p w14:paraId="7CBE6AD1" w14:textId="771BDA29" w:rsidR="00F7780F" w:rsidRPr="0062487B" w:rsidRDefault="00FC41C2"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4.4%</w:t>
            </w:r>
          </w:p>
          <w:p w14:paraId="19C24E36" w14:textId="77777777"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5.6%</w:t>
            </w:r>
          </w:p>
          <w:p w14:paraId="56C570DB" w14:textId="77777777"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1.3%</w:t>
            </w:r>
          </w:p>
          <w:p w14:paraId="36EF880C" w14:textId="762E3579"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w:t>
            </w:r>
          </w:p>
          <w:p w14:paraId="0B2EA71A" w14:textId="77777777" w:rsidR="00F7780F" w:rsidRPr="0062487B" w:rsidRDefault="00F7780F" w:rsidP="00F7780F">
            <w:pPr>
              <w:contextualSpacing/>
              <w:jc w:val="right"/>
              <w:rPr>
                <w:rFonts w:asciiTheme="minorHAnsi" w:hAnsiTheme="minorHAnsi" w:cstheme="minorHAnsi"/>
                <w:color w:val="000000" w:themeColor="text1"/>
              </w:rPr>
            </w:pPr>
          </w:p>
          <w:p w14:paraId="71EB4597" w14:textId="1AD247EC"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0.1%</w:t>
            </w:r>
          </w:p>
          <w:p w14:paraId="0912F7DF" w14:textId="77777777" w:rsidR="00AF4BC2" w:rsidRPr="0062487B" w:rsidRDefault="00AF4BC2" w:rsidP="00F7780F">
            <w:pPr>
              <w:contextualSpacing/>
              <w:jc w:val="right"/>
              <w:rPr>
                <w:rFonts w:asciiTheme="minorHAnsi" w:hAnsiTheme="minorHAnsi" w:cstheme="minorHAnsi"/>
                <w:color w:val="000000" w:themeColor="text1"/>
              </w:rPr>
            </w:pPr>
          </w:p>
          <w:p w14:paraId="67ED0B4D" w14:textId="2869B076" w:rsidR="00F7780F" w:rsidRPr="0062487B" w:rsidRDefault="00FC41C2"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73.4</w:t>
            </w:r>
            <w:r w:rsidR="00F7780F" w:rsidRPr="0062487B">
              <w:rPr>
                <w:rFonts w:asciiTheme="minorHAnsi" w:hAnsiTheme="minorHAnsi" w:cstheme="minorHAnsi"/>
                <w:color w:val="000000" w:themeColor="text1"/>
              </w:rPr>
              <w:t>%</w:t>
            </w:r>
          </w:p>
          <w:p w14:paraId="7F5C45EB" w14:textId="653DA719" w:rsidR="00FC41C2" w:rsidRPr="0062487B" w:rsidRDefault="00FC41C2"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15.2%</w:t>
            </w:r>
          </w:p>
        </w:tc>
        <w:tc>
          <w:tcPr>
            <w:tcW w:w="3352" w:type="dxa"/>
          </w:tcPr>
          <w:p w14:paraId="77486B0C" w14:textId="77777777" w:rsidR="00CC34A1" w:rsidRPr="0062487B" w:rsidRDefault="00CC34A1" w:rsidP="0082022F">
            <w:pPr>
              <w:contextualSpacing/>
              <w:jc w:val="right"/>
              <w:rPr>
                <w:rFonts w:asciiTheme="minorHAnsi" w:hAnsiTheme="minorHAnsi" w:cstheme="minorHAnsi"/>
                <w:color w:val="000000" w:themeColor="text1"/>
              </w:rPr>
            </w:pPr>
          </w:p>
          <w:p w14:paraId="1191F5DA" w14:textId="77777777" w:rsidR="002D3EEE" w:rsidRPr="0062487B" w:rsidRDefault="002D3EEE"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0.2%</w:t>
            </w:r>
          </w:p>
          <w:p w14:paraId="0EDF73F9" w14:textId="151B02F1" w:rsidR="002D3EEE" w:rsidRPr="0062487B" w:rsidRDefault="002D3EEE"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2.</w:t>
            </w:r>
            <w:r w:rsidR="006A6499" w:rsidRPr="0062487B">
              <w:rPr>
                <w:rFonts w:asciiTheme="minorHAnsi" w:hAnsiTheme="minorHAnsi" w:cstheme="minorHAnsi"/>
                <w:color w:val="000000" w:themeColor="text1"/>
              </w:rPr>
              <w:t>5</w:t>
            </w:r>
            <w:r w:rsidRPr="0062487B">
              <w:rPr>
                <w:rFonts w:asciiTheme="minorHAnsi" w:hAnsiTheme="minorHAnsi" w:cstheme="minorHAnsi"/>
                <w:color w:val="000000" w:themeColor="text1"/>
              </w:rPr>
              <w:t>%</w:t>
            </w:r>
          </w:p>
          <w:p w14:paraId="725B8318" w14:textId="7823A1E3" w:rsidR="002D3EEE" w:rsidRPr="0062487B" w:rsidRDefault="002D3EEE"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1</w:t>
            </w:r>
            <w:r w:rsidR="006A6499" w:rsidRPr="0062487B">
              <w:rPr>
                <w:rFonts w:asciiTheme="minorHAnsi" w:hAnsiTheme="minorHAnsi" w:cstheme="minorHAnsi"/>
                <w:color w:val="000000" w:themeColor="text1"/>
              </w:rPr>
              <w:t>1</w:t>
            </w:r>
            <w:r w:rsidRPr="0062487B">
              <w:rPr>
                <w:rFonts w:asciiTheme="minorHAnsi" w:hAnsiTheme="minorHAnsi" w:cstheme="minorHAnsi"/>
                <w:color w:val="000000" w:themeColor="text1"/>
              </w:rPr>
              <w:t>.</w:t>
            </w:r>
            <w:r w:rsidR="006A6499" w:rsidRPr="0062487B">
              <w:rPr>
                <w:rFonts w:asciiTheme="minorHAnsi" w:hAnsiTheme="minorHAnsi" w:cstheme="minorHAnsi"/>
                <w:color w:val="000000" w:themeColor="text1"/>
              </w:rPr>
              <w:t>5</w:t>
            </w:r>
            <w:r w:rsidRPr="0062487B">
              <w:rPr>
                <w:rFonts w:asciiTheme="minorHAnsi" w:hAnsiTheme="minorHAnsi" w:cstheme="minorHAnsi"/>
                <w:color w:val="000000" w:themeColor="text1"/>
              </w:rPr>
              <w:t>%</w:t>
            </w:r>
          </w:p>
          <w:p w14:paraId="1681C299" w14:textId="388CE2F5" w:rsidR="002D3EEE" w:rsidRPr="0062487B" w:rsidRDefault="006A6499"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4</w:t>
            </w:r>
            <w:r w:rsidR="002D3EEE" w:rsidRPr="0062487B">
              <w:rPr>
                <w:rFonts w:asciiTheme="minorHAnsi" w:hAnsiTheme="minorHAnsi" w:cstheme="minorHAnsi"/>
                <w:color w:val="000000" w:themeColor="text1"/>
              </w:rPr>
              <w:t>.</w:t>
            </w:r>
            <w:r w:rsidRPr="0062487B">
              <w:rPr>
                <w:rFonts w:asciiTheme="minorHAnsi" w:hAnsiTheme="minorHAnsi" w:cstheme="minorHAnsi"/>
                <w:color w:val="000000" w:themeColor="text1"/>
              </w:rPr>
              <w:t>8</w:t>
            </w:r>
            <w:r w:rsidR="002D3EEE" w:rsidRPr="0062487B">
              <w:rPr>
                <w:rFonts w:asciiTheme="minorHAnsi" w:hAnsiTheme="minorHAnsi" w:cstheme="minorHAnsi"/>
                <w:color w:val="000000" w:themeColor="text1"/>
              </w:rPr>
              <w:t>%</w:t>
            </w:r>
          </w:p>
          <w:p w14:paraId="1D14E6AF" w14:textId="5B9E7015" w:rsidR="002D3EEE" w:rsidRPr="0062487B" w:rsidRDefault="002D3EEE"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1</w:t>
            </w:r>
            <w:r w:rsidR="006A6499" w:rsidRPr="0062487B">
              <w:rPr>
                <w:rFonts w:asciiTheme="minorHAnsi" w:hAnsiTheme="minorHAnsi" w:cstheme="minorHAnsi"/>
                <w:color w:val="000000" w:themeColor="text1"/>
              </w:rPr>
              <w:t>1</w:t>
            </w:r>
            <w:r w:rsidRPr="0062487B">
              <w:rPr>
                <w:rFonts w:asciiTheme="minorHAnsi" w:hAnsiTheme="minorHAnsi" w:cstheme="minorHAnsi"/>
                <w:color w:val="000000" w:themeColor="text1"/>
              </w:rPr>
              <w:t>.</w:t>
            </w:r>
            <w:r w:rsidR="006A6499" w:rsidRPr="0062487B">
              <w:rPr>
                <w:rFonts w:asciiTheme="minorHAnsi" w:hAnsiTheme="minorHAnsi" w:cstheme="minorHAnsi"/>
                <w:color w:val="000000" w:themeColor="text1"/>
              </w:rPr>
              <w:t>0</w:t>
            </w:r>
            <w:r w:rsidRPr="0062487B">
              <w:rPr>
                <w:rFonts w:asciiTheme="minorHAnsi" w:hAnsiTheme="minorHAnsi" w:cstheme="minorHAnsi"/>
                <w:color w:val="000000" w:themeColor="text1"/>
              </w:rPr>
              <w:t>%</w:t>
            </w:r>
          </w:p>
          <w:p w14:paraId="1D386C28" w14:textId="77777777" w:rsidR="002D3EEE" w:rsidRPr="0062487B" w:rsidRDefault="002D3EEE" w:rsidP="0082022F">
            <w:pPr>
              <w:contextualSpacing/>
              <w:jc w:val="right"/>
              <w:rPr>
                <w:rFonts w:asciiTheme="minorHAnsi" w:hAnsiTheme="minorHAnsi" w:cstheme="minorHAnsi"/>
                <w:color w:val="000000" w:themeColor="text1"/>
              </w:rPr>
            </w:pPr>
          </w:p>
          <w:p w14:paraId="5C4F20B3" w14:textId="18914618" w:rsidR="00F7780F" w:rsidRPr="0062487B" w:rsidRDefault="00F7780F"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w:t>
            </w:r>
          </w:p>
          <w:p w14:paraId="22B9FCFC" w14:textId="77777777" w:rsidR="00F7780F" w:rsidRPr="0062487B" w:rsidRDefault="00F7780F" w:rsidP="0082022F">
            <w:pPr>
              <w:contextualSpacing/>
              <w:jc w:val="right"/>
              <w:rPr>
                <w:rFonts w:asciiTheme="minorHAnsi" w:hAnsiTheme="minorHAnsi" w:cstheme="minorHAnsi"/>
                <w:color w:val="000000" w:themeColor="text1"/>
              </w:rPr>
            </w:pPr>
          </w:p>
          <w:p w14:paraId="45D1DBDC" w14:textId="77777777" w:rsidR="002D3EEE" w:rsidRPr="0062487B" w:rsidRDefault="006A6499"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70</w:t>
            </w:r>
            <w:r w:rsidR="002D3EEE" w:rsidRPr="0062487B">
              <w:rPr>
                <w:rFonts w:asciiTheme="minorHAnsi" w:hAnsiTheme="minorHAnsi" w:cstheme="minorHAnsi"/>
                <w:color w:val="000000" w:themeColor="text1"/>
              </w:rPr>
              <w:t>.</w:t>
            </w:r>
            <w:r w:rsidRPr="0062487B">
              <w:rPr>
                <w:rFonts w:asciiTheme="minorHAnsi" w:hAnsiTheme="minorHAnsi" w:cstheme="minorHAnsi"/>
                <w:color w:val="000000" w:themeColor="text1"/>
              </w:rPr>
              <w:t>1</w:t>
            </w:r>
            <w:r w:rsidR="002D3EEE" w:rsidRPr="0062487B">
              <w:rPr>
                <w:rFonts w:asciiTheme="minorHAnsi" w:hAnsiTheme="minorHAnsi" w:cstheme="minorHAnsi"/>
                <w:color w:val="000000" w:themeColor="text1"/>
              </w:rPr>
              <w:t>%</w:t>
            </w:r>
          </w:p>
          <w:p w14:paraId="11F343A2" w14:textId="5E13AD9E" w:rsidR="00A37B12" w:rsidRPr="0062487B" w:rsidRDefault="00D17AD2"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w:t>
            </w:r>
          </w:p>
        </w:tc>
      </w:tr>
      <w:tr w:rsidR="00CC34A1" w:rsidRPr="0062487B" w14:paraId="280FB0A4" w14:textId="77777777" w:rsidTr="00AC39CB">
        <w:tc>
          <w:tcPr>
            <w:tcW w:w="3773" w:type="dxa"/>
          </w:tcPr>
          <w:p w14:paraId="28246448" w14:textId="77777777" w:rsidR="00CC34A1" w:rsidRPr="0062487B" w:rsidRDefault="00CC34A1" w:rsidP="0020678A">
            <w:pPr>
              <w:contextualSpacing/>
              <w:rPr>
                <w:rFonts w:asciiTheme="minorHAnsi" w:eastAsia="Calibri" w:hAnsiTheme="minorHAnsi" w:cstheme="minorHAnsi"/>
                <w:b/>
              </w:rPr>
            </w:pPr>
            <w:r w:rsidRPr="0062487B">
              <w:rPr>
                <w:rFonts w:asciiTheme="minorHAnsi" w:eastAsia="Calibri" w:hAnsiTheme="minorHAnsi" w:cstheme="minorHAnsi"/>
                <w:b/>
              </w:rPr>
              <w:t>Patient Origin</w:t>
            </w:r>
          </w:p>
          <w:p w14:paraId="1DDB2F30" w14:textId="77777777" w:rsidR="002D3EEE" w:rsidRPr="0062487B" w:rsidRDefault="002D3EEE" w:rsidP="002D3EEE">
            <w:pPr>
              <w:ind w:left="720" w:hanging="557"/>
              <w:contextualSpacing/>
              <w:rPr>
                <w:rFonts w:asciiTheme="minorHAnsi" w:eastAsia="Calibri" w:hAnsiTheme="minorHAnsi" w:cstheme="minorHAnsi"/>
                <w:bCs/>
              </w:rPr>
            </w:pPr>
            <w:r w:rsidRPr="0062487B">
              <w:rPr>
                <w:rFonts w:asciiTheme="minorHAnsi" w:eastAsia="Calibri" w:hAnsiTheme="minorHAnsi" w:cstheme="minorHAnsi"/>
                <w:bCs/>
              </w:rPr>
              <w:t>HSA 1</w:t>
            </w:r>
          </w:p>
          <w:p w14:paraId="7EBE1650" w14:textId="36889875" w:rsidR="002D3EEE" w:rsidRPr="0062487B" w:rsidRDefault="002D3EEE" w:rsidP="002D3EEE">
            <w:pPr>
              <w:ind w:left="720" w:hanging="557"/>
              <w:contextualSpacing/>
              <w:rPr>
                <w:rFonts w:asciiTheme="minorHAnsi" w:eastAsia="Calibri" w:hAnsiTheme="minorHAnsi" w:cstheme="minorHAnsi"/>
                <w:bCs/>
              </w:rPr>
            </w:pPr>
            <w:r w:rsidRPr="0062487B">
              <w:rPr>
                <w:rFonts w:asciiTheme="minorHAnsi" w:eastAsia="Calibri" w:hAnsiTheme="minorHAnsi" w:cstheme="minorHAnsi"/>
                <w:bCs/>
              </w:rPr>
              <w:t>HSA 2</w:t>
            </w:r>
          </w:p>
          <w:p w14:paraId="394E766C" w14:textId="07FEE0F7" w:rsidR="002D3EEE" w:rsidRPr="0062487B" w:rsidRDefault="002D3EEE" w:rsidP="002D3EEE">
            <w:pPr>
              <w:ind w:left="720" w:hanging="557"/>
              <w:contextualSpacing/>
              <w:rPr>
                <w:rFonts w:asciiTheme="minorHAnsi" w:eastAsia="Calibri" w:hAnsiTheme="minorHAnsi" w:cstheme="minorHAnsi"/>
                <w:bCs/>
              </w:rPr>
            </w:pPr>
            <w:r w:rsidRPr="0062487B">
              <w:rPr>
                <w:rFonts w:asciiTheme="minorHAnsi" w:eastAsia="Calibri" w:hAnsiTheme="minorHAnsi" w:cstheme="minorHAnsi"/>
                <w:bCs/>
              </w:rPr>
              <w:t>HSA 3</w:t>
            </w:r>
          </w:p>
          <w:p w14:paraId="231357E4" w14:textId="7019BA6E" w:rsidR="002D3EEE" w:rsidRPr="0062487B" w:rsidRDefault="002D3EEE" w:rsidP="002D3EEE">
            <w:pPr>
              <w:ind w:left="720" w:hanging="557"/>
              <w:contextualSpacing/>
              <w:rPr>
                <w:rFonts w:asciiTheme="minorHAnsi" w:eastAsia="Calibri" w:hAnsiTheme="minorHAnsi" w:cstheme="minorHAnsi"/>
                <w:bCs/>
              </w:rPr>
            </w:pPr>
            <w:r w:rsidRPr="0062487B">
              <w:rPr>
                <w:rFonts w:asciiTheme="minorHAnsi" w:eastAsia="Calibri" w:hAnsiTheme="minorHAnsi" w:cstheme="minorHAnsi"/>
                <w:bCs/>
              </w:rPr>
              <w:t>HSA 4</w:t>
            </w:r>
          </w:p>
          <w:p w14:paraId="33ECF28B" w14:textId="1E378D1D" w:rsidR="002D3EEE" w:rsidRPr="0062487B" w:rsidRDefault="002D3EEE" w:rsidP="002D3EEE">
            <w:pPr>
              <w:ind w:left="720" w:hanging="557"/>
              <w:contextualSpacing/>
              <w:rPr>
                <w:rFonts w:asciiTheme="minorHAnsi" w:eastAsia="Calibri" w:hAnsiTheme="minorHAnsi" w:cstheme="minorHAnsi"/>
                <w:bCs/>
              </w:rPr>
            </w:pPr>
            <w:r w:rsidRPr="0062487B">
              <w:rPr>
                <w:rFonts w:asciiTheme="minorHAnsi" w:eastAsia="Calibri" w:hAnsiTheme="minorHAnsi" w:cstheme="minorHAnsi"/>
                <w:bCs/>
              </w:rPr>
              <w:t>HSA 5</w:t>
            </w:r>
          </w:p>
          <w:p w14:paraId="2149A57E" w14:textId="77777777" w:rsidR="002D3EEE" w:rsidRPr="0062487B" w:rsidRDefault="002D3EEE" w:rsidP="002D3EEE">
            <w:pPr>
              <w:ind w:left="720" w:hanging="557"/>
              <w:contextualSpacing/>
              <w:rPr>
                <w:rFonts w:asciiTheme="minorHAnsi" w:eastAsia="Calibri" w:hAnsiTheme="minorHAnsi" w:cstheme="minorHAnsi"/>
                <w:bCs/>
              </w:rPr>
            </w:pPr>
            <w:r w:rsidRPr="0062487B">
              <w:rPr>
                <w:rFonts w:asciiTheme="minorHAnsi" w:eastAsia="Calibri" w:hAnsiTheme="minorHAnsi" w:cstheme="minorHAnsi"/>
                <w:bCs/>
              </w:rPr>
              <w:t>HSA 6</w:t>
            </w:r>
          </w:p>
          <w:p w14:paraId="6968785D" w14:textId="77777777" w:rsidR="002D3EEE" w:rsidRPr="0062487B" w:rsidRDefault="002D3EEE" w:rsidP="002D3EEE">
            <w:pPr>
              <w:ind w:left="720" w:hanging="557"/>
              <w:contextualSpacing/>
              <w:rPr>
                <w:rFonts w:asciiTheme="minorHAnsi" w:hAnsiTheme="minorHAnsi" w:cstheme="minorHAnsi"/>
                <w:bCs/>
                <w:color w:val="000000" w:themeColor="text1"/>
              </w:rPr>
            </w:pPr>
            <w:r w:rsidRPr="0062487B">
              <w:rPr>
                <w:rFonts w:asciiTheme="minorHAnsi" w:hAnsiTheme="minorHAnsi" w:cstheme="minorHAnsi"/>
                <w:bCs/>
                <w:color w:val="000000" w:themeColor="text1"/>
              </w:rPr>
              <w:t>Outside of MA</w:t>
            </w:r>
          </w:p>
          <w:p w14:paraId="20F5A262" w14:textId="2C979016" w:rsidR="002D3EEE" w:rsidRPr="0062487B" w:rsidRDefault="002D3EEE" w:rsidP="00A76563">
            <w:pPr>
              <w:ind w:left="429" w:hanging="266"/>
              <w:contextualSpacing/>
              <w:rPr>
                <w:rFonts w:asciiTheme="minorHAnsi" w:hAnsiTheme="minorHAnsi" w:cstheme="minorHAnsi"/>
                <w:bCs/>
                <w:color w:val="000000" w:themeColor="text1"/>
              </w:rPr>
            </w:pPr>
            <w:r w:rsidRPr="0062487B">
              <w:rPr>
                <w:rFonts w:asciiTheme="minorHAnsi" w:hAnsiTheme="minorHAnsi" w:cstheme="minorHAnsi"/>
                <w:bCs/>
                <w:color w:val="000000" w:themeColor="text1"/>
              </w:rPr>
              <w:t xml:space="preserve">Unknown/In MA but not </w:t>
            </w:r>
            <w:r w:rsidR="00A76563" w:rsidRPr="0062487B">
              <w:rPr>
                <w:rFonts w:asciiTheme="minorHAnsi" w:eastAsia="Calibri" w:hAnsiTheme="minorHAnsi" w:cstheme="minorHAnsi"/>
                <w:bCs/>
              </w:rPr>
              <w:t xml:space="preserve">HSA </w:t>
            </w:r>
            <w:r w:rsidRPr="0062487B">
              <w:rPr>
                <w:rFonts w:asciiTheme="minorHAnsi" w:hAnsiTheme="minorHAnsi" w:cstheme="minorHAnsi"/>
                <w:bCs/>
                <w:color w:val="000000" w:themeColor="text1"/>
              </w:rPr>
              <w:t>1-6</w:t>
            </w:r>
            <w:r w:rsidR="00A76563" w:rsidRPr="0062487B">
              <w:rPr>
                <w:rFonts w:asciiTheme="minorHAnsi" w:hAnsiTheme="minorHAnsi" w:cstheme="minorHAnsi"/>
                <w:bCs/>
                <w:color w:val="000000" w:themeColor="text1"/>
              </w:rPr>
              <w:t>*</w:t>
            </w:r>
          </w:p>
        </w:tc>
        <w:tc>
          <w:tcPr>
            <w:tcW w:w="2935" w:type="dxa"/>
          </w:tcPr>
          <w:p w14:paraId="25EF2C59" w14:textId="77777777" w:rsidR="00CC34A1" w:rsidRPr="0062487B" w:rsidRDefault="00CC34A1" w:rsidP="00F7780F">
            <w:pPr>
              <w:contextualSpacing/>
              <w:jc w:val="right"/>
              <w:rPr>
                <w:rFonts w:asciiTheme="minorHAnsi" w:hAnsiTheme="minorHAnsi" w:cstheme="minorHAnsi"/>
                <w:color w:val="000000" w:themeColor="text1"/>
              </w:rPr>
            </w:pPr>
          </w:p>
          <w:p w14:paraId="0AD2D7BC" w14:textId="77777777"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6.6%</w:t>
            </w:r>
          </w:p>
          <w:p w14:paraId="55AAF441" w14:textId="77777777"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3.4%</w:t>
            </w:r>
          </w:p>
          <w:p w14:paraId="1A693ADB" w14:textId="77777777"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6.7%</w:t>
            </w:r>
          </w:p>
          <w:p w14:paraId="5203A3D9" w14:textId="77777777"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44.6%</w:t>
            </w:r>
          </w:p>
          <w:p w14:paraId="70B18FD3" w14:textId="77777777"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11.4%</w:t>
            </w:r>
          </w:p>
          <w:p w14:paraId="66E7833E" w14:textId="77777777"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16.0%</w:t>
            </w:r>
          </w:p>
          <w:p w14:paraId="5AA2C973" w14:textId="77777777"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11.0%</w:t>
            </w:r>
          </w:p>
          <w:p w14:paraId="0A633AFC" w14:textId="32171825" w:rsidR="00F7780F" w:rsidRPr="0062487B" w:rsidRDefault="00F7780F" w:rsidP="00F7780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0.4%</w:t>
            </w:r>
          </w:p>
        </w:tc>
        <w:tc>
          <w:tcPr>
            <w:tcW w:w="3352" w:type="dxa"/>
          </w:tcPr>
          <w:p w14:paraId="0C8E9244" w14:textId="77777777" w:rsidR="00CC34A1" w:rsidRPr="0062487B" w:rsidRDefault="00CC34A1" w:rsidP="0082022F">
            <w:pPr>
              <w:contextualSpacing/>
              <w:jc w:val="right"/>
              <w:rPr>
                <w:rFonts w:asciiTheme="minorHAnsi" w:hAnsiTheme="minorHAnsi" w:cstheme="minorHAnsi"/>
                <w:color w:val="000000" w:themeColor="text1"/>
              </w:rPr>
            </w:pPr>
          </w:p>
          <w:p w14:paraId="53601A83" w14:textId="7D83CB61" w:rsidR="002D3EEE" w:rsidRPr="0062487B" w:rsidRDefault="002D3EEE"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0.</w:t>
            </w:r>
            <w:r w:rsidR="00C077B5">
              <w:rPr>
                <w:rFonts w:asciiTheme="minorHAnsi" w:hAnsiTheme="minorHAnsi" w:cstheme="minorHAnsi"/>
                <w:color w:val="000000" w:themeColor="text1"/>
              </w:rPr>
              <w:t>8</w:t>
            </w:r>
            <w:r w:rsidRPr="0062487B">
              <w:rPr>
                <w:rFonts w:asciiTheme="minorHAnsi" w:hAnsiTheme="minorHAnsi" w:cstheme="minorHAnsi"/>
                <w:color w:val="000000" w:themeColor="text1"/>
              </w:rPr>
              <w:t>%</w:t>
            </w:r>
          </w:p>
          <w:p w14:paraId="1276D710" w14:textId="36A5E352" w:rsidR="002D3EEE" w:rsidRPr="0062487B" w:rsidRDefault="00C077B5" w:rsidP="0082022F">
            <w:pPr>
              <w:contextualSpacing/>
              <w:jc w:val="right"/>
              <w:rPr>
                <w:rFonts w:asciiTheme="minorHAnsi" w:hAnsiTheme="minorHAnsi" w:cstheme="minorHAnsi"/>
                <w:color w:val="000000" w:themeColor="text1"/>
              </w:rPr>
            </w:pPr>
            <w:r>
              <w:rPr>
                <w:rFonts w:asciiTheme="minorHAnsi" w:hAnsiTheme="minorHAnsi" w:cstheme="minorHAnsi"/>
                <w:color w:val="000000" w:themeColor="text1"/>
              </w:rPr>
              <w:t>3.1</w:t>
            </w:r>
            <w:r w:rsidR="002D3EEE" w:rsidRPr="0062487B">
              <w:rPr>
                <w:rFonts w:asciiTheme="minorHAnsi" w:hAnsiTheme="minorHAnsi" w:cstheme="minorHAnsi"/>
                <w:color w:val="000000" w:themeColor="text1"/>
              </w:rPr>
              <w:t>%</w:t>
            </w:r>
          </w:p>
          <w:p w14:paraId="5C52BEC8" w14:textId="4BA0BC17" w:rsidR="002D3EEE" w:rsidRPr="0062487B" w:rsidRDefault="00C077B5" w:rsidP="0082022F">
            <w:pPr>
              <w:contextualSpacing/>
              <w:jc w:val="right"/>
              <w:rPr>
                <w:rFonts w:asciiTheme="minorHAnsi" w:hAnsiTheme="minorHAnsi" w:cstheme="minorHAnsi"/>
                <w:color w:val="000000" w:themeColor="text1"/>
              </w:rPr>
            </w:pPr>
            <w:r>
              <w:rPr>
                <w:rFonts w:asciiTheme="minorHAnsi" w:hAnsiTheme="minorHAnsi" w:cstheme="minorHAnsi"/>
                <w:color w:val="000000" w:themeColor="text1"/>
              </w:rPr>
              <w:t>2.0</w:t>
            </w:r>
            <w:r w:rsidR="002D3EEE" w:rsidRPr="0062487B">
              <w:rPr>
                <w:rFonts w:asciiTheme="minorHAnsi" w:hAnsiTheme="minorHAnsi" w:cstheme="minorHAnsi"/>
                <w:color w:val="000000" w:themeColor="text1"/>
              </w:rPr>
              <w:t>%</w:t>
            </w:r>
          </w:p>
          <w:p w14:paraId="4DD22FD6" w14:textId="629747F8" w:rsidR="002D3EEE" w:rsidRPr="0062487B" w:rsidRDefault="00C077B5" w:rsidP="0082022F">
            <w:pPr>
              <w:contextualSpacing/>
              <w:jc w:val="right"/>
              <w:rPr>
                <w:rFonts w:asciiTheme="minorHAnsi" w:hAnsiTheme="minorHAnsi" w:cstheme="minorHAnsi"/>
                <w:color w:val="000000" w:themeColor="text1"/>
              </w:rPr>
            </w:pPr>
            <w:r>
              <w:rPr>
                <w:rFonts w:asciiTheme="minorHAnsi" w:hAnsiTheme="minorHAnsi" w:cstheme="minorHAnsi"/>
                <w:color w:val="000000" w:themeColor="text1"/>
              </w:rPr>
              <w:t>72.9</w:t>
            </w:r>
            <w:r w:rsidR="002D3EEE" w:rsidRPr="0062487B">
              <w:rPr>
                <w:rFonts w:asciiTheme="minorHAnsi" w:hAnsiTheme="minorHAnsi" w:cstheme="minorHAnsi"/>
                <w:color w:val="000000" w:themeColor="text1"/>
              </w:rPr>
              <w:t>%</w:t>
            </w:r>
          </w:p>
          <w:p w14:paraId="50D7107D" w14:textId="7EAE2290" w:rsidR="002D3EEE" w:rsidRPr="0062487B" w:rsidRDefault="002D3EEE"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1</w:t>
            </w:r>
            <w:r w:rsidR="00C077B5">
              <w:rPr>
                <w:rFonts w:asciiTheme="minorHAnsi" w:hAnsiTheme="minorHAnsi" w:cstheme="minorHAnsi"/>
                <w:color w:val="000000" w:themeColor="text1"/>
              </w:rPr>
              <w:t>2</w:t>
            </w:r>
            <w:r w:rsidRPr="0062487B">
              <w:rPr>
                <w:rFonts w:asciiTheme="minorHAnsi" w:hAnsiTheme="minorHAnsi" w:cstheme="minorHAnsi"/>
                <w:color w:val="000000" w:themeColor="text1"/>
              </w:rPr>
              <w:t>.7%</w:t>
            </w:r>
          </w:p>
          <w:p w14:paraId="57C0A7C7" w14:textId="5997BBFA" w:rsidR="002D3EEE" w:rsidRPr="0062487B" w:rsidRDefault="00C077B5" w:rsidP="0082022F">
            <w:pPr>
              <w:contextualSpacing/>
              <w:jc w:val="right"/>
              <w:rPr>
                <w:rFonts w:asciiTheme="minorHAnsi" w:hAnsiTheme="minorHAnsi" w:cstheme="minorHAnsi"/>
                <w:color w:val="000000" w:themeColor="text1"/>
              </w:rPr>
            </w:pPr>
            <w:r>
              <w:rPr>
                <w:rFonts w:asciiTheme="minorHAnsi" w:hAnsiTheme="minorHAnsi" w:cstheme="minorHAnsi"/>
                <w:color w:val="000000" w:themeColor="text1"/>
              </w:rPr>
              <w:t>3.0</w:t>
            </w:r>
            <w:r w:rsidR="002D3EEE" w:rsidRPr="0062487B">
              <w:rPr>
                <w:rFonts w:asciiTheme="minorHAnsi" w:hAnsiTheme="minorHAnsi" w:cstheme="minorHAnsi"/>
                <w:color w:val="000000" w:themeColor="text1"/>
              </w:rPr>
              <w:t>%</w:t>
            </w:r>
          </w:p>
          <w:p w14:paraId="2048DA64" w14:textId="5C0EF434" w:rsidR="002D3EEE" w:rsidRPr="0062487B" w:rsidRDefault="00C077B5" w:rsidP="0082022F">
            <w:pPr>
              <w:contextualSpacing/>
              <w:jc w:val="right"/>
              <w:rPr>
                <w:rFonts w:asciiTheme="minorHAnsi" w:hAnsiTheme="minorHAnsi" w:cstheme="minorHAnsi"/>
                <w:color w:val="000000" w:themeColor="text1"/>
              </w:rPr>
            </w:pPr>
            <w:r>
              <w:rPr>
                <w:rFonts w:asciiTheme="minorHAnsi" w:hAnsiTheme="minorHAnsi" w:cstheme="minorHAnsi"/>
                <w:color w:val="000000" w:themeColor="text1"/>
              </w:rPr>
              <w:t>5.2</w:t>
            </w:r>
            <w:r w:rsidR="002D3EEE" w:rsidRPr="0062487B">
              <w:rPr>
                <w:rFonts w:asciiTheme="minorHAnsi" w:hAnsiTheme="minorHAnsi" w:cstheme="minorHAnsi"/>
                <w:color w:val="000000" w:themeColor="text1"/>
              </w:rPr>
              <w:t>%</w:t>
            </w:r>
          </w:p>
          <w:p w14:paraId="1BDA7D90" w14:textId="636B76DE" w:rsidR="002D3EEE" w:rsidRPr="0062487B" w:rsidRDefault="002D3EEE"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0.</w:t>
            </w:r>
            <w:r w:rsidR="00C077B5">
              <w:rPr>
                <w:rFonts w:asciiTheme="minorHAnsi" w:hAnsiTheme="minorHAnsi" w:cstheme="minorHAnsi"/>
                <w:color w:val="000000" w:themeColor="text1"/>
              </w:rPr>
              <w:t>2</w:t>
            </w:r>
            <w:r w:rsidRPr="0062487B">
              <w:rPr>
                <w:rFonts w:asciiTheme="minorHAnsi" w:hAnsiTheme="minorHAnsi" w:cstheme="minorHAnsi"/>
                <w:color w:val="000000" w:themeColor="text1"/>
              </w:rPr>
              <w:t>%</w:t>
            </w:r>
          </w:p>
        </w:tc>
      </w:tr>
    </w:tbl>
    <w:p w14:paraId="4CBF141D" w14:textId="56F7BA08" w:rsidR="005904C6" w:rsidRDefault="00AC39CB" w:rsidP="00CC34A1">
      <w:pPr>
        <w:contextualSpacing/>
        <w:rPr>
          <w:rFonts w:asciiTheme="minorHAnsi" w:hAnsiTheme="minorHAnsi" w:cstheme="minorHAnsi"/>
          <w:color w:val="000000" w:themeColor="text1"/>
          <w:sz w:val="18"/>
          <w:szCs w:val="18"/>
        </w:rPr>
      </w:pPr>
      <w:r w:rsidRPr="0062487B">
        <w:rPr>
          <w:rFonts w:asciiTheme="minorHAnsi" w:hAnsiTheme="minorHAnsi" w:cstheme="minorHAnsi"/>
          <w:color w:val="000000" w:themeColor="text1"/>
          <w:sz w:val="18"/>
          <w:szCs w:val="18"/>
        </w:rPr>
        <w:t>*Categories with less than 11 are aggregated and included with larger categories to maintain the confidentiality of patients within those categories at BWFH</w:t>
      </w:r>
    </w:p>
    <w:p w14:paraId="444F2369" w14:textId="23D430B1" w:rsidR="00443A75" w:rsidRPr="0062487B" w:rsidRDefault="62352500" w:rsidP="17FA2F59">
      <w:pPr>
        <w:contextualSpacing/>
        <w:rPr>
          <w:rFonts w:asciiTheme="minorHAnsi" w:hAnsiTheme="minorHAnsi" w:cstheme="minorBidi"/>
          <w:b/>
          <w:bCs/>
          <w:color w:val="2F5897" w:themeColor="text2"/>
        </w:rPr>
      </w:pPr>
      <w:r w:rsidRPr="17FA2F59">
        <w:rPr>
          <w:rFonts w:asciiTheme="minorHAnsi" w:hAnsiTheme="minorHAnsi" w:cstheme="minorBidi"/>
          <w:b/>
          <w:bCs/>
          <w:u w:val="single"/>
        </w:rPr>
        <w:lastRenderedPageBreak/>
        <w:t xml:space="preserve">Table </w:t>
      </w:r>
      <w:r w:rsidR="2C034F50" w:rsidRPr="17FA2F59">
        <w:rPr>
          <w:rFonts w:asciiTheme="minorHAnsi" w:hAnsiTheme="minorHAnsi" w:cstheme="minorBidi"/>
          <w:b/>
          <w:bCs/>
          <w:u w:val="single"/>
        </w:rPr>
        <w:t>3</w:t>
      </w:r>
      <w:r w:rsidRPr="17FA2F59">
        <w:rPr>
          <w:rFonts w:asciiTheme="minorHAnsi" w:hAnsiTheme="minorHAnsi" w:cstheme="minorBidi"/>
          <w:b/>
          <w:bCs/>
        </w:rPr>
        <w:t xml:space="preserve">: Payer Mix for </w:t>
      </w:r>
      <w:r w:rsidRPr="17FA2F59">
        <w:rPr>
          <w:rFonts w:asciiTheme="minorHAnsi" w:eastAsiaTheme="minorEastAsia" w:hAnsiTheme="minorHAnsi" w:cstheme="minorBidi"/>
          <w:b/>
          <w:bCs/>
        </w:rPr>
        <w:t>Applicant</w:t>
      </w:r>
      <w:r w:rsidRPr="17FA2F59">
        <w:rPr>
          <w:rFonts w:asciiTheme="minorHAnsi" w:hAnsiTheme="minorHAnsi" w:cstheme="minorBidi"/>
          <w:b/>
          <w:bCs/>
        </w:rPr>
        <w:t xml:space="preserve"> (MGB) and </w:t>
      </w:r>
      <w:r w:rsidRPr="17FA2F59">
        <w:rPr>
          <w:rFonts w:asciiTheme="minorHAnsi" w:eastAsiaTheme="minorEastAsia" w:hAnsiTheme="minorHAnsi" w:cstheme="minorBidi"/>
          <w:b/>
          <w:bCs/>
        </w:rPr>
        <w:t>BWFH, FY19</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54"/>
        <w:gridCol w:w="3355"/>
        <w:gridCol w:w="3355"/>
      </w:tblGrid>
      <w:tr w:rsidR="00443A75" w:rsidRPr="0062487B" w14:paraId="0081FBC1" w14:textId="77777777" w:rsidTr="007B7EAF">
        <w:tc>
          <w:tcPr>
            <w:tcW w:w="3356" w:type="dxa"/>
            <w:shd w:val="clear" w:color="auto" w:fill="DFE3F0" w:themeFill="accent1" w:themeFillTint="33"/>
          </w:tcPr>
          <w:p w14:paraId="160758B0" w14:textId="77777777" w:rsidR="00443A75" w:rsidRPr="0062487B" w:rsidRDefault="00443A75" w:rsidP="00443A75">
            <w:pPr>
              <w:contextualSpacing/>
              <w:jc w:val="center"/>
              <w:rPr>
                <w:rFonts w:asciiTheme="minorHAnsi" w:hAnsiTheme="minorHAnsi" w:cstheme="minorHAnsi"/>
                <w:color w:val="000000" w:themeColor="text1"/>
              </w:rPr>
            </w:pPr>
          </w:p>
        </w:tc>
        <w:tc>
          <w:tcPr>
            <w:tcW w:w="3357" w:type="dxa"/>
            <w:shd w:val="clear" w:color="auto" w:fill="DFE3F0" w:themeFill="accent1" w:themeFillTint="33"/>
          </w:tcPr>
          <w:p w14:paraId="32E218AD" w14:textId="6B1FBDE0" w:rsidR="00443A75" w:rsidRPr="0062487B" w:rsidRDefault="00443A75" w:rsidP="00443A75">
            <w:pPr>
              <w:contextualSpacing/>
              <w:jc w:val="center"/>
              <w:rPr>
                <w:rFonts w:asciiTheme="minorHAnsi" w:hAnsiTheme="minorHAnsi" w:cstheme="minorHAnsi"/>
                <w:color w:val="000000" w:themeColor="text1"/>
              </w:rPr>
            </w:pPr>
            <w:r w:rsidRPr="0062487B">
              <w:rPr>
                <w:rFonts w:asciiTheme="minorHAnsi" w:eastAsia="Calibri" w:hAnsiTheme="minorHAnsi" w:cstheme="minorHAnsi"/>
                <w:b/>
              </w:rPr>
              <w:t>MGB</w:t>
            </w:r>
          </w:p>
        </w:tc>
        <w:tc>
          <w:tcPr>
            <w:tcW w:w="3357" w:type="dxa"/>
            <w:shd w:val="clear" w:color="auto" w:fill="DFE3F0" w:themeFill="accent1" w:themeFillTint="33"/>
          </w:tcPr>
          <w:p w14:paraId="26D97C4A" w14:textId="3BC41BC8" w:rsidR="00443A75" w:rsidRPr="0062487B" w:rsidRDefault="00443A75" w:rsidP="00443A75">
            <w:pPr>
              <w:contextualSpacing/>
              <w:jc w:val="center"/>
              <w:rPr>
                <w:rFonts w:asciiTheme="minorHAnsi" w:hAnsiTheme="minorHAnsi" w:cstheme="minorHAnsi"/>
                <w:color w:val="000000" w:themeColor="text1"/>
              </w:rPr>
            </w:pPr>
            <w:r w:rsidRPr="0062487B">
              <w:rPr>
                <w:rFonts w:asciiTheme="minorHAnsi" w:eastAsia="Calibri" w:hAnsiTheme="minorHAnsi" w:cstheme="minorHAnsi"/>
                <w:b/>
              </w:rPr>
              <w:t>BWFH</w:t>
            </w:r>
          </w:p>
        </w:tc>
      </w:tr>
      <w:tr w:rsidR="00443A75" w:rsidRPr="0062487B" w14:paraId="6041AB39" w14:textId="77777777" w:rsidTr="007B7EAF">
        <w:tc>
          <w:tcPr>
            <w:tcW w:w="3356" w:type="dxa"/>
          </w:tcPr>
          <w:p w14:paraId="51DF6941" w14:textId="13F8C691" w:rsidR="00452467" w:rsidRPr="0062487B" w:rsidRDefault="00452467" w:rsidP="00443A75">
            <w:pPr>
              <w:contextualSpacing/>
              <w:rPr>
                <w:rFonts w:asciiTheme="minorHAnsi" w:hAnsiTheme="minorHAnsi" w:cstheme="minorHAnsi"/>
                <w:b/>
                <w:bCs/>
                <w:color w:val="000000" w:themeColor="text1"/>
              </w:rPr>
            </w:pPr>
            <w:r w:rsidRPr="0062487B">
              <w:rPr>
                <w:rFonts w:asciiTheme="minorHAnsi" w:hAnsiTheme="minorHAnsi" w:cstheme="minorHAnsi"/>
                <w:b/>
                <w:bCs/>
                <w:color w:val="000000" w:themeColor="text1"/>
              </w:rPr>
              <w:t>Payer Mix</w:t>
            </w:r>
          </w:p>
          <w:p w14:paraId="66A8DA3B" w14:textId="313ED0DD" w:rsidR="00443A75" w:rsidRPr="0062487B" w:rsidRDefault="00443A75" w:rsidP="00443A75">
            <w:pPr>
              <w:contextualSpacing/>
              <w:rPr>
                <w:rFonts w:asciiTheme="minorHAnsi" w:hAnsiTheme="minorHAnsi" w:cstheme="minorHAnsi"/>
                <w:color w:val="000000" w:themeColor="text1"/>
              </w:rPr>
            </w:pPr>
            <w:r w:rsidRPr="0062487B">
              <w:rPr>
                <w:rFonts w:asciiTheme="minorHAnsi" w:hAnsiTheme="minorHAnsi" w:cstheme="minorHAnsi"/>
                <w:color w:val="000000" w:themeColor="text1"/>
              </w:rPr>
              <w:t>Commercial</w:t>
            </w:r>
          </w:p>
          <w:p w14:paraId="666FCC0B" w14:textId="77777777" w:rsidR="00443A75" w:rsidRPr="0062487B" w:rsidRDefault="00443A75" w:rsidP="00A94A1C">
            <w:pPr>
              <w:ind w:left="429" w:hanging="266"/>
              <w:contextualSpacing/>
              <w:rPr>
                <w:rFonts w:asciiTheme="minorHAnsi" w:eastAsia="Calibri" w:hAnsiTheme="minorHAnsi" w:cstheme="minorHAnsi"/>
                <w:bCs/>
              </w:rPr>
            </w:pPr>
            <w:r w:rsidRPr="0062487B">
              <w:rPr>
                <w:rFonts w:asciiTheme="minorHAnsi" w:eastAsia="Calibri" w:hAnsiTheme="minorHAnsi" w:cstheme="minorHAnsi"/>
                <w:bCs/>
              </w:rPr>
              <w:t>PPO/Indemnity</w:t>
            </w:r>
          </w:p>
          <w:p w14:paraId="7C1150A4" w14:textId="5ADBAD37" w:rsidR="00443A75" w:rsidRPr="0062487B" w:rsidRDefault="00443A75" w:rsidP="00443A75">
            <w:pPr>
              <w:ind w:left="343" w:hanging="180"/>
              <w:contextualSpacing/>
              <w:rPr>
                <w:rFonts w:asciiTheme="minorHAnsi" w:hAnsiTheme="minorHAnsi" w:cstheme="minorHAnsi"/>
                <w:color w:val="000000" w:themeColor="text1"/>
              </w:rPr>
            </w:pPr>
            <w:r w:rsidRPr="0062487B">
              <w:rPr>
                <w:rFonts w:asciiTheme="minorHAnsi" w:eastAsia="Calibri" w:hAnsiTheme="minorHAnsi" w:cstheme="minorHAnsi"/>
                <w:bCs/>
              </w:rPr>
              <w:t>HMO/POS</w:t>
            </w:r>
          </w:p>
        </w:tc>
        <w:tc>
          <w:tcPr>
            <w:tcW w:w="3357" w:type="dxa"/>
          </w:tcPr>
          <w:p w14:paraId="18E85407" w14:textId="77777777" w:rsidR="00FB7FDA" w:rsidRPr="0062487B" w:rsidRDefault="00FB7FDA" w:rsidP="0082022F">
            <w:pPr>
              <w:contextualSpacing/>
              <w:jc w:val="right"/>
              <w:rPr>
                <w:rFonts w:asciiTheme="minorHAnsi" w:hAnsiTheme="minorHAnsi" w:cstheme="minorHAnsi"/>
                <w:color w:val="000000" w:themeColor="text1"/>
              </w:rPr>
            </w:pPr>
          </w:p>
          <w:p w14:paraId="326E4951" w14:textId="28091E09" w:rsidR="003528E5" w:rsidRPr="0062487B" w:rsidRDefault="003528E5" w:rsidP="003528E5">
            <w:pPr>
              <w:ind w:right="317"/>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58.8%</w:t>
            </w:r>
          </w:p>
          <w:p w14:paraId="4B9378B6" w14:textId="0E356B9E" w:rsidR="00443A75" w:rsidRPr="0062487B" w:rsidRDefault="00443A75"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37.4%</w:t>
            </w:r>
          </w:p>
          <w:p w14:paraId="3F4F9060" w14:textId="61D38B56" w:rsidR="00443A75" w:rsidRPr="0062487B" w:rsidRDefault="00443A75"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21.</w:t>
            </w:r>
            <w:r w:rsidR="006C1A1F">
              <w:rPr>
                <w:rFonts w:asciiTheme="minorHAnsi" w:hAnsiTheme="minorHAnsi" w:cstheme="minorHAnsi"/>
                <w:color w:val="000000" w:themeColor="text1"/>
              </w:rPr>
              <w:t>3</w:t>
            </w:r>
            <w:r w:rsidRPr="0062487B">
              <w:rPr>
                <w:rFonts w:asciiTheme="minorHAnsi" w:hAnsiTheme="minorHAnsi" w:cstheme="minorHAnsi"/>
                <w:color w:val="000000" w:themeColor="text1"/>
              </w:rPr>
              <w:t>%</w:t>
            </w:r>
          </w:p>
        </w:tc>
        <w:tc>
          <w:tcPr>
            <w:tcW w:w="3357" w:type="dxa"/>
          </w:tcPr>
          <w:p w14:paraId="7D3790A8" w14:textId="77777777" w:rsidR="00FB7FDA" w:rsidRPr="0062487B" w:rsidRDefault="00FB7FDA" w:rsidP="0082022F">
            <w:pPr>
              <w:contextualSpacing/>
              <w:jc w:val="right"/>
              <w:rPr>
                <w:rFonts w:asciiTheme="minorHAnsi" w:hAnsiTheme="minorHAnsi" w:cstheme="minorHAnsi"/>
                <w:color w:val="000000" w:themeColor="text1"/>
              </w:rPr>
            </w:pPr>
          </w:p>
          <w:p w14:paraId="4468A72B" w14:textId="08B5B3D4" w:rsidR="003528E5" w:rsidRPr="0062487B" w:rsidRDefault="003528E5" w:rsidP="003528E5">
            <w:pPr>
              <w:ind w:right="317"/>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51.1%</w:t>
            </w:r>
          </w:p>
          <w:p w14:paraId="219DDA58" w14:textId="7013D894" w:rsidR="00443A75" w:rsidRPr="0062487B" w:rsidRDefault="00443A75"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30.8%</w:t>
            </w:r>
          </w:p>
          <w:p w14:paraId="6A6282D2" w14:textId="474B1DED" w:rsidR="00443A75" w:rsidRPr="0062487B" w:rsidRDefault="00443A75"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20.3%</w:t>
            </w:r>
          </w:p>
        </w:tc>
      </w:tr>
      <w:tr w:rsidR="00443A75" w:rsidRPr="0062487B" w14:paraId="00961EC7" w14:textId="77777777" w:rsidTr="007B7EAF">
        <w:tc>
          <w:tcPr>
            <w:tcW w:w="3356" w:type="dxa"/>
          </w:tcPr>
          <w:p w14:paraId="525289FD" w14:textId="7F121C28" w:rsidR="00443A75" w:rsidRPr="0062487B" w:rsidRDefault="00443A75" w:rsidP="00443A75">
            <w:pPr>
              <w:contextualSpacing/>
              <w:rPr>
                <w:rFonts w:asciiTheme="minorHAnsi" w:hAnsiTheme="minorHAnsi" w:cstheme="minorHAnsi"/>
                <w:color w:val="000000" w:themeColor="text1"/>
              </w:rPr>
            </w:pPr>
            <w:r w:rsidRPr="0062487B">
              <w:rPr>
                <w:rFonts w:asciiTheme="minorHAnsi" w:hAnsiTheme="minorHAnsi" w:cstheme="minorHAnsi"/>
                <w:color w:val="000000" w:themeColor="text1"/>
              </w:rPr>
              <w:t>MassHealth</w:t>
            </w:r>
          </w:p>
        </w:tc>
        <w:tc>
          <w:tcPr>
            <w:tcW w:w="3357" w:type="dxa"/>
          </w:tcPr>
          <w:p w14:paraId="43849869" w14:textId="664B206E" w:rsidR="00443A75" w:rsidRPr="0062487B" w:rsidRDefault="00443A75"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1.6%</w:t>
            </w:r>
          </w:p>
        </w:tc>
        <w:tc>
          <w:tcPr>
            <w:tcW w:w="3357" w:type="dxa"/>
          </w:tcPr>
          <w:p w14:paraId="50D7C464" w14:textId="5147AC85" w:rsidR="00443A75" w:rsidRPr="0062487B" w:rsidRDefault="00443A75"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2.5%</w:t>
            </w:r>
          </w:p>
        </w:tc>
      </w:tr>
      <w:tr w:rsidR="00443A75" w:rsidRPr="0062487B" w14:paraId="7C4A7F89" w14:textId="77777777" w:rsidTr="007B7EAF">
        <w:tc>
          <w:tcPr>
            <w:tcW w:w="3356" w:type="dxa"/>
          </w:tcPr>
          <w:p w14:paraId="1A2761BB" w14:textId="6DF11B09" w:rsidR="00443A75" w:rsidRPr="0062487B" w:rsidRDefault="00443A75" w:rsidP="00443A75">
            <w:pPr>
              <w:contextualSpacing/>
              <w:rPr>
                <w:rFonts w:asciiTheme="minorHAnsi" w:hAnsiTheme="minorHAnsi" w:cstheme="minorHAnsi"/>
                <w:color w:val="000000" w:themeColor="text1"/>
              </w:rPr>
            </w:pPr>
            <w:r w:rsidRPr="0062487B">
              <w:rPr>
                <w:rFonts w:asciiTheme="minorHAnsi" w:hAnsiTheme="minorHAnsi" w:cstheme="minorHAnsi"/>
                <w:color w:val="000000" w:themeColor="text1"/>
              </w:rPr>
              <w:t>Managed Medicaid</w:t>
            </w:r>
          </w:p>
        </w:tc>
        <w:tc>
          <w:tcPr>
            <w:tcW w:w="3357" w:type="dxa"/>
          </w:tcPr>
          <w:p w14:paraId="73DD0791" w14:textId="760F013B" w:rsidR="00443A75" w:rsidRPr="0062487B" w:rsidRDefault="00443A75"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6.3%</w:t>
            </w:r>
          </w:p>
        </w:tc>
        <w:tc>
          <w:tcPr>
            <w:tcW w:w="3357" w:type="dxa"/>
          </w:tcPr>
          <w:p w14:paraId="017839B5" w14:textId="0F903190" w:rsidR="00443A75" w:rsidRPr="0062487B" w:rsidRDefault="00443A75"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6.9%</w:t>
            </w:r>
          </w:p>
        </w:tc>
      </w:tr>
      <w:tr w:rsidR="00443A75" w:rsidRPr="0062487B" w14:paraId="1857603A" w14:textId="77777777" w:rsidTr="007B7EAF">
        <w:tc>
          <w:tcPr>
            <w:tcW w:w="3356" w:type="dxa"/>
          </w:tcPr>
          <w:p w14:paraId="510BA01C" w14:textId="7EB456C8" w:rsidR="00443A75" w:rsidRPr="0062487B" w:rsidRDefault="00443A75" w:rsidP="00443A75">
            <w:pPr>
              <w:contextualSpacing/>
              <w:rPr>
                <w:rFonts w:asciiTheme="minorHAnsi" w:hAnsiTheme="minorHAnsi" w:cstheme="minorHAnsi"/>
                <w:color w:val="000000" w:themeColor="text1"/>
              </w:rPr>
            </w:pPr>
            <w:r w:rsidRPr="0062487B">
              <w:rPr>
                <w:rFonts w:asciiTheme="minorHAnsi" w:hAnsiTheme="minorHAnsi" w:cstheme="minorHAnsi"/>
                <w:color w:val="000000" w:themeColor="text1"/>
              </w:rPr>
              <w:t>Commercial Medicare</w:t>
            </w:r>
          </w:p>
        </w:tc>
        <w:tc>
          <w:tcPr>
            <w:tcW w:w="3357" w:type="dxa"/>
          </w:tcPr>
          <w:p w14:paraId="460A226C" w14:textId="0C212EF9" w:rsidR="00443A75" w:rsidRPr="0062487B" w:rsidRDefault="00443A75"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5.1%</w:t>
            </w:r>
          </w:p>
        </w:tc>
        <w:tc>
          <w:tcPr>
            <w:tcW w:w="3357" w:type="dxa"/>
          </w:tcPr>
          <w:p w14:paraId="0DD75152" w14:textId="7F49705F" w:rsidR="00443A75" w:rsidRPr="0062487B" w:rsidRDefault="00443A75"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6.5%</w:t>
            </w:r>
          </w:p>
        </w:tc>
      </w:tr>
      <w:tr w:rsidR="00443A75" w:rsidRPr="0062487B" w14:paraId="7DC590A3" w14:textId="77777777" w:rsidTr="007B7EAF">
        <w:tc>
          <w:tcPr>
            <w:tcW w:w="3356" w:type="dxa"/>
          </w:tcPr>
          <w:p w14:paraId="6B1355B4" w14:textId="06C4A1DC" w:rsidR="00443A75" w:rsidRPr="0062487B" w:rsidRDefault="00443A75" w:rsidP="00443A75">
            <w:pPr>
              <w:contextualSpacing/>
              <w:rPr>
                <w:rFonts w:asciiTheme="minorHAnsi" w:hAnsiTheme="minorHAnsi" w:cstheme="minorHAnsi"/>
                <w:color w:val="000000" w:themeColor="text1"/>
              </w:rPr>
            </w:pPr>
            <w:r w:rsidRPr="0062487B">
              <w:rPr>
                <w:rFonts w:asciiTheme="minorHAnsi" w:hAnsiTheme="minorHAnsi" w:cstheme="minorHAnsi"/>
                <w:color w:val="000000" w:themeColor="text1"/>
              </w:rPr>
              <w:t>Medicare (FFS)</w:t>
            </w:r>
          </w:p>
        </w:tc>
        <w:tc>
          <w:tcPr>
            <w:tcW w:w="3357" w:type="dxa"/>
          </w:tcPr>
          <w:p w14:paraId="5FCBC2EA" w14:textId="4D89029E" w:rsidR="00443A75" w:rsidRPr="0062487B" w:rsidRDefault="00443A75"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22.7%</w:t>
            </w:r>
          </w:p>
        </w:tc>
        <w:tc>
          <w:tcPr>
            <w:tcW w:w="3357" w:type="dxa"/>
          </w:tcPr>
          <w:p w14:paraId="270173D6" w14:textId="780FE316" w:rsidR="00443A75" w:rsidRPr="0062487B" w:rsidRDefault="00443A75"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30.0%</w:t>
            </w:r>
          </w:p>
        </w:tc>
      </w:tr>
      <w:tr w:rsidR="00443A75" w:rsidRPr="0062487B" w14:paraId="225E5D15" w14:textId="77777777" w:rsidTr="007B7EAF">
        <w:tc>
          <w:tcPr>
            <w:tcW w:w="3356" w:type="dxa"/>
          </w:tcPr>
          <w:p w14:paraId="1F4AAA63" w14:textId="3F11194F" w:rsidR="00443A75" w:rsidRPr="0062487B" w:rsidRDefault="00443A75" w:rsidP="00443A75">
            <w:pPr>
              <w:contextualSpacing/>
              <w:rPr>
                <w:rFonts w:asciiTheme="minorHAnsi" w:hAnsiTheme="minorHAnsi" w:cstheme="minorHAnsi"/>
                <w:color w:val="000000" w:themeColor="text1"/>
              </w:rPr>
            </w:pPr>
            <w:r w:rsidRPr="0062487B">
              <w:rPr>
                <w:rFonts w:asciiTheme="minorHAnsi" w:hAnsiTheme="minorHAnsi" w:cstheme="minorHAnsi"/>
                <w:color w:val="000000" w:themeColor="text1"/>
              </w:rPr>
              <w:t>Free Care/Health Safety Net</w:t>
            </w:r>
          </w:p>
        </w:tc>
        <w:tc>
          <w:tcPr>
            <w:tcW w:w="3357" w:type="dxa"/>
          </w:tcPr>
          <w:p w14:paraId="0E776478" w14:textId="32B6268C" w:rsidR="00443A75" w:rsidRPr="0062487B" w:rsidRDefault="00443A75"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0.1%</w:t>
            </w:r>
          </w:p>
        </w:tc>
        <w:tc>
          <w:tcPr>
            <w:tcW w:w="3357" w:type="dxa"/>
          </w:tcPr>
          <w:p w14:paraId="15561488" w14:textId="2E7CA61A" w:rsidR="00443A75" w:rsidRPr="0062487B" w:rsidRDefault="00443A75"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0.1%</w:t>
            </w:r>
          </w:p>
        </w:tc>
      </w:tr>
      <w:tr w:rsidR="00443A75" w:rsidRPr="0062487B" w14:paraId="2A317065" w14:textId="77777777" w:rsidTr="007B7EAF">
        <w:tc>
          <w:tcPr>
            <w:tcW w:w="3356" w:type="dxa"/>
          </w:tcPr>
          <w:p w14:paraId="0273860C" w14:textId="2CC73857" w:rsidR="00443A75" w:rsidRPr="0062487B" w:rsidRDefault="00443A75" w:rsidP="00443A75">
            <w:pPr>
              <w:contextualSpacing/>
              <w:rPr>
                <w:rFonts w:asciiTheme="minorHAnsi" w:hAnsiTheme="minorHAnsi" w:cstheme="minorHAnsi"/>
                <w:color w:val="000000" w:themeColor="text1"/>
              </w:rPr>
            </w:pPr>
            <w:r w:rsidRPr="0062487B">
              <w:rPr>
                <w:rFonts w:asciiTheme="minorHAnsi" w:hAnsiTheme="minorHAnsi" w:cstheme="minorHAnsi"/>
                <w:color w:val="000000" w:themeColor="text1"/>
              </w:rPr>
              <w:t>All Other</w:t>
            </w:r>
          </w:p>
        </w:tc>
        <w:tc>
          <w:tcPr>
            <w:tcW w:w="3357" w:type="dxa"/>
          </w:tcPr>
          <w:p w14:paraId="24EA21D9" w14:textId="7A50BF37" w:rsidR="00443A75" w:rsidRPr="0062487B" w:rsidRDefault="00443A75"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5.</w:t>
            </w:r>
            <w:r w:rsidR="006C1A1F">
              <w:rPr>
                <w:rFonts w:asciiTheme="minorHAnsi" w:hAnsiTheme="minorHAnsi" w:cstheme="minorHAnsi"/>
                <w:color w:val="000000" w:themeColor="text1"/>
              </w:rPr>
              <w:t>3</w:t>
            </w:r>
            <w:r w:rsidRPr="0062487B">
              <w:rPr>
                <w:rFonts w:asciiTheme="minorHAnsi" w:hAnsiTheme="minorHAnsi" w:cstheme="minorHAnsi"/>
                <w:color w:val="000000" w:themeColor="text1"/>
              </w:rPr>
              <w:t>%</w:t>
            </w:r>
          </w:p>
        </w:tc>
        <w:tc>
          <w:tcPr>
            <w:tcW w:w="3357" w:type="dxa"/>
          </w:tcPr>
          <w:p w14:paraId="4521511C" w14:textId="1EAB4175" w:rsidR="00443A75" w:rsidRPr="0062487B" w:rsidRDefault="00443A75"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2.9%</w:t>
            </w:r>
          </w:p>
        </w:tc>
      </w:tr>
      <w:tr w:rsidR="00591621" w:rsidRPr="0062487B" w14:paraId="6F7E4022" w14:textId="77777777" w:rsidTr="007B7EAF">
        <w:tc>
          <w:tcPr>
            <w:tcW w:w="3356" w:type="dxa"/>
          </w:tcPr>
          <w:p w14:paraId="76445F5B" w14:textId="77777777" w:rsidR="00591621" w:rsidRPr="0062487B" w:rsidRDefault="00452467" w:rsidP="00443A75">
            <w:pPr>
              <w:contextualSpacing/>
              <w:rPr>
                <w:rFonts w:asciiTheme="minorHAnsi" w:hAnsiTheme="minorHAnsi" w:cstheme="minorHAnsi"/>
                <w:b/>
                <w:bCs/>
                <w:color w:val="000000" w:themeColor="text1"/>
              </w:rPr>
            </w:pPr>
            <w:r w:rsidRPr="0062487B">
              <w:rPr>
                <w:rFonts w:asciiTheme="minorHAnsi" w:hAnsiTheme="minorHAnsi" w:cstheme="minorHAnsi"/>
                <w:b/>
                <w:bCs/>
                <w:color w:val="000000" w:themeColor="text1"/>
              </w:rPr>
              <w:t>APM Contract Percentages</w:t>
            </w:r>
          </w:p>
          <w:p w14:paraId="73123BCE" w14:textId="45298800" w:rsidR="00452467" w:rsidRPr="0062487B" w:rsidRDefault="00452467" w:rsidP="00443A75">
            <w:pPr>
              <w:contextualSpacing/>
              <w:rPr>
                <w:rFonts w:asciiTheme="minorHAnsi" w:hAnsiTheme="minorHAnsi" w:cstheme="minorHAnsi"/>
                <w:color w:val="000000" w:themeColor="text1"/>
              </w:rPr>
            </w:pPr>
            <w:r w:rsidRPr="0062487B">
              <w:rPr>
                <w:rFonts w:asciiTheme="minorHAnsi" w:hAnsiTheme="minorHAnsi" w:cstheme="minorHAnsi"/>
                <w:color w:val="000000" w:themeColor="text1"/>
              </w:rPr>
              <w:t>ACO and APM Contracts</w:t>
            </w:r>
          </w:p>
        </w:tc>
        <w:tc>
          <w:tcPr>
            <w:tcW w:w="3357" w:type="dxa"/>
          </w:tcPr>
          <w:p w14:paraId="672BF7F3" w14:textId="77777777" w:rsidR="00591621" w:rsidRPr="0062487B" w:rsidRDefault="00591621" w:rsidP="0082022F">
            <w:pPr>
              <w:contextualSpacing/>
              <w:jc w:val="right"/>
              <w:rPr>
                <w:rFonts w:asciiTheme="minorHAnsi" w:hAnsiTheme="minorHAnsi" w:cstheme="minorHAnsi"/>
                <w:color w:val="000000" w:themeColor="text1"/>
              </w:rPr>
            </w:pPr>
          </w:p>
          <w:p w14:paraId="1D8D44AD" w14:textId="6B23003E" w:rsidR="00452467" w:rsidRPr="0062487B" w:rsidRDefault="00452467" w:rsidP="0082022F">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57.9%</w:t>
            </w:r>
          </w:p>
        </w:tc>
        <w:tc>
          <w:tcPr>
            <w:tcW w:w="3357" w:type="dxa"/>
          </w:tcPr>
          <w:p w14:paraId="613702D0" w14:textId="77777777" w:rsidR="00591621" w:rsidRPr="0062487B" w:rsidRDefault="00591621" w:rsidP="0082022F">
            <w:pPr>
              <w:contextualSpacing/>
              <w:jc w:val="right"/>
              <w:rPr>
                <w:rFonts w:asciiTheme="minorHAnsi" w:hAnsiTheme="minorHAnsi" w:cstheme="minorHAnsi"/>
                <w:color w:val="000000" w:themeColor="text1"/>
              </w:rPr>
            </w:pPr>
          </w:p>
          <w:p w14:paraId="4F90579F" w14:textId="31D05110" w:rsidR="00452467" w:rsidRPr="0062487B" w:rsidRDefault="005A0551" w:rsidP="4F577082">
            <w:pPr>
              <w:contextualSpacing/>
              <w:jc w:val="right"/>
              <w:rPr>
                <w:rFonts w:asciiTheme="minorHAnsi" w:hAnsiTheme="minorHAnsi" w:cstheme="minorHAnsi"/>
                <w:color w:val="000000" w:themeColor="text1"/>
                <w:highlight w:val="yellow"/>
              </w:rPr>
            </w:pPr>
            <w:r w:rsidRPr="00D42048">
              <w:rPr>
                <w:rFonts w:asciiTheme="minorHAnsi" w:hAnsiTheme="minorHAnsi" w:cstheme="minorHAnsi"/>
                <w:color w:val="000000" w:themeColor="text1"/>
              </w:rPr>
              <w:t>--</w:t>
            </w:r>
          </w:p>
        </w:tc>
      </w:tr>
    </w:tbl>
    <w:p w14:paraId="338E20BF" w14:textId="3F6B890E" w:rsidR="0082022F" w:rsidRPr="0062487B" w:rsidRDefault="0082022F" w:rsidP="00CC34A1">
      <w:pPr>
        <w:contextualSpacing/>
        <w:rPr>
          <w:rFonts w:asciiTheme="minorHAnsi" w:hAnsiTheme="minorHAnsi" w:cstheme="minorHAnsi"/>
          <w:color w:val="2F5897" w:themeColor="text2"/>
        </w:rPr>
      </w:pPr>
    </w:p>
    <w:p w14:paraId="1B75A160" w14:textId="40E7BA38" w:rsidR="00BE3E87" w:rsidRPr="0062487B" w:rsidRDefault="00BE3E87" w:rsidP="00CC34A1">
      <w:pPr>
        <w:contextualSpacing/>
        <w:rPr>
          <w:rFonts w:asciiTheme="minorHAnsi" w:hAnsiTheme="minorHAnsi" w:cstheme="minorHAnsi"/>
        </w:rPr>
      </w:pPr>
      <w:r w:rsidRPr="0062487B">
        <w:rPr>
          <w:rFonts w:asciiTheme="minorHAnsi" w:hAnsiTheme="minorHAnsi" w:cstheme="minorHAnsi"/>
        </w:rPr>
        <w:t>Table 4 below present</w:t>
      </w:r>
      <w:r w:rsidR="00AB0A98" w:rsidRPr="0062487B">
        <w:rPr>
          <w:rFonts w:asciiTheme="minorHAnsi" w:hAnsiTheme="minorHAnsi" w:cstheme="minorHAnsi"/>
        </w:rPr>
        <w:t>s</w:t>
      </w:r>
      <w:r w:rsidRPr="0062487B">
        <w:rPr>
          <w:rFonts w:asciiTheme="minorHAnsi" w:hAnsiTheme="minorHAnsi" w:cstheme="minorHAnsi"/>
        </w:rPr>
        <w:t xml:space="preserve"> patient information for each </w:t>
      </w:r>
      <w:r w:rsidR="003911DF" w:rsidRPr="0062487B">
        <w:rPr>
          <w:rFonts w:asciiTheme="minorHAnsi" w:hAnsiTheme="minorHAnsi" w:cstheme="minorHAnsi"/>
        </w:rPr>
        <w:t>p</w:t>
      </w:r>
      <w:r w:rsidRPr="0062487B">
        <w:rPr>
          <w:rFonts w:asciiTheme="minorHAnsi" w:hAnsiTheme="minorHAnsi" w:cstheme="minorHAnsi"/>
        </w:rPr>
        <w:t xml:space="preserve">roject </w:t>
      </w:r>
      <w:r w:rsidR="003911DF" w:rsidRPr="0062487B">
        <w:rPr>
          <w:rFonts w:asciiTheme="minorHAnsi" w:hAnsiTheme="minorHAnsi" w:cstheme="minorHAnsi"/>
        </w:rPr>
        <w:t>c</w:t>
      </w:r>
      <w:r w:rsidRPr="0062487B">
        <w:rPr>
          <w:rFonts w:asciiTheme="minorHAnsi" w:hAnsiTheme="minorHAnsi" w:cstheme="minorHAnsi"/>
        </w:rPr>
        <w:t xml:space="preserve">omponent of this </w:t>
      </w:r>
      <w:proofErr w:type="spellStart"/>
      <w:r w:rsidRPr="0062487B">
        <w:rPr>
          <w:rFonts w:asciiTheme="minorHAnsi" w:hAnsiTheme="minorHAnsi" w:cstheme="minorHAnsi"/>
        </w:rPr>
        <w:t>DoN</w:t>
      </w:r>
      <w:proofErr w:type="spellEnd"/>
      <w:r w:rsidRPr="0062487B">
        <w:rPr>
          <w:rFonts w:asciiTheme="minorHAnsi" w:hAnsiTheme="minorHAnsi" w:cstheme="minorHAnsi"/>
        </w:rPr>
        <w:t xml:space="preserve"> Application. Some highlights from the data include:</w:t>
      </w:r>
    </w:p>
    <w:p w14:paraId="3A074585" w14:textId="717DB1CA" w:rsidR="008F318D" w:rsidRPr="00B24D1A" w:rsidRDefault="0CFE80A1" w:rsidP="00B24D1A">
      <w:pPr>
        <w:pStyle w:val="ListParagraph"/>
        <w:numPr>
          <w:ilvl w:val="0"/>
          <w:numId w:val="35"/>
        </w:numPr>
        <w:spacing w:after="120"/>
        <w:rPr>
          <w:rFonts w:asciiTheme="minorHAnsi" w:hAnsiTheme="minorHAnsi" w:cstheme="minorHAnsi"/>
          <w:color w:val="000000" w:themeColor="text1"/>
        </w:rPr>
      </w:pPr>
      <w:r w:rsidRPr="00B24D1A">
        <w:rPr>
          <w:rFonts w:asciiTheme="minorHAnsi" w:hAnsiTheme="minorHAnsi" w:cstheme="minorHAnsi"/>
          <w:b/>
          <w:bCs/>
          <w:color w:val="000000" w:themeColor="text1"/>
        </w:rPr>
        <w:t>Race/Ethnicity</w:t>
      </w:r>
      <w:r w:rsidR="32D1FC97" w:rsidRPr="00B24D1A">
        <w:rPr>
          <w:rFonts w:asciiTheme="minorHAnsi" w:hAnsiTheme="minorHAnsi" w:cstheme="minorHAnsi"/>
          <w:b/>
          <w:bCs/>
          <w:color w:val="000000" w:themeColor="text1"/>
        </w:rPr>
        <w:t>:</w:t>
      </w:r>
      <w:r w:rsidRPr="00B24D1A">
        <w:rPr>
          <w:rFonts w:asciiTheme="minorHAnsi" w:hAnsiTheme="minorHAnsi" w:cstheme="minorHAnsi"/>
          <w:color w:val="000000" w:themeColor="text1"/>
        </w:rPr>
        <w:t xml:space="preserve"> There </w:t>
      </w:r>
      <w:r w:rsidR="688761C0" w:rsidRPr="00B24D1A">
        <w:rPr>
          <w:rFonts w:asciiTheme="minorHAnsi" w:hAnsiTheme="minorHAnsi" w:cstheme="minorHAnsi"/>
          <w:color w:val="000000" w:themeColor="text1"/>
        </w:rPr>
        <w:t xml:space="preserve">is </w:t>
      </w:r>
      <w:r w:rsidRPr="00B24D1A">
        <w:rPr>
          <w:rFonts w:asciiTheme="minorHAnsi" w:hAnsiTheme="minorHAnsi" w:cstheme="minorHAnsi"/>
          <w:color w:val="000000" w:themeColor="text1"/>
        </w:rPr>
        <w:t xml:space="preserve">a higher proportion of patients identifying as </w:t>
      </w:r>
      <w:r w:rsidR="107DCCFF" w:rsidRPr="00B24D1A">
        <w:rPr>
          <w:rFonts w:asciiTheme="minorHAnsi" w:hAnsiTheme="minorHAnsi" w:cstheme="minorHAnsi"/>
          <w:color w:val="000000" w:themeColor="text1"/>
        </w:rPr>
        <w:t>w</w:t>
      </w:r>
      <w:r w:rsidRPr="00B24D1A">
        <w:rPr>
          <w:rFonts w:asciiTheme="minorHAnsi" w:hAnsiTheme="minorHAnsi" w:cstheme="minorHAnsi"/>
          <w:color w:val="000000" w:themeColor="text1"/>
        </w:rPr>
        <w:t xml:space="preserve">hite </w:t>
      </w:r>
      <w:r w:rsidR="69270DF8" w:rsidRPr="00B24D1A">
        <w:rPr>
          <w:rFonts w:asciiTheme="minorHAnsi" w:hAnsiTheme="minorHAnsi" w:cstheme="minorHAnsi"/>
          <w:color w:val="000000" w:themeColor="text1"/>
        </w:rPr>
        <w:t>for</w:t>
      </w:r>
      <w:r w:rsidRPr="00B24D1A">
        <w:rPr>
          <w:rFonts w:asciiTheme="minorHAnsi" w:hAnsiTheme="minorHAnsi" w:cstheme="minorHAnsi"/>
          <w:color w:val="000000" w:themeColor="text1"/>
        </w:rPr>
        <w:t xml:space="preserve"> each service</w:t>
      </w:r>
      <w:r w:rsidR="107DCCFF" w:rsidRPr="00B24D1A">
        <w:rPr>
          <w:rFonts w:asciiTheme="minorHAnsi" w:hAnsiTheme="minorHAnsi" w:cstheme="minorHAnsi"/>
          <w:color w:val="000000" w:themeColor="text1"/>
        </w:rPr>
        <w:t xml:space="preserve"> than compared to other race/ethnicity categories</w:t>
      </w:r>
      <w:r w:rsidRPr="00B24D1A">
        <w:rPr>
          <w:rFonts w:asciiTheme="minorHAnsi" w:hAnsiTheme="minorHAnsi" w:cstheme="minorHAnsi"/>
          <w:color w:val="000000" w:themeColor="text1"/>
        </w:rPr>
        <w:t>, except for Medical/Surgical Inpatient Beds, where over half of the patients</w:t>
      </w:r>
      <w:r w:rsidR="69270DF8" w:rsidRPr="00B24D1A">
        <w:rPr>
          <w:rFonts w:asciiTheme="minorHAnsi" w:hAnsiTheme="minorHAnsi" w:cstheme="minorHAnsi"/>
          <w:color w:val="000000" w:themeColor="text1"/>
        </w:rPr>
        <w:t xml:space="preserve"> identified as</w:t>
      </w:r>
      <w:r w:rsidRPr="00B24D1A">
        <w:rPr>
          <w:rFonts w:asciiTheme="minorHAnsi" w:hAnsiTheme="minorHAnsi" w:cstheme="minorHAnsi"/>
          <w:color w:val="000000" w:themeColor="text1"/>
        </w:rPr>
        <w:t xml:space="preserve"> Other/Unavailable/Declined.</w:t>
      </w:r>
    </w:p>
    <w:p w14:paraId="3D06BD0E" w14:textId="531DEB6E" w:rsidR="008F318D" w:rsidRPr="00B24D1A" w:rsidRDefault="008F318D" w:rsidP="00B24D1A">
      <w:pPr>
        <w:pStyle w:val="ListParagraph"/>
        <w:numPr>
          <w:ilvl w:val="0"/>
          <w:numId w:val="35"/>
        </w:numPr>
        <w:rPr>
          <w:rFonts w:asciiTheme="minorHAnsi" w:hAnsiTheme="minorHAnsi" w:cstheme="minorHAnsi"/>
          <w:color w:val="000000" w:themeColor="text1"/>
        </w:rPr>
      </w:pPr>
      <w:r w:rsidRPr="00B24D1A">
        <w:rPr>
          <w:rFonts w:asciiTheme="minorHAnsi" w:hAnsiTheme="minorHAnsi" w:cstheme="minorHAnsi"/>
          <w:b/>
          <w:bCs/>
          <w:color w:val="000000" w:themeColor="text1"/>
        </w:rPr>
        <w:t>Payer Mix</w:t>
      </w:r>
      <w:r w:rsidR="008B1A15" w:rsidRPr="00B24D1A">
        <w:rPr>
          <w:rFonts w:asciiTheme="minorHAnsi" w:hAnsiTheme="minorHAnsi" w:cstheme="minorHAnsi"/>
          <w:b/>
          <w:bCs/>
          <w:color w:val="000000" w:themeColor="text1"/>
        </w:rPr>
        <w:t>:</w:t>
      </w:r>
      <w:r w:rsidRPr="00B24D1A">
        <w:rPr>
          <w:rFonts w:asciiTheme="minorHAnsi" w:hAnsiTheme="minorHAnsi" w:cstheme="minorHAnsi"/>
          <w:color w:val="000000" w:themeColor="text1"/>
        </w:rPr>
        <w:t xml:space="preserve"> </w:t>
      </w:r>
      <w:r w:rsidR="00870194" w:rsidRPr="00B24D1A">
        <w:rPr>
          <w:rFonts w:asciiTheme="minorHAnsi" w:hAnsiTheme="minorHAnsi" w:cstheme="minorHAnsi"/>
          <w:color w:val="000000" w:themeColor="text1"/>
        </w:rPr>
        <w:t>The percentage of commercial payers</w:t>
      </w:r>
      <w:r w:rsidRPr="00B24D1A">
        <w:rPr>
          <w:rFonts w:asciiTheme="minorHAnsi" w:hAnsiTheme="minorHAnsi" w:cstheme="minorHAnsi"/>
          <w:color w:val="000000" w:themeColor="text1"/>
        </w:rPr>
        <w:t xml:space="preserve"> </w:t>
      </w:r>
      <w:r w:rsidR="00870194" w:rsidRPr="00B24D1A">
        <w:rPr>
          <w:rFonts w:asciiTheme="minorHAnsi" w:hAnsiTheme="minorHAnsi" w:cstheme="minorHAnsi"/>
          <w:color w:val="000000" w:themeColor="text1"/>
        </w:rPr>
        <w:t>is</w:t>
      </w:r>
      <w:r w:rsidRPr="00B24D1A">
        <w:rPr>
          <w:rFonts w:asciiTheme="minorHAnsi" w:hAnsiTheme="minorHAnsi" w:cstheme="minorHAnsi"/>
          <w:color w:val="000000" w:themeColor="text1"/>
        </w:rPr>
        <w:t xml:space="preserve"> relatively higher for Endoscopy and MRI </w:t>
      </w:r>
      <w:r w:rsidR="00870194" w:rsidRPr="00B24D1A">
        <w:rPr>
          <w:rFonts w:asciiTheme="minorHAnsi" w:hAnsiTheme="minorHAnsi" w:cstheme="minorHAnsi"/>
          <w:color w:val="000000" w:themeColor="text1"/>
        </w:rPr>
        <w:t>patients</w:t>
      </w:r>
      <w:r w:rsidRPr="00B24D1A">
        <w:rPr>
          <w:rFonts w:asciiTheme="minorHAnsi" w:hAnsiTheme="minorHAnsi" w:cstheme="minorHAnsi"/>
          <w:color w:val="000000" w:themeColor="text1"/>
        </w:rPr>
        <w:t xml:space="preserve"> than </w:t>
      </w:r>
      <w:r w:rsidR="00870194" w:rsidRPr="00B24D1A">
        <w:rPr>
          <w:rFonts w:asciiTheme="minorHAnsi" w:hAnsiTheme="minorHAnsi" w:cstheme="minorHAnsi"/>
          <w:color w:val="000000" w:themeColor="text1"/>
        </w:rPr>
        <w:t xml:space="preserve">for </w:t>
      </w:r>
      <w:r w:rsidRPr="00B24D1A">
        <w:rPr>
          <w:rFonts w:asciiTheme="minorHAnsi" w:hAnsiTheme="minorHAnsi" w:cstheme="minorHAnsi"/>
          <w:color w:val="000000" w:themeColor="text1"/>
        </w:rPr>
        <w:t>Medical/Surgical Inpatient Beds and Observation services.</w:t>
      </w:r>
      <w:r w:rsidR="004309C4" w:rsidRPr="00B24D1A">
        <w:rPr>
          <w:rFonts w:asciiTheme="minorHAnsi" w:hAnsiTheme="minorHAnsi" w:cstheme="minorHAnsi"/>
          <w:color w:val="000000" w:themeColor="text1"/>
        </w:rPr>
        <w:t xml:space="preserve"> Medicare FFS is higher for M</w:t>
      </w:r>
      <w:r w:rsidR="006659B8" w:rsidRPr="00B24D1A">
        <w:rPr>
          <w:rFonts w:asciiTheme="minorHAnsi" w:hAnsiTheme="minorHAnsi" w:cstheme="minorHAnsi"/>
          <w:color w:val="000000" w:themeColor="text1"/>
        </w:rPr>
        <w:t>edical/Surgical</w:t>
      </w:r>
      <w:r w:rsidR="004309C4" w:rsidRPr="00B24D1A">
        <w:rPr>
          <w:rFonts w:asciiTheme="minorHAnsi" w:hAnsiTheme="minorHAnsi" w:cstheme="minorHAnsi"/>
          <w:color w:val="000000" w:themeColor="text1"/>
        </w:rPr>
        <w:t xml:space="preserve"> Inpatient Beds and Observation.</w:t>
      </w:r>
      <w:r w:rsidR="00A23758" w:rsidRPr="00B24D1A">
        <w:rPr>
          <w:rFonts w:asciiTheme="minorHAnsi" w:hAnsiTheme="minorHAnsi" w:cstheme="minorHAnsi"/>
          <w:color w:val="000000" w:themeColor="text1"/>
        </w:rPr>
        <w:t xml:space="preserve"> </w:t>
      </w:r>
    </w:p>
    <w:p w14:paraId="47BD08CC" w14:textId="77777777" w:rsidR="008F318D" w:rsidRPr="0062487B" w:rsidRDefault="008F318D" w:rsidP="00CC34A1">
      <w:pPr>
        <w:contextualSpacing/>
        <w:rPr>
          <w:rFonts w:asciiTheme="minorHAnsi" w:hAnsiTheme="minorHAnsi" w:cstheme="minorHAnsi"/>
          <w:color w:val="2F5897" w:themeColor="text2"/>
        </w:rPr>
      </w:pPr>
    </w:p>
    <w:p w14:paraId="33143BDE" w14:textId="28B2E55E" w:rsidR="00CC34A1" w:rsidRPr="0062487B" w:rsidRDefault="624988A3" w:rsidP="17FA2F59">
      <w:pPr>
        <w:contextualSpacing/>
        <w:rPr>
          <w:rFonts w:asciiTheme="minorHAnsi" w:hAnsiTheme="minorHAnsi" w:cstheme="minorBidi"/>
          <w:b/>
          <w:bCs/>
          <w:color w:val="2F5897" w:themeColor="text2"/>
        </w:rPr>
      </w:pPr>
      <w:r w:rsidRPr="17FA2F59">
        <w:rPr>
          <w:rFonts w:asciiTheme="minorHAnsi" w:eastAsiaTheme="minorEastAsia" w:hAnsiTheme="minorHAnsi" w:cstheme="minorBidi"/>
          <w:b/>
          <w:bCs/>
          <w:u w:val="single"/>
        </w:rPr>
        <w:t xml:space="preserve">Table </w:t>
      </w:r>
      <w:r w:rsidR="416E3B25" w:rsidRPr="17FA2F59">
        <w:rPr>
          <w:rFonts w:asciiTheme="minorHAnsi" w:hAnsiTheme="minorHAnsi" w:cstheme="minorBidi"/>
          <w:b/>
          <w:bCs/>
          <w:u w:val="single"/>
        </w:rPr>
        <w:t>4</w:t>
      </w:r>
      <w:r w:rsidRPr="17FA2F59">
        <w:rPr>
          <w:rFonts w:asciiTheme="minorHAnsi" w:eastAsiaTheme="minorEastAsia" w:hAnsiTheme="minorHAnsi" w:cstheme="minorBidi"/>
          <w:b/>
          <w:bCs/>
        </w:rPr>
        <w:t xml:space="preserve">: </w:t>
      </w:r>
      <w:r w:rsidRPr="17FA2F59">
        <w:rPr>
          <w:rFonts w:asciiTheme="minorHAnsi" w:hAnsiTheme="minorHAnsi" w:cstheme="minorBidi"/>
          <w:b/>
          <w:bCs/>
        </w:rPr>
        <w:t xml:space="preserve">Overview of </w:t>
      </w:r>
      <w:r w:rsidRPr="17FA2F59">
        <w:rPr>
          <w:rFonts w:asciiTheme="minorHAnsi" w:eastAsiaTheme="minorEastAsia" w:hAnsiTheme="minorHAnsi" w:cstheme="minorBidi"/>
          <w:b/>
          <w:bCs/>
        </w:rPr>
        <w:t>Patients</w:t>
      </w:r>
      <w:r w:rsidRPr="17FA2F59">
        <w:rPr>
          <w:rFonts w:asciiTheme="minorHAnsi" w:hAnsiTheme="minorHAnsi" w:cstheme="minorBidi"/>
          <w:b/>
          <w:bCs/>
        </w:rPr>
        <w:t xml:space="preserve"> for </w:t>
      </w:r>
      <w:r w:rsidRPr="17FA2F59">
        <w:rPr>
          <w:rFonts w:asciiTheme="minorHAnsi" w:eastAsiaTheme="minorEastAsia" w:hAnsiTheme="minorHAnsi" w:cstheme="minorBidi"/>
          <w:b/>
          <w:bCs/>
        </w:rPr>
        <w:t xml:space="preserve">Services </w:t>
      </w:r>
      <w:r w:rsidR="0899A8A8" w:rsidRPr="17FA2F59">
        <w:rPr>
          <w:rFonts w:asciiTheme="minorHAnsi" w:eastAsiaTheme="minorEastAsia" w:hAnsiTheme="minorHAnsi" w:cstheme="minorBidi"/>
          <w:b/>
          <w:bCs/>
        </w:rPr>
        <w:t>by</w:t>
      </w:r>
      <w:r w:rsidRPr="17FA2F59">
        <w:rPr>
          <w:rFonts w:asciiTheme="minorHAnsi" w:eastAsiaTheme="minorEastAsia" w:hAnsiTheme="minorHAnsi" w:cstheme="minorBidi"/>
          <w:b/>
          <w:bCs/>
        </w:rPr>
        <w:t xml:space="preserve"> Project Component, FY19</w:t>
      </w:r>
    </w:p>
    <w:tbl>
      <w:tblPr>
        <w:tblStyle w:val="TableGrid"/>
        <w:tblW w:w="0" w:type="auto"/>
        <w:tblLook w:val="04A0" w:firstRow="1" w:lastRow="0" w:firstColumn="1" w:lastColumn="0" w:noHBand="0" w:noVBand="1"/>
      </w:tblPr>
      <w:tblGrid>
        <w:gridCol w:w="3008"/>
        <w:gridCol w:w="1806"/>
        <w:gridCol w:w="1801"/>
        <w:gridCol w:w="1772"/>
        <w:gridCol w:w="1683"/>
      </w:tblGrid>
      <w:tr w:rsidR="00A838E8" w:rsidRPr="0062487B" w14:paraId="62C7486B" w14:textId="77777777" w:rsidTr="00A838E8">
        <w:tc>
          <w:tcPr>
            <w:tcW w:w="2769" w:type="dxa"/>
            <w:shd w:val="clear" w:color="auto" w:fill="DFE3F0" w:themeFill="accent1" w:themeFillTint="33"/>
          </w:tcPr>
          <w:p w14:paraId="5B666F50" w14:textId="77777777" w:rsidR="00A838E8" w:rsidRPr="00A838E8" w:rsidRDefault="00A838E8" w:rsidP="00763FB0">
            <w:pPr>
              <w:contextualSpacing/>
              <w:rPr>
                <w:rFonts w:asciiTheme="minorHAnsi" w:hAnsiTheme="minorHAnsi" w:cstheme="minorHAnsi"/>
                <w:color w:val="2F5897" w:themeColor="text2"/>
                <w:sz w:val="22"/>
                <w:szCs w:val="22"/>
              </w:rPr>
            </w:pPr>
          </w:p>
        </w:tc>
        <w:tc>
          <w:tcPr>
            <w:tcW w:w="1812" w:type="dxa"/>
            <w:shd w:val="clear" w:color="auto" w:fill="DFE3F0" w:themeFill="accent1" w:themeFillTint="33"/>
          </w:tcPr>
          <w:p w14:paraId="03C926AF" w14:textId="76200227" w:rsidR="00A838E8" w:rsidRPr="00A838E8" w:rsidRDefault="00A838E8" w:rsidP="00763FB0">
            <w:pPr>
              <w:contextualSpacing/>
              <w:jc w:val="center"/>
              <w:rPr>
                <w:rFonts w:asciiTheme="minorHAnsi" w:hAnsiTheme="minorHAnsi" w:cstheme="minorHAnsi"/>
                <w:color w:val="2F5897" w:themeColor="text2"/>
                <w:sz w:val="22"/>
                <w:szCs w:val="22"/>
              </w:rPr>
            </w:pPr>
            <w:r w:rsidRPr="00A838E8">
              <w:rPr>
                <w:rFonts w:asciiTheme="minorHAnsi" w:eastAsia="Calibri" w:hAnsiTheme="minorHAnsi" w:cstheme="minorHAnsi"/>
                <w:b/>
                <w:sz w:val="22"/>
                <w:szCs w:val="22"/>
              </w:rPr>
              <w:t>BWFH Medical/Surgical Inpatient Beds</w:t>
            </w:r>
          </w:p>
        </w:tc>
        <w:tc>
          <w:tcPr>
            <w:tcW w:w="1858" w:type="dxa"/>
            <w:shd w:val="clear" w:color="auto" w:fill="DFE3F0" w:themeFill="accent1" w:themeFillTint="33"/>
          </w:tcPr>
          <w:p w14:paraId="56DDBA26" w14:textId="77777777" w:rsidR="00A838E8" w:rsidRPr="00A838E8" w:rsidRDefault="00A838E8" w:rsidP="00763FB0">
            <w:pPr>
              <w:contextualSpacing/>
              <w:jc w:val="center"/>
              <w:rPr>
                <w:rFonts w:asciiTheme="minorHAnsi" w:hAnsiTheme="minorHAnsi" w:cstheme="minorHAnsi"/>
                <w:color w:val="2F5897" w:themeColor="text2"/>
                <w:sz w:val="22"/>
                <w:szCs w:val="22"/>
              </w:rPr>
            </w:pPr>
            <w:r w:rsidRPr="00A838E8">
              <w:rPr>
                <w:rFonts w:asciiTheme="minorHAnsi" w:eastAsia="Calibri" w:hAnsiTheme="minorHAnsi" w:cstheme="minorHAnsi"/>
                <w:b/>
                <w:sz w:val="22"/>
                <w:szCs w:val="22"/>
              </w:rPr>
              <w:t>BWFH Observation</w:t>
            </w:r>
          </w:p>
        </w:tc>
        <w:tc>
          <w:tcPr>
            <w:tcW w:w="1843" w:type="dxa"/>
            <w:shd w:val="clear" w:color="auto" w:fill="DFE3F0" w:themeFill="accent1" w:themeFillTint="33"/>
          </w:tcPr>
          <w:p w14:paraId="133B34F3" w14:textId="77777777" w:rsidR="00A838E8" w:rsidRPr="00A838E8" w:rsidRDefault="00A838E8" w:rsidP="00763FB0">
            <w:pPr>
              <w:contextualSpacing/>
              <w:jc w:val="center"/>
              <w:rPr>
                <w:rFonts w:asciiTheme="minorHAnsi" w:hAnsiTheme="minorHAnsi" w:cstheme="minorHAnsi"/>
                <w:color w:val="2F5897" w:themeColor="text2"/>
                <w:sz w:val="22"/>
                <w:szCs w:val="22"/>
              </w:rPr>
            </w:pPr>
            <w:r w:rsidRPr="00A838E8">
              <w:rPr>
                <w:rFonts w:asciiTheme="minorHAnsi" w:eastAsia="Calibri" w:hAnsiTheme="minorHAnsi" w:cstheme="minorHAnsi"/>
                <w:b/>
                <w:sz w:val="22"/>
                <w:szCs w:val="22"/>
              </w:rPr>
              <w:t>BWFH Endoscopy</w:t>
            </w:r>
          </w:p>
        </w:tc>
        <w:tc>
          <w:tcPr>
            <w:tcW w:w="1788" w:type="dxa"/>
            <w:shd w:val="clear" w:color="auto" w:fill="DFE3F0" w:themeFill="accent1" w:themeFillTint="33"/>
          </w:tcPr>
          <w:p w14:paraId="616B0C64" w14:textId="77777777" w:rsidR="00A838E8" w:rsidRPr="00A838E8" w:rsidRDefault="00A838E8" w:rsidP="00763FB0">
            <w:pPr>
              <w:contextualSpacing/>
              <w:jc w:val="center"/>
              <w:rPr>
                <w:rFonts w:asciiTheme="minorHAnsi" w:hAnsiTheme="minorHAnsi" w:cstheme="minorHAnsi"/>
                <w:color w:val="2F5897" w:themeColor="text2"/>
                <w:sz w:val="22"/>
                <w:szCs w:val="22"/>
              </w:rPr>
            </w:pPr>
            <w:r w:rsidRPr="00A838E8">
              <w:rPr>
                <w:rFonts w:asciiTheme="minorHAnsi" w:eastAsia="Calibri" w:hAnsiTheme="minorHAnsi" w:cstheme="minorHAnsi"/>
                <w:b/>
                <w:sz w:val="22"/>
                <w:szCs w:val="22"/>
              </w:rPr>
              <w:t>BWFH MRI</w:t>
            </w:r>
          </w:p>
        </w:tc>
      </w:tr>
      <w:tr w:rsidR="00A838E8" w:rsidRPr="0062487B" w14:paraId="4973CC65" w14:textId="77777777" w:rsidTr="00A838E8">
        <w:tc>
          <w:tcPr>
            <w:tcW w:w="2769" w:type="dxa"/>
          </w:tcPr>
          <w:p w14:paraId="123226E3" w14:textId="77777777" w:rsidR="00A838E8" w:rsidRPr="00A838E8" w:rsidRDefault="00A838E8" w:rsidP="00763FB0">
            <w:pPr>
              <w:contextualSpacing/>
              <w:rPr>
                <w:rFonts w:asciiTheme="minorHAnsi" w:hAnsiTheme="minorHAnsi" w:cstheme="minorHAnsi"/>
                <w:color w:val="2F5897" w:themeColor="text2"/>
                <w:sz w:val="22"/>
                <w:szCs w:val="22"/>
              </w:rPr>
            </w:pPr>
            <w:r w:rsidRPr="00A838E8">
              <w:rPr>
                <w:rFonts w:asciiTheme="minorHAnsi" w:eastAsia="Calibri" w:hAnsiTheme="minorHAnsi" w:cstheme="minorHAnsi"/>
                <w:b/>
                <w:sz w:val="22"/>
                <w:szCs w:val="22"/>
              </w:rPr>
              <w:t>Total Unique Patients</w:t>
            </w:r>
          </w:p>
        </w:tc>
        <w:tc>
          <w:tcPr>
            <w:tcW w:w="1812" w:type="dxa"/>
          </w:tcPr>
          <w:p w14:paraId="290A892A" w14:textId="77777777" w:rsidR="00A838E8" w:rsidRPr="00A838E8" w:rsidRDefault="00A838E8" w:rsidP="00A838E8">
            <w:pPr>
              <w:contextualSpacing/>
              <w:jc w:val="right"/>
              <w:rPr>
                <w:rFonts w:asciiTheme="minorHAnsi" w:hAnsiTheme="minorHAnsi" w:cstheme="minorHAnsi"/>
                <w:b/>
                <w:bCs/>
                <w:color w:val="000000" w:themeColor="text1"/>
                <w:sz w:val="22"/>
                <w:szCs w:val="22"/>
              </w:rPr>
            </w:pPr>
            <w:r w:rsidRPr="00A838E8">
              <w:rPr>
                <w:rFonts w:asciiTheme="minorHAnsi" w:hAnsiTheme="minorHAnsi" w:cstheme="minorHAnsi"/>
                <w:b/>
                <w:bCs/>
                <w:color w:val="000000" w:themeColor="text1"/>
                <w:sz w:val="22"/>
                <w:szCs w:val="22"/>
              </w:rPr>
              <w:t>8,873</w:t>
            </w:r>
          </w:p>
        </w:tc>
        <w:tc>
          <w:tcPr>
            <w:tcW w:w="1858" w:type="dxa"/>
          </w:tcPr>
          <w:p w14:paraId="143CDAAA" w14:textId="77777777" w:rsidR="00A838E8" w:rsidRPr="00A838E8" w:rsidRDefault="00A838E8" w:rsidP="00A838E8">
            <w:pPr>
              <w:contextualSpacing/>
              <w:jc w:val="right"/>
              <w:rPr>
                <w:rFonts w:asciiTheme="minorHAnsi" w:hAnsiTheme="minorHAnsi" w:cstheme="minorHAnsi"/>
                <w:b/>
                <w:bCs/>
                <w:color w:val="000000" w:themeColor="text1"/>
                <w:sz w:val="22"/>
                <w:szCs w:val="22"/>
              </w:rPr>
            </w:pPr>
            <w:r w:rsidRPr="00A838E8">
              <w:rPr>
                <w:rFonts w:asciiTheme="minorHAnsi" w:hAnsiTheme="minorHAnsi" w:cstheme="minorHAnsi"/>
                <w:b/>
                <w:bCs/>
                <w:color w:val="000000" w:themeColor="text1"/>
                <w:sz w:val="22"/>
                <w:szCs w:val="22"/>
              </w:rPr>
              <w:t>1,340</w:t>
            </w:r>
          </w:p>
        </w:tc>
        <w:tc>
          <w:tcPr>
            <w:tcW w:w="1843" w:type="dxa"/>
          </w:tcPr>
          <w:p w14:paraId="7D9D6D64" w14:textId="77777777" w:rsidR="00A838E8" w:rsidRPr="00A838E8" w:rsidRDefault="00A838E8" w:rsidP="00A838E8">
            <w:pPr>
              <w:contextualSpacing/>
              <w:jc w:val="right"/>
              <w:rPr>
                <w:rFonts w:asciiTheme="minorHAnsi" w:hAnsiTheme="minorHAnsi" w:cstheme="minorHAnsi"/>
                <w:b/>
                <w:bCs/>
                <w:color w:val="000000" w:themeColor="text1"/>
                <w:sz w:val="22"/>
                <w:szCs w:val="22"/>
              </w:rPr>
            </w:pPr>
            <w:r w:rsidRPr="00A838E8">
              <w:rPr>
                <w:rFonts w:asciiTheme="minorHAnsi" w:hAnsiTheme="minorHAnsi" w:cstheme="minorHAnsi"/>
                <w:b/>
                <w:bCs/>
                <w:color w:val="000000" w:themeColor="text1"/>
                <w:sz w:val="22"/>
                <w:szCs w:val="22"/>
              </w:rPr>
              <w:t>6,792</w:t>
            </w:r>
          </w:p>
        </w:tc>
        <w:tc>
          <w:tcPr>
            <w:tcW w:w="1788" w:type="dxa"/>
          </w:tcPr>
          <w:p w14:paraId="1B7A9A07" w14:textId="77777777" w:rsidR="00A838E8" w:rsidRPr="00A838E8" w:rsidRDefault="00A838E8" w:rsidP="00A838E8">
            <w:pPr>
              <w:contextualSpacing/>
              <w:jc w:val="right"/>
              <w:rPr>
                <w:rFonts w:asciiTheme="minorHAnsi" w:hAnsiTheme="minorHAnsi" w:cstheme="minorHAnsi"/>
                <w:b/>
                <w:bCs/>
                <w:color w:val="000000" w:themeColor="text1"/>
                <w:sz w:val="22"/>
                <w:szCs w:val="22"/>
              </w:rPr>
            </w:pPr>
            <w:r w:rsidRPr="00A838E8">
              <w:rPr>
                <w:rFonts w:asciiTheme="minorHAnsi" w:hAnsiTheme="minorHAnsi" w:cstheme="minorHAnsi"/>
                <w:b/>
                <w:bCs/>
                <w:color w:val="000000" w:themeColor="text1"/>
                <w:sz w:val="22"/>
                <w:szCs w:val="22"/>
              </w:rPr>
              <w:t>5,509</w:t>
            </w:r>
          </w:p>
        </w:tc>
      </w:tr>
      <w:tr w:rsidR="00A838E8" w:rsidRPr="0062487B" w14:paraId="41391050" w14:textId="77777777" w:rsidTr="00A838E8">
        <w:tc>
          <w:tcPr>
            <w:tcW w:w="2769" w:type="dxa"/>
          </w:tcPr>
          <w:p w14:paraId="7A750DF6" w14:textId="77777777" w:rsidR="00A838E8" w:rsidRPr="00A838E8" w:rsidRDefault="00A838E8" w:rsidP="00763FB0">
            <w:pPr>
              <w:contextualSpacing/>
              <w:rPr>
                <w:rFonts w:asciiTheme="minorHAnsi" w:eastAsia="Calibri" w:hAnsiTheme="minorHAnsi" w:cstheme="minorHAnsi"/>
                <w:bCs/>
                <w:sz w:val="22"/>
                <w:szCs w:val="22"/>
              </w:rPr>
            </w:pPr>
            <w:r w:rsidRPr="00A838E8">
              <w:rPr>
                <w:rFonts w:asciiTheme="minorHAnsi" w:eastAsia="Calibri" w:hAnsiTheme="minorHAnsi" w:cstheme="minorHAnsi"/>
                <w:b/>
                <w:sz w:val="22"/>
                <w:szCs w:val="22"/>
              </w:rPr>
              <w:t>Gender</w:t>
            </w:r>
          </w:p>
          <w:p w14:paraId="77A59D4F" w14:textId="77777777" w:rsidR="00A838E8" w:rsidRPr="00A838E8" w:rsidRDefault="00A838E8" w:rsidP="00763FB0">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Female</w:t>
            </w:r>
          </w:p>
          <w:p w14:paraId="2790E526" w14:textId="77777777" w:rsidR="00A838E8" w:rsidRPr="00A838E8" w:rsidRDefault="00A838E8" w:rsidP="00763FB0">
            <w:pPr>
              <w:ind w:left="720" w:hanging="557"/>
              <w:contextualSpacing/>
              <w:rPr>
                <w:rFonts w:asciiTheme="minorHAnsi" w:hAnsiTheme="minorHAnsi" w:cstheme="minorHAnsi"/>
                <w:color w:val="2F5897" w:themeColor="text2"/>
                <w:sz w:val="22"/>
                <w:szCs w:val="22"/>
              </w:rPr>
            </w:pPr>
            <w:r w:rsidRPr="00A838E8">
              <w:rPr>
                <w:rFonts w:asciiTheme="minorHAnsi" w:eastAsia="Calibri" w:hAnsiTheme="minorHAnsi" w:cstheme="minorHAnsi"/>
                <w:bCs/>
                <w:sz w:val="22"/>
                <w:szCs w:val="22"/>
              </w:rPr>
              <w:t>Male/Other/Unknown*</w:t>
            </w:r>
          </w:p>
        </w:tc>
        <w:tc>
          <w:tcPr>
            <w:tcW w:w="1812" w:type="dxa"/>
          </w:tcPr>
          <w:p w14:paraId="7CB3A99C" w14:textId="77777777" w:rsidR="00A838E8" w:rsidRPr="00A838E8" w:rsidRDefault="00A838E8" w:rsidP="00763FB0">
            <w:pPr>
              <w:contextualSpacing/>
              <w:jc w:val="right"/>
              <w:rPr>
                <w:rFonts w:asciiTheme="minorHAnsi" w:hAnsiTheme="minorHAnsi" w:cstheme="minorHAnsi"/>
                <w:color w:val="000000" w:themeColor="text1"/>
                <w:sz w:val="22"/>
                <w:szCs w:val="22"/>
              </w:rPr>
            </w:pPr>
          </w:p>
          <w:p w14:paraId="137EB877"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57.1%</w:t>
            </w:r>
          </w:p>
          <w:p w14:paraId="7F776B31"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42.9%</w:t>
            </w:r>
          </w:p>
        </w:tc>
        <w:tc>
          <w:tcPr>
            <w:tcW w:w="1858" w:type="dxa"/>
          </w:tcPr>
          <w:p w14:paraId="23583F52" w14:textId="77777777" w:rsidR="00A838E8" w:rsidRPr="00A838E8" w:rsidRDefault="00A838E8" w:rsidP="00763FB0">
            <w:pPr>
              <w:contextualSpacing/>
              <w:jc w:val="right"/>
              <w:rPr>
                <w:rFonts w:asciiTheme="minorHAnsi" w:hAnsiTheme="minorHAnsi" w:cstheme="minorHAnsi"/>
                <w:color w:val="000000" w:themeColor="text1"/>
                <w:sz w:val="22"/>
                <w:szCs w:val="22"/>
              </w:rPr>
            </w:pPr>
          </w:p>
          <w:p w14:paraId="0B8204D5"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56.7%</w:t>
            </w:r>
          </w:p>
          <w:p w14:paraId="16002344"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43.3%</w:t>
            </w:r>
          </w:p>
        </w:tc>
        <w:tc>
          <w:tcPr>
            <w:tcW w:w="1843" w:type="dxa"/>
          </w:tcPr>
          <w:p w14:paraId="1E55B0E9" w14:textId="77777777" w:rsidR="00A838E8" w:rsidRPr="00A838E8" w:rsidRDefault="00A838E8" w:rsidP="00763FB0">
            <w:pPr>
              <w:contextualSpacing/>
              <w:jc w:val="right"/>
              <w:rPr>
                <w:rFonts w:asciiTheme="minorHAnsi" w:hAnsiTheme="minorHAnsi" w:cstheme="minorHAnsi"/>
                <w:color w:val="000000" w:themeColor="text1"/>
                <w:sz w:val="22"/>
                <w:szCs w:val="22"/>
              </w:rPr>
            </w:pPr>
          </w:p>
          <w:p w14:paraId="58709FE1"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57.5%</w:t>
            </w:r>
          </w:p>
          <w:p w14:paraId="73B24E48"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42.5%</w:t>
            </w:r>
          </w:p>
        </w:tc>
        <w:tc>
          <w:tcPr>
            <w:tcW w:w="1788" w:type="dxa"/>
          </w:tcPr>
          <w:p w14:paraId="1A720E4E" w14:textId="77777777" w:rsidR="00A838E8" w:rsidRPr="00A838E8" w:rsidRDefault="00A838E8" w:rsidP="00763FB0">
            <w:pPr>
              <w:contextualSpacing/>
              <w:jc w:val="right"/>
              <w:rPr>
                <w:rFonts w:asciiTheme="minorHAnsi" w:hAnsiTheme="minorHAnsi" w:cstheme="minorHAnsi"/>
                <w:color w:val="000000" w:themeColor="text1"/>
                <w:sz w:val="22"/>
                <w:szCs w:val="22"/>
              </w:rPr>
            </w:pPr>
          </w:p>
          <w:p w14:paraId="249B7A6A"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63.9%</w:t>
            </w:r>
          </w:p>
          <w:p w14:paraId="7BB3F132"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36.1%</w:t>
            </w:r>
          </w:p>
        </w:tc>
      </w:tr>
      <w:tr w:rsidR="00A838E8" w:rsidRPr="0062487B" w14:paraId="34B1BE20" w14:textId="77777777" w:rsidTr="00A838E8">
        <w:tc>
          <w:tcPr>
            <w:tcW w:w="2769" w:type="dxa"/>
          </w:tcPr>
          <w:p w14:paraId="45339E5C" w14:textId="77777777" w:rsidR="00A838E8" w:rsidRPr="00A838E8" w:rsidRDefault="00A838E8" w:rsidP="00763FB0">
            <w:pPr>
              <w:contextualSpacing/>
              <w:rPr>
                <w:rFonts w:asciiTheme="minorHAnsi" w:eastAsia="Calibri" w:hAnsiTheme="minorHAnsi" w:cstheme="minorHAnsi"/>
                <w:bCs/>
                <w:sz w:val="22"/>
                <w:szCs w:val="22"/>
              </w:rPr>
            </w:pPr>
            <w:r w:rsidRPr="00A838E8">
              <w:rPr>
                <w:rFonts w:asciiTheme="minorHAnsi" w:eastAsia="Calibri" w:hAnsiTheme="minorHAnsi" w:cstheme="minorHAnsi"/>
                <w:b/>
                <w:sz w:val="22"/>
                <w:szCs w:val="22"/>
              </w:rPr>
              <w:t>Age</w:t>
            </w:r>
          </w:p>
          <w:p w14:paraId="684F0C55" w14:textId="77777777" w:rsidR="00A838E8" w:rsidRPr="00A838E8" w:rsidRDefault="00A838E8" w:rsidP="00763FB0">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0-17</w:t>
            </w:r>
          </w:p>
          <w:p w14:paraId="3B98FBB6" w14:textId="77777777" w:rsidR="00A838E8" w:rsidRPr="00A838E8" w:rsidRDefault="00A838E8" w:rsidP="00763FB0">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18-54</w:t>
            </w:r>
          </w:p>
          <w:p w14:paraId="76FD3EFE" w14:textId="77777777" w:rsidR="00A838E8" w:rsidRPr="00A838E8" w:rsidRDefault="00A838E8" w:rsidP="00763FB0">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55-64</w:t>
            </w:r>
          </w:p>
          <w:p w14:paraId="6C669A38" w14:textId="77777777" w:rsidR="00A838E8" w:rsidRPr="00A838E8" w:rsidRDefault="00A838E8" w:rsidP="00763FB0">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65-74</w:t>
            </w:r>
          </w:p>
          <w:p w14:paraId="3737519A" w14:textId="77777777" w:rsidR="00A838E8" w:rsidRPr="00A838E8" w:rsidRDefault="00A838E8" w:rsidP="00763FB0">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74-84</w:t>
            </w:r>
          </w:p>
          <w:p w14:paraId="60425324" w14:textId="77777777" w:rsidR="00A838E8" w:rsidRPr="00A838E8" w:rsidRDefault="00A838E8" w:rsidP="00763FB0">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85+</w:t>
            </w:r>
          </w:p>
          <w:p w14:paraId="6B7C6FE1" w14:textId="77777777" w:rsidR="00A838E8" w:rsidRPr="00A838E8" w:rsidRDefault="00A838E8" w:rsidP="00763FB0">
            <w:pPr>
              <w:ind w:left="720" w:hanging="557"/>
              <w:contextualSpacing/>
              <w:rPr>
                <w:rFonts w:asciiTheme="minorHAnsi" w:hAnsiTheme="minorHAnsi" w:cstheme="minorHAnsi"/>
                <w:color w:val="2F5897" w:themeColor="text2"/>
                <w:sz w:val="22"/>
                <w:szCs w:val="22"/>
              </w:rPr>
            </w:pPr>
            <w:r w:rsidRPr="00A838E8">
              <w:rPr>
                <w:rFonts w:asciiTheme="minorHAnsi" w:eastAsia="Calibri" w:hAnsiTheme="minorHAnsi" w:cstheme="minorHAnsi"/>
                <w:bCs/>
                <w:sz w:val="22"/>
                <w:szCs w:val="22"/>
              </w:rPr>
              <w:t>Unknown</w:t>
            </w:r>
          </w:p>
        </w:tc>
        <w:tc>
          <w:tcPr>
            <w:tcW w:w="1812" w:type="dxa"/>
          </w:tcPr>
          <w:p w14:paraId="1FDD08D8" w14:textId="77777777" w:rsidR="00A838E8" w:rsidRPr="00A838E8" w:rsidRDefault="00A838E8" w:rsidP="00763FB0">
            <w:pPr>
              <w:contextualSpacing/>
              <w:jc w:val="right"/>
              <w:rPr>
                <w:rFonts w:asciiTheme="minorHAnsi" w:hAnsiTheme="minorHAnsi" w:cstheme="minorHAnsi"/>
                <w:color w:val="000000" w:themeColor="text1"/>
                <w:sz w:val="22"/>
                <w:szCs w:val="22"/>
              </w:rPr>
            </w:pPr>
          </w:p>
          <w:p w14:paraId="7DA914EA"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0.0%</w:t>
            </w:r>
          </w:p>
          <w:p w14:paraId="5A945C07"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31.8%</w:t>
            </w:r>
          </w:p>
          <w:p w14:paraId="089B5EAD"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20.4%</w:t>
            </w:r>
          </w:p>
          <w:p w14:paraId="4B8BB610"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20.2%</w:t>
            </w:r>
          </w:p>
          <w:p w14:paraId="49D46BE3"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15.7%</w:t>
            </w:r>
          </w:p>
          <w:p w14:paraId="753BC8C4"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11.8%</w:t>
            </w:r>
          </w:p>
          <w:p w14:paraId="1191F739"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0.0%</w:t>
            </w:r>
          </w:p>
        </w:tc>
        <w:tc>
          <w:tcPr>
            <w:tcW w:w="1858" w:type="dxa"/>
          </w:tcPr>
          <w:p w14:paraId="27C60E77" w14:textId="77777777" w:rsidR="00A838E8" w:rsidRPr="00A838E8" w:rsidRDefault="00A838E8" w:rsidP="00763FB0">
            <w:pPr>
              <w:contextualSpacing/>
              <w:jc w:val="right"/>
              <w:rPr>
                <w:rFonts w:asciiTheme="minorHAnsi" w:hAnsiTheme="minorHAnsi" w:cstheme="minorHAnsi"/>
                <w:color w:val="000000" w:themeColor="text1"/>
                <w:sz w:val="22"/>
                <w:szCs w:val="22"/>
              </w:rPr>
            </w:pPr>
          </w:p>
          <w:p w14:paraId="7425AD04"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5.1%</w:t>
            </w:r>
          </w:p>
          <w:p w14:paraId="646B5EB9"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28.7%</w:t>
            </w:r>
          </w:p>
          <w:p w14:paraId="061DCB2F"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20.0%</w:t>
            </w:r>
          </w:p>
          <w:p w14:paraId="400873BC"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28.7%</w:t>
            </w:r>
          </w:p>
          <w:p w14:paraId="1F4CCCD7"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14.3%</w:t>
            </w:r>
          </w:p>
          <w:p w14:paraId="605B09E7"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3.1%</w:t>
            </w:r>
          </w:p>
          <w:p w14:paraId="1F97CCCB"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0.0%</w:t>
            </w:r>
          </w:p>
        </w:tc>
        <w:tc>
          <w:tcPr>
            <w:tcW w:w="1843" w:type="dxa"/>
          </w:tcPr>
          <w:p w14:paraId="1D98547A" w14:textId="77777777" w:rsidR="00A838E8" w:rsidRPr="00A838E8" w:rsidRDefault="00A838E8" w:rsidP="00763FB0">
            <w:pPr>
              <w:contextualSpacing/>
              <w:jc w:val="right"/>
              <w:rPr>
                <w:rFonts w:asciiTheme="minorHAnsi" w:hAnsiTheme="minorHAnsi" w:cstheme="minorHAnsi"/>
                <w:color w:val="000000" w:themeColor="text1"/>
                <w:sz w:val="22"/>
                <w:szCs w:val="22"/>
              </w:rPr>
            </w:pPr>
          </w:p>
          <w:p w14:paraId="77ED7FCB"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9.6%</w:t>
            </w:r>
          </w:p>
          <w:p w14:paraId="6D4C86C7"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28.7%</w:t>
            </w:r>
          </w:p>
          <w:p w14:paraId="2BDB8032"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25.6%</w:t>
            </w:r>
          </w:p>
          <w:p w14:paraId="1ED1DA67"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23.7%</w:t>
            </w:r>
          </w:p>
          <w:p w14:paraId="73B46BE5"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10.7%</w:t>
            </w:r>
          </w:p>
          <w:p w14:paraId="6B9C1F28"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1.6%</w:t>
            </w:r>
          </w:p>
          <w:p w14:paraId="5F64422E"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0.0%</w:t>
            </w:r>
          </w:p>
        </w:tc>
        <w:tc>
          <w:tcPr>
            <w:tcW w:w="1788" w:type="dxa"/>
          </w:tcPr>
          <w:p w14:paraId="244BDA45" w14:textId="77777777" w:rsidR="00A838E8" w:rsidRPr="00A838E8" w:rsidRDefault="00A838E8" w:rsidP="00763FB0">
            <w:pPr>
              <w:contextualSpacing/>
              <w:jc w:val="right"/>
              <w:rPr>
                <w:rFonts w:asciiTheme="minorHAnsi" w:hAnsiTheme="minorHAnsi" w:cstheme="minorHAnsi"/>
                <w:color w:val="000000" w:themeColor="text1"/>
                <w:sz w:val="22"/>
                <w:szCs w:val="22"/>
              </w:rPr>
            </w:pPr>
          </w:p>
          <w:p w14:paraId="0D0150B4"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0.2%</w:t>
            </w:r>
          </w:p>
          <w:p w14:paraId="0681AF62"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40.0%</w:t>
            </w:r>
          </w:p>
          <w:p w14:paraId="3831F99A"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22.8%</w:t>
            </w:r>
          </w:p>
          <w:p w14:paraId="704148DB"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21.1%</w:t>
            </w:r>
          </w:p>
          <w:p w14:paraId="1394F771"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11.1%</w:t>
            </w:r>
          </w:p>
          <w:p w14:paraId="54E56385"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4.8%</w:t>
            </w:r>
          </w:p>
          <w:p w14:paraId="7F27CB5D"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0.0%</w:t>
            </w:r>
          </w:p>
        </w:tc>
      </w:tr>
      <w:tr w:rsidR="00A838E8" w:rsidRPr="0062487B" w14:paraId="11036CCA" w14:textId="77777777" w:rsidTr="00A838E8">
        <w:tc>
          <w:tcPr>
            <w:tcW w:w="2769" w:type="dxa"/>
          </w:tcPr>
          <w:p w14:paraId="21D79789" w14:textId="77777777" w:rsidR="00A838E8" w:rsidRPr="00A838E8" w:rsidRDefault="00A838E8" w:rsidP="00763FB0">
            <w:pPr>
              <w:contextualSpacing/>
              <w:rPr>
                <w:rFonts w:asciiTheme="minorHAnsi" w:eastAsia="Calibri" w:hAnsiTheme="minorHAnsi" w:cstheme="minorHAnsi"/>
                <w:bCs/>
                <w:sz w:val="22"/>
                <w:szCs w:val="22"/>
              </w:rPr>
            </w:pPr>
            <w:r w:rsidRPr="00A838E8">
              <w:rPr>
                <w:rFonts w:asciiTheme="minorHAnsi" w:eastAsia="Calibri" w:hAnsiTheme="minorHAnsi" w:cstheme="minorHAnsi"/>
                <w:b/>
                <w:sz w:val="22"/>
                <w:szCs w:val="22"/>
              </w:rPr>
              <w:t>Race</w:t>
            </w:r>
          </w:p>
          <w:p w14:paraId="66DD284D" w14:textId="77777777" w:rsidR="00A838E8" w:rsidRPr="00A838E8" w:rsidRDefault="00A838E8" w:rsidP="00763FB0">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Asian</w:t>
            </w:r>
          </w:p>
          <w:p w14:paraId="4D600164" w14:textId="77777777" w:rsidR="00A838E8" w:rsidRPr="00A838E8" w:rsidRDefault="00A838E8" w:rsidP="00763FB0">
            <w:pPr>
              <w:ind w:left="343" w:hanging="180"/>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Black or African American</w:t>
            </w:r>
          </w:p>
          <w:p w14:paraId="772236FC" w14:textId="77777777" w:rsidR="00A838E8" w:rsidRPr="00A838E8" w:rsidRDefault="00A838E8" w:rsidP="00763FB0">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Hispanic/Latino</w:t>
            </w:r>
          </w:p>
          <w:p w14:paraId="76A463B2" w14:textId="77777777" w:rsidR="00A838E8" w:rsidRPr="00A838E8" w:rsidRDefault="00A838E8" w:rsidP="00763FB0">
            <w:pPr>
              <w:ind w:left="343" w:hanging="180"/>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Other/Unavailable/Declined*</w:t>
            </w:r>
          </w:p>
          <w:p w14:paraId="1B919123" w14:textId="77777777" w:rsidR="00A838E8" w:rsidRPr="00A838E8" w:rsidRDefault="00A838E8" w:rsidP="00763FB0">
            <w:pPr>
              <w:ind w:left="343" w:hanging="180"/>
              <w:contextualSpacing/>
              <w:rPr>
                <w:rFonts w:asciiTheme="minorHAnsi" w:hAnsiTheme="minorHAnsi" w:cstheme="minorHAnsi"/>
                <w:color w:val="2F5897" w:themeColor="text2"/>
                <w:sz w:val="22"/>
                <w:szCs w:val="22"/>
              </w:rPr>
            </w:pPr>
            <w:r w:rsidRPr="00A838E8">
              <w:rPr>
                <w:rFonts w:asciiTheme="minorHAnsi" w:eastAsia="Calibri" w:hAnsiTheme="minorHAnsi" w:cstheme="minorHAnsi"/>
                <w:bCs/>
                <w:sz w:val="22"/>
                <w:szCs w:val="22"/>
              </w:rPr>
              <w:t>White</w:t>
            </w:r>
          </w:p>
        </w:tc>
        <w:tc>
          <w:tcPr>
            <w:tcW w:w="1812" w:type="dxa"/>
          </w:tcPr>
          <w:p w14:paraId="3A79ADBA" w14:textId="77777777" w:rsidR="00A838E8" w:rsidRPr="00A838E8" w:rsidRDefault="00A838E8" w:rsidP="00763FB0">
            <w:pPr>
              <w:contextualSpacing/>
              <w:jc w:val="right"/>
              <w:rPr>
                <w:rFonts w:asciiTheme="minorHAnsi" w:hAnsiTheme="minorHAnsi" w:cstheme="minorHAnsi"/>
                <w:color w:val="000000" w:themeColor="text1"/>
                <w:sz w:val="22"/>
                <w:szCs w:val="22"/>
              </w:rPr>
            </w:pPr>
          </w:p>
          <w:p w14:paraId="690A9362"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1.6%</w:t>
            </w:r>
          </w:p>
          <w:p w14:paraId="55C4F622"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14.1%</w:t>
            </w:r>
          </w:p>
          <w:p w14:paraId="002366E6"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4.9%</w:t>
            </w:r>
          </w:p>
          <w:p w14:paraId="692F3249"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67.6%</w:t>
            </w:r>
          </w:p>
          <w:p w14:paraId="52A90538"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11.8%</w:t>
            </w:r>
          </w:p>
        </w:tc>
        <w:tc>
          <w:tcPr>
            <w:tcW w:w="1858" w:type="dxa"/>
          </w:tcPr>
          <w:p w14:paraId="393A1062" w14:textId="77777777" w:rsidR="00A838E8" w:rsidRPr="00A838E8" w:rsidRDefault="00A838E8" w:rsidP="00763FB0">
            <w:pPr>
              <w:contextualSpacing/>
              <w:jc w:val="right"/>
              <w:rPr>
                <w:rFonts w:asciiTheme="minorHAnsi" w:hAnsiTheme="minorHAnsi" w:cstheme="minorHAnsi"/>
                <w:color w:val="000000" w:themeColor="text1"/>
                <w:sz w:val="22"/>
                <w:szCs w:val="22"/>
              </w:rPr>
            </w:pPr>
          </w:p>
          <w:p w14:paraId="03934DAE"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1.9%</w:t>
            </w:r>
          </w:p>
          <w:p w14:paraId="4517CA07"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13.8%</w:t>
            </w:r>
          </w:p>
          <w:p w14:paraId="3CAE42C3"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3.3%</w:t>
            </w:r>
          </w:p>
          <w:p w14:paraId="044412FA"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10.6%</w:t>
            </w:r>
          </w:p>
          <w:p w14:paraId="4298B605"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70.4%</w:t>
            </w:r>
          </w:p>
        </w:tc>
        <w:tc>
          <w:tcPr>
            <w:tcW w:w="1843" w:type="dxa"/>
          </w:tcPr>
          <w:p w14:paraId="778BB64E" w14:textId="77777777" w:rsidR="00A838E8" w:rsidRPr="00A838E8" w:rsidRDefault="00A838E8" w:rsidP="00763FB0">
            <w:pPr>
              <w:contextualSpacing/>
              <w:jc w:val="right"/>
              <w:rPr>
                <w:rFonts w:asciiTheme="minorHAnsi" w:hAnsiTheme="minorHAnsi" w:cstheme="minorHAnsi"/>
                <w:color w:val="000000" w:themeColor="text1"/>
                <w:sz w:val="22"/>
                <w:szCs w:val="22"/>
              </w:rPr>
            </w:pPr>
          </w:p>
          <w:p w14:paraId="45DDBC08"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2.3%</w:t>
            </w:r>
          </w:p>
          <w:p w14:paraId="668355BF"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8.8%</w:t>
            </w:r>
          </w:p>
          <w:p w14:paraId="577D6E3B"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4.5%</w:t>
            </w:r>
          </w:p>
          <w:p w14:paraId="01FAB237"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8.3%</w:t>
            </w:r>
          </w:p>
          <w:p w14:paraId="0993A739"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76.0%</w:t>
            </w:r>
          </w:p>
        </w:tc>
        <w:tc>
          <w:tcPr>
            <w:tcW w:w="1788" w:type="dxa"/>
          </w:tcPr>
          <w:p w14:paraId="0082F4E1" w14:textId="77777777" w:rsidR="00A838E8" w:rsidRPr="00A838E8" w:rsidRDefault="00A838E8" w:rsidP="00763FB0">
            <w:pPr>
              <w:contextualSpacing/>
              <w:jc w:val="right"/>
              <w:rPr>
                <w:rFonts w:asciiTheme="minorHAnsi" w:hAnsiTheme="minorHAnsi" w:cstheme="minorHAnsi"/>
                <w:color w:val="000000" w:themeColor="text1"/>
                <w:sz w:val="22"/>
                <w:szCs w:val="22"/>
              </w:rPr>
            </w:pPr>
          </w:p>
          <w:p w14:paraId="3AF90491"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1.9%</w:t>
            </w:r>
          </w:p>
          <w:p w14:paraId="7E30F908"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13.2%</w:t>
            </w:r>
          </w:p>
          <w:p w14:paraId="37CE9BD2"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6.2%</w:t>
            </w:r>
          </w:p>
          <w:p w14:paraId="0C3CA122"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11.6%</w:t>
            </w:r>
          </w:p>
          <w:p w14:paraId="0CFE40AA" w14:textId="77777777" w:rsidR="00A838E8" w:rsidRPr="00A838E8" w:rsidRDefault="00A838E8" w:rsidP="00763FB0">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67.1%</w:t>
            </w:r>
          </w:p>
        </w:tc>
      </w:tr>
      <w:tr w:rsidR="00A838E8" w:rsidRPr="0062487B" w14:paraId="50819E49" w14:textId="77777777" w:rsidTr="00A838E8">
        <w:tc>
          <w:tcPr>
            <w:tcW w:w="2769" w:type="dxa"/>
            <w:shd w:val="clear" w:color="auto" w:fill="DFE3F0" w:themeFill="accent1" w:themeFillTint="33"/>
          </w:tcPr>
          <w:p w14:paraId="7019BD72" w14:textId="77777777" w:rsidR="00A838E8" w:rsidRPr="00A838E8" w:rsidRDefault="00A838E8" w:rsidP="00A838E8">
            <w:pPr>
              <w:contextualSpacing/>
              <w:rPr>
                <w:rFonts w:asciiTheme="minorHAnsi" w:eastAsia="Calibri" w:hAnsiTheme="minorHAnsi" w:cstheme="minorHAnsi"/>
                <w:b/>
                <w:sz w:val="22"/>
                <w:szCs w:val="22"/>
              </w:rPr>
            </w:pPr>
          </w:p>
        </w:tc>
        <w:tc>
          <w:tcPr>
            <w:tcW w:w="1812" w:type="dxa"/>
            <w:shd w:val="clear" w:color="auto" w:fill="DFE3F0" w:themeFill="accent1" w:themeFillTint="33"/>
          </w:tcPr>
          <w:p w14:paraId="2685B45A" w14:textId="32271699"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eastAsia="Calibri" w:hAnsiTheme="minorHAnsi" w:cstheme="minorHAnsi"/>
                <w:b/>
                <w:sz w:val="22"/>
                <w:szCs w:val="22"/>
              </w:rPr>
              <w:t>BWFH Medical-Surgical IP Beds</w:t>
            </w:r>
          </w:p>
        </w:tc>
        <w:tc>
          <w:tcPr>
            <w:tcW w:w="1858" w:type="dxa"/>
            <w:shd w:val="clear" w:color="auto" w:fill="DFE3F0" w:themeFill="accent1" w:themeFillTint="33"/>
          </w:tcPr>
          <w:p w14:paraId="7264B6EF" w14:textId="209AC499"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eastAsia="Calibri" w:hAnsiTheme="minorHAnsi" w:cstheme="minorHAnsi"/>
                <w:b/>
                <w:sz w:val="22"/>
                <w:szCs w:val="22"/>
              </w:rPr>
              <w:t>BWFH Observation</w:t>
            </w:r>
          </w:p>
        </w:tc>
        <w:tc>
          <w:tcPr>
            <w:tcW w:w="1843" w:type="dxa"/>
            <w:shd w:val="clear" w:color="auto" w:fill="DFE3F0" w:themeFill="accent1" w:themeFillTint="33"/>
          </w:tcPr>
          <w:p w14:paraId="1CCAF1A7" w14:textId="6C74F354"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eastAsia="Calibri" w:hAnsiTheme="minorHAnsi" w:cstheme="minorHAnsi"/>
                <w:b/>
                <w:sz w:val="22"/>
                <w:szCs w:val="22"/>
              </w:rPr>
              <w:t>BWFH Endoscopy</w:t>
            </w:r>
          </w:p>
        </w:tc>
        <w:tc>
          <w:tcPr>
            <w:tcW w:w="1788" w:type="dxa"/>
            <w:shd w:val="clear" w:color="auto" w:fill="DFE3F0" w:themeFill="accent1" w:themeFillTint="33"/>
          </w:tcPr>
          <w:p w14:paraId="30A54CD7" w14:textId="5DA7BDDF"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eastAsia="Calibri" w:hAnsiTheme="minorHAnsi" w:cstheme="minorHAnsi"/>
                <w:b/>
                <w:sz w:val="22"/>
                <w:szCs w:val="22"/>
              </w:rPr>
              <w:t>BWFH MRI</w:t>
            </w:r>
          </w:p>
        </w:tc>
      </w:tr>
      <w:tr w:rsidR="00A838E8" w:rsidRPr="0062487B" w14:paraId="1F2E5653" w14:textId="77777777" w:rsidTr="00A838E8">
        <w:tc>
          <w:tcPr>
            <w:tcW w:w="2769" w:type="dxa"/>
          </w:tcPr>
          <w:p w14:paraId="4B71293F" w14:textId="77777777" w:rsidR="00A838E8" w:rsidRPr="00A838E8" w:rsidRDefault="00A838E8" w:rsidP="00A838E8">
            <w:pPr>
              <w:contextualSpacing/>
              <w:rPr>
                <w:rFonts w:asciiTheme="minorHAnsi" w:eastAsia="Calibri" w:hAnsiTheme="minorHAnsi" w:cstheme="minorHAnsi"/>
                <w:bCs/>
                <w:sz w:val="22"/>
                <w:szCs w:val="22"/>
              </w:rPr>
            </w:pPr>
            <w:r w:rsidRPr="00A838E8">
              <w:rPr>
                <w:rFonts w:asciiTheme="minorHAnsi" w:eastAsia="Calibri" w:hAnsiTheme="minorHAnsi" w:cstheme="minorHAnsi"/>
                <w:b/>
                <w:sz w:val="22"/>
                <w:szCs w:val="22"/>
              </w:rPr>
              <w:t>Patient Origin</w:t>
            </w:r>
          </w:p>
          <w:p w14:paraId="4F4821A3" w14:textId="77777777" w:rsidR="00A838E8" w:rsidRPr="00A838E8" w:rsidRDefault="00A838E8" w:rsidP="00A838E8">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West Roxbury (02132)</w:t>
            </w:r>
          </w:p>
          <w:p w14:paraId="1D3F5C8F" w14:textId="77777777" w:rsidR="00A838E8" w:rsidRPr="00A838E8" w:rsidRDefault="00A838E8" w:rsidP="00A838E8">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Roslindale (02131)</w:t>
            </w:r>
          </w:p>
          <w:p w14:paraId="22CE9478" w14:textId="77777777" w:rsidR="00A838E8" w:rsidRPr="00A838E8" w:rsidRDefault="00A838E8" w:rsidP="00A838E8">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Hyde Park (02136)</w:t>
            </w:r>
          </w:p>
          <w:p w14:paraId="6A22941C" w14:textId="77777777" w:rsidR="00A838E8" w:rsidRPr="00A838E8" w:rsidRDefault="00A838E8" w:rsidP="00A838E8">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Jamaica Plain (02130)</w:t>
            </w:r>
          </w:p>
          <w:p w14:paraId="4B98F22E" w14:textId="77777777" w:rsidR="00A838E8" w:rsidRPr="00A838E8" w:rsidRDefault="00A838E8" w:rsidP="00A838E8">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Dedham (02026)</w:t>
            </w:r>
          </w:p>
          <w:p w14:paraId="458F99CA" w14:textId="77777777" w:rsidR="00A838E8" w:rsidRPr="00A838E8" w:rsidRDefault="00A838E8" w:rsidP="00A838E8">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Dorchester (02124, 02121)</w:t>
            </w:r>
          </w:p>
          <w:p w14:paraId="310BB45F" w14:textId="77777777" w:rsidR="00A838E8" w:rsidRPr="00A838E8" w:rsidRDefault="00A838E8" w:rsidP="00A838E8">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Mattapan (02126)</w:t>
            </w:r>
          </w:p>
          <w:p w14:paraId="2913801F" w14:textId="77777777" w:rsidR="00A838E8" w:rsidRPr="00A838E8" w:rsidRDefault="00A838E8" w:rsidP="00A838E8">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Roxbury (02119)</w:t>
            </w:r>
          </w:p>
          <w:p w14:paraId="6C26F668" w14:textId="77777777" w:rsidR="00A838E8" w:rsidRPr="00A838E8" w:rsidRDefault="00A838E8" w:rsidP="00A838E8">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Norwood (02062)</w:t>
            </w:r>
          </w:p>
          <w:p w14:paraId="2DC7E91F" w14:textId="77777777" w:rsidR="00A838E8" w:rsidRPr="00A838E8" w:rsidRDefault="00A838E8" w:rsidP="00A838E8">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Chestnut Hill (02467)</w:t>
            </w:r>
          </w:p>
          <w:p w14:paraId="69470F1E" w14:textId="77777777" w:rsidR="00A838E8" w:rsidRPr="00A838E8" w:rsidRDefault="00A838E8" w:rsidP="00A838E8">
            <w:pPr>
              <w:ind w:left="343" w:hanging="180"/>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Stoughton (02072)/Braintree (02184)</w:t>
            </w:r>
          </w:p>
          <w:p w14:paraId="661BEF54" w14:textId="77777777" w:rsidR="00A838E8" w:rsidRPr="00A838E8" w:rsidRDefault="00A838E8" w:rsidP="00A838E8">
            <w:pPr>
              <w:ind w:left="343" w:hanging="180"/>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Walpole</w:t>
            </w:r>
          </w:p>
          <w:p w14:paraId="58B945E7" w14:textId="77777777" w:rsidR="00A838E8" w:rsidRPr="00A838E8" w:rsidRDefault="00A838E8" w:rsidP="00A838E8">
            <w:pPr>
              <w:ind w:left="343" w:hanging="180"/>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Foxboro</w:t>
            </w:r>
          </w:p>
          <w:p w14:paraId="56BB8755" w14:textId="77777777" w:rsidR="00A838E8" w:rsidRPr="00A838E8" w:rsidRDefault="00A838E8" w:rsidP="00A838E8">
            <w:pPr>
              <w:ind w:left="343" w:hanging="180"/>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Mansfield</w:t>
            </w:r>
          </w:p>
          <w:p w14:paraId="7343AE9A" w14:textId="77777777" w:rsidR="00A838E8" w:rsidRPr="00A838E8" w:rsidRDefault="00A838E8" w:rsidP="00A838E8">
            <w:pPr>
              <w:ind w:left="343" w:hanging="180"/>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Canton</w:t>
            </w:r>
          </w:p>
          <w:p w14:paraId="068E4B46" w14:textId="77777777" w:rsidR="00A838E8" w:rsidRPr="00A838E8" w:rsidRDefault="00A838E8" w:rsidP="00A838E8">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All Other</w:t>
            </w:r>
          </w:p>
        </w:tc>
        <w:tc>
          <w:tcPr>
            <w:tcW w:w="1812" w:type="dxa"/>
          </w:tcPr>
          <w:p w14:paraId="1BEA83B0" w14:textId="77777777" w:rsidR="00A838E8" w:rsidRPr="00A838E8" w:rsidRDefault="00A838E8" w:rsidP="00A838E8">
            <w:pPr>
              <w:contextualSpacing/>
              <w:jc w:val="right"/>
              <w:rPr>
                <w:rFonts w:asciiTheme="minorHAnsi" w:hAnsiTheme="minorHAnsi" w:cstheme="minorHAnsi"/>
                <w:color w:val="000000" w:themeColor="text1"/>
                <w:sz w:val="22"/>
                <w:szCs w:val="22"/>
              </w:rPr>
            </w:pPr>
          </w:p>
          <w:p w14:paraId="0ECAC6D0"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9.6%</w:t>
            </w:r>
          </w:p>
          <w:p w14:paraId="1439E52B"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8.6%</w:t>
            </w:r>
          </w:p>
          <w:p w14:paraId="0C1960AA"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7.8%</w:t>
            </w:r>
          </w:p>
          <w:p w14:paraId="449E1C85"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5.7%</w:t>
            </w:r>
          </w:p>
          <w:p w14:paraId="00B8EE17"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4.5%</w:t>
            </w:r>
          </w:p>
          <w:p w14:paraId="51929EAE"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4.2%</w:t>
            </w:r>
          </w:p>
          <w:p w14:paraId="00DE4724"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2.2%</w:t>
            </w:r>
          </w:p>
          <w:p w14:paraId="6A5BEB6B"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1.9%</w:t>
            </w:r>
          </w:p>
          <w:p w14:paraId="636362AE"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1.7%</w:t>
            </w:r>
          </w:p>
          <w:p w14:paraId="76CD8759"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1.2%</w:t>
            </w:r>
          </w:p>
          <w:p w14:paraId="45CE4EE1"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16B4D6CC" w14:textId="77777777" w:rsidR="00A838E8" w:rsidRPr="00A838E8" w:rsidRDefault="00A838E8" w:rsidP="00A838E8">
            <w:pPr>
              <w:contextualSpacing/>
              <w:jc w:val="right"/>
              <w:rPr>
                <w:rFonts w:asciiTheme="minorHAnsi" w:hAnsiTheme="minorHAnsi" w:cstheme="minorHAnsi"/>
                <w:color w:val="000000" w:themeColor="text1"/>
                <w:sz w:val="22"/>
                <w:szCs w:val="22"/>
              </w:rPr>
            </w:pPr>
          </w:p>
          <w:p w14:paraId="32A10768"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66A5FC91"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08D73413"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42F577DF"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5E047DFA"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52.7%</w:t>
            </w:r>
          </w:p>
        </w:tc>
        <w:tc>
          <w:tcPr>
            <w:tcW w:w="1858" w:type="dxa"/>
          </w:tcPr>
          <w:p w14:paraId="6D61C319" w14:textId="77777777" w:rsidR="00A838E8" w:rsidRPr="00A838E8" w:rsidRDefault="00A838E8" w:rsidP="00A838E8">
            <w:pPr>
              <w:contextualSpacing/>
              <w:jc w:val="right"/>
              <w:rPr>
                <w:rFonts w:asciiTheme="minorHAnsi" w:hAnsiTheme="minorHAnsi" w:cstheme="minorHAnsi"/>
                <w:color w:val="000000" w:themeColor="text1"/>
                <w:sz w:val="22"/>
                <w:szCs w:val="22"/>
              </w:rPr>
            </w:pPr>
          </w:p>
          <w:p w14:paraId="5A8689C5"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2.3%</w:t>
            </w:r>
          </w:p>
          <w:p w14:paraId="766035C9"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3.5%</w:t>
            </w:r>
          </w:p>
          <w:p w14:paraId="63FC5D73"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2.4%</w:t>
            </w:r>
          </w:p>
          <w:p w14:paraId="6399E150"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2.2%</w:t>
            </w:r>
          </w:p>
          <w:p w14:paraId="2165A06B" w14:textId="40823895"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1.8</w:t>
            </w:r>
            <w:r w:rsidR="006C1A1F">
              <w:rPr>
                <w:rFonts w:asciiTheme="minorHAnsi" w:hAnsiTheme="minorHAnsi" w:cstheme="minorHAnsi"/>
                <w:color w:val="000000" w:themeColor="text1"/>
                <w:sz w:val="22"/>
                <w:szCs w:val="22"/>
              </w:rPr>
              <w:t>%</w:t>
            </w:r>
          </w:p>
          <w:p w14:paraId="52C7E0FE"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4.1%</w:t>
            </w:r>
          </w:p>
          <w:p w14:paraId="590F4BFC"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1.9%</w:t>
            </w:r>
          </w:p>
          <w:p w14:paraId="3AE2E8F9"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1.3%</w:t>
            </w:r>
          </w:p>
          <w:p w14:paraId="2E107DE9"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49BB2B3C"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2C76839A"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2.3%</w:t>
            </w:r>
          </w:p>
          <w:p w14:paraId="59A36683" w14:textId="77777777" w:rsidR="00A838E8" w:rsidRPr="00A838E8" w:rsidRDefault="00A838E8" w:rsidP="00A838E8">
            <w:pPr>
              <w:contextualSpacing/>
              <w:jc w:val="right"/>
              <w:rPr>
                <w:rFonts w:asciiTheme="minorHAnsi" w:hAnsiTheme="minorHAnsi" w:cstheme="minorHAnsi"/>
                <w:color w:val="000000" w:themeColor="text1"/>
                <w:sz w:val="22"/>
                <w:szCs w:val="22"/>
              </w:rPr>
            </w:pPr>
          </w:p>
          <w:p w14:paraId="6CA098F0"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681817DC"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7F5849AE"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790F9497"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65C452C6"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78.2%</w:t>
            </w:r>
          </w:p>
        </w:tc>
        <w:tc>
          <w:tcPr>
            <w:tcW w:w="1843" w:type="dxa"/>
          </w:tcPr>
          <w:p w14:paraId="37A861C1" w14:textId="77777777" w:rsidR="00A838E8" w:rsidRPr="00A838E8" w:rsidRDefault="00A838E8" w:rsidP="00A838E8">
            <w:pPr>
              <w:contextualSpacing/>
              <w:jc w:val="right"/>
              <w:rPr>
                <w:rFonts w:asciiTheme="minorHAnsi" w:hAnsiTheme="minorHAnsi" w:cstheme="minorHAnsi"/>
                <w:color w:val="000000" w:themeColor="text1"/>
                <w:sz w:val="22"/>
                <w:szCs w:val="22"/>
              </w:rPr>
            </w:pPr>
          </w:p>
          <w:p w14:paraId="51BAEB33"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7.8%</w:t>
            </w:r>
          </w:p>
          <w:p w14:paraId="0ADDE550"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6.5%</w:t>
            </w:r>
          </w:p>
          <w:p w14:paraId="7DB2E31C"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5.3%</w:t>
            </w:r>
          </w:p>
          <w:p w14:paraId="52BF9A17"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4.8%</w:t>
            </w:r>
          </w:p>
          <w:p w14:paraId="1B873402"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5.3%</w:t>
            </w:r>
          </w:p>
          <w:p w14:paraId="2CE2E76D"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17D50B01"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6313E700"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0D91C957"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4.1%</w:t>
            </w:r>
          </w:p>
          <w:p w14:paraId="2CE5B605"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0384A620"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12E5D7F8" w14:textId="77777777" w:rsidR="00A838E8" w:rsidRPr="00A838E8" w:rsidRDefault="00A838E8" w:rsidP="00A838E8">
            <w:pPr>
              <w:contextualSpacing/>
              <w:jc w:val="right"/>
              <w:rPr>
                <w:rFonts w:asciiTheme="minorHAnsi" w:hAnsiTheme="minorHAnsi" w:cstheme="minorHAnsi"/>
                <w:color w:val="000000" w:themeColor="text1"/>
                <w:sz w:val="22"/>
                <w:szCs w:val="22"/>
              </w:rPr>
            </w:pPr>
          </w:p>
          <w:p w14:paraId="169AFD5E"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3.0%</w:t>
            </w:r>
          </w:p>
          <w:p w14:paraId="52F6C26F"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2.7%</w:t>
            </w:r>
          </w:p>
          <w:p w14:paraId="5F8DFA82"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2.6%</w:t>
            </w:r>
          </w:p>
          <w:p w14:paraId="64D0336D"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2.5%</w:t>
            </w:r>
          </w:p>
          <w:p w14:paraId="2251D383"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55.3%</w:t>
            </w:r>
          </w:p>
        </w:tc>
        <w:tc>
          <w:tcPr>
            <w:tcW w:w="1788" w:type="dxa"/>
          </w:tcPr>
          <w:p w14:paraId="382C062F" w14:textId="77777777" w:rsidR="00A838E8" w:rsidRPr="00A838E8" w:rsidRDefault="00A838E8" w:rsidP="00A838E8">
            <w:pPr>
              <w:contextualSpacing/>
              <w:jc w:val="right"/>
              <w:rPr>
                <w:rFonts w:asciiTheme="minorHAnsi" w:hAnsiTheme="minorHAnsi" w:cstheme="minorHAnsi"/>
                <w:color w:val="000000" w:themeColor="text1"/>
                <w:sz w:val="22"/>
                <w:szCs w:val="22"/>
              </w:rPr>
            </w:pPr>
          </w:p>
          <w:p w14:paraId="0BF5F864"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8.7%</w:t>
            </w:r>
          </w:p>
          <w:p w14:paraId="7646DA75"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9.3%</w:t>
            </w:r>
          </w:p>
          <w:p w14:paraId="1737BB4F"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8.1%</w:t>
            </w:r>
          </w:p>
          <w:p w14:paraId="50198277"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6.9%</w:t>
            </w:r>
          </w:p>
          <w:p w14:paraId="7DAEF4FB"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5.1%</w:t>
            </w:r>
          </w:p>
          <w:p w14:paraId="3BF934A6"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3.9%</w:t>
            </w:r>
          </w:p>
          <w:p w14:paraId="62659AB2"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2.0%</w:t>
            </w:r>
          </w:p>
          <w:p w14:paraId="6EEC890F"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1.7%</w:t>
            </w:r>
          </w:p>
          <w:p w14:paraId="035301F5"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1.7%</w:t>
            </w:r>
          </w:p>
          <w:p w14:paraId="227ED113"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1.7%</w:t>
            </w:r>
          </w:p>
          <w:p w14:paraId="76277ACD"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639F0474" w14:textId="77777777" w:rsidR="00A838E8" w:rsidRPr="00A838E8" w:rsidRDefault="00A838E8" w:rsidP="00A838E8">
            <w:pPr>
              <w:contextualSpacing/>
              <w:jc w:val="right"/>
              <w:rPr>
                <w:rFonts w:asciiTheme="minorHAnsi" w:hAnsiTheme="minorHAnsi" w:cstheme="minorHAnsi"/>
                <w:color w:val="000000" w:themeColor="text1"/>
                <w:sz w:val="22"/>
                <w:szCs w:val="22"/>
              </w:rPr>
            </w:pPr>
          </w:p>
          <w:p w14:paraId="667ACB40"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0FD452C9"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5F789826"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3071CD50"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18DE31EF"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50.9%</w:t>
            </w:r>
          </w:p>
        </w:tc>
      </w:tr>
      <w:tr w:rsidR="00A838E8" w:rsidRPr="0062487B" w14:paraId="3BAD062A" w14:textId="77777777" w:rsidTr="00A838E8">
        <w:tc>
          <w:tcPr>
            <w:tcW w:w="2769" w:type="dxa"/>
          </w:tcPr>
          <w:p w14:paraId="4FB25FFB" w14:textId="77777777" w:rsidR="00A838E8" w:rsidRPr="00A838E8" w:rsidRDefault="00A838E8" w:rsidP="00A838E8">
            <w:pPr>
              <w:contextualSpacing/>
              <w:rPr>
                <w:rFonts w:asciiTheme="minorHAnsi" w:eastAsia="Calibri" w:hAnsiTheme="minorHAnsi" w:cstheme="minorHAnsi"/>
                <w:bCs/>
                <w:sz w:val="22"/>
                <w:szCs w:val="22"/>
              </w:rPr>
            </w:pPr>
            <w:r w:rsidRPr="00A838E8">
              <w:rPr>
                <w:rFonts w:asciiTheme="minorHAnsi" w:eastAsia="Calibri" w:hAnsiTheme="minorHAnsi" w:cstheme="minorHAnsi"/>
                <w:b/>
                <w:sz w:val="22"/>
                <w:szCs w:val="22"/>
              </w:rPr>
              <w:t>Payer Mix</w:t>
            </w:r>
          </w:p>
          <w:p w14:paraId="0918F202" w14:textId="77777777" w:rsidR="00A838E8" w:rsidRPr="00A838E8" w:rsidRDefault="00A838E8" w:rsidP="00A838E8">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Commercial**</w:t>
            </w:r>
          </w:p>
          <w:p w14:paraId="1D08F7B1" w14:textId="77777777" w:rsidR="00A838E8" w:rsidRPr="00A838E8" w:rsidRDefault="00A838E8" w:rsidP="00A838E8">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Medicaid^</w:t>
            </w:r>
          </w:p>
          <w:p w14:paraId="7C130748" w14:textId="77777777" w:rsidR="00A838E8" w:rsidRPr="00A838E8" w:rsidRDefault="00A838E8" w:rsidP="00A838E8">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Managed Medicaid</w:t>
            </w:r>
          </w:p>
          <w:p w14:paraId="010B4807" w14:textId="77777777" w:rsidR="00A838E8" w:rsidRPr="00A838E8" w:rsidRDefault="00A838E8" w:rsidP="00A838E8">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Commercial Medicare</w:t>
            </w:r>
          </w:p>
          <w:p w14:paraId="28D6D331" w14:textId="77777777" w:rsidR="00A838E8" w:rsidRPr="00A838E8" w:rsidRDefault="00A838E8" w:rsidP="00A838E8">
            <w:pPr>
              <w:ind w:left="720" w:hanging="557"/>
              <w:contextualSpacing/>
              <w:rPr>
                <w:rFonts w:asciiTheme="minorHAnsi" w:eastAsia="Calibri" w:hAnsiTheme="minorHAnsi" w:cstheme="minorHAnsi"/>
                <w:bCs/>
                <w:sz w:val="22"/>
                <w:szCs w:val="22"/>
              </w:rPr>
            </w:pPr>
            <w:r w:rsidRPr="00A838E8">
              <w:rPr>
                <w:rFonts w:asciiTheme="minorHAnsi" w:eastAsia="Calibri" w:hAnsiTheme="minorHAnsi" w:cstheme="minorHAnsi"/>
                <w:bCs/>
                <w:sz w:val="22"/>
                <w:szCs w:val="22"/>
              </w:rPr>
              <w:t>Medicare FFS</w:t>
            </w:r>
          </w:p>
          <w:p w14:paraId="5470BD71" w14:textId="77777777" w:rsidR="00A838E8" w:rsidRPr="00A838E8" w:rsidRDefault="00A838E8" w:rsidP="00A838E8">
            <w:pPr>
              <w:ind w:left="720" w:hanging="557"/>
              <w:contextualSpacing/>
              <w:rPr>
                <w:rFonts w:asciiTheme="minorHAnsi" w:hAnsiTheme="minorHAnsi" w:cstheme="minorHAnsi"/>
                <w:bCs/>
                <w:color w:val="2F5897" w:themeColor="text2"/>
                <w:sz w:val="22"/>
                <w:szCs w:val="22"/>
              </w:rPr>
            </w:pPr>
            <w:r w:rsidRPr="00A838E8">
              <w:rPr>
                <w:rFonts w:asciiTheme="minorHAnsi" w:eastAsia="Calibri" w:hAnsiTheme="minorHAnsi" w:cstheme="minorHAnsi"/>
                <w:bCs/>
                <w:sz w:val="22"/>
                <w:szCs w:val="22"/>
              </w:rPr>
              <w:t>All Other</w:t>
            </w:r>
            <w:r w:rsidRPr="00A838E8">
              <w:rPr>
                <w:rFonts w:asciiTheme="minorHAnsi" w:hAnsiTheme="minorHAnsi" w:cstheme="minorHAnsi"/>
                <w:sz w:val="22"/>
                <w:szCs w:val="22"/>
                <w:vertAlign w:val="superscript"/>
              </w:rPr>
              <w:t>‡</w:t>
            </w:r>
          </w:p>
        </w:tc>
        <w:tc>
          <w:tcPr>
            <w:tcW w:w="1812" w:type="dxa"/>
          </w:tcPr>
          <w:p w14:paraId="042077B3" w14:textId="77777777" w:rsidR="00A838E8" w:rsidRPr="00A838E8" w:rsidRDefault="00A838E8" w:rsidP="00A838E8">
            <w:pPr>
              <w:contextualSpacing/>
              <w:jc w:val="right"/>
              <w:rPr>
                <w:rFonts w:asciiTheme="minorHAnsi" w:hAnsiTheme="minorHAnsi" w:cstheme="minorHAnsi"/>
                <w:color w:val="000000" w:themeColor="text1"/>
                <w:sz w:val="22"/>
                <w:szCs w:val="22"/>
              </w:rPr>
            </w:pPr>
          </w:p>
          <w:p w14:paraId="6C9CCF83"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29.3%</w:t>
            </w:r>
          </w:p>
          <w:p w14:paraId="56D1CB5A"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11.5%</w:t>
            </w:r>
          </w:p>
          <w:p w14:paraId="497311CA"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5.6%</w:t>
            </w:r>
          </w:p>
          <w:p w14:paraId="5E7E40E8"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11.0%</w:t>
            </w:r>
          </w:p>
          <w:p w14:paraId="2C8CEBE9"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40.0%</w:t>
            </w:r>
          </w:p>
          <w:p w14:paraId="35430523"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2.6%</w:t>
            </w:r>
          </w:p>
        </w:tc>
        <w:tc>
          <w:tcPr>
            <w:tcW w:w="1858" w:type="dxa"/>
          </w:tcPr>
          <w:p w14:paraId="6728F218" w14:textId="77777777" w:rsidR="00A838E8" w:rsidRPr="00A838E8" w:rsidRDefault="00A838E8" w:rsidP="00A838E8">
            <w:pPr>
              <w:contextualSpacing/>
              <w:jc w:val="right"/>
              <w:rPr>
                <w:rFonts w:asciiTheme="minorHAnsi" w:hAnsiTheme="minorHAnsi" w:cstheme="minorHAnsi"/>
                <w:color w:val="000000" w:themeColor="text1"/>
                <w:sz w:val="22"/>
                <w:szCs w:val="22"/>
              </w:rPr>
            </w:pPr>
          </w:p>
          <w:p w14:paraId="28DC6F84"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35.0%</w:t>
            </w:r>
          </w:p>
          <w:p w14:paraId="2BAEEAE7"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8.5%</w:t>
            </w:r>
          </w:p>
          <w:p w14:paraId="7076727C"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1.2%</w:t>
            </w:r>
          </w:p>
          <w:p w14:paraId="0B1305B2"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8.0%</w:t>
            </w:r>
          </w:p>
          <w:p w14:paraId="73CE40DF"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43.7%</w:t>
            </w:r>
          </w:p>
          <w:p w14:paraId="4A9BA897"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3.6%</w:t>
            </w:r>
          </w:p>
        </w:tc>
        <w:tc>
          <w:tcPr>
            <w:tcW w:w="1843" w:type="dxa"/>
          </w:tcPr>
          <w:p w14:paraId="509F932E" w14:textId="77777777" w:rsidR="00A838E8" w:rsidRPr="00A838E8" w:rsidRDefault="00A838E8" w:rsidP="00A838E8">
            <w:pPr>
              <w:contextualSpacing/>
              <w:jc w:val="right"/>
              <w:rPr>
                <w:rFonts w:asciiTheme="minorHAnsi" w:hAnsiTheme="minorHAnsi" w:cstheme="minorHAnsi"/>
                <w:color w:val="000000" w:themeColor="text1"/>
                <w:sz w:val="22"/>
                <w:szCs w:val="22"/>
              </w:rPr>
            </w:pPr>
          </w:p>
          <w:p w14:paraId="14DE1BE3"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56.5%</w:t>
            </w:r>
          </w:p>
          <w:p w14:paraId="27E09494"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6.6%</w:t>
            </w:r>
          </w:p>
          <w:p w14:paraId="6DB0C5AF"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0.7%</w:t>
            </w:r>
          </w:p>
          <w:p w14:paraId="319CB533"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6.0%</w:t>
            </w:r>
          </w:p>
          <w:p w14:paraId="63E02B49"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29.4%</w:t>
            </w:r>
          </w:p>
          <w:p w14:paraId="29E96D7B"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0.7%</w:t>
            </w:r>
          </w:p>
        </w:tc>
        <w:tc>
          <w:tcPr>
            <w:tcW w:w="1788" w:type="dxa"/>
          </w:tcPr>
          <w:p w14:paraId="7B19D8FA" w14:textId="77777777" w:rsidR="00A838E8" w:rsidRPr="00A838E8" w:rsidRDefault="00A838E8" w:rsidP="00A838E8">
            <w:pPr>
              <w:contextualSpacing/>
              <w:jc w:val="right"/>
              <w:rPr>
                <w:rFonts w:asciiTheme="minorHAnsi" w:hAnsiTheme="minorHAnsi" w:cstheme="minorHAnsi"/>
                <w:color w:val="000000" w:themeColor="text1"/>
                <w:sz w:val="22"/>
                <w:szCs w:val="22"/>
              </w:rPr>
            </w:pPr>
          </w:p>
          <w:p w14:paraId="29A5F219"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57.4%</w:t>
            </w:r>
          </w:p>
          <w:p w14:paraId="5E45658C"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10.2%</w:t>
            </w:r>
            <w:r w:rsidRPr="00A838E8">
              <w:rPr>
                <w:rFonts w:asciiTheme="minorHAnsi" w:hAnsiTheme="minorHAnsi" w:cstheme="minorHAnsi"/>
                <w:sz w:val="22"/>
                <w:szCs w:val="22"/>
                <w:vertAlign w:val="superscript"/>
              </w:rPr>
              <w:t>†</w:t>
            </w:r>
          </w:p>
          <w:p w14:paraId="27559C1B"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1A526F09"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29.9%</w:t>
            </w:r>
            <w:r w:rsidRPr="00A838E8">
              <w:rPr>
                <w:rFonts w:asciiTheme="minorHAnsi" w:eastAsia="Calibri" w:hAnsiTheme="minorHAnsi" w:cstheme="minorHAnsi"/>
                <w:bCs/>
                <w:sz w:val="22"/>
                <w:szCs w:val="22"/>
                <w:vertAlign w:val="superscript"/>
              </w:rPr>
              <w:t>#</w:t>
            </w:r>
          </w:p>
          <w:p w14:paraId="677A5AB9"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w:t>
            </w:r>
          </w:p>
          <w:p w14:paraId="5BF75CB9" w14:textId="77777777" w:rsidR="00A838E8" w:rsidRPr="00A838E8" w:rsidRDefault="00A838E8" w:rsidP="00A838E8">
            <w:pPr>
              <w:contextualSpacing/>
              <w:jc w:val="right"/>
              <w:rPr>
                <w:rFonts w:asciiTheme="minorHAnsi" w:hAnsiTheme="minorHAnsi" w:cstheme="minorHAnsi"/>
                <w:color w:val="000000" w:themeColor="text1"/>
                <w:sz w:val="22"/>
                <w:szCs w:val="22"/>
              </w:rPr>
            </w:pPr>
            <w:r w:rsidRPr="00A838E8">
              <w:rPr>
                <w:rFonts w:asciiTheme="minorHAnsi" w:hAnsiTheme="minorHAnsi" w:cstheme="minorHAnsi"/>
                <w:color w:val="000000" w:themeColor="text1"/>
                <w:sz w:val="22"/>
                <w:szCs w:val="22"/>
              </w:rPr>
              <w:t>2.6%</w:t>
            </w:r>
          </w:p>
        </w:tc>
      </w:tr>
    </w:tbl>
    <w:p w14:paraId="16EE9F6A" w14:textId="77777777" w:rsidR="00A838E8" w:rsidRDefault="00A838E8" w:rsidP="00240856">
      <w:pPr>
        <w:contextualSpacing/>
        <w:rPr>
          <w:rFonts w:asciiTheme="minorHAnsi" w:hAnsiTheme="minorHAnsi" w:cstheme="minorHAnsi"/>
          <w:color w:val="000000" w:themeColor="text1"/>
          <w:sz w:val="18"/>
          <w:szCs w:val="18"/>
        </w:rPr>
      </w:pPr>
    </w:p>
    <w:p w14:paraId="4696D76A" w14:textId="59A12AAA" w:rsidR="00240856" w:rsidRPr="0062487B" w:rsidRDefault="00240856" w:rsidP="00240856">
      <w:pPr>
        <w:contextualSpacing/>
        <w:rPr>
          <w:rFonts w:asciiTheme="minorHAnsi" w:hAnsiTheme="minorHAnsi" w:cstheme="minorHAnsi"/>
          <w:color w:val="000000" w:themeColor="text1"/>
          <w:sz w:val="18"/>
          <w:szCs w:val="18"/>
        </w:rPr>
      </w:pPr>
      <w:r w:rsidRPr="0062487B">
        <w:rPr>
          <w:rFonts w:asciiTheme="minorHAnsi" w:hAnsiTheme="minorHAnsi" w:cstheme="minorHAnsi"/>
          <w:color w:val="000000" w:themeColor="text1"/>
          <w:sz w:val="18"/>
          <w:szCs w:val="18"/>
        </w:rPr>
        <w:t>*Categorized accordingly</w:t>
      </w:r>
      <w:r w:rsidR="00E203DD" w:rsidRPr="0062487B">
        <w:rPr>
          <w:rFonts w:asciiTheme="minorHAnsi" w:hAnsiTheme="minorHAnsi" w:cstheme="minorHAnsi"/>
          <w:color w:val="000000" w:themeColor="text1"/>
          <w:sz w:val="18"/>
          <w:szCs w:val="18"/>
        </w:rPr>
        <w:t xml:space="preserve"> to maintain the</w:t>
      </w:r>
      <w:r w:rsidRPr="0062487B">
        <w:rPr>
          <w:rFonts w:asciiTheme="minorHAnsi" w:hAnsiTheme="minorHAnsi" w:cstheme="minorHAnsi"/>
          <w:color w:val="000000" w:themeColor="text1"/>
          <w:sz w:val="18"/>
          <w:szCs w:val="18"/>
        </w:rPr>
        <w:t xml:space="preserve"> confidentiality</w:t>
      </w:r>
      <w:r w:rsidR="00E203DD" w:rsidRPr="0062487B">
        <w:rPr>
          <w:rFonts w:asciiTheme="minorHAnsi" w:hAnsiTheme="minorHAnsi" w:cstheme="minorHAnsi"/>
          <w:color w:val="000000" w:themeColor="text1"/>
          <w:sz w:val="18"/>
          <w:szCs w:val="18"/>
        </w:rPr>
        <w:t xml:space="preserve"> of patient identities. </w:t>
      </w:r>
    </w:p>
    <w:p w14:paraId="5A30079D" w14:textId="3F4F6A68" w:rsidR="00BA2EE8" w:rsidRPr="0062487B" w:rsidRDefault="00BA2EE8" w:rsidP="00BA2EE8">
      <w:pPr>
        <w:contextualSpacing/>
        <w:rPr>
          <w:rFonts w:asciiTheme="minorHAnsi" w:hAnsiTheme="minorHAnsi" w:cstheme="minorHAnsi"/>
          <w:color w:val="000000" w:themeColor="text1"/>
          <w:sz w:val="18"/>
          <w:szCs w:val="18"/>
        </w:rPr>
      </w:pPr>
      <w:r w:rsidRPr="0062487B">
        <w:rPr>
          <w:rFonts w:asciiTheme="minorHAnsi" w:hAnsiTheme="minorHAnsi" w:cstheme="minorHAnsi"/>
          <w:color w:val="000000" w:themeColor="text1"/>
          <w:sz w:val="18"/>
          <w:szCs w:val="18"/>
        </w:rPr>
        <w:t xml:space="preserve">** Commercial includes: </w:t>
      </w:r>
      <w:proofErr w:type="spellStart"/>
      <w:r w:rsidRPr="0062487B">
        <w:rPr>
          <w:rFonts w:asciiTheme="minorHAnsi" w:hAnsiTheme="minorHAnsi" w:cstheme="minorHAnsi"/>
          <w:color w:val="000000" w:themeColor="text1"/>
          <w:sz w:val="18"/>
          <w:szCs w:val="18"/>
        </w:rPr>
        <w:t>Allways</w:t>
      </w:r>
      <w:proofErr w:type="spellEnd"/>
      <w:r w:rsidRPr="0062487B">
        <w:rPr>
          <w:rFonts w:asciiTheme="minorHAnsi" w:hAnsiTheme="minorHAnsi" w:cstheme="minorHAnsi"/>
          <w:color w:val="000000" w:themeColor="text1"/>
          <w:sz w:val="18"/>
          <w:szCs w:val="18"/>
        </w:rPr>
        <w:t xml:space="preserve"> Health Partners Commercial, Blue Cross Blue Shield, Commercial National Carriers, Commercial Other, Connector Care Plans, Harvard Pilgrim Health Plan, Tufts Health Plan</w:t>
      </w:r>
      <w:r w:rsidR="00E203DD" w:rsidRPr="0062487B">
        <w:rPr>
          <w:rFonts w:asciiTheme="minorHAnsi" w:hAnsiTheme="minorHAnsi" w:cstheme="minorHAnsi"/>
          <w:color w:val="000000" w:themeColor="text1"/>
          <w:sz w:val="18"/>
          <w:szCs w:val="18"/>
        </w:rPr>
        <w:t>.</w:t>
      </w:r>
    </w:p>
    <w:p w14:paraId="4215D1BE" w14:textId="4AE399F0" w:rsidR="00AE43B6" w:rsidRPr="00A838E8" w:rsidRDefault="00084668" w:rsidP="00CC34A1">
      <w:pPr>
        <w:rPr>
          <w:rFonts w:asciiTheme="minorHAnsi" w:hAnsiTheme="minorHAnsi" w:cstheme="minorHAnsi"/>
          <w:sz w:val="18"/>
          <w:szCs w:val="18"/>
        </w:rPr>
      </w:pPr>
      <w:r w:rsidRPr="00A838E8">
        <w:rPr>
          <w:rFonts w:asciiTheme="minorHAnsi" w:hAnsiTheme="minorHAnsi" w:cstheme="minorHAnsi"/>
          <w:sz w:val="18"/>
          <w:szCs w:val="18"/>
        </w:rPr>
        <w:t>^BWFH is not able to easily isolate MassHealth at project-specific level as it falls under various payers; to offer complete payer mix for the patient panel associated with the medical/surgical inpatient bed component, ‘Medicaid’ provided as an alternative payer mix category.</w:t>
      </w:r>
    </w:p>
    <w:p w14:paraId="189556BE" w14:textId="64B1E974" w:rsidR="00084668" w:rsidRPr="00A838E8" w:rsidRDefault="001D34D1" w:rsidP="00084668">
      <w:pPr>
        <w:rPr>
          <w:rFonts w:asciiTheme="minorHAnsi" w:hAnsiTheme="minorHAnsi" w:cstheme="minorHAnsi"/>
          <w:sz w:val="18"/>
          <w:szCs w:val="18"/>
        </w:rPr>
      </w:pPr>
      <w:r w:rsidRPr="00A838E8">
        <w:rPr>
          <w:rFonts w:asciiTheme="minorHAnsi" w:hAnsiTheme="minorHAnsi" w:cstheme="minorHAnsi"/>
          <w:sz w:val="18"/>
          <w:szCs w:val="18"/>
        </w:rPr>
        <w:t>‡</w:t>
      </w:r>
      <w:r w:rsidR="00084668" w:rsidRPr="00A838E8">
        <w:rPr>
          <w:rFonts w:asciiTheme="minorHAnsi" w:hAnsiTheme="minorHAnsi" w:cstheme="minorHAnsi"/>
          <w:sz w:val="18"/>
          <w:szCs w:val="18"/>
        </w:rPr>
        <w:t xml:space="preserve">All Other </w:t>
      </w:r>
      <w:proofErr w:type="gramStart"/>
      <w:r w:rsidR="00084668" w:rsidRPr="00A838E8">
        <w:rPr>
          <w:rFonts w:asciiTheme="minorHAnsi" w:hAnsiTheme="minorHAnsi" w:cstheme="minorHAnsi"/>
          <w:sz w:val="18"/>
          <w:szCs w:val="18"/>
        </w:rPr>
        <w:t>includes:</w:t>
      </w:r>
      <w:proofErr w:type="gramEnd"/>
      <w:r w:rsidR="00084668" w:rsidRPr="00A838E8">
        <w:rPr>
          <w:rFonts w:asciiTheme="minorHAnsi" w:hAnsiTheme="minorHAnsi" w:cstheme="minorHAnsi"/>
          <w:sz w:val="18"/>
          <w:szCs w:val="18"/>
        </w:rPr>
        <w:t xml:space="preserve"> Free Care, Government Other, International, Other Payer, Qualified Health Plans, Self-Pay, Unknown Summary Payer, Workers Comp</w:t>
      </w:r>
      <w:r w:rsidR="00E203DD" w:rsidRPr="00A838E8">
        <w:rPr>
          <w:rFonts w:asciiTheme="minorHAnsi" w:hAnsiTheme="minorHAnsi" w:cstheme="minorHAnsi"/>
          <w:sz w:val="18"/>
          <w:szCs w:val="18"/>
        </w:rPr>
        <w:t>.</w:t>
      </w:r>
    </w:p>
    <w:p w14:paraId="0F3D336E" w14:textId="1855E088" w:rsidR="001D34D1" w:rsidRPr="00A838E8" w:rsidRDefault="0FCE88A4" w:rsidP="00084668">
      <w:pPr>
        <w:rPr>
          <w:rFonts w:asciiTheme="minorHAnsi" w:hAnsiTheme="minorHAnsi" w:cstheme="minorHAnsi"/>
          <w:sz w:val="18"/>
          <w:szCs w:val="18"/>
        </w:rPr>
      </w:pPr>
      <w:r w:rsidRPr="00A838E8">
        <w:rPr>
          <w:rFonts w:asciiTheme="minorHAnsi" w:hAnsiTheme="minorHAnsi" w:cstheme="minorHAnsi"/>
          <w:sz w:val="18"/>
          <w:szCs w:val="18"/>
        </w:rPr>
        <w:t>†Medicaid includes both Medicaid and Managed Medicaid</w:t>
      </w:r>
      <w:r w:rsidR="5685ADF9" w:rsidRPr="00A838E8">
        <w:rPr>
          <w:rFonts w:asciiTheme="minorHAnsi" w:hAnsiTheme="minorHAnsi" w:cstheme="minorHAnsi"/>
          <w:sz w:val="18"/>
          <w:szCs w:val="18"/>
        </w:rPr>
        <w:t>.</w:t>
      </w:r>
    </w:p>
    <w:p w14:paraId="79DD2465" w14:textId="2AB94A17" w:rsidR="00CC34A1" w:rsidRPr="0062487B" w:rsidRDefault="00084668" w:rsidP="00CC34A1">
      <w:pPr>
        <w:rPr>
          <w:rFonts w:asciiTheme="minorHAnsi" w:eastAsia="Calibri" w:hAnsiTheme="minorHAnsi" w:cstheme="minorHAnsi"/>
          <w:sz w:val="18"/>
          <w:szCs w:val="18"/>
        </w:rPr>
      </w:pPr>
      <w:r w:rsidRPr="00A838E8">
        <w:rPr>
          <w:rFonts w:asciiTheme="minorHAnsi" w:hAnsiTheme="minorHAnsi" w:cstheme="minorHAnsi"/>
          <w:sz w:val="18"/>
          <w:szCs w:val="18"/>
        </w:rPr>
        <w:t>#</w:t>
      </w:r>
      <w:r w:rsidR="004A6FBD" w:rsidRPr="00A838E8">
        <w:rPr>
          <w:rFonts w:asciiTheme="minorHAnsi" w:hAnsiTheme="minorHAnsi" w:cstheme="minorHAnsi"/>
          <w:sz w:val="18"/>
          <w:szCs w:val="18"/>
        </w:rPr>
        <w:t>Medicare includes both Commercial Medicare and Medicare FFS</w:t>
      </w:r>
    </w:p>
    <w:p w14:paraId="1E5EE46D" w14:textId="77777777" w:rsidR="00086BA5" w:rsidRPr="0062487B" w:rsidRDefault="00086BA5" w:rsidP="003964D0">
      <w:pPr>
        <w:pStyle w:val="Heading1"/>
        <w:spacing w:before="0" w:line="240" w:lineRule="auto"/>
        <w:rPr>
          <w:rFonts w:asciiTheme="minorHAnsi" w:eastAsia="Calibri" w:hAnsiTheme="minorHAnsi" w:cstheme="minorHAnsi"/>
          <w:sz w:val="24"/>
          <w:szCs w:val="24"/>
        </w:rPr>
      </w:pPr>
    </w:p>
    <w:p w14:paraId="71952509" w14:textId="4C855949" w:rsidR="00AC68E5" w:rsidRPr="0062487B" w:rsidRDefault="6747B6F1" w:rsidP="17FA2F59">
      <w:pPr>
        <w:pStyle w:val="Heading1"/>
        <w:spacing w:before="0" w:line="240" w:lineRule="auto"/>
        <w:rPr>
          <w:rFonts w:asciiTheme="minorHAnsi" w:eastAsia="Calibri" w:hAnsiTheme="minorHAnsi" w:cstheme="minorBidi"/>
          <w:color w:val="auto"/>
          <w:sz w:val="24"/>
          <w:szCs w:val="24"/>
        </w:rPr>
      </w:pPr>
      <w:bookmarkStart w:id="26" w:name="_Toc99645433"/>
      <w:r w:rsidRPr="17FA2F59">
        <w:rPr>
          <w:rFonts w:asciiTheme="minorHAnsi" w:eastAsia="Calibri" w:hAnsiTheme="minorHAnsi" w:cstheme="minorBidi"/>
          <w:color w:val="auto"/>
          <w:sz w:val="24"/>
          <w:szCs w:val="24"/>
        </w:rPr>
        <w:t>Factor 1</w:t>
      </w:r>
      <w:r w:rsidR="63EA96E8" w:rsidRPr="17FA2F59">
        <w:rPr>
          <w:rFonts w:asciiTheme="minorHAnsi" w:eastAsia="Calibri" w:hAnsiTheme="minorHAnsi" w:cstheme="minorBidi"/>
          <w:color w:val="auto"/>
          <w:sz w:val="24"/>
          <w:szCs w:val="24"/>
        </w:rPr>
        <w:t>a</w:t>
      </w:r>
      <w:r w:rsidRPr="17FA2F59">
        <w:rPr>
          <w:rFonts w:asciiTheme="minorHAnsi" w:eastAsia="Calibri" w:hAnsiTheme="minorHAnsi" w:cstheme="minorBidi"/>
          <w:color w:val="auto"/>
          <w:sz w:val="24"/>
          <w:szCs w:val="24"/>
        </w:rPr>
        <w:t>: Patient Panel Need</w:t>
      </w:r>
      <w:bookmarkEnd w:id="23"/>
      <w:bookmarkEnd w:id="24"/>
      <w:bookmarkEnd w:id="26"/>
    </w:p>
    <w:p w14:paraId="42F09D55" w14:textId="213EE2F0" w:rsidR="0015248F" w:rsidRPr="0062487B" w:rsidRDefault="00AC68E5" w:rsidP="007A57C4">
      <w:pPr>
        <w:contextualSpacing/>
        <w:rPr>
          <w:rFonts w:asciiTheme="minorHAnsi" w:eastAsia="Calibri" w:hAnsiTheme="minorHAnsi" w:cstheme="minorHAnsi"/>
          <w:b/>
          <w:u w:val="single"/>
        </w:rPr>
      </w:pPr>
      <w:r w:rsidRPr="0062487B">
        <w:rPr>
          <w:rFonts w:asciiTheme="minorHAnsi" w:eastAsia="Calibri" w:hAnsiTheme="minorHAnsi" w:cstheme="minorHAnsi"/>
        </w:rPr>
        <w:t xml:space="preserve">In this section, we assess if the Applicant has sufficiently </w:t>
      </w:r>
      <w:r w:rsidR="00DB65F2" w:rsidRPr="0062487B">
        <w:rPr>
          <w:rFonts w:asciiTheme="minorHAnsi" w:eastAsia="Calibri" w:hAnsiTheme="minorHAnsi" w:cstheme="minorHAnsi"/>
        </w:rPr>
        <w:t xml:space="preserve">demonstrated need </w:t>
      </w:r>
      <w:r w:rsidRPr="0062487B">
        <w:rPr>
          <w:rFonts w:asciiTheme="minorHAnsi" w:eastAsia="Calibri" w:hAnsiTheme="minorHAnsi" w:cstheme="minorHAnsi"/>
        </w:rPr>
        <w:t xml:space="preserve">for </w:t>
      </w:r>
      <w:r w:rsidR="007C63E7" w:rsidRPr="0062487B">
        <w:rPr>
          <w:rFonts w:asciiTheme="minorHAnsi" w:eastAsia="Calibri" w:hAnsiTheme="minorHAnsi" w:cstheme="minorHAnsi"/>
        </w:rPr>
        <w:t xml:space="preserve">the </w:t>
      </w:r>
      <w:r w:rsidR="0096329C" w:rsidRPr="0062487B">
        <w:rPr>
          <w:rFonts w:asciiTheme="minorHAnsi" w:eastAsia="Calibri" w:hAnsiTheme="minorHAnsi" w:cstheme="minorHAnsi"/>
        </w:rPr>
        <w:t>Proposed Project</w:t>
      </w:r>
      <w:r w:rsidR="008651FB" w:rsidRPr="0062487B">
        <w:rPr>
          <w:rFonts w:asciiTheme="minorHAnsi" w:eastAsia="Calibri" w:hAnsiTheme="minorHAnsi" w:cstheme="minorHAnsi"/>
        </w:rPr>
        <w:t xml:space="preserve"> components</w:t>
      </w:r>
      <w:r w:rsidR="00DB65F2" w:rsidRPr="0062487B">
        <w:rPr>
          <w:rFonts w:asciiTheme="minorHAnsi" w:eastAsia="Calibri" w:hAnsiTheme="minorHAnsi" w:cstheme="minorHAnsi"/>
        </w:rPr>
        <w:t xml:space="preserve"> by the Applicant’s Patient Panel</w:t>
      </w:r>
      <w:r w:rsidR="007C63E7" w:rsidRPr="0062487B">
        <w:rPr>
          <w:rFonts w:asciiTheme="minorHAnsi" w:eastAsia="Calibri" w:hAnsiTheme="minorHAnsi" w:cstheme="minorHAnsi"/>
        </w:rPr>
        <w:t xml:space="preserve">. </w:t>
      </w:r>
    </w:p>
    <w:p w14:paraId="4A47274F" w14:textId="77777777" w:rsidR="005A0551" w:rsidRPr="0062487B" w:rsidRDefault="005A0551" w:rsidP="007A57C4">
      <w:pPr>
        <w:contextualSpacing/>
        <w:rPr>
          <w:rFonts w:asciiTheme="minorHAnsi" w:eastAsia="Calibri" w:hAnsiTheme="minorHAnsi" w:cstheme="minorHAnsi"/>
          <w:bCs/>
        </w:rPr>
      </w:pPr>
    </w:p>
    <w:p w14:paraId="40E0E259" w14:textId="1867341E" w:rsidR="00425E83" w:rsidRPr="0062487B" w:rsidRDefault="00425E83" w:rsidP="007A57C4">
      <w:pPr>
        <w:contextualSpacing/>
        <w:rPr>
          <w:rFonts w:asciiTheme="minorHAnsi" w:eastAsia="Calibri" w:hAnsiTheme="minorHAnsi" w:cstheme="minorHAnsi"/>
          <w:bCs/>
        </w:rPr>
      </w:pPr>
      <w:r w:rsidRPr="0062487B">
        <w:rPr>
          <w:rFonts w:asciiTheme="minorHAnsi" w:eastAsia="Calibri" w:hAnsiTheme="minorHAnsi" w:cstheme="minorHAnsi"/>
          <w:bCs/>
        </w:rPr>
        <w:t xml:space="preserve">There are </w:t>
      </w:r>
      <w:r w:rsidR="00AD3BE3" w:rsidRPr="0062487B">
        <w:rPr>
          <w:rFonts w:asciiTheme="minorHAnsi" w:eastAsia="Calibri" w:hAnsiTheme="minorHAnsi" w:cstheme="minorHAnsi"/>
          <w:bCs/>
        </w:rPr>
        <w:t xml:space="preserve">several </w:t>
      </w:r>
      <w:r w:rsidRPr="0062487B">
        <w:rPr>
          <w:rFonts w:asciiTheme="minorHAnsi" w:eastAsia="Calibri" w:hAnsiTheme="minorHAnsi" w:cstheme="minorHAnsi"/>
          <w:bCs/>
        </w:rPr>
        <w:t xml:space="preserve">elements to this </w:t>
      </w:r>
      <w:r w:rsidR="004C72A8" w:rsidRPr="0062487B">
        <w:rPr>
          <w:rFonts w:asciiTheme="minorHAnsi" w:eastAsia="Calibri" w:hAnsiTheme="minorHAnsi" w:cstheme="minorHAnsi"/>
          <w:bCs/>
        </w:rPr>
        <w:t>application,</w:t>
      </w:r>
      <w:r w:rsidRPr="0062487B">
        <w:rPr>
          <w:rFonts w:asciiTheme="minorHAnsi" w:eastAsia="Calibri" w:hAnsiTheme="minorHAnsi" w:cstheme="minorHAnsi"/>
          <w:bCs/>
        </w:rPr>
        <w:t xml:space="preserve"> and each will be discussed separately, with analysis immediately following. </w:t>
      </w:r>
      <w:r w:rsidR="004254A5" w:rsidRPr="0062487B">
        <w:rPr>
          <w:rFonts w:asciiTheme="minorHAnsi" w:eastAsia="Calibri" w:hAnsiTheme="minorHAnsi" w:cstheme="minorHAnsi"/>
          <w:bCs/>
        </w:rPr>
        <w:t>The elements addressed in this section are</w:t>
      </w:r>
      <w:r w:rsidR="0054659C" w:rsidRPr="0062487B">
        <w:rPr>
          <w:rFonts w:asciiTheme="minorHAnsi" w:eastAsia="Calibri" w:hAnsiTheme="minorHAnsi" w:cstheme="minorHAnsi"/>
          <w:bCs/>
        </w:rPr>
        <w:t>:</w:t>
      </w:r>
    </w:p>
    <w:p w14:paraId="3CE3CA41" w14:textId="13955C5D" w:rsidR="004254A5" w:rsidRPr="0062487B" w:rsidRDefault="004254A5" w:rsidP="00EB5776">
      <w:pPr>
        <w:pStyle w:val="ListParagraph"/>
        <w:numPr>
          <w:ilvl w:val="0"/>
          <w:numId w:val="15"/>
        </w:numPr>
        <w:rPr>
          <w:rFonts w:asciiTheme="minorHAnsi" w:eastAsia="Calibri" w:hAnsiTheme="minorHAnsi" w:cstheme="minorHAnsi"/>
          <w:bCs/>
        </w:rPr>
      </w:pPr>
      <w:r w:rsidRPr="0062487B">
        <w:rPr>
          <w:rFonts w:asciiTheme="minorHAnsi" w:eastAsia="Calibri" w:hAnsiTheme="minorHAnsi" w:cstheme="minorHAnsi"/>
          <w:bCs/>
        </w:rPr>
        <w:t>Medical/Surgical Inpatient Beds</w:t>
      </w:r>
    </w:p>
    <w:p w14:paraId="64050777" w14:textId="2547D93B" w:rsidR="004254A5" w:rsidRPr="0062487B" w:rsidRDefault="004254A5" w:rsidP="00EB5776">
      <w:pPr>
        <w:pStyle w:val="ListParagraph"/>
        <w:numPr>
          <w:ilvl w:val="0"/>
          <w:numId w:val="15"/>
        </w:numPr>
        <w:rPr>
          <w:rFonts w:asciiTheme="minorHAnsi" w:eastAsia="Calibri" w:hAnsiTheme="minorHAnsi" w:cstheme="minorHAnsi"/>
          <w:bCs/>
        </w:rPr>
      </w:pPr>
      <w:r w:rsidRPr="0062487B">
        <w:rPr>
          <w:rFonts w:asciiTheme="minorHAnsi" w:eastAsia="Calibri" w:hAnsiTheme="minorHAnsi" w:cstheme="minorHAnsi"/>
          <w:bCs/>
        </w:rPr>
        <w:t>Observation Unit</w:t>
      </w:r>
    </w:p>
    <w:p w14:paraId="50657902" w14:textId="09B5040B" w:rsidR="004254A5" w:rsidRPr="0062487B" w:rsidRDefault="004254A5" w:rsidP="00EB5776">
      <w:pPr>
        <w:pStyle w:val="ListParagraph"/>
        <w:numPr>
          <w:ilvl w:val="0"/>
          <w:numId w:val="15"/>
        </w:numPr>
        <w:rPr>
          <w:rFonts w:asciiTheme="minorHAnsi" w:eastAsia="Calibri" w:hAnsiTheme="minorHAnsi" w:cstheme="minorHAnsi"/>
          <w:bCs/>
        </w:rPr>
      </w:pPr>
      <w:r w:rsidRPr="0062487B">
        <w:rPr>
          <w:rFonts w:asciiTheme="minorHAnsi" w:eastAsia="Calibri" w:hAnsiTheme="minorHAnsi" w:cstheme="minorHAnsi"/>
          <w:bCs/>
        </w:rPr>
        <w:t>Endoscopy Services</w:t>
      </w:r>
    </w:p>
    <w:p w14:paraId="0068E1A2" w14:textId="56E8798A" w:rsidR="004254A5" w:rsidRPr="0062487B" w:rsidRDefault="004254A5" w:rsidP="00EB5776">
      <w:pPr>
        <w:pStyle w:val="ListParagraph"/>
        <w:numPr>
          <w:ilvl w:val="0"/>
          <w:numId w:val="15"/>
        </w:numPr>
        <w:rPr>
          <w:rFonts w:asciiTheme="minorHAnsi" w:eastAsia="Calibri" w:hAnsiTheme="minorHAnsi" w:cstheme="minorHAnsi"/>
          <w:bCs/>
        </w:rPr>
      </w:pPr>
      <w:r w:rsidRPr="0062487B">
        <w:rPr>
          <w:rFonts w:asciiTheme="minorHAnsi" w:eastAsia="Calibri" w:hAnsiTheme="minorHAnsi" w:cstheme="minorHAnsi"/>
          <w:bCs/>
        </w:rPr>
        <w:t>3T MRI</w:t>
      </w:r>
    </w:p>
    <w:p w14:paraId="26F7D06D" w14:textId="3DCCFFEF" w:rsidR="00425E83" w:rsidRPr="0062487B" w:rsidRDefault="00425E83" w:rsidP="007A57C4">
      <w:pPr>
        <w:contextualSpacing/>
        <w:rPr>
          <w:rFonts w:asciiTheme="minorHAnsi" w:eastAsia="Calibri" w:hAnsiTheme="minorHAnsi" w:cstheme="minorHAnsi"/>
          <w:b/>
          <w:u w:val="single"/>
        </w:rPr>
      </w:pPr>
    </w:p>
    <w:p w14:paraId="6D5CAFAF" w14:textId="37888914" w:rsidR="008651FB" w:rsidRPr="0062487B" w:rsidRDefault="008651FB" w:rsidP="008651FB">
      <w:pPr>
        <w:contextualSpacing/>
        <w:rPr>
          <w:rFonts w:asciiTheme="minorHAnsi" w:hAnsiTheme="minorHAnsi" w:cstheme="minorHAnsi"/>
          <w:b/>
          <w:bCs/>
          <w:u w:val="single"/>
        </w:rPr>
      </w:pPr>
      <w:bookmarkStart w:id="27" w:name="_Toc28797402"/>
      <w:bookmarkStart w:id="28" w:name="_Toc17151180"/>
      <w:bookmarkStart w:id="29" w:name="_Toc17322392"/>
      <w:bookmarkStart w:id="30" w:name="_Toc18922408"/>
      <w:bookmarkStart w:id="31" w:name="_Toc17322387"/>
      <w:bookmarkStart w:id="32" w:name="_Toc18922403"/>
      <w:bookmarkEnd w:id="15"/>
      <w:r w:rsidRPr="0062487B">
        <w:rPr>
          <w:rFonts w:asciiTheme="minorHAnsi" w:hAnsiTheme="minorHAnsi" w:cstheme="minorHAnsi"/>
          <w:b/>
          <w:bCs/>
          <w:u w:val="single"/>
        </w:rPr>
        <w:t>Medical/Surgical Inpatient Beds</w:t>
      </w:r>
    </w:p>
    <w:p w14:paraId="59223140" w14:textId="4181C1A0" w:rsidR="009578F7" w:rsidRPr="0062487B" w:rsidRDefault="004254A5" w:rsidP="00842A11">
      <w:pPr>
        <w:rPr>
          <w:rFonts w:asciiTheme="minorHAnsi" w:hAnsiTheme="minorHAnsi" w:cstheme="minorHAnsi"/>
          <w:color w:val="000000" w:themeColor="text1"/>
        </w:rPr>
      </w:pPr>
      <w:r w:rsidRPr="0062487B">
        <w:rPr>
          <w:rFonts w:asciiTheme="minorHAnsi" w:hAnsiTheme="minorHAnsi" w:cstheme="minorHAnsi"/>
          <w:color w:val="000000" w:themeColor="text1"/>
        </w:rPr>
        <w:lastRenderedPageBreak/>
        <w:t xml:space="preserve">The new building will house </w:t>
      </w:r>
      <w:r w:rsidR="005F0940" w:rsidRPr="0062487B">
        <w:rPr>
          <w:rFonts w:asciiTheme="minorHAnsi" w:hAnsiTheme="minorHAnsi" w:cstheme="minorHAnsi"/>
          <w:color w:val="000000" w:themeColor="text1"/>
        </w:rPr>
        <w:t xml:space="preserve">78 new Medical/Surgical (M/S) inpatient </w:t>
      </w:r>
      <w:r w:rsidR="009578F7" w:rsidRPr="0062487B">
        <w:rPr>
          <w:rFonts w:asciiTheme="minorHAnsi" w:hAnsiTheme="minorHAnsi" w:cstheme="minorHAnsi"/>
          <w:color w:val="000000" w:themeColor="text1"/>
        </w:rPr>
        <w:t>beds.</w:t>
      </w:r>
      <w:r w:rsidR="005F0940" w:rsidRPr="0062487B">
        <w:rPr>
          <w:rFonts w:asciiTheme="minorHAnsi" w:hAnsiTheme="minorHAnsi" w:cstheme="minorHAnsi"/>
          <w:color w:val="000000" w:themeColor="text1"/>
        </w:rPr>
        <w:t xml:space="preserve"> </w:t>
      </w:r>
      <w:r w:rsidR="00D5312D" w:rsidRPr="0062487B">
        <w:rPr>
          <w:rFonts w:asciiTheme="minorHAnsi" w:hAnsiTheme="minorHAnsi" w:cstheme="minorHAnsi"/>
          <w:color w:val="000000" w:themeColor="text1"/>
        </w:rPr>
        <w:t xml:space="preserve">BWFH currently operates 133 licensed </w:t>
      </w:r>
      <w:r w:rsidR="00CC3117" w:rsidRPr="0062487B">
        <w:rPr>
          <w:rFonts w:asciiTheme="minorHAnsi" w:hAnsiTheme="minorHAnsi" w:cstheme="minorHAnsi"/>
          <w:color w:val="000000" w:themeColor="text1"/>
        </w:rPr>
        <w:t>M/S</w:t>
      </w:r>
      <w:r w:rsidR="00D5312D" w:rsidRPr="0062487B">
        <w:rPr>
          <w:rFonts w:asciiTheme="minorHAnsi" w:hAnsiTheme="minorHAnsi" w:cstheme="minorHAnsi"/>
          <w:color w:val="000000" w:themeColor="text1"/>
        </w:rPr>
        <w:t xml:space="preserve"> inpatient beds</w:t>
      </w:r>
      <w:r w:rsidR="000255B2">
        <w:rPr>
          <w:rFonts w:asciiTheme="minorHAnsi" w:hAnsiTheme="minorHAnsi" w:cstheme="minorHAnsi"/>
          <w:color w:val="000000" w:themeColor="text1"/>
        </w:rPr>
        <w:t>. BWFH</w:t>
      </w:r>
      <w:r w:rsidR="00D5312D" w:rsidRPr="0062487B">
        <w:rPr>
          <w:rFonts w:asciiTheme="minorHAnsi" w:hAnsiTheme="minorHAnsi" w:cstheme="minorHAnsi"/>
          <w:color w:val="000000" w:themeColor="text1"/>
        </w:rPr>
        <w:t xml:space="preserve"> </w:t>
      </w:r>
      <w:r w:rsidR="0061498B" w:rsidRPr="0062487B">
        <w:rPr>
          <w:rFonts w:asciiTheme="minorHAnsi" w:hAnsiTheme="minorHAnsi" w:cstheme="minorHAnsi"/>
          <w:color w:val="000000" w:themeColor="text1"/>
        </w:rPr>
        <w:t>has</w:t>
      </w:r>
      <w:r w:rsidR="00D5312D" w:rsidRPr="0062487B">
        <w:rPr>
          <w:rFonts w:asciiTheme="minorHAnsi" w:hAnsiTheme="minorHAnsi" w:cstheme="minorHAnsi"/>
          <w:color w:val="000000" w:themeColor="text1"/>
        </w:rPr>
        <w:t xml:space="preserve"> high </w:t>
      </w:r>
      <w:r w:rsidR="0061498B" w:rsidRPr="0062487B">
        <w:rPr>
          <w:rFonts w:asciiTheme="minorHAnsi" w:hAnsiTheme="minorHAnsi" w:cstheme="minorHAnsi"/>
          <w:color w:val="000000" w:themeColor="text1"/>
        </w:rPr>
        <w:t xml:space="preserve">occupancy </w:t>
      </w:r>
      <w:r w:rsidR="00FB7FDA" w:rsidRPr="0062487B">
        <w:rPr>
          <w:rFonts w:asciiTheme="minorHAnsi" w:hAnsiTheme="minorHAnsi" w:cstheme="minorHAnsi"/>
          <w:color w:val="000000" w:themeColor="text1"/>
        </w:rPr>
        <w:t>rates</w:t>
      </w:r>
      <w:r w:rsidR="000255B2">
        <w:rPr>
          <w:rFonts w:asciiTheme="minorHAnsi" w:hAnsiTheme="minorHAnsi" w:cstheme="minorHAnsi"/>
          <w:color w:val="000000" w:themeColor="text1"/>
        </w:rPr>
        <w:t>, with</w:t>
      </w:r>
      <w:r w:rsidR="000255B2" w:rsidRPr="000255B2">
        <w:t xml:space="preserve"> </w:t>
      </w:r>
      <w:r w:rsidR="000255B2" w:rsidRPr="000255B2">
        <w:rPr>
          <w:rFonts w:asciiTheme="minorHAnsi" w:hAnsiTheme="minorHAnsi" w:cstheme="minorHAnsi"/>
          <w:color w:val="000000" w:themeColor="text1"/>
        </w:rPr>
        <w:t xml:space="preserve">BWFH’s </w:t>
      </w:r>
      <w:r w:rsidR="000255B2">
        <w:rPr>
          <w:rFonts w:asciiTheme="minorHAnsi" w:hAnsiTheme="minorHAnsi" w:cstheme="minorHAnsi"/>
          <w:color w:val="000000" w:themeColor="text1"/>
        </w:rPr>
        <w:t>M/S</w:t>
      </w:r>
      <w:r w:rsidR="000255B2" w:rsidRPr="000255B2">
        <w:rPr>
          <w:rFonts w:asciiTheme="minorHAnsi" w:hAnsiTheme="minorHAnsi" w:cstheme="minorHAnsi"/>
          <w:color w:val="000000" w:themeColor="text1"/>
        </w:rPr>
        <w:t xml:space="preserve"> inpatient beds operat</w:t>
      </w:r>
      <w:r w:rsidR="00CE6EC6">
        <w:rPr>
          <w:rFonts w:asciiTheme="minorHAnsi" w:hAnsiTheme="minorHAnsi" w:cstheme="minorHAnsi"/>
          <w:color w:val="000000" w:themeColor="text1"/>
        </w:rPr>
        <w:t>ing</w:t>
      </w:r>
      <w:r w:rsidR="000255B2" w:rsidRPr="000255B2">
        <w:rPr>
          <w:rFonts w:asciiTheme="minorHAnsi" w:hAnsiTheme="minorHAnsi" w:cstheme="minorHAnsi"/>
          <w:color w:val="000000" w:themeColor="text1"/>
        </w:rPr>
        <w:t xml:space="preserve"> at a weekday occupancy rate of 87.2%</w:t>
      </w:r>
      <w:r w:rsidR="000255B2">
        <w:rPr>
          <w:rFonts w:asciiTheme="minorHAnsi" w:hAnsiTheme="minorHAnsi" w:cstheme="minorHAnsi"/>
          <w:color w:val="000000" w:themeColor="text1"/>
        </w:rPr>
        <w:t xml:space="preserve"> in FY19,</w:t>
      </w:r>
      <w:r w:rsidR="000255B2" w:rsidRPr="000255B2">
        <w:rPr>
          <w:rFonts w:asciiTheme="minorHAnsi" w:hAnsiTheme="minorHAnsi" w:cstheme="minorHAnsi"/>
          <w:color w:val="000000" w:themeColor="text1"/>
        </w:rPr>
        <w:t xml:space="preserve"> </w:t>
      </w:r>
      <w:r w:rsidR="00FB7FDA" w:rsidRPr="0062487B">
        <w:rPr>
          <w:rFonts w:asciiTheme="minorHAnsi" w:hAnsiTheme="minorHAnsi" w:cstheme="minorHAnsi"/>
          <w:color w:val="000000" w:themeColor="text1"/>
        </w:rPr>
        <w:t>above</w:t>
      </w:r>
      <w:r w:rsidR="00064276" w:rsidRPr="0062487B">
        <w:rPr>
          <w:rFonts w:asciiTheme="minorHAnsi" w:hAnsiTheme="minorHAnsi" w:cstheme="minorHAnsi"/>
          <w:color w:val="000000" w:themeColor="text1"/>
        </w:rPr>
        <w:t xml:space="preserve"> the industry standard of 85%</w:t>
      </w:r>
      <w:r w:rsidR="004D207D" w:rsidRPr="0062487B">
        <w:rPr>
          <w:rFonts w:asciiTheme="minorHAnsi" w:hAnsiTheme="minorHAnsi" w:cstheme="minorHAnsi"/>
          <w:color w:val="000000" w:themeColor="text1"/>
        </w:rPr>
        <w:t xml:space="preserve">. </w:t>
      </w:r>
      <w:r w:rsidR="003C4943" w:rsidRPr="0062487B">
        <w:rPr>
          <w:rFonts w:asciiTheme="minorHAnsi" w:hAnsiTheme="minorHAnsi" w:cstheme="minorHAnsi"/>
          <w:color w:val="000000" w:themeColor="text1"/>
        </w:rPr>
        <w:t>As shown in Table 5, w</w:t>
      </w:r>
      <w:r w:rsidR="004D207D" w:rsidRPr="0062487B">
        <w:rPr>
          <w:rFonts w:asciiTheme="minorHAnsi" w:hAnsiTheme="minorHAnsi" w:cstheme="minorHAnsi"/>
          <w:color w:val="000000" w:themeColor="text1"/>
        </w:rPr>
        <w:t xml:space="preserve">hile </w:t>
      </w:r>
      <w:r w:rsidR="00675253" w:rsidRPr="0062487B">
        <w:rPr>
          <w:rFonts w:asciiTheme="minorHAnsi" w:hAnsiTheme="minorHAnsi" w:cstheme="minorHAnsi"/>
          <w:color w:val="000000" w:themeColor="text1"/>
        </w:rPr>
        <w:t xml:space="preserve">unique </w:t>
      </w:r>
      <w:r w:rsidR="004D207D" w:rsidRPr="0062487B">
        <w:rPr>
          <w:rFonts w:asciiTheme="minorHAnsi" w:hAnsiTheme="minorHAnsi" w:cstheme="minorHAnsi"/>
          <w:color w:val="000000" w:themeColor="text1"/>
        </w:rPr>
        <w:t xml:space="preserve">patient numbers </w:t>
      </w:r>
      <w:r w:rsidR="00675253" w:rsidRPr="0062487B">
        <w:rPr>
          <w:rFonts w:asciiTheme="minorHAnsi" w:hAnsiTheme="minorHAnsi" w:cstheme="minorHAnsi"/>
          <w:color w:val="000000" w:themeColor="text1"/>
        </w:rPr>
        <w:t xml:space="preserve">and medical/surgical inpatient </w:t>
      </w:r>
      <w:r w:rsidR="00FB7FDA" w:rsidRPr="0062487B">
        <w:rPr>
          <w:rFonts w:asciiTheme="minorHAnsi" w:hAnsiTheme="minorHAnsi" w:cstheme="minorHAnsi"/>
          <w:color w:val="000000" w:themeColor="text1"/>
        </w:rPr>
        <w:t xml:space="preserve">data reflect a decrease </w:t>
      </w:r>
      <w:r w:rsidR="00675253" w:rsidRPr="0062487B">
        <w:rPr>
          <w:rFonts w:asciiTheme="minorHAnsi" w:hAnsiTheme="minorHAnsi" w:cstheme="minorHAnsi"/>
          <w:color w:val="000000" w:themeColor="text1"/>
        </w:rPr>
        <w:t>from FY17 to FY19</w:t>
      </w:r>
      <w:r w:rsidR="004D207D" w:rsidRPr="0062487B">
        <w:rPr>
          <w:rFonts w:asciiTheme="minorHAnsi" w:hAnsiTheme="minorHAnsi" w:cstheme="minorHAnsi"/>
          <w:color w:val="000000" w:themeColor="text1"/>
        </w:rPr>
        <w:t>, the average length of stay (ALOS) has increased</w:t>
      </w:r>
      <w:r w:rsidRPr="0062487B">
        <w:rPr>
          <w:rFonts w:asciiTheme="minorHAnsi" w:hAnsiTheme="minorHAnsi" w:cstheme="minorHAnsi"/>
          <w:color w:val="000000" w:themeColor="text1"/>
        </w:rPr>
        <w:t>, as reflected in elevated number of inpatient days</w:t>
      </w:r>
      <w:r w:rsidR="004D207D" w:rsidRPr="0062487B">
        <w:rPr>
          <w:rFonts w:asciiTheme="minorHAnsi" w:hAnsiTheme="minorHAnsi" w:cstheme="minorHAnsi"/>
          <w:color w:val="000000" w:themeColor="text1"/>
        </w:rPr>
        <w:t xml:space="preserve">. </w:t>
      </w:r>
      <w:r w:rsidR="000C0964" w:rsidRPr="0062487B">
        <w:rPr>
          <w:rFonts w:asciiTheme="minorHAnsi" w:hAnsiTheme="minorHAnsi" w:cstheme="minorHAnsi"/>
          <w:color w:val="000000" w:themeColor="text1"/>
        </w:rPr>
        <w:t xml:space="preserve">From </w:t>
      </w:r>
      <w:r w:rsidR="004D207D" w:rsidRPr="0062487B">
        <w:rPr>
          <w:rFonts w:asciiTheme="minorHAnsi" w:hAnsiTheme="minorHAnsi" w:cstheme="minorHAnsi"/>
          <w:color w:val="000000" w:themeColor="text1"/>
        </w:rPr>
        <w:t>FY17-19, BWFH’s total medical/surgical inpatient days increased by 9.1%, from 36,524 days to 39,856 days</w:t>
      </w:r>
      <w:r w:rsidR="00B64810">
        <w:rPr>
          <w:rFonts w:asciiTheme="minorHAnsi" w:hAnsiTheme="minorHAnsi" w:cstheme="minorHAnsi"/>
          <w:color w:val="000000" w:themeColor="text1"/>
        </w:rPr>
        <w:t>,</w:t>
      </w:r>
      <w:r w:rsidR="00FA5DC9" w:rsidRPr="0062487B">
        <w:rPr>
          <w:rFonts w:asciiTheme="minorHAnsi" w:hAnsiTheme="minorHAnsi" w:cstheme="minorHAnsi"/>
          <w:color w:val="000000" w:themeColor="text1"/>
        </w:rPr>
        <w:t xml:space="preserve"> </w:t>
      </w:r>
      <w:r w:rsidRPr="0062487B">
        <w:rPr>
          <w:rFonts w:asciiTheme="minorHAnsi" w:hAnsiTheme="minorHAnsi" w:cstheme="minorHAnsi"/>
          <w:color w:val="000000" w:themeColor="text1"/>
        </w:rPr>
        <w:t>with a corresponding increase in ALOS</w:t>
      </w:r>
      <w:r w:rsidR="00FA5DC9" w:rsidRPr="0062487B">
        <w:rPr>
          <w:rFonts w:asciiTheme="minorHAnsi" w:hAnsiTheme="minorHAnsi" w:cstheme="minorHAnsi"/>
          <w:color w:val="000000" w:themeColor="text1"/>
        </w:rPr>
        <w:t xml:space="preserve"> </w:t>
      </w:r>
      <w:r w:rsidR="00132344" w:rsidRPr="0062487B">
        <w:rPr>
          <w:rFonts w:asciiTheme="minorHAnsi" w:hAnsiTheme="minorHAnsi" w:cstheme="minorHAnsi"/>
          <w:color w:val="000000" w:themeColor="text1"/>
        </w:rPr>
        <w:t>from 3.03 days to 3.53 days</w:t>
      </w:r>
      <w:r w:rsidR="009578F7" w:rsidRPr="0062487B">
        <w:rPr>
          <w:rFonts w:asciiTheme="minorHAnsi" w:hAnsiTheme="minorHAnsi" w:cstheme="minorHAnsi"/>
          <w:color w:val="000000" w:themeColor="text1"/>
        </w:rPr>
        <w:t xml:space="preserve"> </w:t>
      </w:r>
      <w:r w:rsidR="00132344" w:rsidRPr="0062487B">
        <w:rPr>
          <w:rFonts w:asciiTheme="minorHAnsi" w:hAnsiTheme="minorHAnsi" w:cstheme="minorHAnsi"/>
          <w:color w:val="000000" w:themeColor="text1"/>
        </w:rPr>
        <w:t>(</w:t>
      </w:r>
      <w:r w:rsidR="00FA5DC9" w:rsidRPr="0062487B">
        <w:rPr>
          <w:rFonts w:asciiTheme="minorHAnsi" w:hAnsiTheme="minorHAnsi" w:cstheme="minorHAnsi"/>
          <w:color w:val="000000" w:themeColor="text1"/>
        </w:rPr>
        <w:t>16.5%</w:t>
      </w:r>
      <w:r w:rsidR="00132344" w:rsidRPr="0062487B">
        <w:rPr>
          <w:rFonts w:asciiTheme="minorHAnsi" w:hAnsiTheme="minorHAnsi" w:cstheme="minorHAnsi"/>
          <w:color w:val="000000" w:themeColor="text1"/>
        </w:rPr>
        <w:t>)</w:t>
      </w:r>
      <w:r w:rsidR="004D207D" w:rsidRPr="0062487B">
        <w:rPr>
          <w:rFonts w:asciiTheme="minorHAnsi" w:hAnsiTheme="minorHAnsi" w:cstheme="minorHAnsi"/>
          <w:color w:val="000000" w:themeColor="text1"/>
        </w:rPr>
        <w:t>.</w:t>
      </w:r>
      <w:r w:rsidR="00D46090" w:rsidRPr="0062487B">
        <w:rPr>
          <w:rFonts w:asciiTheme="minorHAnsi" w:hAnsiTheme="minorHAnsi" w:cstheme="minorHAnsi"/>
          <w:color w:val="000000" w:themeColor="text1"/>
        </w:rPr>
        <w:t xml:space="preserve"> The</w:t>
      </w:r>
      <w:r w:rsidRPr="0062487B">
        <w:rPr>
          <w:rFonts w:asciiTheme="minorHAnsi" w:hAnsiTheme="minorHAnsi" w:cstheme="minorHAnsi"/>
          <w:color w:val="000000" w:themeColor="text1"/>
        </w:rPr>
        <w:t>se</w:t>
      </w:r>
      <w:r w:rsidR="00D46090" w:rsidRPr="0062487B">
        <w:rPr>
          <w:rFonts w:asciiTheme="minorHAnsi" w:hAnsiTheme="minorHAnsi" w:cstheme="minorHAnsi"/>
          <w:color w:val="000000" w:themeColor="text1"/>
        </w:rPr>
        <w:t xml:space="preserve"> increase</w:t>
      </w:r>
      <w:r w:rsidRPr="0062487B">
        <w:rPr>
          <w:rFonts w:asciiTheme="minorHAnsi" w:hAnsiTheme="minorHAnsi" w:cstheme="minorHAnsi"/>
          <w:color w:val="000000" w:themeColor="text1"/>
        </w:rPr>
        <w:t>s</w:t>
      </w:r>
      <w:r w:rsidR="00D46090" w:rsidRPr="0062487B">
        <w:rPr>
          <w:rFonts w:asciiTheme="minorHAnsi" w:hAnsiTheme="minorHAnsi" w:cstheme="minorHAnsi"/>
          <w:color w:val="000000" w:themeColor="text1"/>
        </w:rPr>
        <w:t xml:space="preserve"> </w:t>
      </w:r>
      <w:r w:rsidRPr="0062487B">
        <w:rPr>
          <w:rFonts w:asciiTheme="minorHAnsi" w:hAnsiTheme="minorHAnsi" w:cstheme="minorHAnsi"/>
          <w:color w:val="000000" w:themeColor="text1"/>
        </w:rPr>
        <w:t>have</w:t>
      </w:r>
      <w:r w:rsidR="00842A11" w:rsidRPr="0062487B">
        <w:rPr>
          <w:rFonts w:asciiTheme="minorHAnsi" w:hAnsiTheme="minorHAnsi" w:cstheme="minorHAnsi"/>
          <w:color w:val="000000" w:themeColor="text1"/>
        </w:rPr>
        <w:t xml:space="preserve"> </w:t>
      </w:r>
      <w:r w:rsidR="00D46090" w:rsidRPr="0062487B">
        <w:rPr>
          <w:rFonts w:asciiTheme="minorHAnsi" w:hAnsiTheme="minorHAnsi" w:cstheme="minorHAnsi"/>
          <w:color w:val="000000" w:themeColor="text1"/>
        </w:rPr>
        <w:t>contributed to BWFH’s high inpatient occupancy rates</w:t>
      </w:r>
      <w:r w:rsidR="00132344" w:rsidRPr="0062487B">
        <w:rPr>
          <w:rFonts w:asciiTheme="minorHAnsi" w:hAnsiTheme="minorHAnsi" w:cstheme="minorHAnsi"/>
          <w:color w:val="000000" w:themeColor="text1"/>
        </w:rPr>
        <w:t xml:space="preserve">. </w:t>
      </w:r>
    </w:p>
    <w:p w14:paraId="1095636F" w14:textId="77777777" w:rsidR="009578F7" w:rsidRPr="0062487B" w:rsidRDefault="009578F7" w:rsidP="00842A11">
      <w:pPr>
        <w:rPr>
          <w:rFonts w:asciiTheme="minorHAnsi" w:hAnsiTheme="minorHAnsi" w:cstheme="minorHAnsi"/>
          <w:color w:val="000000" w:themeColor="text1"/>
        </w:rPr>
      </w:pPr>
    </w:p>
    <w:p w14:paraId="4AB7ED91" w14:textId="6A2EDBD9" w:rsidR="00842A11" w:rsidRPr="0062487B" w:rsidRDefault="11BF4EE0" w:rsidP="17FA2F59">
      <w:pPr>
        <w:rPr>
          <w:rFonts w:asciiTheme="minorHAnsi" w:hAnsiTheme="minorHAnsi" w:cstheme="minorBidi"/>
          <w:b/>
          <w:bCs/>
          <w:color w:val="2F5897" w:themeColor="text2"/>
        </w:rPr>
      </w:pPr>
      <w:r w:rsidRPr="17FA2F59">
        <w:rPr>
          <w:rFonts w:asciiTheme="minorHAnsi" w:hAnsiTheme="minorHAnsi" w:cstheme="minorBidi"/>
          <w:b/>
          <w:bCs/>
          <w:u w:val="single"/>
        </w:rPr>
        <w:t>Table 5</w:t>
      </w:r>
      <w:r w:rsidRPr="17FA2F59">
        <w:rPr>
          <w:rFonts w:asciiTheme="minorHAnsi" w:hAnsiTheme="minorHAnsi" w:cstheme="minorBidi"/>
          <w:b/>
          <w:bCs/>
        </w:rPr>
        <w:t xml:space="preserve">: </w:t>
      </w:r>
      <w:r w:rsidR="27B49E88" w:rsidRPr="17FA2F59">
        <w:rPr>
          <w:rFonts w:asciiTheme="minorHAnsi" w:hAnsiTheme="minorHAnsi" w:cstheme="minorBidi"/>
          <w:b/>
          <w:bCs/>
        </w:rPr>
        <w:t xml:space="preserve">BWFH’s </w:t>
      </w:r>
      <w:r w:rsidRPr="17FA2F59">
        <w:rPr>
          <w:rFonts w:asciiTheme="minorHAnsi" w:hAnsiTheme="minorHAnsi" w:cstheme="minorBidi"/>
          <w:b/>
          <w:bCs/>
        </w:rPr>
        <w:t xml:space="preserve">Historical Trend for </w:t>
      </w:r>
      <w:r w:rsidR="18058057" w:rsidRPr="17FA2F59">
        <w:rPr>
          <w:rFonts w:asciiTheme="minorHAnsi" w:hAnsiTheme="minorHAnsi" w:cstheme="minorBidi"/>
          <w:b/>
          <w:bCs/>
        </w:rPr>
        <w:t xml:space="preserve">Unique </w:t>
      </w:r>
      <w:r w:rsidR="668CA2A3" w:rsidRPr="17FA2F59">
        <w:rPr>
          <w:rFonts w:asciiTheme="minorHAnsi" w:hAnsiTheme="minorHAnsi" w:cstheme="minorBidi"/>
          <w:b/>
          <w:bCs/>
        </w:rPr>
        <w:t xml:space="preserve">Patient, </w:t>
      </w:r>
      <w:r w:rsidRPr="17FA2F59">
        <w:rPr>
          <w:rFonts w:asciiTheme="minorHAnsi" w:hAnsiTheme="minorHAnsi" w:cstheme="minorBidi"/>
          <w:b/>
          <w:bCs/>
        </w:rPr>
        <w:t xml:space="preserve">Inpatient </w:t>
      </w:r>
      <w:r w:rsidR="668CA2A3" w:rsidRPr="17FA2F59">
        <w:rPr>
          <w:rFonts w:asciiTheme="minorHAnsi" w:hAnsiTheme="minorHAnsi" w:cstheme="minorBidi"/>
          <w:b/>
          <w:bCs/>
        </w:rPr>
        <w:t xml:space="preserve">Visits, Days, </w:t>
      </w:r>
      <w:r w:rsidR="3ABA1D1C" w:rsidRPr="17FA2F59">
        <w:rPr>
          <w:rFonts w:asciiTheme="minorHAnsi" w:hAnsiTheme="minorHAnsi" w:cstheme="minorBidi"/>
          <w:b/>
          <w:bCs/>
        </w:rPr>
        <w:t xml:space="preserve">Average Length of Stay (ALOS), </w:t>
      </w:r>
      <w:r w:rsidR="009F28FF">
        <w:rPr>
          <w:rFonts w:asciiTheme="minorHAnsi" w:hAnsiTheme="minorHAnsi" w:cstheme="minorBidi"/>
          <w:b/>
          <w:bCs/>
        </w:rPr>
        <w:t>and</w:t>
      </w:r>
      <w:r w:rsidR="668CA2A3" w:rsidRPr="17FA2F59">
        <w:rPr>
          <w:rFonts w:asciiTheme="minorHAnsi" w:hAnsiTheme="minorHAnsi" w:cstheme="minorBidi"/>
          <w:b/>
          <w:bCs/>
        </w:rPr>
        <w:t xml:space="preserve"> </w:t>
      </w:r>
      <w:r w:rsidRPr="17FA2F59">
        <w:rPr>
          <w:rFonts w:asciiTheme="minorHAnsi" w:hAnsiTheme="minorHAnsi" w:cstheme="minorBidi"/>
          <w:b/>
          <w:bCs/>
        </w:rPr>
        <w:t>Occupancy Rates</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68"/>
        <w:gridCol w:w="2465"/>
        <w:gridCol w:w="2465"/>
        <w:gridCol w:w="2466"/>
      </w:tblGrid>
      <w:tr w:rsidR="00842A11" w:rsidRPr="0062487B" w14:paraId="34030B7D" w14:textId="77777777" w:rsidTr="005904C6">
        <w:tc>
          <w:tcPr>
            <w:tcW w:w="2669" w:type="dxa"/>
            <w:shd w:val="clear" w:color="auto" w:fill="DFE3F0" w:themeFill="accent1" w:themeFillTint="33"/>
          </w:tcPr>
          <w:p w14:paraId="0D21B05E" w14:textId="77777777" w:rsidR="00842A11" w:rsidRPr="0062487B" w:rsidRDefault="00842A11" w:rsidP="009650D5">
            <w:pPr>
              <w:contextualSpacing/>
              <w:rPr>
                <w:rFonts w:asciiTheme="minorHAnsi" w:hAnsiTheme="minorHAnsi" w:cstheme="minorHAnsi"/>
                <w:color w:val="000000" w:themeColor="text1"/>
              </w:rPr>
            </w:pPr>
          </w:p>
        </w:tc>
        <w:tc>
          <w:tcPr>
            <w:tcW w:w="2467" w:type="dxa"/>
            <w:shd w:val="clear" w:color="auto" w:fill="DFE3F0" w:themeFill="accent1" w:themeFillTint="33"/>
          </w:tcPr>
          <w:p w14:paraId="6077ADB5" w14:textId="77777777" w:rsidR="00842A11" w:rsidRPr="0062487B" w:rsidRDefault="00842A11" w:rsidP="009650D5">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FY17</w:t>
            </w:r>
          </w:p>
        </w:tc>
        <w:tc>
          <w:tcPr>
            <w:tcW w:w="2467" w:type="dxa"/>
            <w:shd w:val="clear" w:color="auto" w:fill="DFE3F0" w:themeFill="accent1" w:themeFillTint="33"/>
          </w:tcPr>
          <w:p w14:paraId="6A4FF55B" w14:textId="074C8C3A" w:rsidR="00842A11" w:rsidRPr="0062487B" w:rsidRDefault="00842A11" w:rsidP="009650D5">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FY1</w:t>
            </w:r>
            <w:r w:rsidR="000001B5" w:rsidRPr="0062487B">
              <w:rPr>
                <w:rFonts w:asciiTheme="minorHAnsi" w:hAnsiTheme="minorHAnsi" w:cstheme="minorHAnsi"/>
                <w:b/>
                <w:bCs/>
                <w:color w:val="000000" w:themeColor="text1"/>
              </w:rPr>
              <w:t>9</w:t>
            </w:r>
          </w:p>
        </w:tc>
        <w:tc>
          <w:tcPr>
            <w:tcW w:w="2467" w:type="dxa"/>
            <w:shd w:val="clear" w:color="auto" w:fill="DFE3F0" w:themeFill="accent1" w:themeFillTint="33"/>
          </w:tcPr>
          <w:p w14:paraId="1884A6E3" w14:textId="75053F60" w:rsidR="00842A11" w:rsidRPr="0062487B" w:rsidRDefault="000001B5" w:rsidP="009650D5">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Difference</w:t>
            </w:r>
          </w:p>
        </w:tc>
      </w:tr>
      <w:tr w:rsidR="000D0DED" w:rsidRPr="0062487B" w14:paraId="73EE0F1A" w14:textId="77777777" w:rsidTr="005904C6">
        <w:tc>
          <w:tcPr>
            <w:tcW w:w="2669" w:type="dxa"/>
          </w:tcPr>
          <w:p w14:paraId="1471C52F" w14:textId="3EAC066E" w:rsidR="000D0DED" w:rsidRPr="0062487B" w:rsidRDefault="000D0DED" w:rsidP="009650D5">
            <w:pPr>
              <w:contextualSpacing/>
              <w:rPr>
                <w:rFonts w:asciiTheme="minorHAnsi" w:hAnsiTheme="minorHAnsi" w:cstheme="minorHAnsi"/>
                <w:b/>
                <w:bCs/>
                <w:color w:val="000000" w:themeColor="text1"/>
              </w:rPr>
            </w:pPr>
            <w:r w:rsidRPr="0062487B">
              <w:rPr>
                <w:rFonts w:asciiTheme="minorHAnsi" w:hAnsiTheme="minorHAnsi" w:cstheme="minorHAnsi"/>
                <w:b/>
                <w:bCs/>
                <w:color w:val="000000" w:themeColor="text1"/>
              </w:rPr>
              <w:t>Unique patient</w:t>
            </w:r>
            <w:r w:rsidR="000B5233">
              <w:rPr>
                <w:rFonts w:asciiTheme="minorHAnsi" w:hAnsiTheme="minorHAnsi" w:cstheme="minorHAnsi"/>
                <w:b/>
                <w:bCs/>
                <w:color w:val="000000" w:themeColor="text1"/>
              </w:rPr>
              <w:t>s</w:t>
            </w:r>
          </w:p>
        </w:tc>
        <w:tc>
          <w:tcPr>
            <w:tcW w:w="2467" w:type="dxa"/>
          </w:tcPr>
          <w:p w14:paraId="6BA65AA3" w14:textId="68BF5D57" w:rsidR="000D0DED" w:rsidRPr="0062487B" w:rsidRDefault="007E701D" w:rsidP="009650D5">
            <w:pPr>
              <w:contextualSpacing/>
              <w:jc w:val="right"/>
              <w:rPr>
                <w:rFonts w:asciiTheme="minorHAnsi" w:hAnsiTheme="minorHAnsi" w:cstheme="minorHAnsi"/>
              </w:rPr>
            </w:pPr>
            <w:r w:rsidRPr="0062487B">
              <w:rPr>
                <w:rFonts w:asciiTheme="minorHAnsi" w:hAnsiTheme="minorHAnsi" w:cstheme="minorHAnsi"/>
              </w:rPr>
              <w:t>9,668</w:t>
            </w:r>
          </w:p>
        </w:tc>
        <w:tc>
          <w:tcPr>
            <w:tcW w:w="2467" w:type="dxa"/>
          </w:tcPr>
          <w:p w14:paraId="67F012C1" w14:textId="3C110B06" w:rsidR="000D0DED" w:rsidRPr="0062487B" w:rsidRDefault="007E701D" w:rsidP="009650D5">
            <w:pPr>
              <w:contextualSpacing/>
              <w:jc w:val="right"/>
              <w:rPr>
                <w:rFonts w:asciiTheme="minorHAnsi" w:hAnsiTheme="minorHAnsi" w:cstheme="minorHAnsi"/>
              </w:rPr>
            </w:pPr>
            <w:r w:rsidRPr="0062487B">
              <w:rPr>
                <w:rFonts w:asciiTheme="minorHAnsi" w:hAnsiTheme="minorHAnsi" w:cstheme="minorHAnsi"/>
              </w:rPr>
              <w:t>8,873</w:t>
            </w:r>
          </w:p>
        </w:tc>
        <w:tc>
          <w:tcPr>
            <w:tcW w:w="2467" w:type="dxa"/>
          </w:tcPr>
          <w:p w14:paraId="000C538E" w14:textId="541E10FF" w:rsidR="000D0DED" w:rsidRPr="0062487B" w:rsidRDefault="00C459B5" w:rsidP="009650D5">
            <w:pPr>
              <w:contextualSpacing/>
              <w:jc w:val="right"/>
              <w:rPr>
                <w:rFonts w:asciiTheme="minorHAnsi" w:hAnsiTheme="minorHAnsi" w:cstheme="minorHAnsi"/>
              </w:rPr>
            </w:pPr>
            <w:r w:rsidRPr="0062487B">
              <w:rPr>
                <w:rFonts w:asciiTheme="minorHAnsi" w:hAnsiTheme="minorHAnsi" w:cstheme="minorHAnsi"/>
              </w:rPr>
              <w:t>-8.2%</w:t>
            </w:r>
          </w:p>
        </w:tc>
      </w:tr>
      <w:tr w:rsidR="000D0DED" w:rsidRPr="0062487B" w14:paraId="736F3E69" w14:textId="77777777" w:rsidTr="005904C6">
        <w:tc>
          <w:tcPr>
            <w:tcW w:w="2669" w:type="dxa"/>
          </w:tcPr>
          <w:p w14:paraId="4A95CD3B" w14:textId="2AD2DE9A" w:rsidR="000D0DED" w:rsidRPr="0062487B" w:rsidRDefault="000D0DED" w:rsidP="009650D5">
            <w:pPr>
              <w:contextualSpacing/>
              <w:rPr>
                <w:rFonts w:asciiTheme="minorHAnsi" w:hAnsiTheme="minorHAnsi" w:cstheme="minorHAnsi"/>
                <w:b/>
                <w:bCs/>
                <w:color w:val="000000" w:themeColor="text1"/>
              </w:rPr>
            </w:pPr>
            <w:r w:rsidRPr="0062487B">
              <w:rPr>
                <w:rFonts w:asciiTheme="minorHAnsi" w:hAnsiTheme="minorHAnsi" w:cstheme="minorHAnsi"/>
                <w:b/>
                <w:bCs/>
                <w:color w:val="000000" w:themeColor="text1"/>
              </w:rPr>
              <w:t xml:space="preserve">Inpatient </w:t>
            </w:r>
            <w:r w:rsidR="798E6D33" w:rsidRPr="0062487B">
              <w:rPr>
                <w:rFonts w:asciiTheme="minorHAnsi" w:hAnsiTheme="minorHAnsi" w:cstheme="minorHAnsi"/>
                <w:b/>
                <w:bCs/>
                <w:color w:val="000000" w:themeColor="text1"/>
              </w:rPr>
              <w:t>visits</w:t>
            </w:r>
          </w:p>
        </w:tc>
        <w:tc>
          <w:tcPr>
            <w:tcW w:w="2467" w:type="dxa"/>
          </w:tcPr>
          <w:p w14:paraId="6FEF2433" w14:textId="376930F7" w:rsidR="000D0DED" w:rsidRPr="0062487B" w:rsidRDefault="007E701D" w:rsidP="009650D5">
            <w:pPr>
              <w:contextualSpacing/>
              <w:jc w:val="right"/>
              <w:rPr>
                <w:rFonts w:asciiTheme="minorHAnsi" w:hAnsiTheme="minorHAnsi" w:cstheme="minorHAnsi"/>
              </w:rPr>
            </w:pPr>
            <w:r w:rsidRPr="0062487B">
              <w:rPr>
                <w:rFonts w:asciiTheme="minorHAnsi" w:hAnsiTheme="minorHAnsi" w:cstheme="minorHAnsi"/>
              </w:rPr>
              <w:t>12,045</w:t>
            </w:r>
          </w:p>
        </w:tc>
        <w:tc>
          <w:tcPr>
            <w:tcW w:w="2467" w:type="dxa"/>
          </w:tcPr>
          <w:p w14:paraId="444CBB94" w14:textId="309C87AE" w:rsidR="000D0DED" w:rsidRPr="0062487B" w:rsidRDefault="007E701D" w:rsidP="009650D5">
            <w:pPr>
              <w:contextualSpacing/>
              <w:jc w:val="right"/>
              <w:rPr>
                <w:rFonts w:asciiTheme="minorHAnsi" w:hAnsiTheme="minorHAnsi" w:cstheme="minorHAnsi"/>
              </w:rPr>
            </w:pPr>
            <w:r w:rsidRPr="0062487B">
              <w:rPr>
                <w:rFonts w:asciiTheme="minorHAnsi" w:hAnsiTheme="minorHAnsi" w:cstheme="minorHAnsi"/>
              </w:rPr>
              <w:t>11,295</w:t>
            </w:r>
          </w:p>
        </w:tc>
        <w:tc>
          <w:tcPr>
            <w:tcW w:w="2467" w:type="dxa"/>
          </w:tcPr>
          <w:p w14:paraId="4EC4EAC4" w14:textId="3CACBEBB" w:rsidR="000D0DED" w:rsidRPr="0062487B" w:rsidRDefault="00C459B5" w:rsidP="009650D5">
            <w:pPr>
              <w:contextualSpacing/>
              <w:jc w:val="right"/>
              <w:rPr>
                <w:rFonts w:asciiTheme="minorHAnsi" w:hAnsiTheme="minorHAnsi" w:cstheme="minorHAnsi"/>
              </w:rPr>
            </w:pPr>
            <w:r w:rsidRPr="0062487B">
              <w:rPr>
                <w:rFonts w:asciiTheme="minorHAnsi" w:hAnsiTheme="minorHAnsi" w:cstheme="minorHAnsi"/>
              </w:rPr>
              <w:t>-6.2%</w:t>
            </w:r>
          </w:p>
        </w:tc>
      </w:tr>
      <w:tr w:rsidR="000D0DED" w:rsidRPr="0062487B" w14:paraId="418D5E14" w14:textId="77777777" w:rsidTr="005904C6">
        <w:tc>
          <w:tcPr>
            <w:tcW w:w="2669" w:type="dxa"/>
          </w:tcPr>
          <w:p w14:paraId="454CBA13" w14:textId="6CC0E270" w:rsidR="000D0DED" w:rsidRPr="0062487B" w:rsidRDefault="000D0DED" w:rsidP="009650D5">
            <w:pPr>
              <w:contextualSpacing/>
              <w:rPr>
                <w:rFonts w:asciiTheme="minorHAnsi" w:hAnsiTheme="minorHAnsi" w:cstheme="minorHAnsi"/>
                <w:b/>
                <w:bCs/>
                <w:color w:val="000000" w:themeColor="text1"/>
              </w:rPr>
            </w:pPr>
            <w:r w:rsidRPr="0062487B">
              <w:rPr>
                <w:rFonts w:asciiTheme="minorHAnsi" w:hAnsiTheme="minorHAnsi" w:cstheme="minorHAnsi"/>
                <w:b/>
                <w:bCs/>
                <w:color w:val="000000" w:themeColor="text1"/>
              </w:rPr>
              <w:t>Inpatient days</w:t>
            </w:r>
          </w:p>
        </w:tc>
        <w:tc>
          <w:tcPr>
            <w:tcW w:w="2467" w:type="dxa"/>
          </w:tcPr>
          <w:p w14:paraId="2B8B4EA2" w14:textId="43176077" w:rsidR="000D0DED" w:rsidRPr="0062487B" w:rsidRDefault="00802B69" w:rsidP="009650D5">
            <w:pPr>
              <w:contextualSpacing/>
              <w:jc w:val="right"/>
              <w:rPr>
                <w:rFonts w:asciiTheme="minorHAnsi" w:hAnsiTheme="minorHAnsi" w:cstheme="minorHAnsi"/>
              </w:rPr>
            </w:pPr>
            <w:r w:rsidRPr="0062487B">
              <w:rPr>
                <w:rFonts w:asciiTheme="minorHAnsi" w:hAnsiTheme="minorHAnsi" w:cstheme="minorHAnsi"/>
                <w:color w:val="000000" w:themeColor="text1"/>
              </w:rPr>
              <w:t>36,524</w:t>
            </w:r>
          </w:p>
        </w:tc>
        <w:tc>
          <w:tcPr>
            <w:tcW w:w="2467" w:type="dxa"/>
          </w:tcPr>
          <w:p w14:paraId="1A546DA0" w14:textId="203807EA" w:rsidR="000D0DED" w:rsidRPr="0062487B" w:rsidRDefault="00802B69" w:rsidP="009650D5">
            <w:pPr>
              <w:contextualSpacing/>
              <w:jc w:val="right"/>
              <w:rPr>
                <w:rFonts w:asciiTheme="minorHAnsi" w:hAnsiTheme="minorHAnsi" w:cstheme="minorHAnsi"/>
              </w:rPr>
            </w:pPr>
            <w:r w:rsidRPr="0062487B">
              <w:rPr>
                <w:rFonts w:asciiTheme="minorHAnsi" w:hAnsiTheme="minorHAnsi" w:cstheme="minorHAnsi"/>
                <w:color w:val="000000" w:themeColor="text1"/>
              </w:rPr>
              <w:t>39,856</w:t>
            </w:r>
          </w:p>
        </w:tc>
        <w:tc>
          <w:tcPr>
            <w:tcW w:w="2467" w:type="dxa"/>
          </w:tcPr>
          <w:p w14:paraId="33FE659F" w14:textId="0ABB08CB" w:rsidR="000D0DED" w:rsidRPr="0062487B" w:rsidRDefault="00802B69" w:rsidP="009650D5">
            <w:pPr>
              <w:contextualSpacing/>
              <w:jc w:val="right"/>
              <w:rPr>
                <w:rFonts w:asciiTheme="minorHAnsi" w:hAnsiTheme="minorHAnsi" w:cstheme="minorHAnsi"/>
              </w:rPr>
            </w:pPr>
            <w:r w:rsidRPr="0062487B">
              <w:rPr>
                <w:rFonts w:asciiTheme="minorHAnsi" w:hAnsiTheme="minorHAnsi" w:cstheme="minorHAnsi"/>
              </w:rPr>
              <w:t>+9.1%</w:t>
            </w:r>
          </w:p>
        </w:tc>
      </w:tr>
      <w:tr w:rsidR="000D0DED" w:rsidRPr="0062487B" w14:paraId="44C8432A" w14:textId="77777777" w:rsidTr="005904C6">
        <w:tc>
          <w:tcPr>
            <w:tcW w:w="2669" w:type="dxa"/>
          </w:tcPr>
          <w:p w14:paraId="3F314613" w14:textId="11BB67AE" w:rsidR="000D0DED" w:rsidRPr="0062487B" w:rsidRDefault="000D0DED" w:rsidP="009650D5">
            <w:pPr>
              <w:contextualSpacing/>
              <w:rPr>
                <w:rFonts w:asciiTheme="minorHAnsi" w:hAnsiTheme="minorHAnsi" w:cstheme="minorHAnsi"/>
                <w:b/>
                <w:bCs/>
                <w:color w:val="000000" w:themeColor="text1"/>
              </w:rPr>
            </w:pPr>
            <w:r w:rsidRPr="0062487B">
              <w:rPr>
                <w:rFonts w:asciiTheme="minorHAnsi" w:hAnsiTheme="minorHAnsi" w:cstheme="minorHAnsi"/>
                <w:b/>
                <w:bCs/>
                <w:color w:val="000000" w:themeColor="text1"/>
              </w:rPr>
              <w:t>ALOS</w:t>
            </w:r>
            <w:r w:rsidR="007E701D" w:rsidRPr="0062487B">
              <w:rPr>
                <w:rFonts w:asciiTheme="minorHAnsi" w:hAnsiTheme="minorHAnsi" w:cstheme="minorHAnsi"/>
                <w:b/>
                <w:bCs/>
                <w:color w:val="000000" w:themeColor="text1"/>
              </w:rPr>
              <w:t xml:space="preserve"> (days)</w:t>
            </w:r>
          </w:p>
        </w:tc>
        <w:tc>
          <w:tcPr>
            <w:tcW w:w="2467" w:type="dxa"/>
          </w:tcPr>
          <w:p w14:paraId="605A222A" w14:textId="76D9D7C4" w:rsidR="000D0DED" w:rsidRPr="0062487B" w:rsidRDefault="00802B69" w:rsidP="009650D5">
            <w:pPr>
              <w:contextualSpacing/>
              <w:jc w:val="right"/>
              <w:rPr>
                <w:rFonts w:asciiTheme="minorHAnsi" w:hAnsiTheme="minorHAnsi" w:cstheme="minorHAnsi"/>
              </w:rPr>
            </w:pPr>
            <w:r w:rsidRPr="0062487B">
              <w:rPr>
                <w:rFonts w:asciiTheme="minorHAnsi" w:hAnsiTheme="minorHAnsi" w:cstheme="minorHAnsi"/>
                <w:color w:val="000000" w:themeColor="text1"/>
              </w:rPr>
              <w:t>3.03</w:t>
            </w:r>
          </w:p>
        </w:tc>
        <w:tc>
          <w:tcPr>
            <w:tcW w:w="2467" w:type="dxa"/>
          </w:tcPr>
          <w:p w14:paraId="7CDD883C" w14:textId="44173C61" w:rsidR="000D0DED" w:rsidRPr="0062487B" w:rsidRDefault="00802B69" w:rsidP="009650D5">
            <w:pPr>
              <w:contextualSpacing/>
              <w:jc w:val="right"/>
              <w:rPr>
                <w:rFonts w:asciiTheme="minorHAnsi" w:hAnsiTheme="minorHAnsi" w:cstheme="minorHAnsi"/>
              </w:rPr>
            </w:pPr>
            <w:r w:rsidRPr="0062487B">
              <w:rPr>
                <w:rFonts w:asciiTheme="minorHAnsi" w:hAnsiTheme="minorHAnsi" w:cstheme="minorHAnsi"/>
                <w:color w:val="000000" w:themeColor="text1"/>
              </w:rPr>
              <w:t>3.53</w:t>
            </w:r>
          </w:p>
        </w:tc>
        <w:tc>
          <w:tcPr>
            <w:tcW w:w="2467" w:type="dxa"/>
          </w:tcPr>
          <w:p w14:paraId="59C063FA" w14:textId="37F59237" w:rsidR="000D0DED" w:rsidRPr="0062487B" w:rsidRDefault="00802B69" w:rsidP="009650D5">
            <w:pPr>
              <w:contextualSpacing/>
              <w:jc w:val="right"/>
              <w:rPr>
                <w:rFonts w:asciiTheme="minorHAnsi" w:hAnsiTheme="minorHAnsi" w:cstheme="minorHAnsi"/>
              </w:rPr>
            </w:pPr>
            <w:r w:rsidRPr="0062487B">
              <w:rPr>
                <w:rFonts w:asciiTheme="minorHAnsi" w:hAnsiTheme="minorHAnsi" w:cstheme="minorHAnsi"/>
              </w:rPr>
              <w:t>+16.5%</w:t>
            </w:r>
          </w:p>
        </w:tc>
      </w:tr>
      <w:tr w:rsidR="00842A11" w:rsidRPr="0062487B" w14:paraId="532C11F4" w14:textId="77777777" w:rsidTr="005904C6">
        <w:tc>
          <w:tcPr>
            <w:tcW w:w="2669" w:type="dxa"/>
          </w:tcPr>
          <w:p w14:paraId="73DC76A6" w14:textId="77777777" w:rsidR="00842A11" w:rsidRPr="0062487B" w:rsidRDefault="00842A11" w:rsidP="009650D5">
            <w:pPr>
              <w:contextualSpacing/>
              <w:rPr>
                <w:rFonts w:asciiTheme="minorHAnsi" w:hAnsiTheme="minorHAnsi" w:cstheme="minorHAnsi"/>
                <w:b/>
                <w:bCs/>
                <w:color w:val="000000" w:themeColor="text1"/>
              </w:rPr>
            </w:pPr>
            <w:r w:rsidRPr="0062487B">
              <w:rPr>
                <w:rFonts w:asciiTheme="minorHAnsi" w:hAnsiTheme="minorHAnsi" w:cstheme="minorHAnsi"/>
                <w:b/>
                <w:bCs/>
                <w:color w:val="000000" w:themeColor="text1"/>
              </w:rPr>
              <w:t>Occupancy Rate</w:t>
            </w:r>
          </w:p>
        </w:tc>
        <w:tc>
          <w:tcPr>
            <w:tcW w:w="2467" w:type="dxa"/>
          </w:tcPr>
          <w:p w14:paraId="6BC0C001" w14:textId="77777777" w:rsidR="00842A11" w:rsidRPr="0062487B" w:rsidRDefault="00842A11" w:rsidP="009650D5">
            <w:pPr>
              <w:contextualSpacing/>
              <w:jc w:val="right"/>
              <w:rPr>
                <w:rFonts w:asciiTheme="minorHAnsi" w:hAnsiTheme="minorHAnsi" w:cstheme="minorHAnsi"/>
                <w:color w:val="000000" w:themeColor="text1"/>
              </w:rPr>
            </w:pPr>
            <w:r w:rsidRPr="0062487B">
              <w:rPr>
                <w:rFonts w:asciiTheme="minorHAnsi" w:hAnsiTheme="minorHAnsi" w:cstheme="minorHAnsi"/>
              </w:rPr>
              <w:t>82.5%</w:t>
            </w:r>
          </w:p>
        </w:tc>
        <w:tc>
          <w:tcPr>
            <w:tcW w:w="2467" w:type="dxa"/>
          </w:tcPr>
          <w:p w14:paraId="5C92D063" w14:textId="77EB78AB" w:rsidR="00842A11" w:rsidRPr="0062487B" w:rsidRDefault="00802B69" w:rsidP="009650D5">
            <w:pPr>
              <w:contextualSpacing/>
              <w:jc w:val="right"/>
              <w:rPr>
                <w:rFonts w:asciiTheme="minorHAnsi" w:hAnsiTheme="minorHAnsi" w:cstheme="minorHAnsi"/>
                <w:color w:val="000000" w:themeColor="text1"/>
              </w:rPr>
            </w:pPr>
            <w:r w:rsidRPr="0062487B">
              <w:rPr>
                <w:rFonts w:asciiTheme="minorHAnsi" w:hAnsiTheme="minorHAnsi" w:cstheme="minorHAnsi"/>
              </w:rPr>
              <w:t>87.2%</w:t>
            </w:r>
          </w:p>
        </w:tc>
        <w:tc>
          <w:tcPr>
            <w:tcW w:w="2467" w:type="dxa"/>
          </w:tcPr>
          <w:p w14:paraId="075140B5" w14:textId="67A31C72" w:rsidR="00842A11" w:rsidRPr="0062487B" w:rsidRDefault="00802B69" w:rsidP="009650D5">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w:t>
            </w:r>
            <w:r w:rsidR="00C459B5" w:rsidRPr="0062487B">
              <w:rPr>
                <w:rFonts w:asciiTheme="minorHAnsi" w:hAnsiTheme="minorHAnsi" w:cstheme="minorHAnsi"/>
                <w:color w:val="000000" w:themeColor="text1"/>
              </w:rPr>
              <w:t>5.7%</w:t>
            </w:r>
          </w:p>
        </w:tc>
      </w:tr>
    </w:tbl>
    <w:p w14:paraId="2450CC3C" w14:textId="77777777" w:rsidR="00842A11" w:rsidRPr="0062487B" w:rsidRDefault="00842A11" w:rsidP="00FD0662">
      <w:pPr>
        <w:contextualSpacing/>
        <w:rPr>
          <w:rFonts w:asciiTheme="minorHAnsi" w:hAnsiTheme="minorHAnsi" w:cstheme="minorHAnsi"/>
          <w:color w:val="2F5897" w:themeColor="text2"/>
        </w:rPr>
      </w:pPr>
    </w:p>
    <w:p w14:paraId="474602AF" w14:textId="5218C6ED" w:rsidR="00D46090" w:rsidRPr="0062487B" w:rsidRDefault="6C04FAB2" w:rsidP="00D46090">
      <w:pPr>
        <w:contextualSpacing/>
        <w:rPr>
          <w:rFonts w:asciiTheme="minorHAnsi" w:hAnsiTheme="minorHAnsi" w:cstheme="minorHAnsi"/>
          <w:color w:val="000000"/>
        </w:rPr>
      </w:pPr>
      <w:r w:rsidRPr="0062487B">
        <w:rPr>
          <w:rFonts w:asciiTheme="minorHAnsi" w:hAnsiTheme="minorHAnsi" w:cstheme="minorHAnsi"/>
          <w:color w:val="000000" w:themeColor="text1"/>
        </w:rPr>
        <w:t xml:space="preserve">The Applicant notes the need for the 78 inpatient </w:t>
      </w:r>
      <w:r w:rsidR="000255B2">
        <w:rPr>
          <w:rFonts w:asciiTheme="minorHAnsi" w:hAnsiTheme="minorHAnsi" w:cstheme="minorHAnsi"/>
          <w:color w:val="000000" w:themeColor="text1"/>
        </w:rPr>
        <w:t>M/S</w:t>
      </w:r>
      <w:r w:rsidRPr="0062487B">
        <w:rPr>
          <w:rFonts w:asciiTheme="minorHAnsi" w:hAnsiTheme="minorHAnsi" w:cstheme="minorHAnsi"/>
          <w:color w:val="000000" w:themeColor="text1"/>
        </w:rPr>
        <w:t xml:space="preserve"> beds for the following reasons:</w:t>
      </w:r>
    </w:p>
    <w:p w14:paraId="5795CFDD" w14:textId="39CA17B9" w:rsidR="00306467" w:rsidRPr="0062487B" w:rsidRDefault="00306467" w:rsidP="008651FB">
      <w:pPr>
        <w:contextualSpacing/>
        <w:rPr>
          <w:rFonts w:asciiTheme="minorHAnsi" w:hAnsiTheme="minorHAnsi" w:cstheme="minorHAnsi"/>
          <w:color w:val="2F5897" w:themeColor="text2"/>
        </w:rPr>
      </w:pPr>
    </w:p>
    <w:p w14:paraId="546412CC" w14:textId="2C627D80" w:rsidR="00D46090" w:rsidRPr="0062487B" w:rsidRDefault="6C04FAB2" w:rsidP="00EB5776">
      <w:pPr>
        <w:pStyle w:val="ListParagraph"/>
        <w:numPr>
          <w:ilvl w:val="0"/>
          <w:numId w:val="27"/>
        </w:numPr>
        <w:rPr>
          <w:rFonts w:asciiTheme="minorHAnsi" w:hAnsiTheme="minorHAnsi" w:cstheme="minorHAnsi"/>
          <w:color w:val="000000" w:themeColor="text1"/>
          <w:u w:val="single"/>
        </w:rPr>
      </w:pPr>
      <w:r w:rsidRPr="0062487B">
        <w:rPr>
          <w:rFonts w:asciiTheme="minorHAnsi" w:hAnsiTheme="minorHAnsi" w:cstheme="minorHAnsi"/>
          <w:color w:val="000000" w:themeColor="text1"/>
          <w:u w:val="single"/>
        </w:rPr>
        <w:t xml:space="preserve">Capacity constraints at BWFH </w:t>
      </w:r>
      <w:proofErr w:type="gramStart"/>
      <w:r w:rsidRPr="0062487B">
        <w:rPr>
          <w:rFonts w:asciiTheme="minorHAnsi" w:hAnsiTheme="minorHAnsi" w:cstheme="minorHAnsi"/>
          <w:color w:val="000000" w:themeColor="text1"/>
          <w:u w:val="single"/>
        </w:rPr>
        <w:t>as a result of</w:t>
      </w:r>
      <w:proofErr w:type="gramEnd"/>
      <w:r w:rsidRPr="0062487B">
        <w:rPr>
          <w:rFonts w:asciiTheme="minorHAnsi" w:hAnsiTheme="minorHAnsi" w:cstheme="minorHAnsi"/>
          <w:color w:val="000000" w:themeColor="text1"/>
          <w:u w:val="single"/>
        </w:rPr>
        <w:t xml:space="preserve"> high </w:t>
      </w:r>
      <w:r w:rsidR="79F2EB27" w:rsidRPr="0062487B">
        <w:rPr>
          <w:rFonts w:asciiTheme="minorHAnsi" w:hAnsiTheme="minorHAnsi" w:cstheme="minorHAnsi"/>
          <w:color w:val="000000" w:themeColor="text1"/>
          <w:u w:val="single"/>
        </w:rPr>
        <w:t xml:space="preserve">inpatient </w:t>
      </w:r>
      <w:r w:rsidRPr="0062487B">
        <w:rPr>
          <w:rFonts w:asciiTheme="minorHAnsi" w:hAnsiTheme="minorHAnsi" w:cstheme="minorHAnsi"/>
          <w:color w:val="000000" w:themeColor="text1"/>
          <w:u w:val="single"/>
        </w:rPr>
        <w:t>occupancy:</w:t>
      </w:r>
      <w:r w:rsidR="027B6156" w:rsidRPr="0062487B">
        <w:rPr>
          <w:rFonts w:asciiTheme="minorHAnsi" w:hAnsiTheme="minorHAnsi" w:cstheme="minorHAnsi"/>
          <w:color w:val="000000" w:themeColor="text1"/>
        </w:rPr>
        <w:t xml:space="preserve"> The high occupancy rate in the inpatient unit</w:t>
      </w:r>
      <w:r w:rsidR="0FF02D3F" w:rsidRPr="0062487B">
        <w:rPr>
          <w:rFonts w:asciiTheme="minorHAnsi" w:hAnsiTheme="minorHAnsi" w:cstheme="minorHAnsi"/>
          <w:color w:val="000000" w:themeColor="text1"/>
        </w:rPr>
        <w:t>s</w:t>
      </w:r>
      <w:r w:rsidR="027B6156" w:rsidRPr="0062487B">
        <w:rPr>
          <w:rFonts w:asciiTheme="minorHAnsi" w:hAnsiTheme="minorHAnsi" w:cstheme="minorHAnsi"/>
          <w:color w:val="000000" w:themeColor="text1"/>
        </w:rPr>
        <w:t xml:space="preserve"> </w:t>
      </w:r>
      <w:r w:rsidR="00B52CFC">
        <w:rPr>
          <w:rFonts w:asciiTheme="minorHAnsi" w:hAnsiTheme="minorHAnsi" w:cstheme="minorHAnsi"/>
          <w:color w:val="000000" w:themeColor="text1"/>
        </w:rPr>
        <w:t>impacts</w:t>
      </w:r>
      <w:r w:rsidR="027B6156" w:rsidRPr="0062487B">
        <w:rPr>
          <w:rFonts w:asciiTheme="minorHAnsi" w:hAnsiTheme="minorHAnsi" w:cstheme="minorHAnsi"/>
          <w:color w:val="000000" w:themeColor="text1"/>
        </w:rPr>
        <w:t xml:space="preserve"> </w:t>
      </w:r>
      <w:r w:rsidR="74189E8F" w:rsidRPr="0062487B">
        <w:rPr>
          <w:rFonts w:asciiTheme="minorHAnsi" w:hAnsiTheme="minorHAnsi" w:cstheme="minorHAnsi"/>
          <w:color w:val="000000" w:themeColor="text1"/>
        </w:rPr>
        <w:t xml:space="preserve">throughput from </w:t>
      </w:r>
      <w:r w:rsidR="027B6156" w:rsidRPr="0062487B">
        <w:rPr>
          <w:rFonts w:asciiTheme="minorHAnsi" w:hAnsiTheme="minorHAnsi" w:cstheme="minorHAnsi"/>
          <w:color w:val="000000" w:themeColor="text1"/>
        </w:rPr>
        <w:t>the emergency department (ED)</w:t>
      </w:r>
      <w:r w:rsidR="00B52CFC">
        <w:rPr>
          <w:rFonts w:asciiTheme="minorHAnsi" w:hAnsiTheme="minorHAnsi" w:cstheme="minorHAnsi"/>
          <w:color w:val="000000" w:themeColor="text1"/>
        </w:rPr>
        <w:t>, contributing to an</w:t>
      </w:r>
      <w:r w:rsidR="027B6156" w:rsidRPr="0062487B">
        <w:rPr>
          <w:rFonts w:asciiTheme="minorHAnsi" w:hAnsiTheme="minorHAnsi" w:cstheme="minorHAnsi"/>
          <w:color w:val="000000" w:themeColor="text1"/>
        </w:rPr>
        <w:t xml:space="preserve"> increase in </w:t>
      </w:r>
      <w:r w:rsidR="6FC6DA44" w:rsidRPr="0062487B">
        <w:rPr>
          <w:rFonts w:asciiTheme="minorHAnsi" w:hAnsiTheme="minorHAnsi" w:cstheme="minorHAnsi"/>
          <w:color w:val="000000" w:themeColor="text1"/>
        </w:rPr>
        <w:t>the amount of time patients await a medical/surgical</w:t>
      </w:r>
      <w:r w:rsidR="1A056C32" w:rsidRPr="0062487B">
        <w:rPr>
          <w:rFonts w:asciiTheme="minorHAnsi" w:hAnsiTheme="minorHAnsi" w:cstheme="minorHAnsi"/>
          <w:color w:val="000000" w:themeColor="text1"/>
        </w:rPr>
        <w:t xml:space="preserve"> or psychiatric</w:t>
      </w:r>
      <w:r w:rsidR="6FC6DA44" w:rsidRPr="0062487B">
        <w:rPr>
          <w:rFonts w:asciiTheme="minorHAnsi" w:hAnsiTheme="minorHAnsi" w:cstheme="minorHAnsi"/>
          <w:color w:val="000000" w:themeColor="text1"/>
        </w:rPr>
        <w:t xml:space="preserve"> bed</w:t>
      </w:r>
      <w:r w:rsidR="00B52CFC">
        <w:rPr>
          <w:rFonts w:asciiTheme="minorHAnsi" w:hAnsiTheme="minorHAnsi" w:cstheme="minorHAnsi"/>
          <w:color w:val="000000" w:themeColor="text1"/>
        </w:rPr>
        <w:t>.</w:t>
      </w:r>
      <w:r w:rsidR="6FC6DA44" w:rsidRPr="0062487B">
        <w:rPr>
          <w:rFonts w:asciiTheme="minorHAnsi" w:hAnsiTheme="minorHAnsi" w:cstheme="minorHAnsi"/>
          <w:color w:val="000000" w:themeColor="text1"/>
        </w:rPr>
        <w:t xml:space="preserve"> </w:t>
      </w:r>
      <w:r w:rsidR="00B52CFC">
        <w:rPr>
          <w:rFonts w:asciiTheme="minorHAnsi" w:hAnsiTheme="minorHAnsi" w:cstheme="minorHAnsi"/>
          <w:color w:val="000000" w:themeColor="text1"/>
        </w:rPr>
        <w:t>T</w:t>
      </w:r>
      <w:r w:rsidR="027B6156" w:rsidRPr="0062487B">
        <w:rPr>
          <w:rFonts w:asciiTheme="minorHAnsi" w:hAnsiTheme="minorHAnsi" w:cstheme="minorHAnsi"/>
          <w:color w:val="000000" w:themeColor="text1"/>
        </w:rPr>
        <w:t xml:space="preserve">otal ED boarder hours </w:t>
      </w:r>
      <w:r w:rsidR="00B52CFC">
        <w:rPr>
          <w:rFonts w:asciiTheme="minorHAnsi" w:hAnsiTheme="minorHAnsi" w:cstheme="minorHAnsi"/>
          <w:color w:val="000000" w:themeColor="text1"/>
        </w:rPr>
        <w:t xml:space="preserve">went </w:t>
      </w:r>
      <w:r w:rsidR="027B6156" w:rsidRPr="0062487B">
        <w:rPr>
          <w:rFonts w:asciiTheme="minorHAnsi" w:hAnsiTheme="minorHAnsi" w:cstheme="minorHAnsi"/>
          <w:color w:val="000000" w:themeColor="text1"/>
        </w:rPr>
        <w:t>from 2,380 hours in FY17 to 2,574 hours in FY19</w:t>
      </w:r>
      <w:r w:rsidR="1A7796BC" w:rsidRPr="0062487B">
        <w:rPr>
          <w:rFonts w:asciiTheme="minorHAnsi" w:hAnsiTheme="minorHAnsi" w:cstheme="minorHAnsi"/>
          <w:color w:val="000000" w:themeColor="text1"/>
        </w:rPr>
        <w:t xml:space="preserve"> (</w:t>
      </w:r>
      <w:r w:rsidR="0FF02D3F" w:rsidRPr="0062487B">
        <w:rPr>
          <w:rFonts w:asciiTheme="minorHAnsi" w:hAnsiTheme="minorHAnsi" w:cstheme="minorHAnsi"/>
          <w:color w:val="000000" w:themeColor="text1"/>
        </w:rPr>
        <w:t xml:space="preserve">an </w:t>
      </w:r>
      <w:r w:rsidR="1A7796BC" w:rsidRPr="0062487B">
        <w:rPr>
          <w:rFonts w:asciiTheme="minorHAnsi" w:hAnsiTheme="minorHAnsi" w:cstheme="minorHAnsi"/>
          <w:color w:val="000000" w:themeColor="text1"/>
        </w:rPr>
        <w:t>8.2%</w:t>
      </w:r>
      <w:r w:rsidR="0FF02D3F" w:rsidRPr="0062487B">
        <w:rPr>
          <w:rFonts w:asciiTheme="minorHAnsi" w:hAnsiTheme="minorHAnsi" w:cstheme="minorHAnsi"/>
          <w:color w:val="000000" w:themeColor="text1"/>
        </w:rPr>
        <w:t xml:space="preserve"> increase</w:t>
      </w:r>
      <w:r w:rsidR="027B6156" w:rsidRPr="0062487B">
        <w:rPr>
          <w:rFonts w:asciiTheme="minorHAnsi" w:hAnsiTheme="minorHAnsi" w:cstheme="minorHAnsi"/>
          <w:color w:val="000000" w:themeColor="text1"/>
        </w:rPr>
        <w:t xml:space="preserve">) with average boarder hours increasing from 1.17 hours in FY17 to 1.47 hours in FY19 (25.6% increase). </w:t>
      </w:r>
    </w:p>
    <w:p w14:paraId="29F443BB" w14:textId="77777777" w:rsidR="00DB4070" w:rsidRPr="0062487B" w:rsidRDefault="00DB4070" w:rsidP="00DB4070">
      <w:pPr>
        <w:rPr>
          <w:rFonts w:asciiTheme="minorHAnsi" w:hAnsiTheme="minorHAnsi" w:cstheme="minorHAnsi"/>
          <w:color w:val="000000" w:themeColor="text1"/>
          <w:u w:val="single"/>
        </w:rPr>
      </w:pPr>
    </w:p>
    <w:p w14:paraId="4FF6AF07" w14:textId="0D3E0BBC" w:rsidR="004B75F1" w:rsidRPr="0062487B" w:rsidRDefault="6C04FAB2" w:rsidP="00EB5776">
      <w:pPr>
        <w:pStyle w:val="ListParagraph"/>
        <w:numPr>
          <w:ilvl w:val="0"/>
          <w:numId w:val="27"/>
        </w:numPr>
        <w:rPr>
          <w:rFonts w:asciiTheme="minorHAnsi" w:hAnsiTheme="minorHAnsi" w:cstheme="minorHAnsi"/>
          <w:color w:val="000000" w:themeColor="text1"/>
        </w:rPr>
      </w:pPr>
      <w:r w:rsidRPr="0062487B">
        <w:rPr>
          <w:rFonts w:asciiTheme="minorHAnsi" w:hAnsiTheme="minorHAnsi" w:cstheme="minorHAnsi"/>
          <w:color w:val="000000" w:themeColor="text1"/>
          <w:u w:val="single"/>
        </w:rPr>
        <w:t>Address the impact on B</w:t>
      </w:r>
      <w:r w:rsidR="016DBFBE" w:rsidRPr="0062487B">
        <w:rPr>
          <w:rFonts w:asciiTheme="minorHAnsi" w:hAnsiTheme="minorHAnsi" w:cstheme="minorHAnsi"/>
          <w:color w:val="000000" w:themeColor="text1"/>
          <w:u w:val="single"/>
        </w:rPr>
        <w:t xml:space="preserve">righam and </w:t>
      </w:r>
      <w:r w:rsidRPr="0062487B">
        <w:rPr>
          <w:rFonts w:asciiTheme="minorHAnsi" w:hAnsiTheme="minorHAnsi" w:cstheme="minorHAnsi"/>
          <w:color w:val="000000" w:themeColor="text1"/>
          <w:u w:val="single"/>
        </w:rPr>
        <w:t>W</w:t>
      </w:r>
      <w:r w:rsidR="016DBFBE" w:rsidRPr="0062487B">
        <w:rPr>
          <w:rFonts w:asciiTheme="minorHAnsi" w:hAnsiTheme="minorHAnsi" w:cstheme="minorHAnsi"/>
          <w:color w:val="000000" w:themeColor="text1"/>
          <w:u w:val="single"/>
        </w:rPr>
        <w:t xml:space="preserve">omen’s </w:t>
      </w:r>
      <w:r w:rsidRPr="0062487B">
        <w:rPr>
          <w:rFonts w:asciiTheme="minorHAnsi" w:hAnsiTheme="minorHAnsi" w:cstheme="minorHAnsi"/>
          <w:color w:val="000000" w:themeColor="text1"/>
          <w:u w:val="single"/>
        </w:rPr>
        <w:t>H</w:t>
      </w:r>
      <w:r w:rsidR="016DBFBE" w:rsidRPr="0062487B">
        <w:rPr>
          <w:rFonts w:asciiTheme="minorHAnsi" w:hAnsiTheme="minorHAnsi" w:cstheme="minorHAnsi"/>
          <w:color w:val="000000" w:themeColor="text1"/>
          <w:u w:val="single"/>
        </w:rPr>
        <w:t>ospital (BWH)</w:t>
      </w:r>
      <w:r w:rsidRPr="0062487B">
        <w:rPr>
          <w:rFonts w:asciiTheme="minorHAnsi" w:hAnsiTheme="minorHAnsi" w:cstheme="minorHAnsi"/>
          <w:color w:val="000000" w:themeColor="text1"/>
          <w:u w:val="single"/>
        </w:rPr>
        <w:t>:</w:t>
      </w:r>
      <w:r w:rsidR="79F2EB27" w:rsidRPr="0062487B">
        <w:rPr>
          <w:rFonts w:asciiTheme="minorHAnsi" w:hAnsiTheme="minorHAnsi" w:cstheme="minorHAnsi"/>
          <w:color w:val="000000" w:themeColor="text1"/>
        </w:rPr>
        <w:t xml:space="preserve"> </w:t>
      </w:r>
      <w:r w:rsidR="5E8B52D6" w:rsidRPr="0062487B">
        <w:rPr>
          <w:rFonts w:asciiTheme="minorHAnsi" w:hAnsiTheme="minorHAnsi" w:cstheme="minorHAnsi"/>
          <w:color w:val="000000" w:themeColor="text1"/>
        </w:rPr>
        <w:t>T</w:t>
      </w:r>
      <w:r w:rsidR="33E073B6" w:rsidRPr="0062487B">
        <w:rPr>
          <w:rFonts w:asciiTheme="minorHAnsi" w:hAnsiTheme="minorHAnsi" w:cstheme="minorHAnsi"/>
          <w:color w:val="000000" w:themeColor="text1"/>
        </w:rPr>
        <w:t xml:space="preserve">he insufficient inpatient </w:t>
      </w:r>
      <w:r w:rsidR="002C5220">
        <w:rPr>
          <w:rFonts w:asciiTheme="minorHAnsi" w:hAnsiTheme="minorHAnsi" w:cstheme="minorHAnsi"/>
          <w:color w:val="000000" w:themeColor="text1"/>
        </w:rPr>
        <w:t>M/S</w:t>
      </w:r>
      <w:r w:rsidR="33E073B6" w:rsidRPr="0062487B">
        <w:rPr>
          <w:rFonts w:asciiTheme="minorHAnsi" w:hAnsiTheme="minorHAnsi" w:cstheme="minorHAnsi"/>
          <w:color w:val="000000" w:themeColor="text1"/>
        </w:rPr>
        <w:t xml:space="preserve"> beds </w:t>
      </w:r>
      <w:r w:rsidR="4238D4DE" w:rsidRPr="0062487B">
        <w:rPr>
          <w:rFonts w:asciiTheme="minorHAnsi" w:hAnsiTheme="minorHAnsi" w:cstheme="minorHAnsi"/>
          <w:color w:val="000000" w:themeColor="text1"/>
        </w:rPr>
        <w:t xml:space="preserve">at BWFH </w:t>
      </w:r>
      <w:r w:rsidR="7E04CFBD" w:rsidRPr="0062487B">
        <w:rPr>
          <w:rFonts w:asciiTheme="minorHAnsi" w:hAnsiTheme="minorHAnsi" w:cstheme="minorHAnsi"/>
          <w:color w:val="000000" w:themeColor="text1"/>
        </w:rPr>
        <w:t>impact</w:t>
      </w:r>
      <w:r w:rsidR="00C203C9">
        <w:rPr>
          <w:rFonts w:asciiTheme="minorHAnsi" w:hAnsiTheme="minorHAnsi" w:cstheme="minorHAnsi"/>
          <w:color w:val="000000" w:themeColor="text1"/>
        </w:rPr>
        <w:t>s</w:t>
      </w:r>
      <w:r w:rsidR="33E073B6" w:rsidRPr="0062487B">
        <w:rPr>
          <w:rFonts w:asciiTheme="minorHAnsi" w:hAnsiTheme="minorHAnsi" w:cstheme="minorHAnsi"/>
          <w:color w:val="000000" w:themeColor="text1"/>
        </w:rPr>
        <w:t xml:space="preserve"> BWH</w:t>
      </w:r>
      <w:r w:rsidR="5E8B52D6" w:rsidRPr="0062487B">
        <w:rPr>
          <w:rFonts w:asciiTheme="minorHAnsi" w:hAnsiTheme="minorHAnsi" w:cstheme="minorHAnsi"/>
          <w:color w:val="000000" w:themeColor="text1"/>
        </w:rPr>
        <w:t xml:space="preserve">’s ability to </w:t>
      </w:r>
      <w:r w:rsidR="165A2365" w:rsidRPr="0062487B">
        <w:rPr>
          <w:rFonts w:asciiTheme="minorHAnsi" w:hAnsiTheme="minorHAnsi" w:cstheme="minorHAnsi"/>
          <w:color w:val="000000" w:themeColor="text1"/>
        </w:rPr>
        <w:t>transfer secondary care patients as appropriate to BWFH in an effort to</w:t>
      </w:r>
      <w:r w:rsidR="4238D4DE" w:rsidRPr="0062487B">
        <w:rPr>
          <w:rFonts w:asciiTheme="minorHAnsi" w:hAnsiTheme="minorHAnsi" w:cstheme="minorHAnsi"/>
          <w:color w:val="000000" w:themeColor="text1"/>
        </w:rPr>
        <w:t xml:space="preserve"> preserve BWH capacity for more acutely ill patients who cannot be treated in a community hospital</w:t>
      </w:r>
      <w:r w:rsidR="165A2365" w:rsidRPr="0062487B">
        <w:rPr>
          <w:rFonts w:asciiTheme="minorHAnsi" w:hAnsiTheme="minorHAnsi" w:cstheme="minorHAnsi"/>
          <w:color w:val="000000" w:themeColor="text1"/>
        </w:rPr>
        <w:t>.</w:t>
      </w:r>
      <w:r w:rsidR="00FD0662" w:rsidRPr="0062487B">
        <w:rPr>
          <w:rStyle w:val="FootnoteReference"/>
          <w:rFonts w:asciiTheme="minorHAnsi" w:hAnsiTheme="minorHAnsi" w:cstheme="minorHAnsi"/>
          <w:color w:val="000000" w:themeColor="text1"/>
        </w:rPr>
        <w:footnoteReference w:id="7"/>
      </w:r>
      <w:r w:rsidR="165A2365" w:rsidRPr="0062487B">
        <w:rPr>
          <w:rFonts w:asciiTheme="minorHAnsi" w:hAnsiTheme="minorHAnsi" w:cstheme="minorHAnsi"/>
          <w:color w:val="000000" w:themeColor="text1"/>
        </w:rPr>
        <w:t xml:space="preserve"> </w:t>
      </w:r>
      <w:r w:rsidR="0A36C196" w:rsidRPr="0062487B">
        <w:rPr>
          <w:rFonts w:asciiTheme="minorHAnsi" w:hAnsiTheme="minorHAnsi" w:cstheme="minorHAnsi"/>
          <w:color w:val="000000" w:themeColor="text1"/>
        </w:rPr>
        <w:t xml:space="preserve">The Applicant notes that </w:t>
      </w:r>
      <w:r w:rsidR="165A2365" w:rsidRPr="0062487B">
        <w:rPr>
          <w:rFonts w:asciiTheme="minorHAnsi" w:hAnsiTheme="minorHAnsi" w:cstheme="minorHAnsi"/>
          <w:color w:val="000000" w:themeColor="text1"/>
        </w:rPr>
        <w:t xml:space="preserve">BWH </w:t>
      </w:r>
      <w:r w:rsidR="002C5220">
        <w:rPr>
          <w:rFonts w:asciiTheme="minorHAnsi" w:hAnsiTheme="minorHAnsi" w:cstheme="minorHAnsi"/>
          <w:color w:val="000000" w:themeColor="text1"/>
        </w:rPr>
        <w:t>M/S</w:t>
      </w:r>
      <w:r w:rsidR="07C6CC2E" w:rsidRPr="0062487B">
        <w:rPr>
          <w:rFonts w:asciiTheme="minorHAnsi" w:hAnsiTheme="minorHAnsi" w:cstheme="minorHAnsi"/>
          <w:color w:val="000000" w:themeColor="text1"/>
        </w:rPr>
        <w:t xml:space="preserve"> inpatient unit</w:t>
      </w:r>
      <w:r w:rsidR="5E8B52D6" w:rsidRPr="0062487B">
        <w:rPr>
          <w:rFonts w:asciiTheme="minorHAnsi" w:hAnsiTheme="minorHAnsi" w:cstheme="minorHAnsi"/>
          <w:color w:val="000000" w:themeColor="text1"/>
        </w:rPr>
        <w:t>s</w:t>
      </w:r>
      <w:r w:rsidR="07C6CC2E" w:rsidRPr="0062487B">
        <w:rPr>
          <w:rFonts w:asciiTheme="minorHAnsi" w:hAnsiTheme="minorHAnsi" w:cstheme="minorHAnsi"/>
          <w:color w:val="000000" w:themeColor="text1"/>
        </w:rPr>
        <w:t xml:space="preserve"> </w:t>
      </w:r>
      <w:r w:rsidR="7E04CFBD" w:rsidRPr="0062487B">
        <w:rPr>
          <w:rFonts w:asciiTheme="minorHAnsi" w:hAnsiTheme="minorHAnsi" w:cstheme="minorHAnsi"/>
          <w:color w:val="000000" w:themeColor="text1"/>
        </w:rPr>
        <w:t>ha</w:t>
      </w:r>
      <w:r w:rsidR="5E8B52D6" w:rsidRPr="0062487B">
        <w:rPr>
          <w:rFonts w:asciiTheme="minorHAnsi" w:hAnsiTheme="minorHAnsi" w:cstheme="minorHAnsi"/>
          <w:color w:val="000000" w:themeColor="text1"/>
        </w:rPr>
        <w:t>ve</w:t>
      </w:r>
      <w:r w:rsidR="7E04CFBD" w:rsidRPr="0062487B">
        <w:rPr>
          <w:rFonts w:asciiTheme="minorHAnsi" w:hAnsiTheme="minorHAnsi" w:cstheme="minorHAnsi"/>
          <w:color w:val="000000" w:themeColor="text1"/>
        </w:rPr>
        <w:t xml:space="preserve"> </w:t>
      </w:r>
      <w:r w:rsidR="0A36C196" w:rsidRPr="0062487B">
        <w:rPr>
          <w:rFonts w:asciiTheme="minorHAnsi" w:hAnsiTheme="minorHAnsi" w:cstheme="minorHAnsi"/>
          <w:color w:val="000000" w:themeColor="text1"/>
        </w:rPr>
        <w:t xml:space="preserve">high occupancy rates, up to </w:t>
      </w:r>
      <w:r w:rsidR="7E04CFBD" w:rsidRPr="0062487B">
        <w:rPr>
          <w:rFonts w:asciiTheme="minorHAnsi" w:hAnsiTheme="minorHAnsi" w:cstheme="minorHAnsi"/>
          <w:color w:val="000000" w:themeColor="text1"/>
        </w:rPr>
        <w:t>108% during the weekdays</w:t>
      </w:r>
      <w:r w:rsidR="0A36C196" w:rsidRPr="0062487B">
        <w:rPr>
          <w:rFonts w:asciiTheme="minorHAnsi" w:hAnsiTheme="minorHAnsi" w:cstheme="minorHAnsi"/>
          <w:color w:val="000000" w:themeColor="text1"/>
        </w:rPr>
        <w:t>,</w:t>
      </w:r>
      <w:r w:rsidR="165A2365" w:rsidRPr="0062487B">
        <w:rPr>
          <w:rFonts w:asciiTheme="minorHAnsi" w:hAnsiTheme="minorHAnsi" w:cstheme="minorHAnsi"/>
          <w:color w:val="000000" w:themeColor="text1"/>
        </w:rPr>
        <w:t xml:space="preserve"> and in FY19 </w:t>
      </w:r>
      <w:r w:rsidR="5E8B52D6" w:rsidRPr="0062487B">
        <w:rPr>
          <w:rFonts w:asciiTheme="minorHAnsi" w:hAnsiTheme="minorHAnsi" w:cstheme="minorHAnsi"/>
          <w:color w:val="000000" w:themeColor="text1"/>
        </w:rPr>
        <w:t>B</w:t>
      </w:r>
      <w:r w:rsidR="008D2402">
        <w:rPr>
          <w:rFonts w:asciiTheme="minorHAnsi" w:hAnsiTheme="minorHAnsi" w:cstheme="minorHAnsi"/>
          <w:color w:val="000000" w:themeColor="text1"/>
        </w:rPr>
        <w:t>righam Health</w:t>
      </w:r>
      <w:r w:rsidR="5E8B52D6" w:rsidRPr="0062487B">
        <w:rPr>
          <w:rFonts w:asciiTheme="minorHAnsi" w:hAnsiTheme="minorHAnsi" w:cstheme="minorHAnsi"/>
          <w:color w:val="000000" w:themeColor="text1"/>
        </w:rPr>
        <w:t xml:space="preserve"> </w:t>
      </w:r>
      <w:r w:rsidR="165A2365" w:rsidRPr="0062487B">
        <w:rPr>
          <w:rFonts w:asciiTheme="minorHAnsi" w:hAnsiTheme="minorHAnsi" w:cstheme="minorHAnsi"/>
          <w:color w:val="000000" w:themeColor="text1"/>
        </w:rPr>
        <w:t>had a</w:t>
      </w:r>
      <w:r w:rsidR="07C6CC2E" w:rsidRPr="0062487B">
        <w:rPr>
          <w:rFonts w:asciiTheme="minorHAnsi" w:hAnsiTheme="minorHAnsi" w:cstheme="minorHAnsi"/>
          <w:color w:val="000000" w:themeColor="text1"/>
        </w:rPr>
        <w:t>n</w:t>
      </w:r>
      <w:r w:rsidR="165A2365" w:rsidRPr="0062487B">
        <w:rPr>
          <w:rFonts w:asciiTheme="minorHAnsi" w:hAnsiTheme="minorHAnsi" w:cstheme="minorHAnsi"/>
          <w:color w:val="000000" w:themeColor="text1"/>
        </w:rPr>
        <w:t xml:space="preserve"> </w:t>
      </w:r>
      <w:r w:rsidR="2002AE46" w:rsidRPr="0062487B">
        <w:rPr>
          <w:rFonts w:asciiTheme="minorHAnsi" w:hAnsiTheme="minorHAnsi" w:cstheme="minorHAnsi"/>
          <w:color w:val="000000" w:themeColor="text1"/>
        </w:rPr>
        <w:t xml:space="preserve">overall </w:t>
      </w:r>
      <w:r w:rsidR="5CF9AFFF" w:rsidRPr="0062487B">
        <w:rPr>
          <w:rFonts w:asciiTheme="minorHAnsi" w:hAnsiTheme="minorHAnsi" w:cstheme="minorHAnsi"/>
          <w:color w:val="000000" w:themeColor="text1"/>
        </w:rPr>
        <w:t xml:space="preserve">medical/surgical </w:t>
      </w:r>
      <w:r w:rsidR="2002AE46" w:rsidRPr="0062487B">
        <w:rPr>
          <w:rFonts w:asciiTheme="minorHAnsi" w:hAnsiTheme="minorHAnsi" w:cstheme="minorHAnsi"/>
          <w:color w:val="000000" w:themeColor="text1"/>
        </w:rPr>
        <w:t xml:space="preserve">occupancy rate </w:t>
      </w:r>
      <w:r w:rsidR="165A2365" w:rsidRPr="0062487B">
        <w:rPr>
          <w:rFonts w:asciiTheme="minorHAnsi" w:hAnsiTheme="minorHAnsi" w:cstheme="minorHAnsi"/>
          <w:color w:val="000000" w:themeColor="text1"/>
        </w:rPr>
        <w:t xml:space="preserve">of </w:t>
      </w:r>
      <w:r w:rsidR="2002AE46" w:rsidRPr="0062487B">
        <w:rPr>
          <w:rFonts w:asciiTheme="minorHAnsi" w:hAnsiTheme="minorHAnsi" w:cstheme="minorHAnsi"/>
          <w:color w:val="000000" w:themeColor="text1"/>
        </w:rPr>
        <w:t>93%</w:t>
      </w:r>
      <w:r w:rsidR="165A2365" w:rsidRPr="0062487B">
        <w:rPr>
          <w:rFonts w:asciiTheme="minorHAnsi" w:hAnsiTheme="minorHAnsi" w:cstheme="minorHAnsi"/>
          <w:color w:val="000000" w:themeColor="text1"/>
        </w:rPr>
        <w:t xml:space="preserve">, </w:t>
      </w:r>
      <w:r w:rsidR="74189E8F" w:rsidRPr="0062487B">
        <w:rPr>
          <w:rFonts w:asciiTheme="minorHAnsi" w:hAnsiTheme="minorHAnsi" w:cstheme="minorHAnsi"/>
          <w:color w:val="000000" w:themeColor="text1"/>
        </w:rPr>
        <w:t xml:space="preserve">well </w:t>
      </w:r>
      <w:r w:rsidR="2002AE46" w:rsidRPr="0062487B">
        <w:rPr>
          <w:rFonts w:asciiTheme="minorHAnsi" w:hAnsiTheme="minorHAnsi" w:cstheme="minorHAnsi"/>
          <w:color w:val="000000" w:themeColor="text1"/>
        </w:rPr>
        <w:t xml:space="preserve">above </w:t>
      </w:r>
      <w:r w:rsidR="165A2365" w:rsidRPr="0062487B">
        <w:rPr>
          <w:rFonts w:asciiTheme="minorHAnsi" w:hAnsiTheme="minorHAnsi" w:cstheme="minorHAnsi"/>
          <w:color w:val="000000" w:themeColor="text1"/>
        </w:rPr>
        <w:t xml:space="preserve">the 85% </w:t>
      </w:r>
      <w:r w:rsidR="2002AE46" w:rsidRPr="0062487B">
        <w:rPr>
          <w:rFonts w:asciiTheme="minorHAnsi" w:hAnsiTheme="minorHAnsi" w:cstheme="minorHAnsi"/>
          <w:color w:val="000000" w:themeColor="text1"/>
        </w:rPr>
        <w:t>industry standard</w:t>
      </w:r>
      <w:r w:rsidR="33E073B6" w:rsidRPr="0062487B">
        <w:rPr>
          <w:rFonts w:asciiTheme="minorHAnsi" w:hAnsiTheme="minorHAnsi" w:cstheme="minorHAnsi"/>
          <w:color w:val="000000" w:themeColor="text1"/>
        </w:rPr>
        <w:t xml:space="preserve">. </w:t>
      </w:r>
    </w:p>
    <w:p w14:paraId="3BDFD8C6" w14:textId="1A9CAC59" w:rsidR="30223CC4" w:rsidRPr="0062487B" w:rsidRDefault="30223CC4" w:rsidP="30223CC4">
      <w:pPr>
        <w:rPr>
          <w:rFonts w:asciiTheme="minorHAnsi" w:hAnsiTheme="minorHAnsi" w:cstheme="minorHAnsi"/>
          <w:color w:val="000000" w:themeColor="text1"/>
        </w:rPr>
      </w:pPr>
    </w:p>
    <w:p w14:paraId="250FDD3C" w14:textId="223B50D1" w:rsidR="43C82865" w:rsidRPr="0062487B" w:rsidRDefault="00C203C9" w:rsidP="78F650E0">
      <w:pPr>
        <w:pStyle w:val="ListParagraph"/>
        <w:rPr>
          <w:rFonts w:asciiTheme="minorHAnsi" w:hAnsiTheme="minorHAnsi" w:cstheme="minorBidi"/>
          <w:color w:val="000000" w:themeColor="text1"/>
        </w:rPr>
      </w:pPr>
      <w:r w:rsidRPr="0062487B">
        <w:rPr>
          <w:rFonts w:asciiTheme="minorHAnsi" w:hAnsiTheme="minorHAnsi" w:cstheme="minorHAnsi"/>
          <w:color w:val="000000" w:themeColor="text1"/>
        </w:rPr>
        <w:t>The volume of patient transfers requiring secondary care, and thus eligible to go to BWFH, increased by 38% from FY18 to FY19.</w:t>
      </w:r>
      <w:r>
        <w:rPr>
          <w:rFonts w:asciiTheme="minorHAnsi" w:hAnsiTheme="minorHAnsi" w:cstheme="minorHAnsi"/>
          <w:color w:val="000000" w:themeColor="text1"/>
        </w:rPr>
        <w:t xml:space="preserve"> </w:t>
      </w:r>
      <w:r w:rsidR="54F7F38A" w:rsidRPr="17FA2F59">
        <w:rPr>
          <w:rFonts w:asciiTheme="minorHAnsi" w:hAnsiTheme="minorHAnsi" w:cstheme="minorBidi"/>
          <w:color w:val="000000" w:themeColor="text1"/>
        </w:rPr>
        <w:t>While transfers increased</w:t>
      </w:r>
      <w:r w:rsidR="48349391" w:rsidRPr="17FA2F59">
        <w:rPr>
          <w:rFonts w:asciiTheme="minorHAnsi" w:hAnsiTheme="minorHAnsi" w:cstheme="minorBidi"/>
          <w:color w:val="000000" w:themeColor="text1"/>
        </w:rPr>
        <w:t xml:space="preserve"> from FY18 to FY19</w:t>
      </w:r>
      <w:r w:rsidR="54F7F38A" w:rsidRPr="17FA2F59">
        <w:rPr>
          <w:rFonts w:asciiTheme="minorHAnsi" w:hAnsiTheme="minorHAnsi" w:cstheme="minorBidi"/>
          <w:color w:val="000000" w:themeColor="text1"/>
        </w:rPr>
        <w:t xml:space="preserve">, there were still more than 1,200 patients eligible to transfer from BWH in FY19 who could not be accommodated at BWFH due to lack of </w:t>
      </w:r>
      <w:r w:rsidR="005C0B44">
        <w:rPr>
          <w:rFonts w:asciiTheme="minorHAnsi" w:hAnsiTheme="minorHAnsi" w:cstheme="minorBidi"/>
          <w:color w:val="000000" w:themeColor="text1"/>
        </w:rPr>
        <w:t>M/S</w:t>
      </w:r>
      <w:r w:rsidR="54F7F38A" w:rsidRPr="17FA2F59">
        <w:rPr>
          <w:rFonts w:asciiTheme="minorHAnsi" w:hAnsiTheme="minorHAnsi" w:cstheme="minorBidi"/>
          <w:color w:val="000000" w:themeColor="text1"/>
        </w:rPr>
        <w:t xml:space="preserve"> capacity. This leads to patients waiting for longer periods at BWH. Table </w:t>
      </w:r>
      <w:r w:rsidR="67F5C713" w:rsidRPr="17FA2F59">
        <w:rPr>
          <w:rFonts w:asciiTheme="minorHAnsi" w:hAnsiTheme="minorHAnsi" w:cstheme="minorBidi"/>
          <w:color w:val="000000" w:themeColor="text1"/>
        </w:rPr>
        <w:t>6</w:t>
      </w:r>
      <w:r w:rsidR="54F7F38A" w:rsidRPr="17FA2F59">
        <w:rPr>
          <w:rFonts w:asciiTheme="minorHAnsi" w:hAnsiTheme="minorHAnsi" w:cstheme="minorBidi"/>
          <w:color w:val="000000" w:themeColor="text1"/>
        </w:rPr>
        <w:t xml:space="preserve"> shows ED boarder hours (patients awaiting </w:t>
      </w:r>
      <w:r w:rsidR="4C3325D1" w:rsidRPr="17FA2F59">
        <w:rPr>
          <w:rFonts w:asciiTheme="minorHAnsi" w:hAnsiTheme="minorHAnsi" w:cstheme="minorBidi"/>
          <w:color w:val="000000" w:themeColor="text1"/>
        </w:rPr>
        <w:t>inpatient</w:t>
      </w:r>
      <w:r w:rsidR="54F7F38A" w:rsidRPr="17FA2F59">
        <w:rPr>
          <w:rFonts w:asciiTheme="minorHAnsi" w:hAnsiTheme="minorHAnsi" w:cstheme="minorBidi"/>
          <w:color w:val="000000" w:themeColor="text1"/>
        </w:rPr>
        <w:t xml:space="preserve"> beds), average admission time</w:t>
      </w:r>
      <w:r w:rsidR="005C0B44">
        <w:rPr>
          <w:rFonts w:asciiTheme="minorHAnsi" w:hAnsiTheme="minorHAnsi" w:cstheme="minorBidi"/>
          <w:color w:val="000000" w:themeColor="text1"/>
        </w:rPr>
        <w:t>,</w:t>
      </w:r>
      <w:r w:rsidR="54F7F38A" w:rsidRPr="17FA2F59">
        <w:rPr>
          <w:rFonts w:asciiTheme="minorHAnsi" w:hAnsiTheme="minorHAnsi" w:cstheme="minorBidi"/>
          <w:color w:val="000000" w:themeColor="text1"/>
        </w:rPr>
        <w:t xml:space="preserve"> and average time to discharge at BWH. The data show a 41% increase in boarder hours and a 53% increase in the number of people who had to wait over 12 hours in </w:t>
      </w:r>
      <w:r w:rsidR="54F7F38A" w:rsidRPr="17FA2F59">
        <w:rPr>
          <w:rFonts w:asciiTheme="minorHAnsi" w:hAnsiTheme="minorHAnsi" w:cstheme="minorBidi"/>
          <w:color w:val="000000" w:themeColor="text1"/>
        </w:rPr>
        <w:lastRenderedPageBreak/>
        <w:t>the BWH ED for a bed.</w:t>
      </w:r>
      <w:r w:rsidR="3708DF36" w:rsidRPr="17FA2F59">
        <w:rPr>
          <w:rFonts w:asciiTheme="minorHAnsi" w:hAnsiTheme="minorHAnsi" w:cstheme="minorBidi"/>
          <w:color w:val="000000" w:themeColor="text1"/>
        </w:rPr>
        <w:t xml:space="preserve"> </w:t>
      </w:r>
      <w:r w:rsidR="005C0B44">
        <w:rPr>
          <w:rFonts w:asciiTheme="minorHAnsi" w:hAnsiTheme="minorHAnsi" w:cstheme="minorBidi"/>
          <w:color w:val="000000" w:themeColor="text1"/>
        </w:rPr>
        <w:t>I</w:t>
      </w:r>
      <w:r w:rsidR="3708DF36" w:rsidRPr="17FA2F59">
        <w:rPr>
          <w:rFonts w:asciiTheme="minorHAnsi" w:hAnsiTheme="minorHAnsi" w:cstheme="minorBidi"/>
          <w:color w:val="000000" w:themeColor="text1"/>
        </w:rPr>
        <w:t>f BWFH is at capacity and is unable to accept these patients, they must remain at BWH, increasing the demand on BWH and making them unable to accept tertiary care transfers from other hospitals.</w:t>
      </w:r>
    </w:p>
    <w:p w14:paraId="6E50DF8F" w14:textId="5C454848" w:rsidR="30223CC4" w:rsidRPr="0062487B" w:rsidRDefault="30223CC4" w:rsidP="30223CC4">
      <w:pPr>
        <w:rPr>
          <w:rFonts w:asciiTheme="minorHAnsi" w:hAnsiTheme="minorHAnsi" w:cstheme="minorHAnsi"/>
          <w:color w:val="2F5897" w:themeColor="text2"/>
        </w:rPr>
      </w:pPr>
    </w:p>
    <w:p w14:paraId="72E6A497" w14:textId="0435ED10" w:rsidR="3986BE67" w:rsidRPr="0062487B" w:rsidRDefault="5B9FA62B" w:rsidP="17FA2F59">
      <w:pPr>
        <w:ind w:firstLine="720"/>
        <w:rPr>
          <w:rFonts w:asciiTheme="minorHAnsi" w:hAnsiTheme="minorHAnsi" w:cstheme="minorBidi"/>
          <w:b/>
          <w:bCs/>
          <w:color w:val="2F5897" w:themeColor="text2"/>
        </w:rPr>
      </w:pPr>
      <w:r w:rsidRPr="17FA2F59">
        <w:rPr>
          <w:rFonts w:asciiTheme="minorHAnsi" w:hAnsiTheme="minorHAnsi" w:cstheme="minorBidi"/>
          <w:b/>
          <w:bCs/>
          <w:u w:val="single"/>
        </w:rPr>
        <w:t>Table 6</w:t>
      </w:r>
      <w:r w:rsidRPr="17FA2F59">
        <w:rPr>
          <w:rFonts w:asciiTheme="minorHAnsi" w:hAnsiTheme="minorHAnsi" w:cstheme="minorBidi"/>
          <w:b/>
          <w:bCs/>
        </w:rPr>
        <w:t>: ED Boarding at BWH</w:t>
      </w:r>
    </w:p>
    <w:tbl>
      <w:tblPr>
        <w:tblStyle w:val="TableGrid"/>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2"/>
        <w:gridCol w:w="2028"/>
        <w:gridCol w:w="1784"/>
      </w:tblGrid>
      <w:tr w:rsidR="30223CC4" w:rsidRPr="0062487B" w14:paraId="3B2D406D" w14:textId="77777777" w:rsidTr="00680D21">
        <w:tc>
          <w:tcPr>
            <w:tcW w:w="5536" w:type="dxa"/>
            <w:shd w:val="clear" w:color="auto" w:fill="DFE3F0" w:themeFill="accent1" w:themeFillTint="33"/>
          </w:tcPr>
          <w:p w14:paraId="44A98406" w14:textId="77777777" w:rsidR="30223CC4" w:rsidRPr="0062487B" w:rsidRDefault="30223CC4" w:rsidP="30223CC4">
            <w:pPr>
              <w:pStyle w:val="ListParagraph"/>
              <w:ind w:left="0"/>
              <w:rPr>
                <w:rFonts w:asciiTheme="minorHAnsi" w:hAnsiTheme="minorHAnsi" w:cstheme="minorHAnsi"/>
                <w:color w:val="000000" w:themeColor="text1"/>
                <w:u w:val="single"/>
              </w:rPr>
            </w:pPr>
          </w:p>
        </w:tc>
        <w:tc>
          <w:tcPr>
            <w:tcW w:w="2029" w:type="dxa"/>
            <w:shd w:val="clear" w:color="auto" w:fill="DFE3F0" w:themeFill="accent1" w:themeFillTint="33"/>
          </w:tcPr>
          <w:p w14:paraId="4913D5D7" w14:textId="55C2FF68" w:rsidR="30223CC4" w:rsidRPr="0062487B" w:rsidRDefault="30223CC4" w:rsidP="30223CC4">
            <w:pPr>
              <w:pStyle w:val="ListParagraph"/>
              <w:ind w:left="0"/>
              <w:jc w:val="center"/>
              <w:rPr>
                <w:rFonts w:asciiTheme="minorHAnsi" w:hAnsiTheme="minorHAnsi" w:cstheme="minorHAnsi"/>
                <w:color w:val="000000" w:themeColor="text1"/>
                <w:u w:val="single"/>
              </w:rPr>
            </w:pPr>
            <w:r w:rsidRPr="0062487B">
              <w:rPr>
                <w:rFonts w:asciiTheme="minorHAnsi" w:hAnsiTheme="minorHAnsi" w:cstheme="minorHAnsi"/>
                <w:b/>
                <w:bCs/>
                <w:color w:val="000000" w:themeColor="text1"/>
              </w:rPr>
              <w:t>FY18</w:t>
            </w:r>
          </w:p>
        </w:tc>
        <w:tc>
          <w:tcPr>
            <w:tcW w:w="1785" w:type="dxa"/>
            <w:shd w:val="clear" w:color="auto" w:fill="DFE3F0" w:themeFill="accent1" w:themeFillTint="33"/>
          </w:tcPr>
          <w:p w14:paraId="296703BD" w14:textId="34CD27FA" w:rsidR="30223CC4" w:rsidRPr="0062487B" w:rsidRDefault="30223CC4" w:rsidP="30223CC4">
            <w:pPr>
              <w:pStyle w:val="ListParagraph"/>
              <w:ind w:left="0"/>
              <w:jc w:val="center"/>
              <w:rPr>
                <w:rFonts w:asciiTheme="minorHAnsi" w:hAnsiTheme="minorHAnsi" w:cstheme="minorHAnsi"/>
                <w:color w:val="000000" w:themeColor="text1"/>
                <w:u w:val="single"/>
              </w:rPr>
            </w:pPr>
            <w:r w:rsidRPr="0062487B">
              <w:rPr>
                <w:rFonts w:asciiTheme="minorHAnsi" w:hAnsiTheme="minorHAnsi" w:cstheme="minorHAnsi"/>
                <w:b/>
                <w:bCs/>
                <w:color w:val="000000" w:themeColor="text1"/>
              </w:rPr>
              <w:t>FY19</w:t>
            </w:r>
          </w:p>
        </w:tc>
      </w:tr>
      <w:tr w:rsidR="30223CC4" w:rsidRPr="0062487B" w14:paraId="5299708F" w14:textId="77777777" w:rsidTr="00680D21">
        <w:tc>
          <w:tcPr>
            <w:tcW w:w="5536" w:type="dxa"/>
            <w:vAlign w:val="bottom"/>
          </w:tcPr>
          <w:p w14:paraId="3750FA1F" w14:textId="76D73610" w:rsidR="30223CC4" w:rsidRPr="0062487B" w:rsidRDefault="30223CC4" w:rsidP="30223CC4">
            <w:pPr>
              <w:pStyle w:val="ListParagraph"/>
              <w:ind w:left="0"/>
              <w:rPr>
                <w:rFonts w:asciiTheme="minorHAnsi" w:hAnsiTheme="minorHAnsi" w:cstheme="minorHAnsi"/>
                <w:b/>
                <w:bCs/>
                <w:color w:val="000000" w:themeColor="text1"/>
                <w:u w:val="single"/>
              </w:rPr>
            </w:pPr>
            <w:r w:rsidRPr="0062487B">
              <w:rPr>
                <w:rFonts w:asciiTheme="minorHAnsi" w:hAnsiTheme="minorHAnsi" w:cstheme="minorHAnsi"/>
                <w:b/>
                <w:bCs/>
                <w:color w:val="000000" w:themeColor="text1"/>
              </w:rPr>
              <w:t>ED Boarder Hours</w:t>
            </w:r>
          </w:p>
        </w:tc>
        <w:tc>
          <w:tcPr>
            <w:tcW w:w="2029" w:type="dxa"/>
            <w:vAlign w:val="bottom"/>
          </w:tcPr>
          <w:p w14:paraId="7B8089B0" w14:textId="3941FE3F" w:rsidR="30223CC4" w:rsidRPr="0062487B" w:rsidRDefault="30223CC4" w:rsidP="30223CC4">
            <w:pPr>
              <w:pStyle w:val="ListParagraph"/>
              <w:ind w:left="0"/>
              <w:jc w:val="right"/>
              <w:rPr>
                <w:rFonts w:asciiTheme="minorHAnsi" w:hAnsiTheme="minorHAnsi" w:cstheme="minorHAnsi"/>
                <w:color w:val="000000" w:themeColor="text1"/>
                <w:u w:val="single"/>
              </w:rPr>
            </w:pPr>
            <w:r w:rsidRPr="0062487B">
              <w:rPr>
                <w:rFonts w:asciiTheme="minorHAnsi" w:hAnsiTheme="minorHAnsi" w:cstheme="minorHAnsi"/>
                <w:color w:val="000000" w:themeColor="text1"/>
              </w:rPr>
              <w:t>46,570</w:t>
            </w:r>
          </w:p>
        </w:tc>
        <w:tc>
          <w:tcPr>
            <w:tcW w:w="1785" w:type="dxa"/>
            <w:vAlign w:val="bottom"/>
          </w:tcPr>
          <w:p w14:paraId="4384692B" w14:textId="33C3893C" w:rsidR="30223CC4" w:rsidRPr="0062487B" w:rsidRDefault="30223CC4" w:rsidP="30223CC4">
            <w:pPr>
              <w:pStyle w:val="ListParagraph"/>
              <w:ind w:left="0"/>
              <w:jc w:val="right"/>
              <w:rPr>
                <w:rFonts w:asciiTheme="minorHAnsi" w:hAnsiTheme="minorHAnsi" w:cstheme="minorHAnsi"/>
                <w:color w:val="000000" w:themeColor="text1"/>
                <w:u w:val="single"/>
              </w:rPr>
            </w:pPr>
            <w:r w:rsidRPr="0062487B">
              <w:rPr>
                <w:rFonts w:asciiTheme="minorHAnsi" w:hAnsiTheme="minorHAnsi" w:cstheme="minorHAnsi"/>
                <w:color w:val="000000" w:themeColor="text1"/>
              </w:rPr>
              <w:t>65,777</w:t>
            </w:r>
          </w:p>
        </w:tc>
      </w:tr>
      <w:tr w:rsidR="30223CC4" w:rsidRPr="0062487B" w14:paraId="03DBD1A1" w14:textId="77777777" w:rsidTr="00680D21">
        <w:tc>
          <w:tcPr>
            <w:tcW w:w="5536" w:type="dxa"/>
            <w:vAlign w:val="bottom"/>
          </w:tcPr>
          <w:p w14:paraId="7FE4D364" w14:textId="008DE975" w:rsidR="30223CC4" w:rsidRPr="0062487B" w:rsidRDefault="30223CC4" w:rsidP="30223CC4">
            <w:pPr>
              <w:pStyle w:val="ListParagraph"/>
              <w:ind w:left="0"/>
              <w:rPr>
                <w:rFonts w:asciiTheme="minorHAnsi" w:hAnsiTheme="minorHAnsi" w:cstheme="minorHAnsi"/>
                <w:b/>
                <w:bCs/>
                <w:color w:val="000000" w:themeColor="text1"/>
                <w:u w:val="single"/>
              </w:rPr>
            </w:pPr>
            <w:r w:rsidRPr="0062487B">
              <w:rPr>
                <w:rFonts w:asciiTheme="minorHAnsi" w:hAnsiTheme="minorHAnsi" w:cstheme="minorHAnsi"/>
                <w:b/>
                <w:bCs/>
                <w:color w:val="000000" w:themeColor="text1"/>
              </w:rPr>
              <w:t># Of Boarders in the ED &gt; 12 hours</w:t>
            </w:r>
          </w:p>
        </w:tc>
        <w:tc>
          <w:tcPr>
            <w:tcW w:w="2029" w:type="dxa"/>
            <w:vAlign w:val="bottom"/>
          </w:tcPr>
          <w:p w14:paraId="71FC1A27" w14:textId="657F23D8" w:rsidR="30223CC4" w:rsidRPr="0062487B" w:rsidRDefault="30223CC4" w:rsidP="30223CC4">
            <w:pPr>
              <w:pStyle w:val="ListParagraph"/>
              <w:ind w:left="0"/>
              <w:jc w:val="right"/>
              <w:rPr>
                <w:rFonts w:asciiTheme="minorHAnsi" w:hAnsiTheme="minorHAnsi" w:cstheme="minorHAnsi"/>
                <w:color w:val="000000" w:themeColor="text1"/>
                <w:u w:val="single"/>
              </w:rPr>
            </w:pPr>
            <w:r w:rsidRPr="0062487B">
              <w:rPr>
                <w:rFonts w:asciiTheme="minorHAnsi" w:hAnsiTheme="minorHAnsi" w:cstheme="minorHAnsi"/>
                <w:color w:val="000000" w:themeColor="text1"/>
              </w:rPr>
              <w:t>1,181</w:t>
            </w:r>
          </w:p>
        </w:tc>
        <w:tc>
          <w:tcPr>
            <w:tcW w:w="1785" w:type="dxa"/>
            <w:vAlign w:val="bottom"/>
          </w:tcPr>
          <w:p w14:paraId="3427174C" w14:textId="598F0B08" w:rsidR="30223CC4" w:rsidRPr="0062487B" w:rsidRDefault="30223CC4" w:rsidP="30223CC4">
            <w:pPr>
              <w:pStyle w:val="ListParagraph"/>
              <w:ind w:left="0"/>
              <w:jc w:val="right"/>
              <w:rPr>
                <w:rFonts w:asciiTheme="minorHAnsi" w:hAnsiTheme="minorHAnsi" w:cstheme="minorHAnsi"/>
                <w:color w:val="000000" w:themeColor="text1"/>
                <w:u w:val="single"/>
              </w:rPr>
            </w:pPr>
            <w:r w:rsidRPr="0062487B">
              <w:rPr>
                <w:rFonts w:asciiTheme="minorHAnsi" w:hAnsiTheme="minorHAnsi" w:cstheme="minorHAnsi"/>
                <w:color w:val="000000" w:themeColor="text1"/>
              </w:rPr>
              <w:t>1,809</w:t>
            </w:r>
          </w:p>
        </w:tc>
      </w:tr>
      <w:tr w:rsidR="30223CC4" w:rsidRPr="0062487B" w14:paraId="4DEBB867" w14:textId="77777777" w:rsidTr="00680D21">
        <w:tc>
          <w:tcPr>
            <w:tcW w:w="5536" w:type="dxa"/>
            <w:vAlign w:val="bottom"/>
          </w:tcPr>
          <w:p w14:paraId="52651539" w14:textId="0B102E0B" w:rsidR="30223CC4" w:rsidRPr="0062487B" w:rsidRDefault="30223CC4" w:rsidP="30223CC4">
            <w:pPr>
              <w:pStyle w:val="ListParagraph"/>
              <w:ind w:left="0"/>
              <w:rPr>
                <w:rFonts w:asciiTheme="minorHAnsi" w:hAnsiTheme="minorHAnsi" w:cstheme="minorHAnsi"/>
                <w:b/>
                <w:bCs/>
                <w:color w:val="000000" w:themeColor="text1"/>
                <w:u w:val="single"/>
              </w:rPr>
            </w:pPr>
            <w:r w:rsidRPr="0062487B">
              <w:rPr>
                <w:rFonts w:asciiTheme="minorHAnsi" w:hAnsiTheme="minorHAnsi" w:cstheme="minorHAnsi"/>
                <w:b/>
                <w:bCs/>
                <w:color w:val="000000" w:themeColor="text1"/>
              </w:rPr>
              <w:t>Average time to Admission for inpatients (in hours)</w:t>
            </w:r>
          </w:p>
        </w:tc>
        <w:tc>
          <w:tcPr>
            <w:tcW w:w="2029" w:type="dxa"/>
            <w:vAlign w:val="bottom"/>
          </w:tcPr>
          <w:p w14:paraId="2055DA66" w14:textId="2671D073" w:rsidR="30223CC4" w:rsidRPr="0062487B" w:rsidRDefault="30223CC4" w:rsidP="30223CC4">
            <w:pPr>
              <w:pStyle w:val="ListParagraph"/>
              <w:ind w:left="0"/>
              <w:jc w:val="right"/>
              <w:rPr>
                <w:rFonts w:asciiTheme="minorHAnsi" w:hAnsiTheme="minorHAnsi" w:cstheme="minorHAnsi"/>
                <w:color w:val="000000" w:themeColor="text1"/>
                <w:u w:val="single"/>
              </w:rPr>
            </w:pPr>
            <w:r w:rsidRPr="0062487B">
              <w:rPr>
                <w:rFonts w:asciiTheme="minorHAnsi" w:hAnsiTheme="minorHAnsi" w:cstheme="minorHAnsi"/>
                <w:color w:val="000000" w:themeColor="text1"/>
              </w:rPr>
              <w:t>6.73</w:t>
            </w:r>
          </w:p>
        </w:tc>
        <w:tc>
          <w:tcPr>
            <w:tcW w:w="1785" w:type="dxa"/>
            <w:vAlign w:val="bottom"/>
          </w:tcPr>
          <w:p w14:paraId="1DD7D96B" w14:textId="77568B2A" w:rsidR="30223CC4" w:rsidRPr="0062487B" w:rsidRDefault="30223CC4" w:rsidP="30223CC4">
            <w:pPr>
              <w:pStyle w:val="ListParagraph"/>
              <w:ind w:left="0"/>
              <w:jc w:val="right"/>
              <w:rPr>
                <w:rFonts w:asciiTheme="minorHAnsi" w:hAnsiTheme="minorHAnsi" w:cstheme="minorHAnsi"/>
                <w:color w:val="000000" w:themeColor="text1"/>
                <w:u w:val="single"/>
              </w:rPr>
            </w:pPr>
            <w:r w:rsidRPr="0062487B">
              <w:rPr>
                <w:rFonts w:asciiTheme="minorHAnsi" w:hAnsiTheme="minorHAnsi" w:cstheme="minorHAnsi"/>
                <w:color w:val="000000" w:themeColor="text1"/>
              </w:rPr>
              <w:t>7.68</w:t>
            </w:r>
          </w:p>
        </w:tc>
      </w:tr>
      <w:tr w:rsidR="30223CC4" w:rsidRPr="0062487B" w14:paraId="0702AC84" w14:textId="77777777" w:rsidTr="00680D21">
        <w:tc>
          <w:tcPr>
            <w:tcW w:w="5536" w:type="dxa"/>
            <w:vAlign w:val="bottom"/>
          </w:tcPr>
          <w:p w14:paraId="5FCB7D32" w14:textId="5D31D7B7" w:rsidR="30223CC4" w:rsidRPr="0062487B" w:rsidRDefault="30223CC4" w:rsidP="30223CC4">
            <w:pPr>
              <w:pStyle w:val="ListParagraph"/>
              <w:ind w:left="0"/>
              <w:rPr>
                <w:rFonts w:asciiTheme="minorHAnsi" w:hAnsiTheme="minorHAnsi" w:cstheme="minorHAnsi"/>
                <w:b/>
                <w:bCs/>
                <w:color w:val="000000" w:themeColor="text1"/>
                <w:u w:val="single"/>
              </w:rPr>
            </w:pPr>
            <w:r w:rsidRPr="0062487B">
              <w:rPr>
                <w:rFonts w:asciiTheme="minorHAnsi" w:hAnsiTheme="minorHAnsi" w:cstheme="minorHAnsi"/>
                <w:b/>
                <w:bCs/>
                <w:color w:val="000000" w:themeColor="text1"/>
              </w:rPr>
              <w:t>Average time to Discharge for all other patients (in hours)</w:t>
            </w:r>
          </w:p>
        </w:tc>
        <w:tc>
          <w:tcPr>
            <w:tcW w:w="2029" w:type="dxa"/>
            <w:vAlign w:val="bottom"/>
          </w:tcPr>
          <w:p w14:paraId="4282A334" w14:textId="18EC389A" w:rsidR="30223CC4" w:rsidRPr="0062487B" w:rsidRDefault="30223CC4" w:rsidP="30223CC4">
            <w:pPr>
              <w:pStyle w:val="ListParagraph"/>
              <w:ind w:left="0"/>
              <w:jc w:val="right"/>
              <w:rPr>
                <w:rFonts w:asciiTheme="minorHAnsi" w:hAnsiTheme="minorHAnsi" w:cstheme="minorHAnsi"/>
                <w:color w:val="000000" w:themeColor="text1"/>
                <w:u w:val="single"/>
              </w:rPr>
            </w:pPr>
            <w:r w:rsidRPr="0062487B">
              <w:rPr>
                <w:rFonts w:asciiTheme="minorHAnsi" w:hAnsiTheme="minorHAnsi" w:cstheme="minorHAnsi"/>
                <w:color w:val="000000" w:themeColor="text1"/>
              </w:rPr>
              <w:t>4.33</w:t>
            </w:r>
          </w:p>
        </w:tc>
        <w:tc>
          <w:tcPr>
            <w:tcW w:w="1785" w:type="dxa"/>
            <w:vAlign w:val="bottom"/>
          </w:tcPr>
          <w:p w14:paraId="52E8E85A" w14:textId="39442FFB" w:rsidR="30223CC4" w:rsidRPr="0062487B" w:rsidRDefault="30223CC4" w:rsidP="30223CC4">
            <w:pPr>
              <w:pStyle w:val="ListParagraph"/>
              <w:ind w:left="0"/>
              <w:jc w:val="right"/>
              <w:rPr>
                <w:rFonts w:asciiTheme="minorHAnsi" w:hAnsiTheme="minorHAnsi" w:cstheme="minorHAnsi"/>
                <w:color w:val="000000" w:themeColor="text1"/>
                <w:u w:val="single"/>
              </w:rPr>
            </w:pPr>
            <w:r w:rsidRPr="0062487B">
              <w:rPr>
                <w:rFonts w:asciiTheme="minorHAnsi" w:hAnsiTheme="minorHAnsi" w:cstheme="minorHAnsi"/>
                <w:color w:val="000000" w:themeColor="text1"/>
              </w:rPr>
              <w:t>4.38</w:t>
            </w:r>
          </w:p>
        </w:tc>
      </w:tr>
    </w:tbl>
    <w:p w14:paraId="0774D7A2" w14:textId="14F3C674" w:rsidR="00E45D64" w:rsidRPr="0062487B" w:rsidRDefault="00E45D64" w:rsidP="00F97A8E">
      <w:pPr>
        <w:pStyle w:val="ListParagraph"/>
        <w:rPr>
          <w:rFonts w:asciiTheme="minorHAnsi" w:hAnsiTheme="minorHAnsi" w:cstheme="minorHAnsi"/>
          <w:color w:val="000000" w:themeColor="text1"/>
          <w:u w:val="single"/>
        </w:rPr>
      </w:pPr>
    </w:p>
    <w:p w14:paraId="6A469B48" w14:textId="3BF69A9E" w:rsidR="000D03A2" w:rsidRPr="0062487B" w:rsidRDefault="6C04FAB2" w:rsidP="00EB5776">
      <w:pPr>
        <w:pStyle w:val="ListParagraph"/>
        <w:numPr>
          <w:ilvl w:val="0"/>
          <w:numId w:val="27"/>
        </w:numPr>
        <w:rPr>
          <w:rFonts w:asciiTheme="minorHAnsi" w:hAnsiTheme="minorHAnsi" w:cstheme="minorHAnsi"/>
          <w:color w:val="2F5897" w:themeColor="text2"/>
        </w:rPr>
      </w:pPr>
      <w:r w:rsidRPr="0062487B">
        <w:rPr>
          <w:rFonts w:asciiTheme="minorHAnsi" w:hAnsiTheme="minorHAnsi" w:cstheme="minorHAnsi"/>
          <w:color w:val="000000" w:themeColor="text1"/>
          <w:u w:val="single"/>
        </w:rPr>
        <w:t>Meet the needs of the aging Patient Panel:</w:t>
      </w:r>
      <w:r w:rsidR="26BE3810" w:rsidRPr="0062487B">
        <w:rPr>
          <w:rFonts w:asciiTheme="minorHAnsi" w:hAnsiTheme="minorHAnsi" w:cstheme="minorHAnsi"/>
          <w:color w:val="000000" w:themeColor="text1"/>
        </w:rPr>
        <w:t xml:space="preserve"> </w:t>
      </w:r>
      <w:r w:rsidR="1B796CD1" w:rsidRPr="0062487B">
        <w:rPr>
          <w:rFonts w:asciiTheme="minorHAnsi" w:hAnsiTheme="minorHAnsi" w:cstheme="minorHAnsi"/>
          <w:color w:val="000000" w:themeColor="text1"/>
        </w:rPr>
        <w:t>BWFH’s patient data show that of the patients using medical/surgical inpatient services between FY17-19</w:t>
      </w:r>
      <w:r w:rsidR="165A2365" w:rsidRPr="0062487B">
        <w:rPr>
          <w:rFonts w:asciiTheme="minorHAnsi" w:hAnsiTheme="minorHAnsi" w:cstheme="minorHAnsi"/>
          <w:color w:val="000000" w:themeColor="text1"/>
        </w:rPr>
        <w:t>,</w:t>
      </w:r>
      <w:r w:rsidR="1B796CD1" w:rsidRPr="0062487B">
        <w:rPr>
          <w:rFonts w:asciiTheme="minorHAnsi" w:hAnsiTheme="minorHAnsi" w:cstheme="minorHAnsi"/>
          <w:color w:val="000000" w:themeColor="text1"/>
        </w:rPr>
        <w:t xml:space="preserve"> almost half were 65 years or older. </w:t>
      </w:r>
      <w:r w:rsidR="12084391" w:rsidRPr="0062487B">
        <w:rPr>
          <w:rFonts w:asciiTheme="minorHAnsi" w:hAnsiTheme="minorHAnsi" w:cstheme="minorHAnsi"/>
          <w:color w:val="000000" w:themeColor="text1"/>
        </w:rPr>
        <w:t xml:space="preserve">In Massachusetts </w:t>
      </w:r>
      <w:r w:rsidR="2B48FDAC" w:rsidRPr="0062487B">
        <w:rPr>
          <w:rFonts w:asciiTheme="minorHAnsi" w:hAnsiTheme="minorHAnsi" w:cstheme="minorHAnsi"/>
          <w:color w:val="000000" w:themeColor="text1"/>
        </w:rPr>
        <w:t xml:space="preserve">the 65+ population is expected to grow </w:t>
      </w:r>
      <w:r w:rsidR="686497FC" w:rsidRPr="0062487B">
        <w:rPr>
          <w:rFonts w:asciiTheme="minorHAnsi" w:hAnsiTheme="minorHAnsi" w:cstheme="minorHAnsi"/>
          <w:color w:val="000000" w:themeColor="text1"/>
        </w:rPr>
        <w:t xml:space="preserve">at a higher rate compared to other age cohorts between 2015 and 2035 </w:t>
      </w:r>
      <w:r w:rsidR="2B48FDAC" w:rsidRPr="0062487B">
        <w:rPr>
          <w:rFonts w:asciiTheme="minorHAnsi" w:hAnsiTheme="minorHAnsi" w:cstheme="minorHAnsi"/>
          <w:color w:val="000000" w:themeColor="text1"/>
        </w:rPr>
        <w:t>such that</w:t>
      </w:r>
      <w:r w:rsidR="1F076B53" w:rsidRPr="0062487B">
        <w:rPr>
          <w:rFonts w:asciiTheme="minorHAnsi" w:hAnsiTheme="minorHAnsi" w:cstheme="minorHAnsi"/>
          <w:color w:val="000000" w:themeColor="text1"/>
        </w:rPr>
        <w:t xml:space="preserve"> </w:t>
      </w:r>
      <w:r w:rsidR="12084391" w:rsidRPr="0062487B">
        <w:rPr>
          <w:rFonts w:asciiTheme="minorHAnsi" w:hAnsiTheme="minorHAnsi" w:cstheme="minorHAnsi"/>
          <w:color w:val="000000" w:themeColor="text1"/>
        </w:rPr>
        <w:t xml:space="preserve">the 65+ population group will </w:t>
      </w:r>
      <w:r w:rsidR="4DB8ABD4" w:rsidRPr="0062487B">
        <w:rPr>
          <w:rFonts w:asciiTheme="minorHAnsi" w:hAnsiTheme="minorHAnsi" w:cstheme="minorHAnsi"/>
          <w:color w:val="000000" w:themeColor="text1"/>
        </w:rPr>
        <w:t>make up</w:t>
      </w:r>
      <w:r w:rsidR="12084391" w:rsidRPr="0062487B">
        <w:rPr>
          <w:rFonts w:asciiTheme="minorHAnsi" w:hAnsiTheme="minorHAnsi" w:cstheme="minorHAnsi"/>
          <w:color w:val="000000" w:themeColor="text1"/>
        </w:rPr>
        <w:t xml:space="preserve"> about 25% of the state’s population</w:t>
      </w:r>
      <w:r w:rsidR="2B48FDAC" w:rsidRPr="0062487B">
        <w:rPr>
          <w:rFonts w:asciiTheme="minorHAnsi" w:hAnsiTheme="minorHAnsi" w:cstheme="minorHAnsi"/>
          <w:color w:val="000000" w:themeColor="text1"/>
        </w:rPr>
        <w:t xml:space="preserve"> by 2035</w:t>
      </w:r>
      <w:r w:rsidR="12084391" w:rsidRPr="0062487B">
        <w:rPr>
          <w:rFonts w:asciiTheme="minorHAnsi" w:hAnsiTheme="minorHAnsi" w:cstheme="minorHAnsi"/>
          <w:color w:val="000000" w:themeColor="text1"/>
        </w:rPr>
        <w:t>.</w:t>
      </w:r>
      <w:r w:rsidR="00964D8B" w:rsidRPr="0062487B">
        <w:rPr>
          <w:rStyle w:val="FootnoteReference"/>
          <w:rFonts w:asciiTheme="minorHAnsi" w:hAnsiTheme="minorHAnsi" w:cstheme="minorHAnsi"/>
          <w:color w:val="000000" w:themeColor="text1"/>
        </w:rPr>
        <w:footnoteReference w:id="8"/>
      </w:r>
      <w:r w:rsidR="12084391" w:rsidRPr="0062487B">
        <w:rPr>
          <w:rFonts w:asciiTheme="minorHAnsi" w:hAnsiTheme="minorHAnsi" w:cstheme="minorHAnsi"/>
          <w:color w:val="000000" w:themeColor="text1"/>
        </w:rPr>
        <w:t xml:space="preserve"> </w:t>
      </w:r>
      <w:r w:rsidR="4DB8ABD4" w:rsidRPr="0062487B">
        <w:rPr>
          <w:rFonts w:asciiTheme="minorHAnsi" w:hAnsiTheme="minorHAnsi" w:cstheme="minorHAnsi"/>
          <w:color w:val="000000" w:themeColor="text1"/>
        </w:rPr>
        <w:t xml:space="preserve">The Applicant states that this will lead to increased demand for </w:t>
      </w:r>
      <w:r w:rsidR="005C0B44">
        <w:rPr>
          <w:rFonts w:asciiTheme="minorHAnsi" w:hAnsiTheme="minorHAnsi" w:cstheme="minorHAnsi"/>
          <w:color w:val="000000" w:themeColor="text1"/>
        </w:rPr>
        <w:t>M/S</w:t>
      </w:r>
      <w:r w:rsidR="4DB8ABD4" w:rsidRPr="0062487B">
        <w:rPr>
          <w:rFonts w:asciiTheme="minorHAnsi" w:hAnsiTheme="minorHAnsi" w:cstheme="minorHAnsi"/>
          <w:color w:val="000000" w:themeColor="text1"/>
        </w:rPr>
        <w:t xml:space="preserve"> inpatient services. </w:t>
      </w:r>
      <w:r w:rsidR="17440795" w:rsidRPr="0062487B">
        <w:rPr>
          <w:rFonts w:asciiTheme="minorHAnsi" w:hAnsiTheme="minorHAnsi" w:cstheme="minorHAnsi"/>
          <w:color w:val="000000" w:themeColor="text1"/>
        </w:rPr>
        <w:t xml:space="preserve">The Applicant also asserts that BWFH will mirror the </w:t>
      </w:r>
      <w:r w:rsidR="1F076B53" w:rsidRPr="0062487B">
        <w:rPr>
          <w:rFonts w:asciiTheme="minorHAnsi" w:hAnsiTheme="minorHAnsi" w:cstheme="minorHAnsi"/>
          <w:color w:val="000000" w:themeColor="text1"/>
        </w:rPr>
        <w:t xml:space="preserve">national </w:t>
      </w:r>
      <w:r w:rsidR="17440795" w:rsidRPr="0062487B">
        <w:rPr>
          <w:rFonts w:asciiTheme="minorHAnsi" w:hAnsiTheme="minorHAnsi" w:cstheme="minorHAnsi"/>
          <w:color w:val="000000" w:themeColor="text1"/>
        </w:rPr>
        <w:t xml:space="preserve">trend that </w:t>
      </w:r>
      <w:r w:rsidR="1F076B53" w:rsidRPr="0062487B">
        <w:rPr>
          <w:rFonts w:asciiTheme="minorHAnsi" w:hAnsiTheme="minorHAnsi" w:cstheme="minorHAnsi"/>
          <w:color w:val="000000" w:themeColor="text1"/>
        </w:rPr>
        <w:t xml:space="preserve">patients </w:t>
      </w:r>
      <w:r w:rsidR="17440795" w:rsidRPr="0062487B">
        <w:rPr>
          <w:rFonts w:asciiTheme="minorHAnsi" w:hAnsiTheme="minorHAnsi" w:cstheme="minorHAnsi"/>
          <w:color w:val="000000" w:themeColor="text1"/>
        </w:rPr>
        <w:t xml:space="preserve">65 years or older comprise </w:t>
      </w:r>
      <w:r w:rsidR="12B75159" w:rsidRPr="0062487B">
        <w:rPr>
          <w:rFonts w:asciiTheme="minorHAnsi" w:hAnsiTheme="minorHAnsi" w:cstheme="minorHAnsi"/>
          <w:color w:val="000000" w:themeColor="text1"/>
        </w:rPr>
        <w:t>an increasing</w:t>
      </w:r>
      <w:r w:rsidR="17440795" w:rsidRPr="0062487B">
        <w:rPr>
          <w:rFonts w:asciiTheme="minorHAnsi" w:hAnsiTheme="minorHAnsi" w:cstheme="minorHAnsi"/>
          <w:color w:val="000000" w:themeColor="text1"/>
        </w:rPr>
        <w:t xml:space="preserve"> share of hospital discharges.</w:t>
      </w:r>
      <w:r w:rsidR="00CB7362" w:rsidRPr="0062487B">
        <w:rPr>
          <w:rStyle w:val="FootnoteReference"/>
          <w:rFonts w:asciiTheme="minorHAnsi" w:hAnsiTheme="minorHAnsi" w:cstheme="minorHAnsi"/>
          <w:color w:val="000000" w:themeColor="text1"/>
        </w:rPr>
        <w:footnoteReference w:id="9"/>
      </w:r>
      <w:r w:rsidR="17440795" w:rsidRPr="0062487B">
        <w:rPr>
          <w:rFonts w:asciiTheme="minorHAnsi" w:hAnsiTheme="minorHAnsi" w:cstheme="minorHAnsi"/>
          <w:color w:val="000000" w:themeColor="text1"/>
        </w:rPr>
        <w:t xml:space="preserve"> </w:t>
      </w:r>
      <w:r w:rsidR="1F076B53" w:rsidRPr="0062487B">
        <w:rPr>
          <w:rFonts w:asciiTheme="minorHAnsi" w:hAnsiTheme="minorHAnsi" w:cstheme="minorHAnsi"/>
          <w:color w:val="000000" w:themeColor="text1"/>
        </w:rPr>
        <w:t>O</w:t>
      </w:r>
      <w:r w:rsidR="17440795" w:rsidRPr="0062487B">
        <w:rPr>
          <w:rFonts w:asciiTheme="minorHAnsi" w:hAnsiTheme="minorHAnsi" w:cstheme="minorHAnsi"/>
          <w:color w:val="000000" w:themeColor="text1"/>
        </w:rPr>
        <w:t xml:space="preserve">lder adults will need inpatient services to treat age-related </w:t>
      </w:r>
      <w:r w:rsidR="1E03BAC6" w:rsidRPr="0062487B">
        <w:rPr>
          <w:rFonts w:asciiTheme="minorHAnsi" w:hAnsiTheme="minorHAnsi" w:cstheme="minorHAnsi"/>
          <w:color w:val="000000" w:themeColor="text1"/>
        </w:rPr>
        <w:t xml:space="preserve">chronic diseases and </w:t>
      </w:r>
      <w:r w:rsidR="17440795" w:rsidRPr="0062487B">
        <w:rPr>
          <w:rFonts w:asciiTheme="minorHAnsi" w:hAnsiTheme="minorHAnsi" w:cstheme="minorHAnsi"/>
          <w:color w:val="000000" w:themeColor="text1"/>
        </w:rPr>
        <w:t>conditions.</w:t>
      </w:r>
      <w:r w:rsidR="7E54763E" w:rsidRPr="0062487B">
        <w:rPr>
          <w:rFonts w:asciiTheme="minorHAnsi" w:hAnsiTheme="minorHAnsi" w:cstheme="minorHAnsi"/>
          <w:color w:val="000000" w:themeColor="text1"/>
        </w:rPr>
        <w:t xml:space="preserve"> Many of the most prevalent diagnoses associated with medical/surgical services based on patient visits</w:t>
      </w:r>
      <w:r w:rsidR="00065871" w:rsidRPr="0062487B">
        <w:rPr>
          <w:rStyle w:val="FootnoteReference"/>
          <w:rFonts w:asciiTheme="minorHAnsi" w:hAnsiTheme="minorHAnsi" w:cstheme="minorHAnsi"/>
          <w:color w:val="000000" w:themeColor="text1"/>
        </w:rPr>
        <w:footnoteReference w:id="10"/>
      </w:r>
      <w:r w:rsidR="7E54763E" w:rsidRPr="0062487B">
        <w:rPr>
          <w:rFonts w:asciiTheme="minorHAnsi" w:hAnsiTheme="minorHAnsi" w:cstheme="minorHAnsi"/>
          <w:color w:val="000000" w:themeColor="text1"/>
        </w:rPr>
        <w:t xml:space="preserve"> are linked with aging and affect older adults at higher rates than other age cohorts. </w:t>
      </w:r>
      <w:r w:rsidR="2E732DCA" w:rsidRPr="0062487B">
        <w:rPr>
          <w:rFonts w:asciiTheme="minorHAnsi" w:hAnsiTheme="minorHAnsi" w:cstheme="minorHAnsi"/>
          <w:color w:val="000000" w:themeColor="text1"/>
        </w:rPr>
        <w:t xml:space="preserve"> </w:t>
      </w:r>
    </w:p>
    <w:p w14:paraId="30495F3A" w14:textId="77777777" w:rsidR="000D03A2" w:rsidRPr="0062487B" w:rsidRDefault="000D03A2" w:rsidP="000D03A2">
      <w:pPr>
        <w:pStyle w:val="ListParagraph"/>
        <w:rPr>
          <w:rFonts w:asciiTheme="minorHAnsi" w:hAnsiTheme="minorHAnsi" w:cstheme="minorHAnsi"/>
          <w:color w:val="2F5897" w:themeColor="text2"/>
        </w:rPr>
      </w:pPr>
    </w:p>
    <w:p w14:paraId="18FCFA30" w14:textId="48516B7A" w:rsidR="00D46090" w:rsidRPr="0062487B" w:rsidRDefault="5F36684B" w:rsidP="78F650E0">
      <w:pPr>
        <w:rPr>
          <w:rFonts w:asciiTheme="minorHAnsi" w:hAnsiTheme="minorHAnsi" w:cstheme="minorBidi"/>
          <w:color w:val="2F5897" w:themeColor="text2"/>
        </w:rPr>
      </w:pPr>
      <w:r w:rsidRPr="78F650E0">
        <w:rPr>
          <w:rFonts w:asciiTheme="minorHAnsi" w:hAnsiTheme="minorHAnsi" w:cstheme="minorBidi"/>
          <w:color w:val="000000" w:themeColor="text1"/>
        </w:rPr>
        <w:t xml:space="preserve">Table 7 shows the Applicant’s projected </w:t>
      </w:r>
      <w:r w:rsidR="009454AA">
        <w:rPr>
          <w:rFonts w:asciiTheme="minorHAnsi" w:hAnsiTheme="minorHAnsi" w:cstheme="minorBidi"/>
          <w:color w:val="000000" w:themeColor="text1"/>
        </w:rPr>
        <w:t xml:space="preserve">M/S </w:t>
      </w:r>
      <w:r w:rsidRPr="78F650E0">
        <w:rPr>
          <w:rFonts w:asciiTheme="minorHAnsi" w:hAnsiTheme="minorHAnsi" w:cstheme="minorBidi"/>
          <w:color w:val="000000" w:themeColor="text1"/>
        </w:rPr>
        <w:t>inpatient volume</w:t>
      </w:r>
      <w:r w:rsidR="437AD171" w:rsidRPr="78F650E0">
        <w:rPr>
          <w:rFonts w:asciiTheme="minorHAnsi" w:hAnsiTheme="minorHAnsi" w:cstheme="minorBidi"/>
          <w:color w:val="000000" w:themeColor="text1"/>
        </w:rPr>
        <w:t>,</w:t>
      </w:r>
      <w:r w:rsidRPr="78F650E0">
        <w:rPr>
          <w:rFonts w:asciiTheme="minorHAnsi" w:hAnsiTheme="minorHAnsi" w:cstheme="minorBidi"/>
          <w:color w:val="000000" w:themeColor="text1"/>
        </w:rPr>
        <w:t xml:space="preserve"> comparing FY19 to the first four years of operation once the Proposed Project is completed. T</w:t>
      </w:r>
      <w:r w:rsidR="0BD6D214" w:rsidRPr="78F650E0">
        <w:rPr>
          <w:rFonts w:asciiTheme="minorHAnsi" w:hAnsiTheme="minorHAnsi" w:cstheme="minorBidi"/>
          <w:color w:val="000000" w:themeColor="text1"/>
        </w:rPr>
        <w:t xml:space="preserve">he </w:t>
      </w:r>
      <w:r w:rsidR="4936C7BE" w:rsidRPr="78F650E0">
        <w:rPr>
          <w:rFonts w:asciiTheme="minorHAnsi" w:hAnsiTheme="minorHAnsi" w:cstheme="minorBidi"/>
          <w:color w:val="000000" w:themeColor="text1"/>
        </w:rPr>
        <w:t>Applican</w:t>
      </w:r>
      <w:r w:rsidR="4B5F82C3" w:rsidRPr="78F650E0">
        <w:rPr>
          <w:rFonts w:asciiTheme="minorHAnsi" w:hAnsiTheme="minorHAnsi" w:cstheme="minorBidi"/>
          <w:color w:val="000000" w:themeColor="text1"/>
        </w:rPr>
        <w:t>t’s</w:t>
      </w:r>
      <w:r w:rsidR="4936C7BE" w:rsidRPr="78F650E0">
        <w:rPr>
          <w:rFonts w:asciiTheme="minorHAnsi" w:hAnsiTheme="minorHAnsi" w:cstheme="minorBidi"/>
          <w:color w:val="000000" w:themeColor="text1"/>
        </w:rPr>
        <w:t xml:space="preserve"> project</w:t>
      </w:r>
      <w:r w:rsidR="4B5F82C3" w:rsidRPr="78F650E0">
        <w:rPr>
          <w:rFonts w:asciiTheme="minorHAnsi" w:hAnsiTheme="minorHAnsi" w:cstheme="minorBidi"/>
          <w:color w:val="000000" w:themeColor="text1"/>
        </w:rPr>
        <w:t>ion</w:t>
      </w:r>
      <w:r w:rsidR="4936C7BE" w:rsidRPr="78F650E0">
        <w:rPr>
          <w:rFonts w:asciiTheme="minorHAnsi" w:hAnsiTheme="minorHAnsi" w:cstheme="minorBidi"/>
          <w:color w:val="000000" w:themeColor="text1"/>
        </w:rPr>
        <w:t xml:space="preserve">s </w:t>
      </w:r>
      <w:r w:rsidR="4B5F82C3" w:rsidRPr="78F650E0">
        <w:rPr>
          <w:rFonts w:asciiTheme="minorHAnsi" w:hAnsiTheme="minorHAnsi" w:cstheme="minorBidi"/>
          <w:color w:val="000000" w:themeColor="text1"/>
        </w:rPr>
        <w:t>show</w:t>
      </w:r>
      <w:r w:rsidR="46D6C9D5" w:rsidRPr="78F650E0">
        <w:rPr>
          <w:rFonts w:asciiTheme="minorHAnsi" w:hAnsiTheme="minorHAnsi" w:cstheme="minorBidi"/>
          <w:color w:val="000000" w:themeColor="text1"/>
        </w:rPr>
        <w:t xml:space="preserve"> </w:t>
      </w:r>
      <w:r w:rsidR="4B5F82C3" w:rsidRPr="78F650E0">
        <w:rPr>
          <w:rFonts w:asciiTheme="minorHAnsi" w:hAnsiTheme="minorHAnsi" w:cstheme="minorBidi"/>
          <w:color w:val="000000" w:themeColor="text1"/>
        </w:rPr>
        <w:t xml:space="preserve">an expected </w:t>
      </w:r>
      <w:r w:rsidR="600C90C7" w:rsidRPr="78F650E0">
        <w:rPr>
          <w:rFonts w:asciiTheme="minorHAnsi" w:hAnsiTheme="minorHAnsi" w:cstheme="minorBidi"/>
          <w:color w:val="000000" w:themeColor="text1"/>
        </w:rPr>
        <w:t xml:space="preserve">overall </w:t>
      </w:r>
      <w:r w:rsidR="4B5F82C3" w:rsidRPr="78F650E0">
        <w:rPr>
          <w:rFonts w:asciiTheme="minorHAnsi" w:hAnsiTheme="minorHAnsi" w:cstheme="minorBidi"/>
          <w:color w:val="000000" w:themeColor="text1"/>
        </w:rPr>
        <w:t>increase in inpatient volume of 17.6% in the first year of operation (FY24) to 63% by year 4 of operation (FY27)</w:t>
      </w:r>
      <w:r w:rsidR="0BD6D214" w:rsidRPr="78F650E0">
        <w:rPr>
          <w:rFonts w:asciiTheme="minorHAnsi" w:hAnsiTheme="minorHAnsi" w:cstheme="minorBidi"/>
          <w:color w:val="000000" w:themeColor="text1"/>
        </w:rPr>
        <w:t xml:space="preserve"> for all ages</w:t>
      </w:r>
      <w:r w:rsidR="437AD171" w:rsidRPr="78F650E0">
        <w:rPr>
          <w:rFonts w:asciiTheme="minorHAnsi" w:hAnsiTheme="minorHAnsi" w:cstheme="minorBidi"/>
          <w:color w:val="000000" w:themeColor="text1"/>
        </w:rPr>
        <w:t>,</w:t>
      </w:r>
      <w:r w:rsidR="240DA49E" w:rsidRPr="78F650E0">
        <w:rPr>
          <w:rFonts w:asciiTheme="minorHAnsi" w:hAnsiTheme="minorHAnsi" w:cstheme="minorBidi"/>
          <w:color w:val="000000" w:themeColor="text1"/>
        </w:rPr>
        <w:t xml:space="preserve"> with</w:t>
      </w:r>
      <w:r w:rsidR="437AD171" w:rsidRPr="78F650E0">
        <w:rPr>
          <w:rFonts w:asciiTheme="minorHAnsi" w:hAnsiTheme="minorHAnsi" w:cstheme="minorBidi"/>
          <w:color w:val="000000" w:themeColor="text1"/>
        </w:rPr>
        <w:t xml:space="preserve"> a 68% increase for those ages 65 and over</w:t>
      </w:r>
      <w:r w:rsidR="4B5F82C3" w:rsidRPr="78F650E0">
        <w:rPr>
          <w:rFonts w:asciiTheme="minorHAnsi" w:hAnsiTheme="minorHAnsi" w:cstheme="minorBidi"/>
          <w:color w:val="000000" w:themeColor="text1"/>
        </w:rPr>
        <w:t xml:space="preserve">. </w:t>
      </w:r>
      <w:r w:rsidR="006666E8">
        <w:rPr>
          <w:rFonts w:asciiTheme="minorHAnsi" w:hAnsiTheme="minorHAnsi" w:cstheme="minorBidi"/>
          <w:color w:val="000000" w:themeColor="text1"/>
        </w:rPr>
        <w:t>As a percentage of total discharges, those for patients ages 65+ are expected to grow fr</w:t>
      </w:r>
      <w:r w:rsidR="009943BB">
        <w:rPr>
          <w:rFonts w:asciiTheme="minorHAnsi" w:hAnsiTheme="minorHAnsi" w:cstheme="minorBidi"/>
          <w:color w:val="000000" w:themeColor="text1"/>
        </w:rPr>
        <w:t>o</w:t>
      </w:r>
      <w:r w:rsidR="006666E8">
        <w:rPr>
          <w:rFonts w:asciiTheme="minorHAnsi" w:hAnsiTheme="minorHAnsi" w:cstheme="minorBidi"/>
          <w:color w:val="000000" w:themeColor="text1"/>
        </w:rPr>
        <w:t>m 48% to nearly 50%.</w:t>
      </w:r>
    </w:p>
    <w:p w14:paraId="2B05071E" w14:textId="63D3D995" w:rsidR="00FD0662" w:rsidRPr="0062487B" w:rsidRDefault="00FD0662" w:rsidP="00FD0662">
      <w:pPr>
        <w:rPr>
          <w:rFonts w:asciiTheme="minorHAnsi" w:hAnsiTheme="minorHAnsi" w:cstheme="minorHAnsi"/>
          <w:color w:val="2F5897" w:themeColor="text2"/>
        </w:rPr>
      </w:pPr>
    </w:p>
    <w:p w14:paraId="39F57C00" w14:textId="6E6B9012" w:rsidR="00FD0662" w:rsidRDefault="01F87E24" w:rsidP="17FA2F59">
      <w:pPr>
        <w:contextualSpacing/>
        <w:rPr>
          <w:rFonts w:asciiTheme="minorHAnsi" w:hAnsiTheme="minorHAnsi" w:cstheme="minorBidi"/>
          <w:b/>
          <w:bCs/>
        </w:rPr>
      </w:pPr>
      <w:r w:rsidRPr="17FA2F59">
        <w:rPr>
          <w:rFonts w:asciiTheme="minorHAnsi" w:hAnsiTheme="minorHAnsi" w:cstheme="minorBidi"/>
          <w:b/>
          <w:bCs/>
          <w:u w:val="single"/>
        </w:rPr>
        <w:t>Table 7</w:t>
      </w:r>
      <w:r w:rsidRPr="17FA2F59">
        <w:rPr>
          <w:rFonts w:asciiTheme="minorHAnsi" w:hAnsiTheme="minorHAnsi" w:cstheme="minorBidi"/>
          <w:b/>
          <w:bCs/>
        </w:rPr>
        <w:t>: Projected</w:t>
      </w:r>
      <w:r w:rsidR="005508FE">
        <w:rPr>
          <w:rFonts w:asciiTheme="minorHAnsi" w:hAnsiTheme="minorHAnsi" w:cstheme="minorBidi"/>
          <w:b/>
          <w:bCs/>
        </w:rPr>
        <w:t xml:space="preserve"> M/S</w:t>
      </w:r>
      <w:r w:rsidRPr="17FA2F59">
        <w:rPr>
          <w:rFonts w:asciiTheme="minorHAnsi" w:hAnsiTheme="minorHAnsi" w:cstheme="minorBidi"/>
          <w:b/>
          <w:bCs/>
        </w:rPr>
        <w:t xml:space="preserve"> Inpatient Volume</w:t>
      </w:r>
    </w:p>
    <w:p w14:paraId="6468EC19" w14:textId="77777777" w:rsidR="004B1F03" w:rsidRPr="0062487B" w:rsidRDefault="004B1F03" w:rsidP="17FA2F59">
      <w:pPr>
        <w:contextualSpacing/>
        <w:rPr>
          <w:rFonts w:asciiTheme="minorHAnsi" w:hAnsiTheme="minorHAnsi" w:cstheme="minorBidi"/>
          <w:b/>
          <w:bCs/>
          <w:color w:val="2F5897" w:themeColor="text2"/>
        </w:rPr>
      </w:pPr>
    </w:p>
    <w:tbl>
      <w:tblPr>
        <w:tblStyle w:val="TableGrid"/>
        <w:tblW w:w="101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00"/>
        <w:gridCol w:w="1041"/>
        <w:gridCol w:w="1261"/>
        <w:gridCol w:w="1261"/>
        <w:gridCol w:w="1261"/>
        <w:gridCol w:w="1121"/>
        <w:gridCol w:w="1400"/>
        <w:gridCol w:w="1400"/>
      </w:tblGrid>
      <w:tr w:rsidR="007C3635" w:rsidRPr="0062487B" w14:paraId="2F67A5BF" w14:textId="77777777" w:rsidTr="00CB61B2">
        <w:trPr>
          <w:trHeight w:val="557"/>
        </w:trPr>
        <w:tc>
          <w:tcPr>
            <w:tcW w:w="1400" w:type="dxa"/>
            <w:shd w:val="clear" w:color="auto" w:fill="DFE3F0" w:themeFill="accent1" w:themeFillTint="33"/>
          </w:tcPr>
          <w:p w14:paraId="19A2E578" w14:textId="77777777" w:rsidR="007C3635" w:rsidRPr="0062487B" w:rsidRDefault="007C3635" w:rsidP="00066403">
            <w:pPr>
              <w:contextualSpacing/>
              <w:rPr>
                <w:rFonts w:asciiTheme="minorHAnsi" w:hAnsiTheme="minorHAnsi" w:cstheme="minorHAnsi"/>
                <w:b/>
                <w:bCs/>
                <w:color w:val="000000" w:themeColor="text1"/>
              </w:rPr>
            </w:pPr>
            <w:r w:rsidRPr="0062487B">
              <w:rPr>
                <w:rFonts w:asciiTheme="minorHAnsi" w:hAnsiTheme="minorHAnsi" w:cstheme="minorHAnsi"/>
                <w:b/>
                <w:bCs/>
                <w:color w:val="000000" w:themeColor="text1"/>
              </w:rPr>
              <w:t>Age Group</w:t>
            </w:r>
          </w:p>
        </w:tc>
        <w:tc>
          <w:tcPr>
            <w:tcW w:w="1041" w:type="dxa"/>
            <w:shd w:val="clear" w:color="auto" w:fill="DFE3F0" w:themeFill="accent1" w:themeFillTint="33"/>
          </w:tcPr>
          <w:p w14:paraId="1949F26E" w14:textId="77777777" w:rsidR="007C3635" w:rsidRPr="0062487B" w:rsidRDefault="007C3635" w:rsidP="00066403">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FY19</w:t>
            </w:r>
          </w:p>
        </w:tc>
        <w:tc>
          <w:tcPr>
            <w:tcW w:w="1261" w:type="dxa"/>
            <w:shd w:val="clear" w:color="auto" w:fill="DFE3F0" w:themeFill="accent1" w:themeFillTint="33"/>
          </w:tcPr>
          <w:p w14:paraId="44E62487" w14:textId="77777777" w:rsidR="007C3635" w:rsidRPr="0062487B" w:rsidRDefault="007C3635" w:rsidP="00066403">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FY24</w:t>
            </w:r>
          </w:p>
        </w:tc>
        <w:tc>
          <w:tcPr>
            <w:tcW w:w="1261" w:type="dxa"/>
            <w:shd w:val="clear" w:color="auto" w:fill="DFE3F0" w:themeFill="accent1" w:themeFillTint="33"/>
          </w:tcPr>
          <w:p w14:paraId="4C141C38" w14:textId="77777777" w:rsidR="007C3635" w:rsidRPr="0062487B" w:rsidRDefault="007C3635" w:rsidP="00066403">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FY25</w:t>
            </w:r>
          </w:p>
        </w:tc>
        <w:tc>
          <w:tcPr>
            <w:tcW w:w="1261" w:type="dxa"/>
            <w:shd w:val="clear" w:color="auto" w:fill="DFE3F0" w:themeFill="accent1" w:themeFillTint="33"/>
          </w:tcPr>
          <w:p w14:paraId="3A8B6DA1" w14:textId="77777777" w:rsidR="007C3635" w:rsidRPr="0062487B" w:rsidRDefault="007C3635" w:rsidP="00066403">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FY26</w:t>
            </w:r>
          </w:p>
        </w:tc>
        <w:tc>
          <w:tcPr>
            <w:tcW w:w="1121" w:type="dxa"/>
            <w:shd w:val="clear" w:color="auto" w:fill="DFE3F0" w:themeFill="accent1" w:themeFillTint="33"/>
          </w:tcPr>
          <w:p w14:paraId="11F998CD" w14:textId="77777777" w:rsidR="007C3635" w:rsidRPr="0062487B" w:rsidRDefault="007C3635" w:rsidP="00066403">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FY27</w:t>
            </w:r>
          </w:p>
        </w:tc>
        <w:tc>
          <w:tcPr>
            <w:tcW w:w="1400" w:type="dxa"/>
            <w:shd w:val="clear" w:color="auto" w:fill="DFE3F0" w:themeFill="accent1" w:themeFillTint="33"/>
          </w:tcPr>
          <w:p w14:paraId="78766E36" w14:textId="18DF122E" w:rsidR="007C3635" w:rsidRPr="0062487B" w:rsidRDefault="007C3635" w:rsidP="17D07F3A">
            <w:pPr>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Change (FY19-FY27)</w:t>
            </w:r>
          </w:p>
        </w:tc>
        <w:tc>
          <w:tcPr>
            <w:tcW w:w="1400" w:type="dxa"/>
            <w:shd w:val="clear" w:color="auto" w:fill="DFE3F0" w:themeFill="accent1" w:themeFillTint="33"/>
          </w:tcPr>
          <w:p w14:paraId="18B75D90" w14:textId="2F9EC19D" w:rsidR="007C3635" w:rsidRPr="0062487B" w:rsidRDefault="007C3635" w:rsidP="17D07F3A">
            <w:pPr>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 Change (FY19-FY27)</w:t>
            </w:r>
          </w:p>
        </w:tc>
      </w:tr>
      <w:tr w:rsidR="007C3635" w:rsidRPr="0062487B" w14:paraId="2700D37F" w14:textId="77777777" w:rsidTr="00CB61B2">
        <w:trPr>
          <w:trHeight w:val="286"/>
        </w:trPr>
        <w:tc>
          <w:tcPr>
            <w:tcW w:w="1400" w:type="dxa"/>
          </w:tcPr>
          <w:p w14:paraId="364E6FD9" w14:textId="77777777" w:rsidR="007C3635" w:rsidRPr="0062487B" w:rsidRDefault="007C3635" w:rsidP="00066403">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0-17</w:t>
            </w:r>
          </w:p>
        </w:tc>
        <w:tc>
          <w:tcPr>
            <w:tcW w:w="1041" w:type="dxa"/>
          </w:tcPr>
          <w:p w14:paraId="7A259B0A" w14:textId="77777777" w:rsidR="007C3635" w:rsidRPr="0062487B" w:rsidRDefault="007C3635" w:rsidP="30223CC4">
            <w:pPr>
              <w:ind w:left="720"/>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0</w:t>
            </w:r>
          </w:p>
        </w:tc>
        <w:tc>
          <w:tcPr>
            <w:tcW w:w="1261" w:type="dxa"/>
          </w:tcPr>
          <w:p w14:paraId="0FB9CC37" w14:textId="77777777" w:rsidR="007C3635" w:rsidRPr="0062487B" w:rsidRDefault="007C3635" w:rsidP="30223CC4">
            <w:pPr>
              <w:ind w:left="720"/>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0</w:t>
            </w:r>
          </w:p>
        </w:tc>
        <w:tc>
          <w:tcPr>
            <w:tcW w:w="1261" w:type="dxa"/>
          </w:tcPr>
          <w:p w14:paraId="65DC1DF0" w14:textId="77777777" w:rsidR="007C3635" w:rsidRPr="0062487B" w:rsidRDefault="007C3635" w:rsidP="30223CC4">
            <w:pPr>
              <w:ind w:left="720"/>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0</w:t>
            </w:r>
          </w:p>
        </w:tc>
        <w:tc>
          <w:tcPr>
            <w:tcW w:w="1261" w:type="dxa"/>
          </w:tcPr>
          <w:p w14:paraId="487576B9" w14:textId="77777777" w:rsidR="007C3635" w:rsidRPr="0062487B" w:rsidRDefault="007C3635" w:rsidP="30223CC4">
            <w:pPr>
              <w:ind w:left="720"/>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0</w:t>
            </w:r>
          </w:p>
        </w:tc>
        <w:tc>
          <w:tcPr>
            <w:tcW w:w="1121" w:type="dxa"/>
          </w:tcPr>
          <w:p w14:paraId="5D587EAE" w14:textId="77777777" w:rsidR="007C3635" w:rsidRPr="0062487B" w:rsidRDefault="007C3635" w:rsidP="30223CC4">
            <w:pPr>
              <w:ind w:left="720"/>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0</w:t>
            </w:r>
          </w:p>
        </w:tc>
        <w:tc>
          <w:tcPr>
            <w:tcW w:w="1400" w:type="dxa"/>
          </w:tcPr>
          <w:p w14:paraId="286F4EAD" w14:textId="14C8DFF7" w:rsidR="007C3635" w:rsidRPr="0062487B" w:rsidRDefault="007C3635" w:rsidP="007C3635">
            <w:pPr>
              <w:ind w:left="720"/>
              <w:jc w:val="right"/>
              <w:rPr>
                <w:rFonts w:asciiTheme="minorHAnsi" w:hAnsiTheme="minorHAnsi" w:cstheme="minorHAnsi"/>
                <w:color w:val="000000" w:themeColor="text1"/>
              </w:rPr>
            </w:pPr>
            <w:r w:rsidRPr="0062487B">
              <w:rPr>
                <w:rFonts w:asciiTheme="minorHAnsi" w:hAnsiTheme="minorHAnsi" w:cstheme="minorHAnsi"/>
                <w:color w:val="000000" w:themeColor="text1"/>
              </w:rPr>
              <w:t>0</w:t>
            </w:r>
          </w:p>
        </w:tc>
        <w:tc>
          <w:tcPr>
            <w:tcW w:w="1400" w:type="dxa"/>
          </w:tcPr>
          <w:p w14:paraId="2BA72594" w14:textId="726F0713" w:rsidR="007C3635" w:rsidRPr="0062487B" w:rsidRDefault="007C3635" w:rsidP="30223CC4">
            <w:pPr>
              <w:ind w:left="720"/>
              <w:jc w:val="right"/>
              <w:rPr>
                <w:rFonts w:asciiTheme="minorHAnsi" w:hAnsiTheme="minorHAnsi" w:cstheme="minorHAnsi"/>
                <w:color w:val="000000" w:themeColor="text1"/>
              </w:rPr>
            </w:pPr>
            <w:r w:rsidRPr="0062487B">
              <w:rPr>
                <w:rFonts w:asciiTheme="minorHAnsi" w:hAnsiTheme="minorHAnsi" w:cstheme="minorHAnsi"/>
                <w:color w:val="000000" w:themeColor="text1"/>
              </w:rPr>
              <w:t>0%</w:t>
            </w:r>
          </w:p>
        </w:tc>
      </w:tr>
      <w:tr w:rsidR="007C3635" w:rsidRPr="0062487B" w14:paraId="55435C53" w14:textId="77777777" w:rsidTr="00CB61B2">
        <w:trPr>
          <w:trHeight w:val="278"/>
        </w:trPr>
        <w:tc>
          <w:tcPr>
            <w:tcW w:w="1400" w:type="dxa"/>
          </w:tcPr>
          <w:p w14:paraId="65BE7365" w14:textId="77777777" w:rsidR="007C3635" w:rsidRPr="0062487B" w:rsidRDefault="007C3635" w:rsidP="00066403">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18-44</w:t>
            </w:r>
          </w:p>
        </w:tc>
        <w:tc>
          <w:tcPr>
            <w:tcW w:w="1041" w:type="dxa"/>
          </w:tcPr>
          <w:p w14:paraId="565DD5BD" w14:textId="77777777" w:rsidR="007C3635" w:rsidRPr="0062487B" w:rsidRDefault="007C3635" w:rsidP="30223CC4">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1,959</w:t>
            </w:r>
          </w:p>
        </w:tc>
        <w:tc>
          <w:tcPr>
            <w:tcW w:w="1261" w:type="dxa"/>
          </w:tcPr>
          <w:p w14:paraId="68DD8AA6" w14:textId="77777777" w:rsidR="007C3635" w:rsidRPr="0062487B" w:rsidRDefault="007C3635" w:rsidP="30223CC4">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3,298</w:t>
            </w:r>
          </w:p>
        </w:tc>
        <w:tc>
          <w:tcPr>
            <w:tcW w:w="1261" w:type="dxa"/>
          </w:tcPr>
          <w:p w14:paraId="161CFE17" w14:textId="77777777" w:rsidR="007C3635" w:rsidRPr="0062487B" w:rsidRDefault="007C3635" w:rsidP="30223CC4">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3,703</w:t>
            </w:r>
          </w:p>
        </w:tc>
        <w:tc>
          <w:tcPr>
            <w:tcW w:w="1261" w:type="dxa"/>
          </w:tcPr>
          <w:p w14:paraId="714C6E87" w14:textId="77777777" w:rsidR="007C3635" w:rsidRPr="0062487B" w:rsidRDefault="007C3635" w:rsidP="30223CC4">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4,087</w:t>
            </w:r>
          </w:p>
        </w:tc>
        <w:tc>
          <w:tcPr>
            <w:tcW w:w="1121" w:type="dxa"/>
          </w:tcPr>
          <w:p w14:paraId="1C391766" w14:textId="77777777" w:rsidR="007C3635" w:rsidRPr="0062487B" w:rsidRDefault="007C3635" w:rsidP="30223CC4">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4,466</w:t>
            </w:r>
          </w:p>
        </w:tc>
        <w:tc>
          <w:tcPr>
            <w:tcW w:w="1400" w:type="dxa"/>
          </w:tcPr>
          <w:p w14:paraId="56AFA837" w14:textId="112B5373" w:rsidR="007C3635" w:rsidRPr="0062487B" w:rsidRDefault="007C3635" w:rsidP="00B70BF2">
            <w:pPr>
              <w:jc w:val="right"/>
              <w:rPr>
                <w:rFonts w:asciiTheme="minorHAnsi" w:hAnsiTheme="minorHAnsi" w:cstheme="minorHAnsi"/>
                <w:color w:val="000000" w:themeColor="text1"/>
              </w:rPr>
            </w:pPr>
            <w:r w:rsidRPr="0062487B">
              <w:rPr>
                <w:rFonts w:asciiTheme="minorHAnsi" w:hAnsiTheme="minorHAnsi" w:cstheme="minorHAnsi"/>
                <w:color w:val="000000" w:themeColor="text1"/>
              </w:rPr>
              <w:t>2,507</w:t>
            </w:r>
          </w:p>
        </w:tc>
        <w:tc>
          <w:tcPr>
            <w:tcW w:w="1400" w:type="dxa"/>
          </w:tcPr>
          <w:p w14:paraId="03983295" w14:textId="713E144A" w:rsidR="007C3635" w:rsidRPr="0062487B" w:rsidRDefault="12CC3E6F" w:rsidP="17FA2F59">
            <w:pPr>
              <w:jc w:val="right"/>
              <w:rPr>
                <w:rFonts w:asciiTheme="minorHAnsi" w:hAnsiTheme="minorHAnsi" w:cstheme="minorBidi"/>
                <w:color w:val="000000" w:themeColor="text1"/>
              </w:rPr>
            </w:pPr>
            <w:r w:rsidRPr="17FA2F59">
              <w:rPr>
                <w:rFonts w:asciiTheme="minorHAnsi" w:hAnsiTheme="minorHAnsi" w:cstheme="minorBidi"/>
                <w:color w:val="000000" w:themeColor="text1"/>
              </w:rPr>
              <w:t>128%</w:t>
            </w:r>
          </w:p>
        </w:tc>
      </w:tr>
      <w:tr w:rsidR="007C3635" w:rsidRPr="0062487B" w14:paraId="5EADD867" w14:textId="77777777" w:rsidTr="00CB61B2">
        <w:trPr>
          <w:trHeight w:val="278"/>
        </w:trPr>
        <w:tc>
          <w:tcPr>
            <w:tcW w:w="1400" w:type="dxa"/>
          </w:tcPr>
          <w:p w14:paraId="1439C5CE" w14:textId="77777777" w:rsidR="007C3635" w:rsidRPr="0062487B" w:rsidRDefault="007C3635" w:rsidP="00066403">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45-64</w:t>
            </w:r>
          </w:p>
        </w:tc>
        <w:tc>
          <w:tcPr>
            <w:tcW w:w="1041" w:type="dxa"/>
          </w:tcPr>
          <w:p w14:paraId="076627A9" w14:textId="77777777" w:rsidR="007C3635" w:rsidRPr="0062487B" w:rsidRDefault="007C3635" w:rsidP="30223CC4">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3,909</w:t>
            </w:r>
          </w:p>
        </w:tc>
        <w:tc>
          <w:tcPr>
            <w:tcW w:w="1261" w:type="dxa"/>
          </w:tcPr>
          <w:p w14:paraId="750C3E3B" w14:textId="77777777" w:rsidR="007C3635" w:rsidRPr="0062487B" w:rsidRDefault="007C3635" w:rsidP="30223CC4">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3,610</w:t>
            </w:r>
          </w:p>
        </w:tc>
        <w:tc>
          <w:tcPr>
            <w:tcW w:w="1261" w:type="dxa"/>
          </w:tcPr>
          <w:p w14:paraId="71BC5458" w14:textId="77777777" w:rsidR="007C3635" w:rsidRPr="0062487B" w:rsidRDefault="007C3635" w:rsidP="30223CC4">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4,041</w:t>
            </w:r>
          </w:p>
        </w:tc>
        <w:tc>
          <w:tcPr>
            <w:tcW w:w="1261" w:type="dxa"/>
          </w:tcPr>
          <w:p w14:paraId="60FC97FF" w14:textId="77777777" w:rsidR="007C3635" w:rsidRPr="0062487B" w:rsidRDefault="007C3635" w:rsidP="30223CC4">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4,440</w:t>
            </w:r>
          </w:p>
        </w:tc>
        <w:tc>
          <w:tcPr>
            <w:tcW w:w="1121" w:type="dxa"/>
          </w:tcPr>
          <w:p w14:paraId="555FFE5B" w14:textId="77777777" w:rsidR="007C3635" w:rsidRPr="0062487B" w:rsidRDefault="007C3635" w:rsidP="30223CC4">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4,826</w:t>
            </w:r>
          </w:p>
        </w:tc>
        <w:tc>
          <w:tcPr>
            <w:tcW w:w="1400" w:type="dxa"/>
          </w:tcPr>
          <w:p w14:paraId="29079A6A" w14:textId="0A9CF360" w:rsidR="007C3635" w:rsidRPr="0062487B" w:rsidRDefault="007C3635" w:rsidP="00B70BF2">
            <w:pPr>
              <w:jc w:val="right"/>
              <w:rPr>
                <w:rFonts w:asciiTheme="minorHAnsi" w:hAnsiTheme="minorHAnsi" w:cstheme="minorHAnsi"/>
                <w:color w:val="000000" w:themeColor="text1"/>
              </w:rPr>
            </w:pPr>
            <w:r w:rsidRPr="0062487B">
              <w:rPr>
                <w:rFonts w:asciiTheme="minorHAnsi" w:hAnsiTheme="minorHAnsi" w:cstheme="minorHAnsi"/>
                <w:color w:val="000000" w:themeColor="text1"/>
              </w:rPr>
              <w:t>917</w:t>
            </w:r>
          </w:p>
        </w:tc>
        <w:tc>
          <w:tcPr>
            <w:tcW w:w="1400" w:type="dxa"/>
          </w:tcPr>
          <w:p w14:paraId="40E5A98A" w14:textId="2BD51807" w:rsidR="007C3635" w:rsidRPr="0062487B" w:rsidRDefault="007C3635" w:rsidP="30223CC4">
            <w:pPr>
              <w:ind w:left="720"/>
              <w:jc w:val="right"/>
              <w:rPr>
                <w:rFonts w:asciiTheme="minorHAnsi" w:hAnsiTheme="minorHAnsi" w:cstheme="minorHAnsi"/>
                <w:color w:val="000000" w:themeColor="text1"/>
              </w:rPr>
            </w:pPr>
            <w:r w:rsidRPr="0062487B">
              <w:rPr>
                <w:rFonts w:asciiTheme="minorHAnsi" w:hAnsiTheme="minorHAnsi" w:cstheme="minorHAnsi"/>
                <w:color w:val="000000" w:themeColor="text1"/>
              </w:rPr>
              <w:t>23%</w:t>
            </w:r>
          </w:p>
        </w:tc>
      </w:tr>
      <w:tr w:rsidR="007C3635" w:rsidRPr="0062487B" w14:paraId="30355168" w14:textId="77777777" w:rsidTr="00CB61B2">
        <w:trPr>
          <w:trHeight w:val="319"/>
        </w:trPr>
        <w:tc>
          <w:tcPr>
            <w:tcW w:w="1400" w:type="dxa"/>
          </w:tcPr>
          <w:p w14:paraId="4E53BE1C" w14:textId="77777777" w:rsidR="007C3635" w:rsidRPr="0062487B" w:rsidRDefault="007C3635" w:rsidP="00066403">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65 and over</w:t>
            </w:r>
          </w:p>
        </w:tc>
        <w:tc>
          <w:tcPr>
            <w:tcW w:w="1041" w:type="dxa"/>
          </w:tcPr>
          <w:p w14:paraId="7DB11814" w14:textId="77777777" w:rsidR="007C3635" w:rsidRPr="0062487B" w:rsidRDefault="007C3635" w:rsidP="30223CC4">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5,427</w:t>
            </w:r>
          </w:p>
        </w:tc>
        <w:tc>
          <w:tcPr>
            <w:tcW w:w="1261" w:type="dxa"/>
          </w:tcPr>
          <w:p w14:paraId="0DF5A44A" w14:textId="77777777" w:rsidR="007C3635" w:rsidRPr="0062487B" w:rsidRDefault="007C3635" w:rsidP="30223CC4">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6,379</w:t>
            </w:r>
          </w:p>
        </w:tc>
        <w:tc>
          <w:tcPr>
            <w:tcW w:w="1261" w:type="dxa"/>
          </w:tcPr>
          <w:p w14:paraId="23AC6973" w14:textId="77777777" w:rsidR="007C3635" w:rsidRPr="0062487B" w:rsidRDefault="007C3635" w:rsidP="30223CC4">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7,312</w:t>
            </w:r>
          </w:p>
        </w:tc>
        <w:tc>
          <w:tcPr>
            <w:tcW w:w="1261" w:type="dxa"/>
          </w:tcPr>
          <w:p w14:paraId="28562DF5" w14:textId="77777777" w:rsidR="007C3635" w:rsidRPr="0062487B" w:rsidRDefault="007C3635" w:rsidP="30223CC4">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8,216</w:t>
            </w:r>
          </w:p>
        </w:tc>
        <w:tc>
          <w:tcPr>
            <w:tcW w:w="1121" w:type="dxa"/>
          </w:tcPr>
          <w:p w14:paraId="0D2DC6EE" w14:textId="77777777" w:rsidR="007C3635" w:rsidRPr="0062487B" w:rsidRDefault="007C3635" w:rsidP="30223CC4">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9,133</w:t>
            </w:r>
          </w:p>
        </w:tc>
        <w:tc>
          <w:tcPr>
            <w:tcW w:w="1400" w:type="dxa"/>
          </w:tcPr>
          <w:p w14:paraId="6D48559D" w14:textId="3021C5F8" w:rsidR="007C3635" w:rsidRPr="0062487B" w:rsidRDefault="007C3635" w:rsidP="00B70BF2">
            <w:pPr>
              <w:jc w:val="right"/>
              <w:rPr>
                <w:rFonts w:asciiTheme="minorHAnsi" w:hAnsiTheme="minorHAnsi" w:cstheme="minorHAnsi"/>
                <w:color w:val="000000" w:themeColor="text1"/>
              </w:rPr>
            </w:pPr>
            <w:r w:rsidRPr="0062487B">
              <w:rPr>
                <w:rFonts w:asciiTheme="minorHAnsi" w:hAnsiTheme="minorHAnsi" w:cstheme="minorHAnsi"/>
                <w:color w:val="000000" w:themeColor="text1"/>
              </w:rPr>
              <w:t>3,706</w:t>
            </w:r>
          </w:p>
        </w:tc>
        <w:tc>
          <w:tcPr>
            <w:tcW w:w="1400" w:type="dxa"/>
          </w:tcPr>
          <w:p w14:paraId="2025CB09" w14:textId="23BB8E21" w:rsidR="007C3635" w:rsidRPr="0062487B" w:rsidRDefault="007C3635" w:rsidP="30223CC4">
            <w:pPr>
              <w:ind w:left="720"/>
              <w:jc w:val="right"/>
              <w:rPr>
                <w:rFonts w:asciiTheme="minorHAnsi" w:hAnsiTheme="minorHAnsi" w:cstheme="minorHAnsi"/>
                <w:color w:val="000000" w:themeColor="text1"/>
              </w:rPr>
            </w:pPr>
            <w:r w:rsidRPr="0062487B">
              <w:rPr>
                <w:rFonts w:asciiTheme="minorHAnsi" w:hAnsiTheme="minorHAnsi" w:cstheme="minorHAnsi"/>
                <w:color w:val="000000" w:themeColor="text1"/>
              </w:rPr>
              <w:t>68%</w:t>
            </w:r>
          </w:p>
        </w:tc>
      </w:tr>
      <w:tr w:rsidR="007C3635" w:rsidRPr="0062487B" w14:paraId="1036C77C" w14:textId="77777777" w:rsidTr="00CB61B2">
        <w:trPr>
          <w:trHeight w:val="309"/>
        </w:trPr>
        <w:tc>
          <w:tcPr>
            <w:tcW w:w="1400" w:type="dxa"/>
          </w:tcPr>
          <w:p w14:paraId="0880DE6C" w14:textId="77777777" w:rsidR="007C3635" w:rsidRPr="0062487B" w:rsidRDefault="007C3635" w:rsidP="00066403">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Total</w:t>
            </w:r>
          </w:p>
        </w:tc>
        <w:tc>
          <w:tcPr>
            <w:tcW w:w="1041" w:type="dxa"/>
          </w:tcPr>
          <w:p w14:paraId="52E18E54" w14:textId="77777777" w:rsidR="007C3635" w:rsidRPr="0062487B" w:rsidRDefault="007C3635" w:rsidP="30223CC4">
            <w:pPr>
              <w:contextualSpacing/>
              <w:jc w:val="center"/>
              <w:rPr>
                <w:rFonts w:asciiTheme="minorHAnsi" w:hAnsiTheme="minorHAnsi" w:cstheme="minorHAnsi"/>
                <w:color w:val="000000" w:themeColor="text1"/>
              </w:rPr>
            </w:pPr>
            <w:r w:rsidRPr="0062487B">
              <w:rPr>
                <w:rFonts w:asciiTheme="minorHAnsi" w:hAnsiTheme="minorHAnsi" w:cstheme="minorHAnsi"/>
                <w:b/>
                <w:bCs/>
                <w:color w:val="000000" w:themeColor="text1"/>
              </w:rPr>
              <w:t>11,295</w:t>
            </w:r>
          </w:p>
        </w:tc>
        <w:tc>
          <w:tcPr>
            <w:tcW w:w="1261" w:type="dxa"/>
          </w:tcPr>
          <w:p w14:paraId="321E1617" w14:textId="77777777" w:rsidR="007C3635" w:rsidRPr="0062487B" w:rsidRDefault="007C3635" w:rsidP="30223CC4">
            <w:pPr>
              <w:contextualSpacing/>
              <w:jc w:val="center"/>
              <w:rPr>
                <w:rFonts w:asciiTheme="minorHAnsi" w:hAnsiTheme="minorHAnsi" w:cstheme="minorHAnsi"/>
                <w:color w:val="000000" w:themeColor="text1"/>
              </w:rPr>
            </w:pPr>
            <w:r w:rsidRPr="0062487B">
              <w:rPr>
                <w:rFonts w:asciiTheme="minorHAnsi" w:hAnsiTheme="minorHAnsi" w:cstheme="minorHAnsi"/>
                <w:b/>
                <w:bCs/>
                <w:color w:val="000000" w:themeColor="text1"/>
              </w:rPr>
              <w:t>13,286</w:t>
            </w:r>
          </w:p>
        </w:tc>
        <w:tc>
          <w:tcPr>
            <w:tcW w:w="1261" w:type="dxa"/>
          </w:tcPr>
          <w:p w14:paraId="47424792" w14:textId="77777777" w:rsidR="007C3635" w:rsidRPr="0062487B" w:rsidRDefault="007C3635" w:rsidP="30223CC4">
            <w:pPr>
              <w:contextualSpacing/>
              <w:jc w:val="center"/>
              <w:rPr>
                <w:rFonts w:asciiTheme="minorHAnsi" w:hAnsiTheme="minorHAnsi" w:cstheme="minorHAnsi"/>
                <w:color w:val="000000" w:themeColor="text1"/>
              </w:rPr>
            </w:pPr>
            <w:r w:rsidRPr="0062487B">
              <w:rPr>
                <w:rFonts w:asciiTheme="minorHAnsi" w:hAnsiTheme="minorHAnsi" w:cstheme="minorHAnsi"/>
                <w:b/>
                <w:bCs/>
                <w:color w:val="000000" w:themeColor="text1"/>
              </w:rPr>
              <w:t>15,056</w:t>
            </w:r>
          </w:p>
        </w:tc>
        <w:tc>
          <w:tcPr>
            <w:tcW w:w="1261" w:type="dxa"/>
          </w:tcPr>
          <w:p w14:paraId="54C0965D" w14:textId="77777777" w:rsidR="007C3635" w:rsidRPr="0062487B" w:rsidRDefault="007C3635" w:rsidP="30223CC4">
            <w:pPr>
              <w:contextualSpacing/>
              <w:jc w:val="center"/>
              <w:rPr>
                <w:rFonts w:asciiTheme="minorHAnsi" w:hAnsiTheme="minorHAnsi" w:cstheme="minorHAnsi"/>
                <w:color w:val="000000" w:themeColor="text1"/>
              </w:rPr>
            </w:pPr>
            <w:r w:rsidRPr="0062487B">
              <w:rPr>
                <w:rFonts w:asciiTheme="minorHAnsi" w:hAnsiTheme="minorHAnsi" w:cstheme="minorHAnsi"/>
                <w:b/>
                <w:bCs/>
                <w:color w:val="000000" w:themeColor="text1"/>
              </w:rPr>
              <w:t>16,743</w:t>
            </w:r>
          </w:p>
        </w:tc>
        <w:tc>
          <w:tcPr>
            <w:tcW w:w="1121" w:type="dxa"/>
          </w:tcPr>
          <w:p w14:paraId="7B553DF5" w14:textId="77777777" w:rsidR="007C3635" w:rsidRPr="0062487B" w:rsidRDefault="007C3635" w:rsidP="30223CC4">
            <w:pPr>
              <w:contextualSpacing/>
              <w:jc w:val="center"/>
              <w:rPr>
                <w:rFonts w:asciiTheme="minorHAnsi" w:hAnsiTheme="minorHAnsi" w:cstheme="minorHAnsi"/>
                <w:color w:val="000000" w:themeColor="text1"/>
              </w:rPr>
            </w:pPr>
            <w:r w:rsidRPr="0062487B">
              <w:rPr>
                <w:rFonts w:asciiTheme="minorHAnsi" w:hAnsiTheme="minorHAnsi" w:cstheme="minorHAnsi"/>
                <w:b/>
                <w:bCs/>
                <w:color w:val="000000" w:themeColor="text1"/>
              </w:rPr>
              <w:t>18,425</w:t>
            </w:r>
          </w:p>
        </w:tc>
        <w:tc>
          <w:tcPr>
            <w:tcW w:w="1400" w:type="dxa"/>
          </w:tcPr>
          <w:p w14:paraId="7E397438" w14:textId="252AD604" w:rsidR="007C3635" w:rsidRPr="0062487B" w:rsidRDefault="00B70BF2" w:rsidP="00B70BF2">
            <w:pPr>
              <w:jc w:val="right"/>
              <w:rPr>
                <w:rFonts w:asciiTheme="minorHAnsi" w:hAnsiTheme="minorHAnsi" w:cstheme="minorHAnsi"/>
                <w:b/>
                <w:bCs/>
                <w:color w:val="000000" w:themeColor="text1"/>
              </w:rPr>
            </w:pPr>
            <w:r w:rsidRPr="0062487B">
              <w:rPr>
                <w:rFonts w:asciiTheme="minorHAnsi" w:hAnsiTheme="minorHAnsi" w:cstheme="minorHAnsi"/>
                <w:b/>
                <w:bCs/>
                <w:color w:val="000000" w:themeColor="text1"/>
              </w:rPr>
              <w:t>7,130</w:t>
            </w:r>
          </w:p>
        </w:tc>
        <w:tc>
          <w:tcPr>
            <w:tcW w:w="1400" w:type="dxa"/>
          </w:tcPr>
          <w:p w14:paraId="18D1C9CF" w14:textId="3EA56BF6" w:rsidR="007C3635" w:rsidRPr="0062487B" w:rsidRDefault="007C3635" w:rsidP="00B70BF2">
            <w:pPr>
              <w:jc w:val="right"/>
              <w:rPr>
                <w:rFonts w:asciiTheme="minorHAnsi" w:hAnsiTheme="minorHAnsi" w:cstheme="minorHAnsi"/>
                <w:b/>
                <w:bCs/>
                <w:color w:val="000000" w:themeColor="text1"/>
              </w:rPr>
            </w:pPr>
            <w:r w:rsidRPr="0062487B">
              <w:rPr>
                <w:rFonts w:asciiTheme="minorHAnsi" w:hAnsiTheme="minorHAnsi" w:cstheme="minorHAnsi"/>
                <w:b/>
                <w:bCs/>
                <w:color w:val="000000" w:themeColor="text1"/>
              </w:rPr>
              <w:t>63%</w:t>
            </w:r>
          </w:p>
        </w:tc>
      </w:tr>
    </w:tbl>
    <w:p w14:paraId="382B0C46" w14:textId="31B549BB" w:rsidR="00FD0662" w:rsidRPr="0062487B" w:rsidRDefault="00FD0662" w:rsidP="00FD0662">
      <w:pPr>
        <w:rPr>
          <w:rFonts w:asciiTheme="minorHAnsi" w:hAnsiTheme="minorHAnsi" w:cstheme="minorHAnsi"/>
          <w:color w:val="2F5897" w:themeColor="text2"/>
        </w:rPr>
      </w:pPr>
    </w:p>
    <w:p w14:paraId="007AE3EE" w14:textId="38C7DB85" w:rsidR="43BF69BC" w:rsidRPr="0062487B" w:rsidRDefault="54742B9A" w:rsidP="78F650E0">
      <w:pPr>
        <w:rPr>
          <w:rFonts w:asciiTheme="minorHAnsi" w:hAnsiTheme="minorHAnsi" w:cstheme="minorBidi"/>
        </w:rPr>
      </w:pPr>
      <w:r w:rsidRPr="17FA2F59">
        <w:rPr>
          <w:rFonts w:asciiTheme="minorHAnsi" w:hAnsiTheme="minorHAnsi" w:cstheme="minorBidi"/>
          <w:color w:val="000000" w:themeColor="text1"/>
        </w:rPr>
        <w:t>The Applicant determined 78 beds are needed to accommodate the anticipated volume</w:t>
      </w:r>
      <w:r w:rsidR="0028219A">
        <w:rPr>
          <w:rFonts w:asciiTheme="minorHAnsi" w:hAnsiTheme="minorHAnsi" w:cstheme="minorBidi"/>
          <w:color w:val="000000" w:themeColor="text1"/>
        </w:rPr>
        <w:t xml:space="preserve">, shown in </w:t>
      </w:r>
      <w:r w:rsidR="36E26890" w:rsidRPr="17FA2F59">
        <w:rPr>
          <w:rFonts w:asciiTheme="minorHAnsi" w:hAnsiTheme="minorHAnsi" w:cstheme="minorBidi"/>
          <w:color w:val="000000" w:themeColor="text1"/>
        </w:rPr>
        <w:t>Table</w:t>
      </w:r>
      <w:r w:rsidR="3E94D438" w:rsidRPr="17FA2F59">
        <w:rPr>
          <w:rFonts w:asciiTheme="minorHAnsi" w:hAnsiTheme="minorHAnsi" w:cstheme="minorBidi"/>
          <w:color w:val="000000" w:themeColor="text1"/>
        </w:rPr>
        <w:t xml:space="preserve"> 8</w:t>
      </w:r>
      <w:r w:rsidRPr="17FA2F59">
        <w:rPr>
          <w:rFonts w:asciiTheme="minorHAnsi" w:hAnsiTheme="minorHAnsi" w:cstheme="minorBidi"/>
          <w:color w:val="000000" w:themeColor="text1"/>
        </w:rPr>
        <w:t xml:space="preserve">. </w:t>
      </w:r>
      <w:r w:rsidR="1286A34D" w:rsidRPr="17FA2F59">
        <w:rPr>
          <w:rFonts w:asciiTheme="minorHAnsi" w:hAnsiTheme="minorHAnsi" w:cstheme="minorBidi"/>
          <w:color w:val="000000" w:themeColor="text1"/>
        </w:rPr>
        <w:t>The table</w:t>
      </w:r>
      <w:r w:rsidR="13826268" w:rsidRPr="17FA2F59">
        <w:rPr>
          <w:rFonts w:asciiTheme="minorHAnsi" w:hAnsiTheme="minorHAnsi" w:cstheme="minorBidi"/>
          <w:color w:val="000000" w:themeColor="text1"/>
        </w:rPr>
        <w:t xml:space="preserve"> focuses on bed days, reflects both</w:t>
      </w:r>
      <w:r w:rsidR="50FD8616" w:rsidRPr="17FA2F59">
        <w:rPr>
          <w:rFonts w:asciiTheme="minorHAnsi" w:hAnsiTheme="minorHAnsi" w:cstheme="minorBidi"/>
          <w:color w:val="000000" w:themeColor="text1"/>
        </w:rPr>
        <w:t xml:space="preserve"> the</w:t>
      </w:r>
      <w:r w:rsidR="13826268" w:rsidRPr="17FA2F59">
        <w:rPr>
          <w:rFonts w:asciiTheme="minorHAnsi" w:hAnsiTheme="minorHAnsi" w:cstheme="minorBidi"/>
          <w:color w:val="000000" w:themeColor="text1"/>
        </w:rPr>
        <w:t xml:space="preserve"> number of patients and days spen</w:t>
      </w:r>
      <w:r w:rsidR="50FD8616" w:rsidRPr="17FA2F59">
        <w:rPr>
          <w:rFonts w:asciiTheme="minorHAnsi" w:hAnsiTheme="minorHAnsi" w:cstheme="minorBidi"/>
          <w:color w:val="000000" w:themeColor="text1"/>
        </w:rPr>
        <w:t>t</w:t>
      </w:r>
      <w:r w:rsidR="13826268" w:rsidRPr="17FA2F59">
        <w:rPr>
          <w:rFonts w:asciiTheme="minorHAnsi" w:hAnsiTheme="minorHAnsi" w:cstheme="minorBidi"/>
          <w:color w:val="000000" w:themeColor="text1"/>
        </w:rPr>
        <w:t xml:space="preserve"> in a </w:t>
      </w:r>
      <w:r w:rsidR="0FF046EF" w:rsidRPr="17FA2F59">
        <w:rPr>
          <w:rFonts w:asciiTheme="minorHAnsi" w:hAnsiTheme="minorHAnsi" w:cstheme="minorBidi"/>
          <w:color w:val="000000" w:themeColor="text1"/>
        </w:rPr>
        <w:t>bed</w:t>
      </w:r>
      <w:r w:rsidR="0097326B">
        <w:rPr>
          <w:rFonts w:asciiTheme="minorHAnsi" w:hAnsiTheme="minorHAnsi" w:cstheme="minorBidi"/>
          <w:color w:val="000000" w:themeColor="text1"/>
        </w:rPr>
        <w:t>,</w:t>
      </w:r>
      <w:r w:rsidR="0FF046EF" w:rsidRPr="17FA2F59">
        <w:rPr>
          <w:rFonts w:asciiTheme="minorHAnsi" w:hAnsiTheme="minorHAnsi" w:cstheme="minorBidi"/>
          <w:color w:val="000000" w:themeColor="text1"/>
        </w:rPr>
        <w:t xml:space="preserve"> and</w:t>
      </w:r>
      <w:r w:rsidR="3A116F11" w:rsidRPr="17FA2F59">
        <w:rPr>
          <w:rFonts w:asciiTheme="minorHAnsi" w:hAnsiTheme="minorHAnsi" w:cstheme="minorBidi"/>
          <w:color w:val="000000" w:themeColor="text1"/>
        </w:rPr>
        <w:t xml:space="preserve"> </w:t>
      </w:r>
      <w:r w:rsidR="1CFD635D" w:rsidRPr="17FA2F59">
        <w:rPr>
          <w:rFonts w:asciiTheme="minorHAnsi" w:hAnsiTheme="minorHAnsi" w:cstheme="minorBidi"/>
          <w:color w:val="000000" w:themeColor="text1"/>
        </w:rPr>
        <w:t>shows the incremental volume growth after the baseline (2019)</w:t>
      </w:r>
      <w:r w:rsidR="436DF94D" w:rsidRPr="17FA2F59">
        <w:rPr>
          <w:rFonts w:asciiTheme="minorHAnsi" w:hAnsiTheme="minorHAnsi" w:cstheme="minorBidi"/>
          <w:color w:val="000000" w:themeColor="text1"/>
        </w:rPr>
        <w:t xml:space="preserve">. </w:t>
      </w:r>
      <w:r w:rsidR="0097326B" w:rsidRPr="17FA2F59">
        <w:rPr>
          <w:rFonts w:asciiTheme="minorHAnsi" w:hAnsiTheme="minorHAnsi" w:cstheme="minorBidi"/>
        </w:rPr>
        <w:t xml:space="preserve">Any currently shifted services or transfers from BWH to BWFH are included within the </w:t>
      </w:r>
      <w:proofErr w:type="gramStart"/>
      <w:r w:rsidR="0097326B" w:rsidRPr="17FA2F59">
        <w:rPr>
          <w:rFonts w:asciiTheme="minorHAnsi" w:hAnsiTheme="minorHAnsi" w:cstheme="minorBidi"/>
        </w:rPr>
        <w:t>11,295 baseline</w:t>
      </w:r>
      <w:proofErr w:type="gramEnd"/>
      <w:r w:rsidR="0097326B">
        <w:rPr>
          <w:rFonts w:asciiTheme="minorHAnsi" w:hAnsiTheme="minorHAnsi" w:cstheme="minorBidi"/>
        </w:rPr>
        <w:t xml:space="preserve"> figure</w:t>
      </w:r>
      <w:r w:rsidR="0097326B" w:rsidRPr="17FA2F59">
        <w:rPr>
          <w:rFonts w:asciiTheme="minorHAnsi" w:hAnsiTheme="minorHAnsi" w:cstheme="minorBidi"/>
        </w:rPr>
        <w:t xml:space="preserve"> (FY19)</w:t>
      </w:r>
      <w:r w:rsidR="008F7F5D">
        <w:rPr>
          <w:rFonts w:asciiTheme="minorHAnsi" w:hAnsiTheme="minorHAnsi" w:cstheme="minorBidi"/>
        </w:rPr>
        <w:t xml:space="preserve"> under patient growth</w:t>
      </w:r>
      <w:r w:rsidR="0097326B" w:rsidRPr="17FA2F59">
        <w:rPr>
          <w:rFonts w:asciiTheme="minorHAnsi" w:hAnsiTheme="minorHAnsi" w:cstheme="minorBidi"/>
        </w:rPr>
        <w:t xml:space="preserve">. </w:t>
      </w:r>
      <w:r w:rsidR="03646F76" w:rsidRPr="17FA2F59">
        <w:rPr>
          <w:rFonts w:asciiTheme="minorHAnsi" w:hAnsiTheme="minorHAnsi" w:cstheme="minorBidi"/>
          <w:color w:val="000000" w:themeColor="text1"/>
        </w:rPr>
        <w:t xml:space="preserve"> </w:t>
      </w:r>
      <w:r w:rsidR="007D5EF2">
        <w:rPr>
          <w:rFonts w:asciiTheme="minorHAnsi" w:hAnsiTheme="minorHAnsi" w:cstheme="minorBidi"/>
          <w:color w:val="000000" w:themeColor="text1"/>
        </w:rPr>
        <w:t>T</w:t>
      </w:r>
      <w:r w:rsidR="00F92155">
        <w:rPr>
          <w:rFonts w:asciiTheme="minorHAnsi" w:hAnsiTheme="minorHAnsi" w:cstheme="minorBidi"/>
          <w:color w:val="000000" w:themeColor="text1"/>
        </w:rPr>
        <w:t xml:space="preserve">he table </w:t>
      </w:r>
      <w:r w:rsidR="608F81B9" w:rsidRPr="17FA2F59">
        <w:rPr>
          <w:rFonts w:asciiTheme="minorHAnsi" w:hAnsiTheme="minorHAnsi" w:cstheme="minorBidi"/>
        </w:rPr>
        <w:t>was intended to show any incremental volume growth after the baseline period, to demonstrate the need for the 78 requested beds</w:t>
      </w:r>
      <w:r w:rsidR="007D5EF2">
        <w:rPr>
          <w:rFonts w:asciiTheme="minorHAnsi" w:hAnsiTheme="minorHAnsi" w:cstheme="minorBidi"/>
        </w:rPr>
        <w:t xml:space="preserve">, so </w:t>
      </w:r>
      <w:r w:rsidR="007D5EF2" w:rsidRPr="17FA2F59">
        <w:rPr>
          <w:rFonts w:asciiTheme="minorHAnsi" w:hAnsiTheme="minorHAnsi" w:cstheme="minorBidi"/>
          <w:color w:val="000000" w:themeColor="text1"/>
        </w:rPr>
        <w:t xml:space="preserve">baseline for transfers for FY19 </w:t>
      </w:r>
      <w:r w:rsidR="007D5EF2">
        <w:rPr>
          <w:rFonts w:asciiTheme="minorHAnsi" w:hAnsiTheme="minorHAnsi" w:cstheme="minorBidi"/>
          <w:color w:val="000000" w:themeColor="text1"/>
        </w:rPr>
        <w:t xml:space="preserve">is listed </w:t>
      </w:r>
      <w:r w:rsidR="007D5EF2" w:rsidRPr="17FA2F59">
        <w:rPr>
          <w:rFonts w:asciiTheme="minorHAnsi" w:hAnsiTheme="minorHAnsi" w:cstheme="minorBidi"/>
          <w:color w:val="000000" w:themeColor="text1"/>
        </w:rPr>
        <w:t>as zero</w:t>
      </w:r>
      <w:r w:rsidR="608F81B9" w:rsidRPr="17FA2F59">
        <w:rPr>
          <w:rFonts w:asciiTheme="minorHAnsi" w:hAnsiTheme="minorHAnsi" w:cstheme="minorBidi"/>
        </w:rPr>
        <w:t xml:space="preserve">. </w:t>
      </w:r>
      <w:r w:rsidR="00F92155">
        <w:rPr>
          <w:rFonts w:asciiTheme="minorHAnsi" w:hAnsiTheme="minorHAnsi" w:cstheme="minorBidi"/>
        </w:rPr>
        <w:t>Per the Applicant, t</w:t>
      </w:r>
      <w:r w:rsidR="608F81B9" w:rsidRPr="17FA2F59">
        <w:rPr>
          <w:rFonts w:asciiTheme="minorHAnsi" w:hAnsiTheme="minorHAnsi" w:cstheme="minorBidi"/>
        </w:rPr>
        <w:t xml:space="preserve">he table intends to show the growth resulting from shifting services and transfer volume, all after 2019. </w:t>
      </w:r>
      <w:r w:rsidR="608F81B9" w:rsidRPr="17FA2F59">
        <w:rPr>
          <w:rFonts w:asciiTheme="minorHAnsi" w:hAnsiTheme="minorHAnsi" w:cstheme="minorBidi"/>
          <w:color w:val="000000" w:themeColor="text1"/>
        </w:rPr>
        <w:t xml:space="preserve">The Applicant anticipates that volume, patient days, and average daily census will increase </w:t>
      </w:r>
      <w:proofErr w:type="gramStart"/>
      <w:r w:rsidR="608F81B9" w:rsidRPr="17FA2F59">
        <w:rPr>
          <w:rFonts w:asciiTheme="minorHAnsi" w:hAnsiTheme="minorHAnsi" w:cstheme="minorBidi"/>
          <w:color w:val="000000" w:themeColor="text1"/>
        </w:rPr>
        <w:t>as a result of</w:t>
      </w:r>
      <w:proofErr w:type="gramEnd"/>
      <w:r w:rsidR="608F81B9" w:rsidRPr="17FA2F59">
        <w:rPr>
          <w:rFonts w:asciiTheme="minorHAnsi" w:hAnsiTheme="minorHAnsi" w:cstheme="minorBidi"/>
          <w:color w:val="000000" w:themeColor="text1"/>
        </w:rPr>
        <w:t xml:space="preserve"> patient growth at BWFH.</w:t>
      </w:r>
    </w:p>
    <w:p w14:paraId="4D784F66" w14:textId="554C58FC" w:rsidR="30223CC4" w:rsidRPr="0062487B" w:rsidRDefault="30223CC4" w:rsidP="30223CC4">
      <w:pPr>
        <w:rPr>
          <w:rFonts w:asciiTheme="minorHAnsi" w:hAnsiTheme="minorHAnsi" w:cstheme="minorHAnsi"/>
          <w:color w:val="000000" w:themeColor="text1"/>
        </w:rPr>
      </w:pPr>
    </w:p>
    <w:p w14:paraId="53FEC677" w14:textId="24C86176" w:rsidR="00202311" w:rsidRDefault="6C05F35B" w:rsidP="17FA2F59">
      <w:pPr>
        <w:rPr>
          <w:rFonts w:asciiTheme="minorHAnsi" w:hAnsiTheme="minorHAnsi" w:cstheme="minorBidi"/>
          <w:b/>
          <w:bCs/>
        </w:rPr>
      </w:pPr>
      <w:r w:rsidRPr="17FA2F59">
        <w:rPr>
          <w:rFonts w:asciiTheme="minorHAnsi" w:hAnsiTheme="minorHAnsi" w:cstheme="minorBidi"/>
          <w:b/>
          <w:bCs/>
          <w:u w:val="single"/>
        </w:rPr>
        <w:t>Table 8</w:t>
      </w:r>
      <w:r w:rsidRPr="17FA2F59">
        <w:rPr>
          <w:rFonts w:asciiTheme="minorHAnsi" w:hAnsiTheme="minorHAnsi" w:cstheme="minorBidi"/>
          <w:b/>
          <w:bCs/>
        </w:rPr>
        <w:t xml:space="preserve">: </w:t>
      </w:r>
      <w:r w:rsidR="287A453F" w:rsidRPr="17FA2F59">
        <w:rPr>
          <w:rFonts w:asciiTheme="minorHAnsi" w:hAnsiTheme="minorHAnsi" w:cstheme="minorBidi"/>
          <w:b/>
          <w:bCs/>
        </w:rPr>
        <w:t>Bed Need Analysis: Projected Increase in Volume, Patient Days, and Average Daily Census</w:t>
      </w:r>
    </w:p>
    <w:p w14:paraId="364FB61F" w14:textId="77777777" w:rsidR="00D85B13" w:rsidRPr="0062487B" w:rsidRDefault="00D85B13" w:rsidP="17FA2F59">
      <w:pPr>
        <w:rPr>
          <w:rFonts w:asciiTheme="minorHAnsi" w:hAnsiTheme="minorHAnsi" w:cstheme="minorBidi"/>
          <w:b/>
          <w:bCs/>
          <w:color w:val="2F5897" w:themeColor="text2"/>
        </w:rPr>
      </w:pPr>
    </w:p>
    <w:tbl>
      <w:tblPr>
        <w:tblStyle w:val="TableGrid"/>
        <w:tblW w:w="990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00"/>
        <w:gridCol w:w="720"/>
        <w:gridCol w:w="720"/>
        <w:gridCol w:w="793"/>
        <w:gridCol w:w="737"/>
        <w:gridCol w:w="720"/>
        <w:gridCol w:w="810"/>
        <w:gridCol w:w="810"/>
        <w:gridCol w:w="630"/>
        <w:gridCol w:w="810"/>
        <w:gridCol w:w="1350"/>
      </w:tblGrid>
      <w:tr w:rsidR="00CD2BD1" w:rsidRPr="0062487B" w14:paraId="64789DE6" w14:textId="0E8AF633" w:rsidTr="007507B0">
        <w:trPr>
          <w:trHeight w:val="467"/>
        </w:trPr>
        <w:tc>
          <w:tcPr>
            <w:tcW w:w="1800" w:type="dxa"/>
            <w:shd w:val="clear" w:color="auto" w:fill="DFE3F0" w:themeFill="accent1" w:themeFillTint="33"/>
          </w:tcPr>
          <w:p w14:paraId="139D0B6F" w14:textId="77777777" w:rsidR="002866BB" w:rsidRPr="0062487B" w:rsidRDefault="002866BB" w:rsidP="00FD0662">
            <w:pPr>
              <w:rPr>
                <w:rFonts w:asciiTheme="minorHAnsi" w:hAnsiTheme="minorHAnsi" w:cstheme="minorHAnsi"/>
                <w:color w:val="2F5897" w:themeColor="text2"/>
                <w:sz w:val="20"/>
                <w:szCs w:val="20"/>
              </w:rPr>
            </w:pPr>
          </w:p>
        </w:tc>
        <w:tc>
          <w:tcPr>
            <w:tcW w:w="2233" w:type="dxa"/>
            <w:gridSpan w:val="3"/>
            <w:shd w:val="clear" w:color="auto" w:fill="DFE3F0" w:themeFill="accent1" w:themeFillTint="33"/>
          </w:tcPr>
          <w:p w14:paraId="6CC5787D" w14:textId="46F35ACA" w:rsidR="002866BB" w:rsidRPr="0062487B" w:rsidRDefault="002866BB" w:rsidP="002866BB">
            <w:pPr>
              <w:jc w:val="center"/>
              <w:rPr>
                <w:rFonts w:asciiTheme="minorHAnsi" w:hAnsiTheme="minorHAnsi" w:cstheme="minorHAnsi"/>
                <w:b/>
                <w:bCs/>
                <w:color w:val="000000" w:themeColor="text1"/>
                <w:sz w:val="20"/>
                <w:szCs w:val="20"/>
              </w:rPr>
            </w:pPr>
            <w:r w:rsidRPr="0062487B">
              <w:rPr>
                <w:rFonts w:asciiTheme="minorHAnsi" w:hAnsiTheme="minorHAnsi" w:cstheme="minorHAnsi"/>
                <w:b/>
                <w:bCs/>
                <w:color w:val="000000" w:themeColor="text1"/>
                <w:sz w:val="20"/>
                <w:szCs w:val="20"/>
              </w:rPr>
              <w:t>Volume</w:t>
            </w:r>
          </w:p>
        </w:tc>
        <w:tc>
          <w:tcPr>
            <w:tcW w:w="2267" w:type="dxa"/>
            <w:gridSpan w:val="3"/>
            <w:shd w:val="clear" w:color="auto" w:fill="DFE3F0" w:themeFill="accent1" w:themeFillTint="33"/>
          </w:tcPr>
          <w:p w14:paraId="0253EB2F" w14:textId="69D636B3" w:rsidR="002866BB" w:rsidRPr="0062487B" w:rsidRDefault="002866BB" w:rsidP="002866BB">
            <w:pPr>
              <w:jc w:val="center"/>
              <w:rPr>
                <w:rFonts w:asciiTheme="minorHAnsi" w:hAnsiTheme="minorHAnsi" w:cstheme="minorHAnsi"/>
                <w:b/>
                <w:bCs/>
                <w:color w:val="000000" w:themeColor="text1"/>
                <w:sz w:val="20"/>
                <w:szCs w:val="20"/>
              </w:rPr>
            </w:pPr>
            <w:r w:rsidRPr="0062487B">
              <w:rPr>
                <w:rFonts w:asciiTheme="minorHAnsi" w:hAnsiTheme="minorHAnsi" w:cstheme="minorHAnsi"/>
                <w:b/>
                <w:bCs/>
                <w:color w:val="000000" w:themeColor="text1"/>
                <w:sz w:val="20"/>
                <w:szCs w:val="20"/>
              </w:rPr>
              <w:t>Patient Days</w:t>
            </w:r>
          </w:p>
        </w:tc>
        <w:tc>
          <w:tcPr>
            <w:tcW w:w="2250" w:type="dxa"/>
            <w:gridSpan w:val="3"/>
            <w:shd w:val="clear" w:color="auto" w:fill="DFE3F0" w:themeFill="accent1" w:themeFillTint="33"/>
          </w:tcPr>
          <w:p w14:paraId="03F83792" w14:textId="78DF470B" w:rsidR="002866BB" w:rsidRPr="0062487B" w:rsidRDefault="002866BB" w:rsidP="005171A3">
            <w:pPr>
              <w:jc w:val="center"/>
              <w:rPr>
                <w:rFonts w:asciiTheme="minorHAnsi" w:hAnsiTheme="minorHAnsi" w:cstheme="minorHAnsi"/>
                <w:b/>
                <w:bCs/>
                <w:color w:val="000000" w:themeColor="text1"/>
                <w:sz w:val="20"/>
                <w:szCs w:val="20"/>
              </w:rPr>
            </w:pPr>
            <w:r w:rsidRPr="0062487B">
              <w:rPr>
                <w:rFonts w:asciiTheme="minorHAnsi" w:hAnsiTheme="minorHAnsi" w:cstheme="minorHAnsi"/>
                <w:b/>
                <w:bCs/>
                <w:color w:val="000000" w:themeColor="text1"/>
                <w:sz w:val="20"/>
                <w:szCs w:val="20"/>
              </w:rPr>
              <w:t>Average Daily Census</w:t>
            </w:r>
          </w:p>
        </w:tc>
        <w:tc>
          <w:tcPr>
            <w:tcW w:w="1350" w:type="dxa"/>
            <w:shd w:val="clear" w:color="auto" w:fill="DFE3F0" w:themeFill="accent1" w:themeFillTint="33"/>
          </w:tcPr>
          <w:p w14:paraId="0413CDE9" w14:textId="163B877E" w:rsidR="002866BB" w:rsidRPr="0062487B" w:rsidRDefault="002866BB" w:rsidP="005171A3">
            <w:pPr>
              <w:jc w:val="center"/>
              <w:rPr>
                <w:rFonts w:asciiTheme="minorHAnsi" w:hAnsiTheme="minorHAnsi" w:cstheme="minorHAnsi"/>
                <w:b/>
                <w:bCs/>
                <w:color w:val="000000" w:themeColor="text1"/>
                <w:sz w:val="20"/>
                <w:szCs w:val="20"/>
              </w:rPr>
            </w:pPr>
            <w:r w:rsidRPr="0062487B">
              <w:rPr>
                <w:rFonts w:asciiTheme="minorHAnsi" w:hAnsiTheme="minorHAnsi" w:cstheme="minorHAnsi"/>
                <w:b/>
                <w:bCs/>
                <w:color w:val="000000" w:themeColor="text1"/>
                <w:sz w:val="20"/>
                <w:szCs w:val="20"/>
              </w:rPr>
              <w:t>Incremental Bed Need</w:t>
            </w:r>
          </w:p>
        </w:tc>
      </w:tr>
      <w:tr w:rsidR="00CD2BD1" w:rsidRPr="0062487B" w14:paraId="7083D9EA" w14:textId="06CF0CC9" w:rsidTr="007507B0">
        <w:trPr>
          <w:trHeight w:val="611"/>
        </w:trPr>
        <w:tc>
          <w:tcPr>
            <w:tcW w:w="1800" w:type="dxa"/>
            <w:shd w:val="clear" w:color="auto" w:fill="DFE3F0" w:themeFill="accent1" w:themeFillTint="33"/>
          </w:tcPr>
          <w:p w14:paraId="024E73CC" w14:textId="77777777" w:rsidR="004A230C" w:rsidRPr="0062487B" w:rsidRDefault="004A230C" w:rsidP="004A230C">
            <w:pPr>
              <w:rPr>
                <w:rFonts w:asciiTheme="minorHAnsi" w:hAnsiTheme="minorHAnsi" w:cstheme="minorHAnsi"/>
                <w:color w:val="2F5897" w:themeColor="text2"/>
                <w:sz w:val="20"/>
                <w:szCs w:val="20"/>
              </w:rPr>
            </w:pPr>
          </w:p>
        </w:tc>
        <w:tc>
          <w:tcPr>
            <w:tcW w:w="720" w:type="dxa"/>
            <w:shd w:val="clear" w:color="auto" w:fill="DFE3F0" w:themeFill="accent1" w:themeFillTint="33"/>
            <w:tcMar>
              <w:left w:w="0" w:type="dxa"/>
              <w:right w:w="0" w:type="dxa"/>
            </w:tcMar>
            <w:vAlign w:val="bottom"/>
          </w:tcPr>
          <w:p w14:paraId="16BD1A86" w14:textId="475CB0C8" w:rsidR="004A230C" w:rsidRPr="0062487B" w:rsidRDefault="43BF69BC" w:rsidP="005171A3">
            <w:pPr>
              <w:jc w:val="center"/>
              <w:rPr>
                <w:rFonts w:asciiTheme="minorHAnsi" w:hAnsiTheme="minorHAnsi" w:cstheme="minorHAnsi"/>
                <w:color w:val="2F5897" w:themeColor="text2"/>
                <w:sz w:val="20"/>
                <w:szCs w:val="20"/>
              </w:rPr>
            </w:pPr>
            <w:r w:rsidRPr="0062487B">
              <w:rPr>
                <w:rFonts w:asciiTheme="minorHAnsi" w:hAnsiTheme="minorHAnsi" w:cstheme="minorHAnsi"/>
                <w:b/>
                <w:bCs/>
                <w:color w:val="000000" w:themeColor="text1"/>
                <w:sz w:val="20"/>
                <w:szCs w:val="20"/>
              </w:rPr>
              <w:t>Baseline (FY19)</w:t>
            </w:r>
          </w:p>
        </w:tc>
        <w:tc>
          <w:tcPr>
            <w:tcW w:w="720" w:type="dxa"/>
            <w:shd w:val="clear" w:color="auto" w:fill="DFE3F0" w:themeFill="accent1" w:themeFillTint="33"/>
            <w:tcMar>
              <w:left w:w="0" w:type="dxa"/>
              <w:right w:w="0" w:type="dxa"/>
            </w:tcMar>
            <w:vAlign w:val="bottom"/>
          </w:tcPr>
          <w:p w14:paraId="6FAF501C" w14:textId="008C8D88" w:rsidR="004A230C" w:rsidRPr="0062487B" w:rsidRDefault="004A230C" w:rsidP="005171A3">
            <w:pPr>
              <w:jc w:val="center"/>
              <w:rPr>
                <w:rFonts w:asciiTheme="minorHAnsi" w:hAnsiTheme="minorHAnsi" w:cstheme="minorHAnsi"/>
                <w:color w:val="2F5897" w:themeColor="text2"/>
                <w:sz w:val="20"/>
                <w:szCs w:val="20"/>
              </w:rPr>
            </w:pPr>
            <w:r w:rsidRPr="0062487B">
              <w:rPr>
                <w:rFonts w:asciiTheme="minorHAnsi" w:hAnsiTheme="minorHAnsi" w:cstheme="minorHAnsi"/>
                <w:b/>
                <w:bCs/>
                <w:color w:val="000000"/>
                <w:sz w:val="20"/>
                <w:szCs w:val="20"/>
              </w:rPr>
              <w:t>FY27</w:t>
            </w:r>
          </w:p>
        </w:tc>
        <w:tc>
          <w:tcPr>
            <w:tcW w:w="793" w:type="dxa"/>
            <w:shd w:val="clear" w:color="auto" w:fill="DFE3F0" w:themeFill="accent1" w:themeFillTint="33"/>
            <w:tcMar>
              <w:left w:w="0" w:type="dxa"/>
              <w:right w:w="0" w:type="dxa"/>
            </w:tcMar>
            <w:vAlign w:val="bottom"/>
          </w:tcPr>
          <w:p w14:paraId="33A13351" w14:textId="1134E43A" w:rsidR="004A230C" w:rsidRPr="0062487B" w:rsidRDefault="004A230C" w:rsidP="005171A3">
            <w:pPr>
              <w:jc w:val="center"/>
              <w:rPr>
                <w:rFonts w:asciiTheme="minorHAnsi" w:hAnsiTheme="minorHAnsi" w:cstheme="minorHAnsi"/>
                <w:color w:val="2F5897" w:themeColor="text2"/>
                <w:sz w:val="20"/>
                <w:szCs w:val="20"/>
              </w:rPr>
            </w:pPr>
            <w:r w:rsidRPr="0062487B">
              <w:rPr>
                <w:rFonts w:asciiTheme="minorHAnsi" w:hAnsiTheme="minorHAnsi" w:cstheme="minorHAnsi"/>
                <w:b/>
                <w:bCs/>
                <w:color w:val="000000"/>
                <w:sz w:val="20"/>
                <w:szCs w:val="20"/>
              </w:rPr>
              <w:t>Increase</w:t>
            </w:r>
          </w:p>
        </w:tc>
        <w:tc>
          <w:tcPr>
            <w:tcW w:w="737" w:type="dxa"/>
            <w:shd w:val="clear" w:color="auto" w:fill="DFE3F0" w:themeFill="accent1" w:themeFillTint="33"/>
            <w:tcMar>
              <w:left w:w="0" w:type="dxa"/>
              <w:right w:w="0" w:type="dxa"/>
            </w:tcMar>
            <w:vAlign w:val="bottom"/>
          </w:tcPr>
          <w:p w14:paraId="4A3A68B1" w14:textId="1D94E6BE" w:rsidR="004A230C" w:rsidRPr="0062487B" w:rsidRDefault="004A230C" w:rsidP="005171A3">
            <w:pPr>
              <w:jc w:val="center"/>
              <w:rPr>
                <w:rFonts w:asciiTheme="minorHAnsi" w:hAnsiTheme="minorHAnsi" w:cstheme="minorHAnsi"/>
                <w:color w:val="2F5897" w:themeColor="text2"/>
                <w:sz w:val="20"/>
                <w:szCs w:val="20"/>
              </w:rPr>
            </w:pPr>
            <w:r w:rsidRPr="0062487B">
              <w:rPr>
                <w:rFonts w:asciiTheme="minorHAnsi" w:hAnsiTheme="minorHAnsi" w:cstheme="minorHAnsi"/>
                <w:b/>
                <w:bCs/>
                <w:color w:val="000000"/>
                <w:sz w:val="20"/>
                <w:szCs w:val="20"/>
              </w:rPr>
              <w:t>Baseline (FY19)</w:t>
            </w:r>
          </w:p>
        </w:tc>
        <w:tc>
          <w:tcPr>
            <w:tcW w:w="720" w:type="dxa"/>
            <w:shd w:val="clear" w:color="auto" w:fill="DFE3F0" w:themeFill="accent1" w:themeFillTint="33"/>
            <w:tcMar>
              <w:left w:w="0" w:type="dxa"/>
              <w:right w:w="0" w:type="dxa"/>
            </w:tcMar>
            <w:vAlign w:val="bottom"/>
          </w:tcPr>
          <w:p w14:paraId="3DCF25F8" w14:textId="3F850E0A" w:rsidR="004A230C" w:rsidRPr="0062487B" w:rsidRDefault="004A230C" w:rsidP="005171A3">
            <w:pPr>
              <w:jc w:val="center"/>
              <w:rPr>
                <w:rFonts w:asciiTheme="minorHAnsi" w:hAnsiTheme="minorHAnsi" w:cstheme="minorHAnsi"/>
                <w:color w:val="2F5897" w:themeColor="text2"/>
                <w:sz w:val="20"/>
                <w:szCs w:val="20"/>
              </w:rPr>
            </w:pPr>
            <w:r w:rsidRPr="0062487B">
              <w:rPr>
                <w:rFonts w:asciiTheme="minorHAnsi" w:hAnsiTheme="minorHAnsi" w:cstheme="minorHAnsi"/>
                <w:b/>
                <w:bCs/>
                <w:color w:val="000000"/>
                <w:sz w:val="20"/>
                <w:szCs w:val="20"/>
              </w:rPr>
              <w:t>FY27</w:t>
            </w:r>
          </w:p>
        </w:tc>
        <w:tc>
          <w:tcPr>
            <w:tcW w:w="810" w:type="dxa"/>
            <w:shd w:val="clear" w:color="auto" w:fill="DFE3F0" w:themeFill="accent1" w:themeFillTint="33"/>
            <w:tcMar>
              <w:left w:w="0" w:type="dxa"/>
              <w:right w:w="0" w:type="dxa"/>
            </w:tcMar>
            <w:vAlign w:val="bottom"/>
          </w:tcPr>
          <w:p w14:paraId="4EF06280" w14:textId="57487DAC" w:rsidR="004A230C" w:rsidRPr="0062487B" w:rsidRDefault="004A230C" w:rsidP="005171A3">
            <w:pPr>
              <w:jc w:val="center"/>
              <w:rPr>
                <w:rFonts w:asciiTheme="minorHAnsi" w:hAnsiTheme="minorHAnsi" w:cstheme="minorHAnsi"/>
                <w:color w:val="2F5897" w:themeColor="text2"/>
                <w:sz w:val="20"/>
                <w:szCs w:val="20"/>
              </w:rPr>
            </w:pPr>
            <w:r w:rsidRPr="0062487B">
              <w:rPr>
                <w:rFonts w:asciiTheme="minorHAnsi" w:hAnsiTheme="minorHAnsi" w:cstheme="minorHAnsi"/>
                <w:b/>
                <w:bCs/>
                <w:color w:val="000000"/>
                <w:sz w:val="20"/>
                <w:szCs w:val="20"/>
              </w:rPr>
              <w:t>Increase</w:t>
            </w:r>
          </w:p>
        </w:tc>
        <w:tc>
          <w:tcPr>
            <w:tcW w:w="810" w:type="dxa"/>
            <w:shd w:val="clear" w:color="auto" w:fill="DFE3F0" w:themeFill="accent1" w:themeFillTint="33"/>
            <w:tcMar>
              <w:left w:w="0" w:type="dxa"/>
              <w:right w:w="0" w:type="dxa"/>
            </w:tcMar>
            <w:vAlign w:val="bottom"/>
          </w:tcPr>
          <w:p w14:paraId="76FFA64F" w14:textId="635C6FB8" w:rsidR="004A230C" w:rsidRPr="0062487B" w:rsidRDefault="004A230C" w:rsidP="005171A3">
            <w:pPr>
              <w:jc w:val="center"/>
              <w:rPr>
                <w:rFonts w:asciiTheme="minorHAnsi" w:hAnsiTheme="minorHAnsi" w:cstheme="minorHAnsi"/>
                <w:color w:val="2F5897" w:themeColor="text2"/>
                <w:sz w:val="20"/>
                <w:szCs w:val="20"/>
              </w:rPr>
            </w:pPr>
            <w:r w:rsidRPr="0062487B">
              <w:rPr>
                <w:rFonts w:asciiTheme="minorHAnsi" w:hAnsiTheme="minorHAnsi" w:cstheme="minorHAnsi"/>
                <w:b/>
                <w:bCs/>
                <w:color w:val="000000"/>
                <w:sz w:val="20"/>
                <w:szCs w:val="20"/>
              </w:rPr>
              <w:t>Baseline (FY19)</w:t>
            </w:r>
          </w:p>
        </w:tc>
        <w:tc>
          <w:tcPr>
            <w:tcW w:w="630" w:type="dxa"/>
            <w:shd w:val="clear" w:color="auto" w:fill="DFE3F0" w:themeFill="accent1" w:themeFillTint="33"/>
            <w:tcMar>
              <w:left w:w="0" w:type="dxa"/>
              <w:right w:w="0" w:type="dxa"/>
            </w:tcMar>
            <w:vAlign w:val="bottom"/>
          </w:tcPr>
          <w:p w14:paraId="489C0E6C" w14:textId="3753CF3B" w:rsidR="004A230C" w:rsidRPr="0062487B" w:rsidRDefault="004A230C" w:rsidP="005171A3">
            <w:pPr>
              <w:jc w:val="center"/>
              <w:rPr>
                <w:rFonts w:asciiTheme="minorHAnsi" w:hAnsiTheme="minorHAnsi" w:cstheme="minorHAnsi"/>
                <w:color w:val="2F5897" w:themeColor="text2"/>
                <w:sz w:val="20"/>
                <w:szCs w:val="20"/>
              </w:rPr>
            </w:pPr>
            <w:r w:rsidRPr="0062487B">
              <w:rPr>
                <w:rFonts w:asciiTheme="minorHAnsi" w:hAnsiTheme="minorHAnsi" w:cstheme="minorHAnsi"/>
                <w:b/>
                <w:bCs/>
                <w:color w:val="000000"/>
                <w:sz w:val="20"/>
                <w:szCs w:val="20"/>
              </w:rPr>
              <w:t>FY27</w:t>
            </w:r>
          </w:p>
        </w:tc>
        <w:tc>
          <w:tcPr>
            <w:tcW w:w="810" w:type="dxa"/>
            <w:shd w:val="clear" w:color="auto" w:fill="DFE3F0" w:themeFill="accent1" w:themeFillTint="33"/>
            <w:tcMar>
              <w:left w:w="0" w:type="dxa"/>
              <w:right w:w="0" w:type="dxa"/>
            </w:tcMar>
            <w:vAlign w:val="bottom"/>
          </w:tcPr>
          <w:p w14:paraId="25E22A77" w14:textId="00C3EBE3" w:rsidR="004A230C" w:rsidRPr="0062487B" w:rsidRDefault="004A230C" w:rsidP="005171A3">
            <w:pPr>
              <w:jc w:val="center"/>
              <w:rPr>
                <w:rFonts w:asciiTheme="minorHAnsi" w:hAnsiTheme="minorHAnsi" w:cstheme="minorHAnsi"/>
                <w:color w:val="2F5897" w:themeColor="text2"/>
                <w:sz w:val="20"/>
                <w:szCs w:val="20"/>
              </w:rPr>
            </w:pPr>
            <w:r w:rsidRPr="0062487B">
              <w:rPr>
                <w:rFonts w:asciiTheme="minorHAnsi" w:hAnsiTheme="minorHAnsi" w:cstheme="minorHAnsi"/>
                <w:b/>
                <w:bCs/>
                <w:color w:val="000000"/>
                <w:sz w:val="20"/>
                <w:szCs w:val="20"/>
              </w:rPr>
              <w:t>Increase</w:t>
            </w:r>
          </w:p>
        </w:tc>
        <w:tc>
          <w:tcPr>
            <w:tcW w:w="1350" w:type="dxa"/>
            <w:shd w:val="clear" w:color="auto" w:fill="DFE3F0" w:themeFill="accent1" w:themeFillTint="33"/>
            <w:tcMar>
              <w:left w:w="0" w:type="dxa"/>
              <w:right w:w="0" w:type="dxa"/>
            </w:tcMar>
            <w:vAlign w:val="bottom"/>
          </w:tcPr>
          <w:p w14:paraId="502A23C8" w14:textId="773D0FF9" w:rsidR="004A230C" w:rsidRPr="0062487B" w:rsidRDefault="004A230C" w:rsidP="005171A3">
            <w:pPr>
              <w:jc w:val="center"/>
              <w:rPr>
                <w:rFonts w:asciiTheme="minorHAnsi" w:hAnsiTheme="minorHAnsi" w:cstheme="minorHAnsi"/>
                <w:color w:val="2F5897" w:themeColor="text2"/>
                <w:sz w:val="20"/>
                <w:szCs w:val="20"/>
              </w:rPr>
            </w:pPr>
            <w:r w:rsidRPr="0062487B">
              <w:rPr>
                <w:rFonts w:asciiTheme="minorHAnsi" w:hAnsiTheme="minorHAnsi" w:cstheme="minorHAnsi"/>
                <w:b/>
                <w:bCs/>
                <w:sz w:val="20"/>
                <w:szCs w:val="20"/>
              </w:rPr>
              <w:t>Adjusted for 85% Occupancy</w:t>
            </w:r>
          </w:p>
        </w:tc>
      </w:tr>
      <w:tr w:rsidR="00D85B13" w:rsidRPr="0062487B" w14:paraId="2BF01DC3" w14:textId="7BAB824D" w:rsidTr="007507B0">
        <w:trPr>
          <w:trHeight w:val="467"/>
        </w:trPr>
        <w:tc>
          <w:tcPr>
            <w:tcW w:w="1800" w:type="dxa"/>
            <w:vAlign w:val="bottom"/>
          </w:tcPr>
          <w:p w14:paraId="0D4BD92D" w14:textId="7A370166" w:rsidR="004A230C" w:rsidRPr="0062487B" w:rsidRDefault="004A230C" w:rsidP="004A230C">
            <w:pPr>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BWFH Patient Growth</w:t>
            </w:r>
          </w:p>
        </w:tc>
        <w:tc>
          <w:tcPr>
            <w:tcW w:w="720" w:type="dxa"/>
            <w:tcMar>
              <w:right w:w="58" w:type="dxa"/>
            </w:tcMar>
            <w:vAlign w:val="bottom"/>
          </w:tcPr>
          <w:p w14:paraId="31D74DDE" w14:textId="2B3D9DDE"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sz w:val="20"/>
                <w:szCs w:val="20"/>
              </w:rPr>
              <w:t xml:space="preserve">11,295 </w:t>
            </w:r>
          </w:p>
        </w:tc>
        <w:tc>
          <w:tcPr>
            <w:tcW w:w="720" w:type="dxa"/>
            <w:tcMar>
              <w:right w:w="58" w:type="dxa"/>
            </w:tcMar>
            <w:vAlign w:val="bottom"/>
          </w:tcPr>
          <w:p w14:paraId="2BD3122B" w14:textId="75DE1234"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sz w:val="20"/>
                <w:szCs w:val="20"/>
              </w:rPr>
              <w:t xml:space="preserve">12,751 </w:t>
            </w:r>
          </w:p>
        </w:tc>
        <w:tc>
          <w:tcPr>
            <w:tcW w:w="793" w:type="dxa"/>
            <w:tcMar>
              <w:right w:w="58" w:type="dxa"/>
            </w:tcMar>
            <w:vAlign w:val="bottom"/>
          </w:tcPr>
          <w:p w14:paraId="5B6CD143" w14:textId="785373FF"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1</w:t>
            </w:r>
            <w:r w:rsidR="00E7084B">
              <w:rPr>
                <w:rFonts w:asciiTheme="minorHAnsi" w:hAnsiTheme="minorHAnsi" w:cstheme="minorHAnsi"/>
                <w:color w:val="000000"/>
                <w:sz w:val="20"/>
                <w:szCs w:val="20"/>
              </w:rPr>
              <w:t>3</w:t>
            </w:r>
            <w:r w:rsidRPr="0062487B">
              <w:rPr>
                <w:rFonts w:asciiTheme="minorHAnsi" w:hAnsiTheme="minorHAnsi" w:cstheme="minorHAnsi"/>
                <w:color w:val="000000"/>
                <w:sz w:val="20"/>
                <w:szCs w:val="20"/>
              </w:rPr>
              <w:t>%</w:t>
            </w:r>
          </w:p>
        </w:tc>
        <w:tc>
          <w:tcPr>
            <w:tcW w:w="737" w:type="dxa"/>
            <w:tcMar>
              <w:right w:w="58" w:type="dxa"/>
            </w:tcMar>
            <w:vAlign w:val="bottom"/>
          </w:tcPr>
          <w:p w14:paraId="78A4E8C7" w14:textId="758E5E38"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 xml:space="preserve">33,544 </w:t>
            </w:r>
          </w:p>
        </w:tc>
        <w:tc>
          <w:tcPr>
            <w:tcW w:w="720" w:type="dxa"/>
            <w:tcMar>
              <w:right w:w="58" w:type="dxa"/>
            </w:tcMar>
            <w:vAlign w:val="bottom"/>
          </w:tcPr>
          <w:p w14:paraId="69831AA5" w14:textId="71C16F32"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 xml:space="preserve">37,105 </w:t>
            </w:r>
          </w:p>
        </w:tc>
        <w:tc>
          <w:tcPr>
            <w:tcW w:w="810" w:type="dxa"/>
            <w:tcMar>
              <w:right w:w="58" w:type="dxa"/>
            </w:tcMar>
            <w:vAlign w:val="bottom"/>
          </w:tcPr>
          <w:p w14:paraId="65A20B9F" w14:textId="7A268831"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1</w:t>
            </w:r>
            <w:r w:rsidR="00E7084B">
              <w:rPr>
                <w:rFonts w:asciiTheme="minorHAnsi" w:hAnsiTheme="minorHAnsi" w:cstheme="minorHAnsi"/>
                <w:color w:val="000000"/>
                <w:sz w:val="20"/>
                <w:szCs w:val="20"/>
              </w:rPr>
              <w:t>1</w:t>
            </w:r>
            <w:r w:rsidRPr="0062487B">
              <w:rPr>
                <w:rFonts w:asciiTheme="minorHAnsi" w:hAnsiTheme="minorHAnsi" w:cstheme="minorHAnsi"/>
                <w:color w:val="000000"/>
                <w:sz w:val="20"/>
                <w:szCs w:val="20"/>
              </w:rPr>
              <w:t>%</w:t>
            </w:r>
          </w:p>
        </w:tc>
        <w:tc>
          <w:tcPr>
            <w:tcW w:w="810" w:type="dxa"/>
            <w:tcMar>
              <w:right w:w="58" w:type="dxa"/>
            </w:tcMar>
            <w:vAlign w:val="bottom"/>
          </w:tcPr>
          <w:p w14:paraId="14A4D13E" w14:textId="6A287685"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sz w:val="20"/>
                <w:szCs w:val="20"/>
              </w:rPr>
              <w:t xml:space="preserve">92 </w:t>
            </w:r>
          </w:p>
        </w:tc>
        <w:tc>
          <w:tcPr>
            <w:tcW w:w="630" w:type="dxa"/>
            <w:tcMar>
              <w:right w:w="58" w:type="dxa"/>
            </w:tcMar>
            <w:vAlign w:val="bottom"/>
          </w:tcPr>
          <w:p w14:paraId="11FC0261" w14:textId="2D57A9FA"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sz w:val="20"/>
                <w:szCs w:val="20"/>
              </w:rPr>
              <w:t xml:space="preserve">102 </w:t>
            </w:r>
          </w:p>
        </w:tc>
        <w:tc>
          <w:tcPr>
            <w:tcW w:w="810" w:type="dxa"/>
            <w:tcMar>
              <w:right w:w="58" w:type="dxa"/>
            </w:tcMar>
            <w:vAlign w:val="bottom"/>
          </w:tcPr>
          <w:p w14:paraId="0BF40853" w14:textId="45EAFD8F"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1</w:t>
            </w:r>
            <w:r w:rsidR="00E7084B">
              <w:rPr>
                <w:rFonts w:asciiTheme="minorHAnsi" w:hAnsiTheme="minorHAnsi" w:cstheme="minorHAnsi"/>
                <w:color w:val="000000"/>
                <w:sz w:val="20"/>
                <w:szCs w:val="20"/>
              </w:rPr>
              <w:t>1</w:t>
            </w:r>
            <w:r w:rsidRPr="0062487B">
              <w:rPr>
                <w:rFonts w:asciiTheme="minorHAnsi" w:hAnsiTheme="minorHAnsi" w:cstheme="minorHAnsi"/>
                <w:color w:val="000000"/>
                <w:sz w:val="20"/>
                <w:szCs w:val="20"/>
              </w:rPr>
              <w:t>%</w:t>
            </w:r>
          </w:p>
        </w:tc>
        <w:tc>
          <w:tcPr>
            <w:tcW w:w="1350" w:type="dxa"/>
            <w:tcMar>
              <w:right w:w="58" w:type="dxa"/>
            </w:tcMar>
            <w:vAlign w:val="bottom"/>
          </w:tcPr>
          <w:p w14:paraId="7DB2AB38" w14:textId="20B139AA"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sz w:val="20"/>
                <w:szCs w:val="20"/>
              </w:rPr>
              <w:t>12</w:t>
            </w:r>
          </w:p>
        </w:tc>
      </w:tr>
      <w:tr w:rsidR="00D85B13" w:rsidRPr="0062487B" w14:paraId="29C9838E" w14:textId="4A5F8F3C" w:rsidTr="007507B0">
        <w:trPr>
          <w:trHeight w:val="503"/>
        </w:trPr>
        <w:tc>
          <w:tcPr>
            <w:tcW w:w="1800" w:type="dxa"/>
            <w:vAlign w:val="bottom"/>
          </w:tcPr>
          <w:p w14:paraId="35B291DD" w14:textId="7A7BB5ED" w:rsidR="004A230C" w:rsidRPr="0062487B" w:rsidRDefault="004A230C" w:rsidP="004A230C">
            <w:pPr>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 xml:space="preserve">Shifting Services from BWH to BWFH  </w:t>
            </w:r>
          </w:p>
        </w:tc>
        <w:tc>
          <w:tcPr>
            <w:tcW w:w="720" w:type="dxa"/>
            <w:tcMar>
              <w:right w:w="58" w:type="dxa"/>
            </w:tcMar>
            <w:vAlign w:val="bottom"/>
          </w:tcPr>
          <w:p w14:paraId="1E92A4D4" w14:textId="53C7F52C"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sz w:val="20"/>
                <w:szCs w:val="20"/>
              </w:rPr>
              <w:t xml:space="preserve">0 </w:t>
            </w:r>
          </w:p>
        </w:tc>
        <w:tc>
          <w:tcPr>
            <w:tcW w:w="720" w:type="dxa"/>
            <w:tcMar>
              <w:right w:w="58" w:type="dxa"/>
            </w:tcMar>
            <w:vAlign w:val="bottom"/>
          </w:tcPr>
          <w:p w14:paraId="7ACA0ED0" w14:textId="39157C44"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sz w:val="20"/>
                <w:szCs w:val="20"/>
              </w:rPr>
              <w:t xml:space="preserve">4,235 </w:t>
            </w:r>
          </w:p>
        </w:tc>
        <w:tc>
          <w:tcPr>
            <w:tcW w:w="793" w:type="dxa"/>
            <w:tcMar>
              <w:right w:w="58" w:type="dxa"/>
            </w:tcMar>
            <w:vAlign w:val="bottom"/>
          </w:tcPr>
          <w:p w14:paraId="34A72B70" w14:textId="084D0A08"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w:t>
            </w:r>
          </w:p>
        </w:tc>
        <w:tc>
          <w:tcPr>
            <w:tcW w:w="737" w:type="dxa"/>
            <w:tcMar>
              <w:right w:w="58" w:type="dxa"/>
            </w:tcMar>
            <w:vAlign w:val="bottom"/>
          </w:tcPr>
          <w:p w14:paraId="0C3A347E" w14:textId="0E8699C5"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 xml:space="preserve">0 </w:t>
            </w:r>
          </w:p>
        </w:tc>
        <w:tc>
          <w:tcPr>
            <w:tcW w:w="720" w:type="dxa"/>
            <w:tcMar>
              <w:right w:w="58" w:type="dxa"/>
            </w:tcMar>
            <w:vAlign w:val="bottom"/>
          </w:tcPr>
          <w:p w14:paraId="2FFC8038" w14:textId="5CC5CB45"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 xml:space="preserve">14,993 </w:t>
            </w:r>
          </w:p>
        </w:tc>
        <w:tc>
          <w:tcPr>
            <w:tcW w:w="810" w:type="dxa"/>
            <w:tcMar>
              <w:right w:w="58" w:type="dxa"/>
            </w:tcMar>
            <w:vAlign w:val="bottom"/>
          </w:tcPr>
          <w:p w14:paraId="04CFB1E6" w14:textId="2B13F274"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w:t>
            </w:r>
          </w:p>
        </w:tc>
        <w:tc>
          <w:tcPr>
            <w:tcW w:w="810" w:type="dxa"/>
            <w:tcMar>
              <w:right w:w="58" w:type="dxa"/>
            </w:tcMar>
            <w:vAlign w:val="bottom"/>
          </w:tcPr>
          <w:p w14:paraId="2EE877F5" w14:textId="3749248F"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sz w:val="20"/>
                <w:szCs w:val="20"/>
              </w:rPr>
              <w:t xml:space="preserve">0 </w:t>
            </w:r>
          </w:p>
        </w:tc>
        <w:tc>
          <w:tcPr>
            <w:tcW w:w="630" w:type="dxa"/>
            <w:tcMar>
              <w:right w:w="58" w:type="dxa"/>
            </w:tcMar>
            <w:vAlign w:val="bottom"/>
          </w:tcPr>
          <w:p w14:paraId="274EBCB6" w14:textId="0C0C4251"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sz w:val="20"/>
                <w:szCs w:val="20"/>
              </w:rPr>
              <w:t xml:space="preserve">41 </w:t>
            </w:r>
          </w:p>
        </w:tc>
        <w:tc>
          <w:tcPr>
            <w:tcW w:w="810" w:type="dxa"/>
            <w:tcMar>
              <w:right w:w="58" w:type="dxa"/>
            </w:tcMar>
            <w:vAlign w:val="bottom"/>
          </w:tcPr>
          <w:p w14:paraId="12AA4944" w14:textId="4D58D206"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w:t>
            </w:r>
          </w:p>
        </w:tc>
        <w:tc>
          <w:tcPr>
            <w:tcW w:w="1350" w:type="dxa"/>
            <w:tcMar>
              <w:right w:w="58" w:type="dxa"/>
            </w:tcMar>
            <w:vAlign w:val="bottom"/>
          </w:tcPr>
          <w:p w14:paraId="4F06CF6E" w14:textId="637E1DA6"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sz w:val="20"/>
                <w:szCs w:val="20"/>
              </w:rPr>
              <w:t>49</w:t>
            </w:r>
          </w:p>
        </w:tc>
      </w:tr>
      <w:tr w:rsidR="00D85B13" w:rsidRPr="0062487B" w14:paraId="23DB86E6" w14:textId="5350989C" w:rsidTr="007507B0">
        <w:trPr>
          <w:trHeight w:val="41"/>
        </w:trPr>
        <w:tc>
          <w:tcPr>
            <w:tcW w:w="1800" w:type="dxa"/>
            <w:vAlign w:val="bottom"/>
          </w:tcPr>
          <w:p w14:paraId="32C8ADDC" w14:textId="76FF3CAE" w:rsidR="004A230C" w:rsidRPr="0062487B" w:rsidRDefault="004A230C" w:rsidP="004A230C">
            <w:pPr>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BWH to BWFH Transfer Program</w:t>
            </w:r>
          </w:p>
        </w:tc>
        <w:tc>
          <w:tcPr>
            <w:tcW w:w="720" w:type="dxa"/>
            <w:tcMar>
              <w:right w:w="58" w:type="dxa"/>
            </w:tcMar>
            <w:vAlign w:val="bottom"/>
          </w:tcPr>
          <w:p w14:paraId="57C2B181" w14:textId="6FFB7B27"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sz w:val="20"/>
                <w:szCs w:val="20"/>
              </w:rPr>
              <w:t xml:space="preserve">0 </w:t>
            </w:r>
          </w:p>
        </w:tc>
        <w:tc>
          <w:tcPr>
            <w:tcW w:w="720" w:type="dxa"/>
            <w:tcMar>
              <w:right w:w="58" w:type="dxa"/>
            </w:tcMar>
            <w:vAlign w:val="bottom"/>
          </w:tcPr>
          <w:p w14:paraId="632080DF" w14:textId="1DB06AE6"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sz w:val="20"/>
                <w:szCs w:val="20"/>
              </w:rPr>
              <w:t xml:space="preserve">1,439 </w:t>
            </w:r>
          </w:p>
        </w:tc>
        <w:tc>
          <w:tcPr>
            <w:tcW w:w="793" w:type="dxa"/>
            <w:tcMar>
              <w:right w:w="58" w:type="dxa"/>
            </w:tcMar>
            <w:vAlign w:val="bottom"/>
          </w:tcPr>
          <w:p w14:paraId="70FCD123" w14:textId="1401CA68"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w:t>
            </w:r>
          </w:p>
        </w:tc>
        <w:tc>
          <w:tcPr>
            <w:tcW w:w="737" w:type="dxa"/>
            <w:tcMar>
              <w:right w:w="58" w:type="dxa"/>
            </w:tcMar>
            <w:vAlign w:val="bottom"/>
          </w:tcPr>
          <w:p w14:paraId="2DF01BA9" w14:textId="23BEAAE2"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 xml:space="preserve">0 </w:t>
            </w:r>
          </w:p>
        </w:tc>
        <w:tc>
          <w:tcPr>
            <w:tcW w:w="720" w:type="dxa"/>
            <w:tcMar>
              <w:right w:w="58" w:type="dxa"/>
            </w:tcMar>
            <w:vAlign w:val="bottom"/>
          </w:tcPr>
          <w:p w14:paraId="6F61E441" w14:textId="64AE754B"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 xml:space="preserve">5,093 </w:t>
            </w:r>
          </w:p>
        </w:tc>
        <w:tc>
          <w:tcPr>
            <w:tcW w:w="810" w:type="dxa"/>
            <w:tcMar>
              <w:right w:w="58" w:type="dxa"/>
            </w:tcMar>
            <w:vAlign w:val="bottom"/>
          </w:tcPr>
          <w:p w14:paraId="197E84DB" w14:textId="13D6AC3E"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w:t>
            </w:r>
          </w:p>
        </w:tc>
        <w:tc>
          <w:tcPr>
            <w:tcW w:w="810" w:type="dxa"/>
            <w:tcMar>
              <w:right w:w="58" w:type="dxa"/>
            </w:tcMar>
            <w:vAlign w:val="bottom"/>
          </w:tcPr>
          <w:p w14:paraId="25BB871F" w14:textId="2D9A92E0"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sz w:val="20"/>
                <w:szCs w:val="20"/>
              </w:rPr>
              <w:t xml:space="preserve">0 </w:t>
            </w:r>
          </w:p>
        </w:tc>
        <w:tc>
          <w:tcPr>
            <w:tcW w:w="630" w:type="dxa"/>
            <w:tcMar>
              <w:right w:w="58" w:type="dxa"/>
            </w:tcMar>
            <w:vAlign w:val="bottom"/>
          </w:tcPr>
          <w:p w14:paraId="263B87A1" w14:textId="1E0178BD"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sz w:val="20"/>
                <w:szCs w:val="20"/>
              </w:rPr>
              <w:t xml:space="preserve">14 </w:t>
            </w:r>
          </w:p>
        </w:tc>
        <w:tc>
          <w:tcPr>
            <w:tcW w:w="810" w:type="dxa"/>
            <w:tcMar>
              <w:right w:w="58" w:type="dxa"/>
            </w:tcMar>
            <w:vAlign w:val="bottom"/>
          </w:tcPr>
          <w:p w14:paraId="54CEFD62" w14:textId="3981AA93"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color w:val="000000"/>
                <w:sz w:val="20"/>
                <w:szCs w:val="20"/>
              </w:rPr>
              <w:t>-</w:t>
            </w:r>
          </w:p>
        </w:tc>
        <w:tc>
          <w:tcPr>
            <w:tcW w:w="1350" w:type="dxa"/>
            <w:tcMar>
              <w:right w:w="58" w:type="dxa"/>
            </w:tcMar>
            <w:vAlign w:val="bottom"/>
          </w:tcPr>
          <w:p w14:paraId="55FB76DB" w14:textId="49FE000E"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sz w:val="20"/>
                <w:szCs w:val="20"/>
              </w:rPr>
              <w:t>17</w:t>
            </w:r>
          </w:p>
        </w:tc>
      </w:tr>
      <w:tr w:rsidR="00D85B13" w:rsidRPr="0062487B" w14:paraId="6163A84C" w14:textId="2B0B95C3" w:rsidTr="007507B0">
        <w:trPr>
          <w:trHeight w:val="474"/>
        </w:trPr>
        <w:tc>
          <w:tcPr>
            <w:tcW w:w="1800" w:type="dxa"/>
            <w:vAlign w:val="bottom"/>
          </w:tcPr>
          <w:p w14:paraId="37D2E76B" w14:textId="5B1F3734" w:rsidR="004A230C" w:rsidRPr="0062487B" w:rsidRDefault="004A230C" w:rsidP="004A230C">
            <w:pPr>
              <w:rPr>
                <w:rFonts w:asciiTheme="minorHAnsi" w:hAnsiTheme="minorHAnsi" w:cstheme="minorHAnsi"/>
                <w:color w:val="2F5897" w:themeColor="text2"/>
                <w:sz w:val="20"/>
                <w:szCs w:val="20"/>
              </w:rPr>
            </w:pPr>
            <w:r w:rsidRPr="0062487B">
              <w:rPr>
                <w:rFonts w:asciiTheme="minorHAnsi" w:hAnsiTheme="minorHAnsi" w:cstheme="minorHAnsi"/>
                <w:b/>
                <w:bCs/>
                <w:color w:val="000000"/>
                <w:sz w:val="20"/>
                <w:szCs w:val="20"/>
              </w:rPr>
              <w:t>Total</w:t>
            </w:r>
          </w:p>
        </w:tc>
        <w:tc>
          <w:tcPr>
            <w:tcW w:w="720" w:type="dxa"/>
            <w:vAlign w:val="bottom"/>
          </w:tcPr>
          <w:p w14:paraId="3104C0C0" w14:textId="541C6095"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b/>
                <w:bCs/>
                <w:sz w:val="20"/>
                <w:szCs w:val="20"/>
              </w:rPr>
              <w:t>11,295</w:t>
            </w:r>
          </w:p>
        </w:tc>
        <w:tc>
          <w:tcPr>
            <w:tcW w:w="720" w:type="dxa"/>
            <w:vAlign w:val="bottom"/>
          </w:tcPr>
          <w:p w14:paraId="1E63472A" w14:textId="5FB21A2E"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b/>
                <w:bCs/>
                <w:sz w:val="20"/>
                <w:szCs w:val="20"/>
              </w:rPr>
              <w:t>18,425</w:t>
            </w:r>
          </w:p>
        </w:tc>
        <w:tc>
          <w:tcPr>
            <w:tcW w:w="793" w:type="dxa"/>
            <w:vAlign w:val="bottom"/>
          </w:tcPr>
          <w:p w14:paraId="61ADDFB0" w14:textId="1B9671E1"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b/>
                <w:bCs/>
                <w:color w:val="000000"/>
                <w:sz w:val="20"/>
                <w:szCs w:val="20"/>
              </w:rPr>
              <w:t>63%</w:t>
            </w:r>
          </w:p>
        </w:tc>
        <w:tc>
          <w:tcPr>
            <w:tcW w:w="737" w:type="dxa"/>
            <w:vAlign w:val="bottom"/>
          </w:tcPr>
          <w:p w14:paraId="666B3D13" w14:textId="4EA33FAF"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b/>
                <w:bCs/>
                <w:color w:val="000000"/>
                <w:sz w:val="20"/>
                <w:szCs w:val="20"/>
              </w:rPr>
              <w:t>33,544</w:t>
            </w:r>
          </w:p>
        </w:tc>
        <w:tc>
          <w:tcPr>
            <w:tcW w:w="720" w:type="dxa"/>
            <w:vAlign w:val="bottom"/>
          </w:tcPr>
          <w:p w14:paraId="3B12EF73" w14:textId="67CF08C5"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b/>
                <w:bCs/>
                <w:color w:val="000000"/>
                <w:sz w:val="20"/>
                <w:szCs w:val="20"/>
              </w:rPr>
              <w:t>57,191</w:t>
            </w:r>
          </w:p>
        </w:tc>
        <w:tc>
          <w:tcPr>
            <w:tcW w:w="810" w:type="dxa"/>
            <w:vAlign w:val="bottom"/>
          </w:tcPr>
          <w:p w14:paraId="6078D7AE" w14:textId="7964C306"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b/>
                <w:bCs/>
                <w:color w:val="000000"/>
                <w:sz w:val="20"/>
                <w:szCs w:val="20"/>
              </w:rPr>
              <w:t>70%</w:t>
            </w:r>
          </w:p>
        </w:tc>
        <w:tc>
          <w:tcPr>
            <w:tcW w:w="810" w:type="dxa"/>
            <w:vAlign w:val="bottom"/>
          </w:tcPr>
          <w:p w14:paraId="16F7244D" w14:textId="0C905280"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b/>
                <w:bCs/>
                <w:sz w:val="20"/>
                <w:szCs w:val="20"/>
              </w:rPr>
              <w:t>92</w:t>
            </w:r>
          </w:p>
        </w:tc>
        <w:tc>
          <w:tcPr>
            <w:tcW w:w="630" w:type="dxa"/>
            <w:vAlign w:val="bottom"/>
          </w:tcPr>
          <w:p w14:paraId="22385BA4" w14:textId="17B99F51"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b/>
                <w:bCs/>
                <w:sz w:val="20"/>
                <w:szCs w:val="20"/>
              </w:rPr>
              <w:t>157</w:t>
            </w:r>
          </w:p>
        </w:tc>
        <w:tc>
          <w:tcPr>
            <w:tcW w:w="810" w:type="dxa"/>
            <w:vAlign w:val="bottom"/>
          </w:tcPr>
          <w:p w14:paraId="672068DC" w14:textId="78B1B238"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b/>
                <w:bCs/>
                <w:color w:val="000000"/>
                <w:sz w:val="20"/>
                <w:szCs w:val="20"/>
              </w:rPr>
              <w:t>70%</w:t>
            </w:r>
          </w:p>
        </w:tc>
        <w:tc>
          <w:tcPr>
            <w:tcW w:w="1350" w:type="dxa"/>
            <w:vAlign w:val="bottom"/>
          </w:tcPr>
          <w:p w14:paraId="767D2A62" w14:textId="471FDB52" w:rsidR="004A230C" w:rsidRPr="0062487B" w:rsidRDefault="004A230C" w:rsidP="0033076A">
            <w:pPr>
              <w:jc w:val="right"/>
              <w:rPr>
                <w:rFonts w:asciiTheme="minorHAnsi" w:hAnsiTheme="minorHAnsi" w:cstheme="minorHAnsi"/>
                <w:color w:val="2F5897" w:themeColor="text2"/>
                <w:sz w:val="20"/>
                <w:szCs w:val="20"/>
              </w:rPr>
            </w:pPr>
            <w:r w:rsidRPr="0062487B">
              <w:rPr>
                <w:rFonts w:asciiTheme="minorHAnsi" w:hAnsiTheme="minorHAnsi" w:cstheme="minorHAnsi"/>
                <w:b/>
                <w:bCs/>
                <w:sz w:val="20"/>
                <w:szCs w:val="20"/>
              </w:rPr>
              <w:t>78</w:t>
            </w:r>
          </w:p>
        </w:tc>
      </w:tr>
    </w:tbl>
    <w:p w14:paraId="1B96723C" w14:textId="77777777" w:rsidR="004A230C" w:rsidRPr="0062487B" w:rsidRDefault="004A230C" w:rsidP="00FD0662">
      <w:pPr>
        <w:rPr>
          <w:rFonts w:asciiTheme="minorHAnsi" w:hAnsiTheme="minorHAnsi" w:cstheme="minorHAnsi"/>
          <w:color w:val="2F5897" w:themeColor="text2"/>
        </w:rPr>
      </w:pPr>
    </w:p>
    <w:p w14:paraId="777725A5" w14:textId="77777777" w:rsidR="008651FB" w:rsidRPr="0062487B" w:rsidRDefault="008651FB" w:rsidP="008651FB">
      <w:pPr>
        <w:pStyle w:val="ListParagraph"/>
        <w:ind w:left="0"/>
        <w:rPr>
          <w:rFonts w:asciiTheme="minorHAnsi" w:hAnsiTheme="minorHAnsi" w:cstheme="minorHAnsi"/>
          <w:b/>
          <w:i/>
        </w:rPr>
      </w:pPr>
      <w:r w:rsidRPr="0062487B">
        <w:rPr>
          <w:rFonts w:asciiTheme="minorHAnsi" w:hAnsiTheme="minorHAnsi" w:cstheme="minorHAnsi"/>
          <w:b/>
          <w:i/>
        </w:rPr>
        <w:t>Analysis</w:t>
      </w:r>
    </w:p>
    <w:p w14:paraId="7AD3103F" w14:textId="7E1A8B17" w:rsidR="0ABC475F" w:rsidRPr="0062487B" w:rsidRDefault="1CA945A3" w:rsidP="78F650E0">
      <w:pPr>
        <w:pStyle w:val="ListParagraph"/>
        <w:ind w:left="0"/>
        <w:rPr>
          <w:rFonts w:asciiTheme="minorHAnsi" w:hAnsiTheme="minorHAnsi" w:cstheme="minorBidi"/>
        </w:rPr>
      </w:pPr>
      <w:r w:rsidRPr="17FA2F59">
        <w:rPr>
          <w:rFonts w:asciiTheme="minorHAnsi" w:eastAsia="Calibri" w:hAnsiTheme="minorHAnsi" w:cstheme="minorBidi"/>
        </w:rPr>
        <w:t xml:space="preserve">Staff finds that </w:t>
      </w:r>
      <w:r w:rsidR="78066320" w:rsidRPr="17FA2F59">
        <w:rPr>
          <w:rFonts w:asciiTheme="minorHAnsi" w:eastAsia="Calibri" w:hAnsiTheme="minorHAnsi" w:cstheme="minorBidi"/>
        </w:rPr>
        <w:t>overall,</w:t>
      </w:r>
      <w:r w:rsidRPr="17FA2F59">
        <w:rPr>
          <w:rFonts w:asciiTheme="minorHAnsi" w:eastAsia="Calibri" w:hAnsiTheme="minorHAnsi" w:cstheme="minorBidi"/>
        </w:rPr>
        <w:t xml:space="preserve"> the Applicant has demonstrated sufficient need for additional </w:t>
      </w:r>
      <w:r w:rsidR="00512553">
        <w:rPr>
          <w:rFonts w:asciiTheme="minorHAnsi" w:eastAsia="Calibri" w:hAnsiTheme="minorHAnsi" w:cstheme="minorBidi"/>
        </w:rPr>
        <w:t>M/S</w:t>
      </w:r>
      <w:r w:rsidRPr="17FA2F59">
        <w:rPr>
          <w:rFonts w:asciiTheme="minorHAnsi" w:eastAsia="Calibri" w:hAnsiTheme="minorHAnsi" w:cstheme="minorBidi"/>
        </w:rPr>
        <w:t xml:space="preserve"> inpatient beds at BWFH to </w:t>
      </w:r>
      <w:r w:rsidR="56D30843" w:rsidRPr="17FA2F59">
        <w:rPr>
          <w:rFonts w:asciiTheme="minorHAnsi" w:eastAsia="Calibri" w:hAnsiTheme="minorHAnsi" w:cstheme="minorBidi"/>
        </w:rPr>
        <w:t>improve patient throughput</w:t>
      </w:r>
      <w:r w:rsidR="53A937B2" w:rsidRPr="17FA2F59">
        <w:rPr>
          <w:rFonts w:asciiTheme="minorHAnsi" w:eastAsia="Calibri" w:hAnsiTheme="minorHAnsi" w:cstheme="minorBidi"/>
        </w:rPr>
        <w:t xml:space="preserve"> and support MGB efforts to ensure patients receive care in the appropriate setting</w:t>
      </w:r>
      <w:r w:rsidR="1900AEB2" w:rsidRPr="17FA2F59">
        <w:rPr>
          <w:rFonts w:asciiTheme="minorHAnsi" w:eastAsia="Calibri" w:hAnsiTheme="minorHAnsi" w:cstheme="minorBidi"/>
        </w:rPr>
        <w:t xml:space="preserve">. </w:t>
      </w:r>
      <w:r w:rsidR="5536EB86" w:rsidRPr="17FA2F59">
        <w:rPr>
          <w:rFonts w:asciiTheme="minorHAnsi" w:eastAsia="Calibri" w:hAnsiTheme="minorHAnsi" w:cstheme="minorBidi"/>
        </w:rPr>
        <w:t xml:space="preserve">The Applicant maintains that </w:t>
      </w:r>
      <w:r w:rsidR="0033255C">
        <w:rPr>
          <w:rFonts w:asciiTheme="minorHAnsi" w:eastAsia="Calibri" w:hAnsiTheme="minorHAnsi" w:cstheme="minorBidi"/>
        </w:rPr>
        <w:t xml:space="preserve">in line with the Department’s goals, the </w:t>
      </w:r>
      <w:r w:rsidR="1900AEB2" w:rsidRPr="17FA2F59">
        <w:rPr>
          <w:rFonts w:asciiTheme="minorHAnsi" w:eastAsia="Calibri" w:hAnsiTheme="minorHAnsi" w:cstheme="minorBidi"/>
        </w:rPr>
        <w:t>additional capacity</w:t>
      </w:r>
      <w:r w:rsidR="56D30843" w:rsidRPr="17FA2F59">
        <w:rPr>
          <w:rFonts w:asciiTheme="minorHAnsi" w:eastAsia="Calibri" w:hAnsiTheme="minorHAnsi" w:cstheme="minorBidi"/>
        </w:rPr>
        <w:t xml:space="preserve"> </w:t>
      </w:r>
      <w:r w:rsidRPr="17FA2F59">
        <w:rPr>
          <w:rFonts w:asciiTheme="minorHAnsi" w:eastAsia="Calibri" w:hAnsiTheme="minorHAnsi" w:cstheme="minorBidi"/>
        </w:rPr>
        <w:t xml:space="preserve">will likely alleviate the capacity constraints across BWFH, particularly in the ED, </w:t>
      </w:r>
      <w:r w:rsidR="1900AEB2" w:rsidRPr="17FA2F59">
        <w:rPr>
          <w:rFonts w:asciiTheme="minorHAnsi" w:eastAsia="Calibri" w:hAnsiTheme="minorHAnsi" w:cstheme="minorBidi"/>
        </w:rPr>
        <w:t xml:space="preserve">providing </w:t>
      </w:r>
      <w:r w:rsidRPr="17FA2F59">
        <w:rPr>
          <w:rFonts w:asciiTheme="minorHAnsi" w:eastAsia="Calibri" w:hAnsiTheme="minorHAnsi" w:cstheme="minorBidi"/>
        </w:rPr>
        <w:t>more timely access to inpatient care</w:t>
      </w:r>
      <w:r w:rsidR="7C3480F9" w:rsidRPr="17FA2F59">
        <w:rPr>
          <w:rFonts w:asciiTheme="minorHAnsi" w:eastAsia="Calibri" w:hAnsiTheme="minorHAnsi" w:cstheme="minorBidi"/>
        </w:rPr>
        <w:t xml:space="preserve"> and</w:t>
      </w:r>
      <w:r w:rsidR="00CB61B2">
        <w:rPr>
          <w:rFonts w:asciiTheme="minorHAnsi" w:eastAsia="Calibri" w:hAnsiTheme="minorHAnsi" w:cstheme="minorBidi"/>
        </w:rPr>
        <w:t xml:space="preserve"> it will</w:t>
      </w:r>
      <w:r w:rsidR="7A0A0CC3" w:rsidRPr="17FA2F59">
        <w:rPr>
          <w:rFonts w:asciiTheme="minorHAnsi" w:eastAsia="Calibri" w:hAnsiTheme="minorHAnsi" w:cstheme="minorBidi"/>
        </w:rPr>
        <w:t xml:space="preserve"> </w:t>
      </w:r>
      <w:r w:rsidRPr="17FA2F59">
        <w:rPr>
          <w:rFonts w:asciiTheme="minorHAnsi" w:eastAsia="Calibri" w:hAnsiTheme="minorHAnsi" w:cstheme="minorBidi"/>
        </w:rPr>
        <w:t>also</w:t>
      </w:r>
      <w:r w:rsidR="1900AEB2" w:rsidRPr="17FA2F59">
        <w:rPr>
          <w:rFonts w:asciiTheme="minorHAnsi" w:eastAsia="Calibri" w:hAnsiTheme="minorHAnsi" w:cstheme="minorBidi"/>
        </w:rPr>
        <w:t xml:space="preserve"> help to</w:t>
      </w:r>
      <w:r w:rsidRPr="17FA2F59">
        <w:rPr>
          <w:rFonts w:asciiTheme="minorHAnsi" w:eastAsia="Calibri" w:hAnsiTheme="minorHAnsi" w:cstheme="minorBidi"/>
        </w:rPr>
        <w:t xml:space="preserve"> address BWH’s capacity constraints</w:t>
      </w:r>
      <w:r w:rsidR="0033255C">
        <w:rPr>
          <w:rFonts w:asciiTheme="minorHAnsi" w:eastAsia="Calibri" w:hAnsiTheme="minorHAnsi" w:cstheme="minorBidi"/>
        </w:rPr>
        <w:t>.</w:t>
      </w:r>
      <w:r w:rsidR="00C4E6CB" w:rsidRPr="17FA2F59">
        <w:rPr>
          <w:rFonts w:asciiTheme="minorHAnsi" w:eastAsia="Calibri" w:hAnsiTheme="minorHAnsi" w:cstheme="minorBidi"/>
        </w:rPr>
        <w:t xml:space="preserve"> </w:t>
      </w:r>
      <w:r w:rsidR="5536EB86" w:rsidRPr="17FA2F59">
        <w:rPr>
          <w:rFonts w:asciiTheme="minorHAnsi" w:eastAsia="Calibri" w:hAnsiTheme="minorHAnsi" w:cstheme="minorBidi"/>
        </w:rPr>
        <w:t xml:space="preserve">The </w:t>
      </w:r>
      <w:r w:rsidR="5536EB86" w:rsidRPr="003A6E7C">
        <w:rPr>
          <w:rFonts w:asciiTheme="minorHAnsi" w:eastAsia="Calibri" w:hAnsiTheme="minorHAnsi" w:cstheme="minorBidi"/>
        </w:rPr>
        <w:t>Applicant asserts that</w:t>
      </w:r>
      <w:r w:rsidR="009943BB" w:rsidRPr="003A6E7C">
        <w:rPr>
          <w:rFonts w:asciiTheme="minorHAnsi" w:eastAsia="Calibri" w:hAnsiTheme="minorHAnsi" w:cstheme="minorBidi"/>
        </w:rPr>
        <w:t xml:space="preserve"> </w:t>
      </w:r>
      <w:r w:rsidR="5536EB86" w:rsidRPr="003A6E7C">
        <w:rPr>
          <w:rFonts w:asciiTheme="minorHAnsi" w:eastAsia="Calibri" w:hAnsiTheme="minorHAnsi" w:cstheme="minorBidi"/>
        </w:rPr>
        <w:t xml:space="preserve">this </w:t>
      </w:r>
      <w:r w:rsidRPr="003A6E7C">
        <w:rPr>
          <w:rFonts w:asciiTheme="minorHAnsi" w:eastAsia="Calibri" w:hAnsiTheme="minorHAnsi" w:cstheme="minorBidi"/>
        </w:rPr>
        <w:t xml:space="preserve">will help improve efficiencies at Brigham Health </w:t>
      </w:r>
      <w:r w:rsidR="2A0AD12C" w:rsidRPr="003A6E7C">
        <w:rPr>
          <w:rFonts w:asciiTheme="minorHAnsi" w:eastAsia="Calibri" w:hAnsiTheme="minorHAnsi" w:cstheme="minorBidi"/>
        </w:rPr>
        <w:t>and leverage its system capacity.</w:t>
      </w:r>
      <w:r w:rsidR="6E8EE399" w:rsidRPr="003A6E7C">
        <w:rPr>
          <w:rFonts w:asciiTheme="minorHAnsi" w:eastAsia="Calibri" w:hAnsiTheme="minorHAnsi" w:cstheme="minorBidi"/>
        </w:rPr>
        <w:t xml:space="preserve"> </w:t>
      </w:r>
      <w:r w:rsidR="0033255C" w:rsidRPr="003A6E7C">
        <w:rPr>
          <w:rFonts w:asciiTheme="minorHAnsi" w:eastAsia="Calibri" w:hAnsiTheme="minorHAnsi" w:cstheme="minorBidi"/>
        </w:rPr>
        <w:t xml:space="preserve">To ensure that the Proposed Project is accomplishing this stated goal, </w:t>
      </w:r>
      <w:r w:rsidR="5536EB86" w:rsidRPr="003A6E7C">
        <w:rPr>
          <w:rFonts w:asciiTheme="minorHAnsi" w:eastAsia="Calibri" w:hAnsiTheme="minorHAnsi" w:cstheme="minorBidi"/>
        </w:rPr>
        <w:t xml:space="preserve">a </w:t>
      </w:r>
      <w:r w:rsidR="00B36DA6" w:rsidRPr="003A6E7C">
        <w:rPr>
          <w:rFonts w:asciiTheme="minorHAnsi" w:eastAsia="Calibri" w:hAnsiTheme="minorHAnsi" w:cstheme="minorBidi"/>
        </w:rPr>
        <w:t>c</w:t>
      </w:r>
      <w:r w:rsidR="0033255C" w:rsidRPr="003A6E7C">
        <w:rPr>
          <w:rFonts w:asciiTheme="minorHAnsi" w:eastAsia="Calibri" w:hAnsiTheme="minorHAnsi" w:cstheme="minorBidi"/>
        </w:rPr>
        <w:t xml:space="preserve">ondition </w:t>
      </w:r>
      <w:r w:rsidR="5536EB86" w:rsidRPr="003A6E7C">
        <w:rPr>
          <w:rFonts w:asciiTheme="minorHAnsi" w:eastAsia="Calibri" w:hAnsiTheme="minorHAnsi" w:cstheme="minorBidi"/>
        </w:rPr>
        <w:t>of approval will require that</w:t>
      </w:r>
      <w:r w:rsidR="5536EB86" w:rsidRPr="17FA2F59">
        <w:rPr>
          <w:rFonts w:asciiTheme="minorHAnsi" w:eastAsia="Calibri" w:hAnsiTheme="minorHAnsi" w:cstheme="minorBidi"/>
        </w:rPr>
        <w:t xml:space="preserve"> </w:t>
      </w:r>
      <w:r w:rsidR="00A245E0">
        <w:rPr>
          <w:rFonts w:asciiTheme="minorHAnsi" w:eastAsia="Calibri" w:hAnsiTheme="minorHAnsi" w:cstheme="minorBidi"/>
        </w:rPr>
        <w:t>upon</w:t>
      </w:r>
      <w:r w:rsidR="0033255C">
        <w:rPr>
          <w:rFonts w:asciiTheme="minorHAnsi" w:eastAsia="Calibri" w:hAnsiTheme="minorHAnsi" w:cstheme="minorBidi"/>
        </w:rPr>
        <w:t xml:space="preserve"> </w:t>
      </w:r>
      <w:r w:rsidR="5536EB86" w:rsidRPr="17FA2F59">
        <w:rPr>
          <w:rFonts w:asciiTheme="minorHAnsi" w:eastAsia="Calibri" w:hAnsiTheme="minorHAnsi" w:cstheme="minorBidi"/>
        </w:rPr>
        <w:t>implement</w:t>
      </w:r>
      <w:r w:rsidR="0033255C">
        <w:rPr>
          <w:rFonts w:asciiTheme="minorHAnsi" w:eastAsia="Calibri" w:hAnsiTheme="minorHAnsi" w:cstheme="minorBidi"/>
        </w:rPr>
        <w:t>ation of</w:t>
      </w:r>
      <w:r w:rsidR="5536EB86" w:rsidRPr="17FA2F59">
        <w:rPr>
          <w:rFonts w:asciiTheme="minorHAnsi" w:eastAsia="Calibri" w:hAnsiTheme="minorHAnsi" w:cstheme="minorBidi"/>
        </w:rPr>
        <w:t xml:space="preserve"> the new beds, </w:t>
      </w:r>
      <w:r w:rsidR="5536EB86" w:rsidRPr="17FA2F59">
        <w:rPr>
          <w:rFonts w:asciiTheme="minorHAnsi" w:hAnsiTheme="minorHAnsi" w:cstheme="minorBidi"/>
        </w:rPr>
        <w:t xml:space="preserve">the Applicant demonstrate that it has relieved ED boarding at BWH </w:t>
      </w:r>
      <w:r w:rsidR="5536EB86" w:rsidRPr="00A644D8">
        <w:rPr>
          <w:rFonts w:asciiTheme="minorHAnsi" w:hAnsiTheme="minorHAnsi" w:cstheme="minorBidi"/>
        </w:rPr>
        <w:t>and BWFH</w:t>
      </w:r>
      <w:r w:rsidR="007D5EF2" w:rsidRPr="00A644D8">
        <w:rPr>
          <w:rFonts w:asciiTheme="minorHAnsi" w:hAnsiTheme="minorHAnsi" w:cstheme="minorBidi"/>
        </w:rPr>
        <w:t>,</w:t>
      </w:r>
      <w:r w:rsidR="5536EB86" w:rsidRPr="00A644D8">
        <w:rPr>
          <w:rFonts w:asciiTheme="minorHAnsi" w:hAnsiTheme="minorHAnsi" w:cstheme="minorBidi"/>
        </w:rPr>
        <w:t xml:space="preserve"> is shifting</w:t>
      </w:r>
      <w:r w:rsidR="5536EB86" w:rsidRPr="17FA2F59">
        <w:rPr>
          <w:rFonts w:asciiTheme="minorHAnsi" w:hAnsiTheme="minorHAnsi" w:cstheme="minorBidi"/>
        </w:rPr>
        <w:t xml:space="preserve"> appropriate patients to BWFH to receive the right care in the right settings, and that the patients who remain at BWH are of higher acuity.</w:t>
      </w:r>
      <w:r w:rsidR="390EA7F4" w:rsidRPr="17FA2F59">
        <w:rPr>
          <w:rFonts w:asciiTheme="minorHAnsi" w:hAnsiTheme="minorHAnsi" w:cstheme="minorBidi"/>
        </w:rPr>
        <w:t xml:space="preserve"> This condition is further detailed in the </w:t>
      </w:r>
      <w:r w:rsidR="00B36DA6">
        <w:rPr>
          <w:rFonts w:asciiTheme="minorHAnsi" w:hAnsiTheme="minorHAnsi" w:cstheme="minorBidi"/>
        </w:rPr>
        <w:t>c</w:t>
      </w:r>
      <w:r w:rsidR="390EA7F4" w:rsidRPr="17FA2F59">
        <w:rPr>
          <w:rFonts w:asciiTheme="minorHAnsi" w:hAnsiTheme="minorHAnsi" w:cstheme="minorBidi"/>
        </w:rPr>
        <w:t>onditions section of the report.</w:t>
      </w:r>
    </w:p>
    <w:p w14:paraId="15C376B8" w14:textId="56C77FE5" w:rsidR="003952DD" w:rsidRPr="0062487B" w:rsidRDefault="003952DD" w:rsidP="008651FB">
      <w:pPr>
        <w:pStyle w:val="ListParagraph"/>
        <w:ind w:left="0"/>
        <w:rPr>
          <w:rFonts w:asciiTheme="minorHAnsi" w:eastAsia="Calibri" w:hAnsiTheme="minorHAnsi" w:cstheme="minorHAnsi"/>
        </w:rPr>
      </w:pPr>
    </w:p>
    <w:p w14:paraId="63C9AE1C" w14:textId="2D947455" w:rsidR="008651FB" w:rsidRPr="0062487B" w:rsidRDefault="008651FB" w:rsidP="008651FB">
      <w:pPr>
        <w:contextualSpacing/>
        <w:rPr>
          <w:rFonts w:asciiTheme="minorHAnsi" w:hAnsiTheme="minorHAnsi" w:cstheme="minorHAnsi"/>
          <w:b/>
          <w:bCs/>
          <w:u w:val="single"/>
        </w:rPr>
      </w:pPr>
      <w:r w:rsidRPr="0062487B">
        <w:rPr>
          <w:rFonts w:asciiTheme="minorHAnsi" w:hAnsiTheme="minorHAnsi" w:cstheme="minorHAnsi"/>
          <w:b/>
          <w:bCs/>
          <w:u w:val="single"/>
        </w:rPr>
        <w:t>Observation Unit</w:t>
      </w:r>
    </w:p>
    <w:p w14:paraId="570F2D96" w14:textId="72120AE2" w:rsidR="008651FB" w:rsidRPr="0062487B" w:rsidRDefault="6052D373" w:rsidP="78F650E0">
      <w:pPr>
        <w:contextualSpacing/>
        <w:rPr>
          <w:rFonts w:asciiTheme="minorHAnsi" w:hAnsiTheme="minorHAnsi" w:cstheme="minorBidi"/>
          <w:color w:val="000000" w:themeColor="text1"/>
        </w:rPr>
      </w:pPr>
      <w:r w:rsidRPr="78F650E0">
        <w:rPr>
          <w:rFonts w:asciiTheme="minorHAnsi" w:hAnsiTheme="minorHAnsi" w:cstheme="minorBidi"/>
          <w:color w:val="000000" w:themeColor="text1"/>
        </w:rPr>
        <w:t>The Proposed Project includes a new 8-bed observation unit</w:t>
      </w:r>
      <w:r w:rsidR="53BECEFA" w:rsidRPr="78F650E0">
        <w:rPr>
          <w:rFonts w:asciiTheme="minorHAnsi" w:hAnsiTheme="minorHAnsi" w:cstheme="minorBidi"/>
          <w:color w:val="000000" w:themeColor="text1"/>
        </w:rPr>
        <w:t xml:space="preserve"> </w:t>
      </w:r>
      <w:r w:rsidR="623B08C5" w:rsidRPr="78F650E0">
        <w:rPr>
          <w:rFonts w:asciiTheme="minorHAnsi" w:hAnsiTheme="minorHAnsi" w:cstheme="minorBidi"/>
          <w:color w:val="000000" w:themeColor="text1"/>
        </w:rPr>
        <w:t xml:space="preserve">planned primarily </w:t>
      </w:r>
      <w:r w:rsidR="53BECEFA" w:rsidRPr="78F650E0">
        <w:rPr>
          <w:rFonts w:asciiTheme="minorHAnsi" w:hAnsiTheme="minorHAnsi" w:cstheme="minorBidi"/>
          <w:color w:val="000000" w:themeColor="text1"/>
        </w:rPr>
        <w:t>to meet the recovery needs of patients after surgery</w:t>
      </w:r>
      <w:r w:rsidR="005958D5">
        <w:rPr>
          <w:rFonts w:asciiTheme="minorHAnsi" w:hAnsiTheme="minorHAnsi" w:cstheme="minorBidi"/>
          <w:color w:val="000000" w:themeColor="text1"/>
        </w:rPr>
        <w:t xml:space="preserve"> and</w:t>
      </w:r>
      <w:r w:rsidR="53BECEFA" w:rsidRPr="78F650E0">
        <w:rPr>
          <w:rFonts w:asciiTheme="minorHAnsi" w:hAnsiTheme="minorHAnsi" w:cstheme="minorBidi"/>
          <w:color w:val="000000" w:themeColor="text1"/>
        </w:rPr>
        <w:t xml:space="preserve"> interventional nephrology and radiology procedures</w:t>
      </w:r>
      <w:r w:rsidR="00A86E66">
        <w:rPr>
          <w:rFonts w:asciiTheme="minorHAnsi" w:hAnsiTheme="minorHAnsi" w:cstheme="minorBidi"/>
          <w:color w:val="000000" w:themeColor="text1"/>
        </w:rPr>
        <w:t>,</w:t>
      </w:r>
      <w:r w:rsidR="181E31B4" w:rsidRPr="78F650E0">
        <w:rPr>
          <w:rFonts w:asciiTheme="minorHAnsi" w:hAnsiTheme="minorHAnsi" w:cstheme="minorBidi"/>
          <w:color w:val="000000" w:themeColor="text1"/>
        </w:rPr>
        <w:t xml:space="preserve"> which can require </w:t>
      </w:r>
      <w:r w:rsidR="00A86E66" w:rsidRPr="78F650E0">
        <w:rPr>
          <w:rFonts w:asciiTheme="minorHAnsi" w:hAnsiTheme="minorHAnsi" w:cstheme="minorBidi"/>
          <w:color w:val="000000" w:themeColor="text1"/>
        </w:rPr>
        <w:t>four-to-six-hour</w:t>
      </w:r>
      <w:r w:rsidR="181E31B4" w:rsidRPr="78F650E0">
        <w:rPr>
          <w:rFonts w:asciiTheme="minorHAnsi" w:hAnsiTheme="minorHAnsi" w:cstheme="minorBidi"/>
          <w:color w:val="000000" w:themeColor="text1"/>
        </w:rPr>
        <w:t xml:space="preserve"> lengths of stay post</w:t>
      </w:r>
      <w:r w:rsidR="00A86E66">
        <w:rPr>
          <w:rFonts w:asciiTheme="minorHAnsi" w:hAnsiTheme="minorHAnsi" w:cstheme="minorBidi"/>
          <w:color w:val="000000" w:themeColor="text1"/>
        </w:rPr>
        <w:t>-</w:t>
      </w:r>
      <w:r w:rsidR="181E31B4" w:rsidRPr="78F650E0">
        <w:rPr>
          <w:rFonts w:asciiTheme="minorHAnsi" w:hAnsiTheme="minorHAnsi" w:cstheme="minorBidi"/>
          <w:color w:val="000000" w:themeColor="text1"/>
        </w:rPr>
        <w:t xml:space="preserve">procedure to </w:t>
      </w:r>
      <w:r w:rsidR="181E31B4" w:rsidRPr="78F650E0">
        <w:rPr>
          <w:rFonts w:asciiTheme="minorHAnsi" w:hAnsiTheme="minorHAnsi" w:cstheme="minorBidi"/>
        </w:rPr>
        <w:t>ensure successful voiding trials and no bleeding complications from the procedures</w:t>
      </w:r>
      <w:r w:rsidR="53BECEFA" w:rsidRPr="78F650E0">
        <w:rPr>
          <w:rFonts w:asciiTheme="minorHAnsi" w:hAnsiTheme="minorHAnsi" w:cstheme="minorBidi"/>
          <w:color w:val="000000" w:themeColor="text1"/>
        </w:rPr>
        <w:t xml:space="preserve">. The unit will </w:t>
      </w:r>
      <w:r w:rsidR="00B23F0B">
        <w:rPr>
          <w:rFonts w:asciiTheme="minorHAnsi" w:hAnsiTheme="minorHAnsi" w:cstheme="minorBidi"/>
          <w:color w:val="000000" w:themeColor="text1"/>
        </w:rPr>
        <w:t xml:space="preserve">also </w:t>
      </w:r>
      <w:r w:rsidR="53BECEFA" w:rsidRPr="78F650E0">
        <w:rPr>
          <w:rFonts w:asciiTheme="minorHAnsi" w:hAnsiTheme="minorHAnsi" w:cstheme="minorBidi"/>
          <w:color w:val="000000" w:themeColor="text1"/>
        </w:rPr>
        <w:t>be used for patients recovering from gynecological and endocrine (thyroidectomy) day surger</w:t>
      </w:r>
      <w:r w:rsidR="55BA747F" w:rsidRPr="78F650E0">
        <w:rPr>
          <w:rFonts w:asciiTheme="minorHAnsi" w:hAnsiTheme="minorHAnsi" w:cstheme="minorBidi"/>
          <w:color w:val="000000" w:themeColor="text1"/>
        </w:rPr>
        <w:t>y</w:t>
      </w:r>
      <w:r w:rsidR="53BECEFA" w:rsidRPr="78F650E0">
        <w:rPr>
          <w:rFonts w:asciiTheme="minorHAnsi" w:hAnsiTheme="minorHAnsi" w:cstheme="minorBidi"/>
          <w:color w:val="000000" w:themeColor="text1"/>
        </w:rPr>
        <w:t xml:space="preserve"> and from kidney, </w:t>
      </w:r>
      <w:proofErr w:type="gramStart"/>
      <w:r w:rsidR="53BECEFA" w:rsidRPr="78F650E0">
        <w:rPr>
          <w:rFonts w:asciiTheme="minorHAnsi" w:hAnsiTheme="minorHAnsi" w:cstheme="minorBidi"/>
          <w:color w:val="000000" w:themeColor="text1"/>
        </w:rPr>
        <w:t>liver</w:t>
      </w:r>
      <w:proofErr w:type="gramEnd"/>
      <w:r w:rsidR="53BECEFA" w:rsidRPr="78F650E0">
        <w:rPr>
          <w:rFonts w:asciiTheme="minorHAnsi" w:hAnsiTheme="minorHAnsi" w:cstheme="minorBidi"/>
          <w:color w:val="000000" w:themeColor="text1"/>
        </w:rPr>
        <w:t xml:space="preserve"> and lung biopsies.</w:t>
      </w:r>
      <w:r w:rsidR="00637549" w:rsidRPr="78F650E0">
        <w:rPr>
          <w:rStyle w:val="FootnoteReference"/>
          <w:rFonts w:asciiTheme="minorHAnsi" w:hAnsiTheme="minorHAnsi" w:cstheme="minorBidi"/>
          <w:color w:val="000000" w:themeColor="text1"/>
        </w:rPr>
        <w:footnoteReference w:id="11"/>
      </w:r>
      <w:r w:rsidR="53BECEFA" w:rsidRPr="78F650E0">
        <w:rPr>
          <w:rFonts w:asciiTheme="minorHAnsi" w:hAnsiTheme="minorHAnsi" w:cstheme="minorBidi"/>
          <w:color w:val="000000" w:themeColor="text1"/>
        </w:rPr>
        <w:t xml:space="preserve"> </w:t>
      </w:r>
      <w:r w:rsidR="28DAC52F" w:rsidRPr="78F650E0">
        <w:rPr>
          <w:rFonts w:asciiTheme="minorHAnsi" w:hAnsiTheme="minorHAnsi" w:cstheme="minorBidi"/>
          <w:color w:val="000000" w:themeColor="text1"/>
        </w:rPr>
        <w:lastRenderedPageBreak/>
        <w:t xml:space="preserve">The Applicant reported </w:t>
      </w:r>
      <w:r w:rsidR="53BECEFA" w:rsidRPr="78F650E0">
        <w:rPr>
          <w:rFonts w:asciiTheme="minorHAnsi" w:hAnsiTheme="minorHAnsi" w:cstheme="minorBidi"/>
          <w:color w:val="000000" w:themeColor="text1"/>
        </w:rPr>
        <w:t xml:space="preserve">that it </w:t>
      </w:r>
      <w:r w:rsidR="28DAC52F" w:rsidRPr="78F650E0">
        <w:rPr>
          <w:rFonts w:asciiTheme="minorHAnsi" w:hAnsiTheme="minorHAnsi" w:cstheme="minorBidi"/>
          <w:color w:val="000000" w:themeColor="text1"/>
        </w:rPr>
        <w:t>provid</w:t>
      </w:r>
      <w:r w:rsidR="53BECEFA" w:rsidRPr="78F650E0">
        <w:rPr>
          <w:rFonts w:asciiTheme="minorHAnsi" w:hAnsiTheme="minorHAnsi" w:cstheme="minorBidi"/>
          <w:color w:val="000000" w:themeColor="text1"/>
        </w:rPr>
        <w:t>ed</w:t>
      </w:r>
      <w:r w:rsidR="28DAC52F" w:rsidRPr="78F650E0">
        <w:rPr>
          <w:rFonts w:asciiTheme="minorHAnsi" w:hAnsiTheme="minorHAnsi" w:cstheme="minorBidi"/>
          <w:color w:val="000000" w:themeColor="text1"/>
        </w:rPr>
        <w:t xml:space="preserve"> observation-like services to 1,340 patients in FY2019</w:t>
      </w:r>
      <w:r w:rsidR="00A86E66">
        <w:rPr>
          <w:rFonts w:asciiTheme="minorHAnsi" w:hAnsiTheme="minorHAnsi" w:cstheme="minorBidi"/>
          <w:color w:val="000000" w:themeColor="text1"/>
        </w:rPr>
        <w:t xml:space="preserve"> in other areas of the hospital, including inpatient beds and the </w:t>
      </w:r>
      <w:r w:rsidR="00A86E66" w:rsidRPr="17FA2F59">
        <w:rPr>
          <w:rFonts w:asciiTheme="minorHAnsi" w:hAnsiTheme="minorHAnsi" w:cstheme="minorBidi"/>
          <w:color w:val="000000" w:themeColor="text1"/>
        </w:rPr>
        <w:t xml:space="preserve">post-anesthesia care unit </w:t>
      </w:r>
      <w:r w:rsidR="00A86E66">
        <w:rPr>
          <w:rFonts w:asciiTheme="minorHAnsi" w:hAnsiTheme="minorHAnsi" w:cstheme="minorBidi"/>
          <w:color w:val="000000" w:themeColor="text1"/>
        </w:rPr>
        <w:t>(PACU)</w:t>
      </w:r>
      <w:r w:rsidR="28DAC52F" w:rsidRPr="78F650E0">
        <w:rPr>
          <w:rFonts w:asciiTheme="minorHAnsi" w:hAnsiTheme="minorHAnsi" w:cstheme="minorBidi"/>
          <w:color w:val="000000" w:themeColor="text1"/>
        </w:rPr>
        <w:t xml:space="preserve">. </w:t>
      </w:r>
      <w:r w:rsidR="1140CAD4" w:rsidRPr="78F650E0">
        <w:rPr>
          <w:rFonts w:asciiTheme="minorHAnsi" w:hAnsiTheme="minorHAnsi" w:cstheme="minorBidi"/>
          <w:color w:val="000000" w:themeColor="text1"/>
        </w:rPr>
        <w:t xml:space="preserve">Historically there has been an increased demand for observation services (Table 9), and BWFH anticipates that the upward trend of observation cases will continue. </w:t>
      </w:r>
      <w:r w:rsidR="5CBC6097" w:rsidRPr="78F650E0">
        <w:rPr>
          <w:rFonts w:asciiTheme="minorHAnsi" w:hAnsiTheme="minorHAnsi" w:cstheme="minorBidi"/>
          <w:color w:val="000000" w:themeColor="text1"/>
        </w:rPr>
        <w:t xml:space="preserve">The Applicant provided projected demand for the observation unit, as shown in Table </w:t>
      </w:r>
      <w:r w:rsidR="16880BFC" w:rsidRPr="78F650E0">
        <w:rPr>
          <w:rFonts w:asciiTheme="minorHAnsi" w:hAnsiTheme="minorHAnsi" w:cstheme="minorBidi"/>
          <w:color w:val="000000" w:themeColor="text1"/>
        </w:rPr>
        <w:t>10</w:t>
      </w:r>
      <w:r w:rsidR="5CBC6097" w:rsidRPr="78F650E0">
        <w:rPr>
          <w:rFonts w:asciiTheme="minorHAnsi" w:hAnsiTheme="minorHAnsi" w:cstheme="minorBidi"/>
          <w:color w:val="000000" w:themeColor="text1"/>
        </w:rPr>
        <w:t xml:space="preserve">. </w:t>
      </w:r>
    </w:p>
    <w:p w14:paraId="28792FAC" w14:textId="4C269653" w:rsidR="00265864" w:rsidRPr="0062487B" w:rsidRDefault="00265864" w:rsidP="000E4AFD">
      <w:pPr>
        <w:contextualSpacing/>
        <w:rPr>
          <w:rFonts w:asciiTheme="minorHAnsi" w:hAnsiTheme="minorHAnsi" w:cstheme="minorHAnsi"/>
          <w:color w:val="000000" w:themeColor="text1"/>
        </w:rPr>
      </w:pPr>
    </w:p>
    <w:p w14:paraId="023089EF" w14:textId="3B8333E0" w:rsidR="003308BE" w:rsidRPr="0062487B" w:rsidRDefault="2B672013" w:rsidP="17FA2F59">
      <w:pPr>
        <w:contextualSpacing/>
        <w:rPr>
          <w:rFonts w:asciiTheme="minorHAnsi" w:hAnsiTheme="minorHAnsi" w:cstheme="minorBidi"/>
          <w:b/>
          <w:bCs/>
          <w:color w:val="2F5897" w:themeColor="text2"/>
        </w:rPr>
      </w:pPr>
      <w:r w:rsidRPr="17FA2F59">
        <w:rPr>
          <w:rFonts w:asciiTheme="minorHAnsi" w:hAnsiTheme="minorHAnsi" w:cstheme="minorBidi"/>
          <w:b/>
          <w:bCs/>
          <w:u w:val="single"/>
        </w:rPr>
        <w:t>Table 9</w:t>
      </w:r>
      <w:r w:rsidRPr="17FA2F59">
        <w:rPr>
          <w:rFonts w:asciiTheme="minorHAnsi" w:hAnsiTheme="minorHAnsi" w:cstheme="minorBidi"/>
          <w:b/>
          <w:bCs/>
        </w:rPr>
        <w:t>: Historical Trend for Observation Cases</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68"/>
        <w:gridCol w:w="2465"/>
        <w:gridCol w:w="2465"/>
        <w:gridCol w:w="2466"/>
      </w:tblGrid>
      <w:tr w:rsidR="003308BE" w:rsidRPr="0062487B" w14:paraId="0846C165" w14:textId="77777777" w:rsidTr="007507B0">
        <w:tc>
          <w:tcPr>
            <w:tcW w:w="2669" w:type="dxa"/>
            <w:shd w:val="clear" w:color="auto" w:fill="DFE3F0" w:themeFill="accent1" w:themeFillTint="33"/>
          </w:tcPr>
          <w:p w14:paraId="07958817" w14:textId="77777777" w:rsidR="003308BE" w:rsidRPr="0062487B" w:rsidRDefault="003308BE" w:rsidP="008651FB">
            <w:pPr>
              <w:contextualSpacing/>
              <w:rPr>
                <w:rFonts w:asciiTheme="minorHAnsi" w:hAnsiTheme="minorHAnsi" w:cstheme="minorHAnsi"/>
                <w:color w:val="000000" w:themeColor="text1"/>
              </w:rPr>
            </w:pPr>
          </w:p>
        </w:tc>
        <w:tc>
          <w:tcPr>
            <w:tcW w:w="2467" w:type="dxa"/>
            <w:shd w:val="clear" w:color="auto" w:fill="DFE3F0" w:themeFill="accent1" w:themeFillTint="33"/>
          </w:tcPr>
          <w:p w14:paraId="497958E3" w14:textId="6D928363" w:rsidR="003308BE" w:rsidRPr="0062487B" w:rsidRDefault="003308BE" w:rsidP="003308BE">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FY17</w:t>
            </w:r>
          </w:p>
        </w:tc>
        <w:tc>
          <w:tcPr>
            <w:tcW w:w="2467" w:type="dxa"/>
            <w:shd w:val="clear" w:color="auto" w:fill="DFE3F0" w:themeFill="accent1" w:themeFillTint="33"/>
          </w:tcPr>
          <w:p w14:paraId="0E928B96" w14:textId="1A218600" w:rsidR="003308BE" w:rsidRPr="0062487B" w:rsidRDefault="003308BE" w:rsidP="003308BE">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FY18</w:t>
            </w:r>
          </w:p>
        </w:tc>
        <w:tc>
          <w:tcPr>
            <w:tcW w:w="2467" w:type="dxa"/>
            <w:shd w:val="clear" w:color="auto" w:fill="DFE3F0" w:themeFill="accent1" w:themeFillTint="33"/>
          </w:tcPr>
          <w:p w14:paraId="2701B9EF" w14:textId="24817566" w:rsidR="003308BE" w:rsidRPr="0062487B" w:rsidRDefault="003308BE" w:rsidP="003308BE">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FY19</w:t>
            </w:r>
          </w:p>
        </w:tc>
      </w:tr>
      <w:tr w:rsidR="003308BE" w:rsidRPr="0062487B" w14:paraId="2A9A6D6A" w14:textId="77777777" w:rsidTr="007507B0">
        <w:tc>
          <w:tcPr>
            <w:tcW w:w="2669" w:type="dxa"/>
          </w:tcPr>
          <w:p w14:paraId="1D7602AE" w14:textId="537ECACA" w:rsidR="003308BE" w:rsidRPr="0062487B" w:rsidRDefault="003308BE" w:rsidP="008651FB">
            <w:pPr>
              <w:contextualSpacing/>
              <w:rPr>
                <w:rFonts w:asciiTheme="minorHAnsi" w:hAnsiTheme="minorHAnsi" w:cstheme="minorHAnsi"/>
                <w:b/>
                <w:bCs/>
                <w:color w:val="000000" w:themeColor="text1"/>
              </w:rPr>
            </w:pPr>
            <w:r w:rsidRPr="0062487B">
              <w:rPr>
                <w:rFonts w:asciiTheme="minorHAnsi" w:hAnsiTheme="minorHAnsi" w:cstheme="minorHAnsi"/>
                <w:b/>
                <w:bCs/>
                <w:color w:val="000000" w:themeColor="text1"/>
              </w:rPr>
              <w:t>Unique patients (visits)</w:t>
            </w:r>
          </w:p>
        </w:tc>
        <w:tc>
          <w:tcPr>
            <w:tcW w:w="2467" w:type="dxa"/>
          </w:tcPr>
          <w:p w14:paraId="5D17EE1A" w14:textId="7998535F" w:rsidR="003308BE" w:rsidRPr="0062487B" w:rsidRDefault="003308BE" w:rsidP="000E4AFD">
            <w:pPr>
              <w:contextualSpacing/>
              <w:jc w:val="right"/>
              <w:rPr>
                <w:rFonts w:asciiTheme="minorHAnsi" w:hAnsiTheme="minorHAnsi" w:cstheme="minorHAnsi"/>
                <w:color w:val="000000" w:themeColor="text1"/>
              </w:rPr>
            </w:pPr>
            <w:r w:rsidRPr="0062487B">
              <w:rPr>
                <w:rFonts w:asciiTheme="minorHAnsi" w:hAnsiTheme="minorHAnsi" w:cstheme="minorHAnsi"/>
              </w:rPr>
              <w:t>744 (898 visits)</w:t>
            </w:r>
          </w:p>
        </w:tc>
        <w:tc>
          <w:tcPr>
            <w:tcW w:w="2467" w:type="dxa"/>
          </w:tcPr>
          <w:p w14:paraId="53518F86" w14:textId="5B7A9B7C" w:rsidR="003308BE" w:rsidRPr="0062487B" w:rsidRDefault="003308BE" w:rsidP="000E4AFD">
            <w:pPr>
              <w:contextualSpacing/>
              <w:jc w:val="right"/>
              <w:rPr>
                <w:rFonts w:asciiTheme="minorHAnsi" w:hAnsiTheme="minorHAnsi" w:cstheme="minorHAnsi"/>
                <w:color w:val="000000" w:themeColor="text1"/>
              </w:rPr>
            </w:pPr>
            <w:r w:rsidRPr="0062487B">
              <w:rPr>
                <w:rFonts w:asciiTheme="minorHAnsi" w:hAnsiTheme="minorHAnsi" w:cstheme="minorHAnsi"/>
              </w:rPr>
              <w:t>805 (997 visits)</w:t>
            </w:r>
          </w:p>
        </w:tc>
        <w:tc>
          <w:tcPr>
            <w:tcW w:w="2467" w:type="dxa"/>
          </w:tcPr>
          <w:p w14:paraId="7AFBD800" w14:textId="434A0334" w:rsidR="003308BE" w:rsidRPr="0062487B" w:rsidRDefault="003308BE" w:rsidP="000E4AFD">
            <w:pPr>
              <w:contextualSpacing/>
              <w:jc w:val="right"/>
              <w:rPr>
                <w:rFonts w:asciiTheme="minorHAnsi" w:hAnsiTheme="minorHAnsi" w:cstheme="minorHAnsi"/>
                <w:color w:val="000000" w:themeColor="text1"/>
              </w:rPr>
            </w:pPr>
            <w:r w:rsidRPr="0062487B">
              <w:rPr>
                <w:rFonts w:asciiTheme="minorHAnsi" w:hAnsiTheme="minorHAnsi" w:cstheme="minorHAnsi"/>
              </w:rPr>
              <w:t>1,340 (1,607 visits)</w:t>
            </w:r>
          </w:p>
        </w:tc>
      </w:tr>
    </w:tbl>
    <w:p w14:paraId="6C0E51A1" w14:textId="022CF574" w:rsidR="003308BE" w:rsidRPr="0062487B" w:rsidRDefault="003308BE" w:rsidP="008651FB">
      <w:pPr>
        <w:contextualSpacing/>
        <w:rPr>
          <w:rFonts w:asciiTheme="minorHAnsi" w:hAnsiTheme="minorHAnsi" w:cstheme="minorHAnsi"/>
          <w:color w:val="000000" w:themeColor="text1"/>
        </w:rPr>
      </w:pPr>
    </w:p>
    <w:p w14:paraId="0411B9EE" w14:textId="77777777" w:rsidR="00050346" w:rsidRPr="0062487B" w:rsidRDefault="00050346" w:rsidP="008651FB">
      <w:pPr>
        <w:contextualSpacing/>
        <w:rPr>
          <w:rFonts w:asciiTheme="minorHAnsi" w:hAnsiTheme="minorHAnsi" w:cstheme="minorHAnsi"/>
          <w:color w:val="2F5897" w:themeColor="text2"/>
        </w:rPr>
      </w:pPr>
    </w:p>
    <w:p w14:paraId="6D3C2A27" w14:textId="7D30E3DB" w:rsidR="003308BE" w:rsidRPr="0062487B" w:rsidRDefault="23A050C8" w:rsidP="17FA2F59">
      <w:pPr>
        <w:contextualSpacing/>
        <w:rPr>
          <w:rFonts w:asciiTheme="minorHAnsi" w:hAnsiTheme="minorHAnsi" w:cstheme="minorBidi"/>
          <w:b/>
          <w:bCs/>
          <w:color w:val="2F5897" w:themeColor="text2"/>
        </w:rPr>
      </w:pPr>
      <w:r w:rsidRPr="17FA2F59">
        <w:rPr>
          <w:rFonts w:asciiTheme="minorHAnsi" w:hAnsiTheme="minorHAnsi" w:cstheme="minorBidi"/>
          <w:b/>
          <w:bCs/>
          <w:u w:val="single"/>
        </w:rPr>
        <w:t xml:space="preserve">Table </w:t>
      </w:r>
      <w:r w:rsidR="6C05F35B" w:rsidRPr="17FA2F59">
        <w:rPr>
          <w:rFonts w:asciiTheme="minorHAnsi" w:hAnsiTheme="minorHAnsi" w:cstheme="minorBidi"/>
          <w:b/>
          <w:bCs/>
          <w:u w:val="single"/>
        </w:rPr>
        <w:t>10</w:t>
      </w:r>
      <w:r w:rsidR="6C05F35B" w:rsidRPr="17FA2F59">
        <w:rPr>
          <w:rFonts w:asciiTheme="minorHAnsi" w:hAnsiTheme="minorHAnsi" w:cstheme="minorBidi"/>
          <w:b/>
          <w:bCs/>
        </w:rPr>
        <w:t>:</w:t>
      </w:r>
      <w:r w:rsidRPr="17FA2F59">
        <w:rPr>
          <w:rFonts w:asciiTheme="minorHAnsi" w:hAnsiTheme="minorHAnsi" w:cstheme="minorBidi"/>
          <w:b/>
          <w:bCs/>
        </w:rPr>
        <w:t xml:space="preserve"> Projected Observation </w:t>
      </w:r>
      <w:r w:rsidR="080725B3" w:rsidRPr="17FA2F59">
        <w:rPr>
          <w:rFonts w:asciiTheme="minorHAnsi" w:hAnsiTheme="minorHAnsi" w:cstheme="minorBidi"/>
          <w:b/>
          <w:bCs/>
        </w:rPr>
        <w:t>Visits</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77"/>
        <w:gridCol w:w="1677"/>
        <w:gridCol w:w="1677"/>
        <w:gridCol w:w="1677"/>
        <w:gridCol w:w="1678"/>
        <w:gridCol w:w="1678"/>
      </w:tblGrid>
      <w:tr w:rsidR="000E4AFD" w:rsidRPr="0062487B" w14:paraId="2E9F476D" w14:textId="77777777" w:rsidTr="007507B0">
        <w:tc>
          <w:tcPr>
            <w:tcW w:w="1678" w:type="dxa"/>
            <w:shd w:val="clear" w:color="auto" w:fill="DFE3F0" w:themeFill="accent1" w:themeFillTint="33"/>
          </w:tcPr>
          <w:p w14:paraId="258F1A87" w14:textId="4FE72123" w:rsidR="000E4AFD" w:rsidRPr="0062487B" w:rsidRDefault="000E4AFD" w:rsidP="008651FB">
            <w:pPr>
              <w:contextualSpacing/>
              <w:rPr>
                <w:rFonts w:asciiTheme="minorHAnsi" w:hAnsiTheme="minorHAnsi" w:cstheme="minorHAnsi"/>
                <w:b/>
                <w:bCs/>
                <w:color w:val="000000" w:themeColor="text1"/>
              </w:rPr>
            </w:pPr>
            <w:r w:rsidRPr="0062487B">
              <w:rPr>
                <w:rFonts w:asciiTheme="minorHAnsi" w:hAnsiTheme="minorHAnsi" w:cstheme="minorHAnsi"/>
                <w:b/>
                <w:bCs/>
                <w:color w:val="000000" w:themeColor="text1"/>
              </w:rPr>
              <w:t>Age Group</w:t>
            </w:r>
          </w:p>
        </w:tc>
        <w:tc>
          <w:tcPr>
            <w:tcW w:w="1678" w:type="dxa"/>
            <w:shd w:val="clear" w:color="auto" w:fill="DFE3F0" w:themeFill="accent1" w:themeFillTint="33"/>
          </w:tcPr>
          <w:p w14:paraId="7DF96C5B" w14:textId="13F3643D" w:rsidR="000E4AFD" w:rsidRPr="0062487B" w:rsidRDefault="000E4AFD" w:rsidP="000E4AFD">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FY19</w:t>
            </w:r>
          </w:p>
        </w:tc>
        <w:tc>
          <w:tcPr>
            <w:tcW w:w="1678" w:type="dxa"/>
            <w:shd w:val="clear" w:color="auto" w:fill="DFE3F0" w:themeFill="accent1" w:themeFillTint="33"/>
          </w:tcPr>
          <w:p w14:paraId="64BECB8E" w14:textId="796F7EC2" w:rsidR="000E4AFD" w:rsidRPr="0062487B" w:rsidRDefault="000E4AFD" w:rsidP="000E4AFD">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FY24</w:t>
            </w:r>
          </w:p>
        </w:tc>
        <w:tc>
          <w:tcPr>
            <w:tcW w:w="1678" w:type="dxa"/>
            <w:shd w:val="clear" w:color="auto" w:fill="DFE3F0" w:themeFill="accent1" w:themeFillTint="33"/>
          </w:tcPr>
          <w:p w14:paraId="0693E107" w14:textId="6035D934" w:rsidR="000E4AFD" w:rsidRPr="0062487B" w:rsidRDefault="000E4AFD" w:rsidP="000E4AFD">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FY25</w:t>
            </w:r>
          </w:p>
        </w:tc>
        <w:tc>
          <w:tcPr>
            <w:tcW w:w="1679" w:type="dxa"/>
            <w:shd w:val="clear" w:color="auto" w:fill="DFE3F0" w:themeFill="accent1" w:themeFillTint="33"/>
          </w:tcPr>
          <w:p w14:paraId="722C863B" w14:textId="3770CA98" w:rsidR="000E4AFD" w:rsidRPr="0062487B" w:rsidRDefault="000E4AFD" w:rsidP="000E4AFD">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FY26</w:t>
            </w:r>
          </w:p>
        </w:tc>
        <w:tc>
          <w:tcPr>
            <w:tcW w:w="1679" w:type="dxa"/>
            <w:shd w:val="clear" w:color="auto" w:fill="DFE3F0" w:themeFill="accent1" w:themeFillTint="33"/>
          </w:tcPr>
          <w:p w14:paraId="31268A95" w14:textId="44599577" w:rsidR="000E4AFD" w:rsidRPr="0062487B" w:rsidRDefault="000E4AFD" w:rsidP="000E4AFD">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FY27</w:t>
            </w:r>
          </w:p>
        </w:tc>
      </w:tr>
      <w:tr w:rsidR="000E4AFD" w:rsidRPr="0062487B" w14:paraId="7D34FE91" w14:textId="77777777" w:rsidTr="007507B0">
        <w:tc>
          <w:tcPr>
            <w:tcW w:w="1678" w:type="dxa"/>
            <w:vAlign w:val="bottom"/>
          </w:tcPr>
          <w:p w14:paraId="17D9D3AB" w14:textId="1C0AF1A6" w:rsidR="000E4AFD" w:rsidRPr="0062487B" w:rsidRDefault="000E4AFD" w:rsidP="000E4AFD">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0-17</w:t>
            </w:r>
          </w:p>
        </w:tc>
        <w:tc>
          <w:tcPr>
            <w:tcW w:w="1678" w:type="dxa"/>
            <w:vAlign w:val="bottom"/>
          </w:tcPr>
          <w:p w14:paraId="1A9A0C48" w14:textId="0C33D050"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88</w:t>
            </w:r>
          </w:p>
        </w:tc>
        <w:tc>
          <w:tcPr>
            <w:tcW w:w="1678" w:type="dxa"/>
            <w:vAlign w:val="bottom"/>
          </w:tcPr>
          <w:p w14:paraId="22D5F2BC" w14:textId="3ACB50F3"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88</w:t>
            </w:r>
          </w:p>
        </w:tc>
        <w:tc>
          <w:tcPr>
            <w:tcW w:w="1678" w:type="dxa"/>
            <w:vAlign w:val="bottom"/>
          </w:tcPr>
          <w:p w14:paraId="04CDE234" w14:textId="24ED5A7A"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88</w:t>
            </w:r>
          </w:p>
        </w:tc>
        <w:tc>
          <w:tcPr>
            <w:tcW w:w="1679" w:type="dxa"/>
            <w:vAlign w:val="bottom"/>
          </w:tcPr>
          <w:p w14:paraId="696B9870" w14:textId="40B4CD91"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88</w:t>
            </w:r>
          </w:p>
        </w:tc>
        <w:tc>
          <w:tcPr>
            <w:tcW w:w="1679" w:type="dxa"/>
            <w:vAlign w:val="bottom"/>
          </w:tcPr>
          <w:p w14:paraId="5FC3FFB0" w14:textId="733F05F2"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88</w:t>
            </w:r>
          </w:p>
        </w:tc>
      </w:tr>
      <w:tr w:rsidR="000E4AFD" w:rsidRPr="0062487B" w14:paraId="3D8C7153" w14:textId="77777777" w:rsidTr="007507B0">
        <w:tc>
          <w:tcPr>
            <w:tcW w:w="1678" w:type="dxa"/>
            <w:vAlign w:val="bottom"/>
          </w:tcPr>
          <w:p w14:paraId="7516F5A3" w14:textId="6AE52B31" w:rsidR="000E4AFD" w:rsidRPr="0062487B" w:rsidRDefault="000E4AFD" w:rsidP="000E4AFD">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18-44</w:t>
            </w:r>
          </w:p>
        </w:tc>
        <w:tc>
          <w:tcPr>
            <w:tcW w:w="1678" w:type="dxa"/>
            <w:vAlign w:val="bottom"/>
          </w:tcPr>
          <w:p w14:paraId="0CDA5CE3" w14:textId="53D3FFB0"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233</w:t>
            </w:r>
          </w:p>
        </w:tc>
        <w:tc>
          <w:tcPr>
            <w:tcW w:w="1678" w:type="dxa"/>
            <w:vAlign w:val="bottom"/>
          </w:tcPr>
          <w:p w14:paraId="302A2EE2" w14:textId="0704D6A3"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278</w:t>
            </w:r>
          </w:p>
        </w:tc>
        <w:tc>
          <w:tcPr>
            <w:tcW w:w="1678" w:type="dxa"/>
            <w:vAlign w:val="bottom"/>
          </w:tcPr>
          <w:p w14:paraId="5D555357" w14:textId="5FAADA91"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278</w:t>
            </w:r>
          </w:p>
        </w:tc>
        <w:tc>
          <w:tcPr>
            <w:tcW w:w="1679" w:type="dxa"/>
            <w:vAlign w:val="bottom"/>
          </w:tcPr>
          <w:p w14:paraId="2D6B1622" w14:textId="388FE516"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278</w:t>
            </w:r>
          </w:p>
        </w:tc>
        <w:tc>
          <w:tcPr>
            <w:tcW w:w="1679" w:type="dxa"/>
            <w:vAlign w:val="bottom"/>
          </w:tcPr>
          <w:p w14:paraId="003CF4EA" w14:textId="035452DD"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277</w:t>
            </w:r>
          </w:p>
        </w:tc>
      </w:tr>
      <w:tr w:rsidR="000E4AFD" w:rsidRPr="0062487B" w14:paraId="3A9EE68B" w14:textId="77777777" w:rsidTr="007507B0">
        <w:tc>
          <w:tcPr>
            <w:tcW w:w="1678" w:type="dxa"/>
            <w:vAlign w:val="bottom"/>
          </w:tcPr>
          <w:p w14:paraId="4FE45F76" w14:textId="74B6F859" w:rsidR="000E4AFD" w:rsidRPr="0062487B" w:rsidRDefault="000E4AFD" w:rsidP="000E4AFD">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45-64</w:t>
            </w:r>
          </w:p>
        </w:tc>
        <w:tc>
          <w:tcPr>
            <w:tcW w:w="1678" w:type="dxa"/>
            <w:vAlign w:val="bottom"/>
          </w:tcPr>
          <w:p w14:paraId="072EFFB9" w14:textId="54FBA1E7"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538</w:t>
            </w:r>
          </w:p>
        </w:tc>
        <w:tc>
          <w:tcPr>
            <w:tcW w:w="1678" w:type="dxa"/>
            <w:vAlign w:val="bottom"/>
          </w:tcPr>
          <w:p w14:paraId="3115051E" w14:textId="547F0EE9"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514</w:t>
            </w:r>
          </w:p>
        </w:tc>
        <w:tc>
          <w:tcPr>
            <w:tcW w:w="1678" w:type="dxa"/>
            <w:vAlign w:val="bottom"/>
          </w:tcPr>
          <w:p w14:paraId="0E72307C" w14:textId="296BD205"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517</w:t>
            </w:r>
          </w:p>
        </w:tc>
        <w:tc>
          <w:tcPr>
            <w:tcW w:w="1679" w:type="dxa"/>
            <w:vAlign w:val="bottom"/>
          </w:tcPr>
          <w:p w14:paraId="4DBABDB1" w14:textId="2864C756"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520</w:t>
            </w:r>
          </w:p>
        </w:tc>
        <w:tc>
          <w:tcPr>
            <w:tcW w:w="1679" w:type="dxa"/>
            <w:vAlign w:val="bottom"/>
          </w:tcPr>
          <w:p w14:paraId="100C156E" w14:textId="3D3FE697"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522</w:t>
            </w:r>
          </w:p>
        </w:tc>
      </w:tr>
      <w:tr w:rsidR="000E4AFD" w:rsidRPr="0062487B" w14:paraId="525A1AE8" w14:textId="77777777" w:rsidTr="007507B0">
        <w:tc>
          <w:tcPr>
            <w:tcW w:w="1678" w:type="dxa"/>
            <w:vAlign w:val="bottom"/>
          </w:tcPr>
          <w:p w14:paraId="7CFF2434" w14:textId="6F229A8F" w:rsidR="000E4AFD" w:rsidRPr="0062487B" w:rsidRDefault="000E4AFD" w:rsidP="000E4AFD">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 xml:space="preserve">65 and </w:t>
            </w:r>
            <w:r w:rsidR="00456CED">
              <w:rPr>
                <w:rFonts w:asciiTheme="minorHAnsi" w:eastAsiaTheme="minorHAnsi" w:hAnsiTheme="minorHAnsi" w:cstheme="minorHAnsi"/>
                <w:b/>
                <w:bCs/>
                <w:color w:val="000000" w:themeColor="text1"/>
              </w:rPr>
              <w:t>over</w:t>
            </w:r>
          </w:p>
        </w:tc>
        <w:tc>
          <w:tcPr>
            <w:tcW w:w="1678" w:type="dxa"/>
            <w:vAlign w:val="bottom"/>
          </w:tcPr>
          <w:p w14:paraId="631CEA8E" w14:textId="577DF91C"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748</w:t>
            </w:r>
          </w:p>
        </w:tc>
        <w:tc>
          <w:tcPr>
            <w:tcW w:w="1678" w:type="dxa"/>
            <w:vAlign w:val="bottom"/>
          </w:tcPr>
          <w:p w14:paraId="675F399A" w14:textId="16CA813D"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851</w:t>
            </w:r>
          </w:p>
        </w:tc>
        <w:tc>
          <w:tcPr>
            <w:tcW w:w="1678" w:type="dxa"/>
            <w:vAlign w:val="bottom"/>
          </w:tcPr>
          <w:p w14:paraId="4B31B7FD" w14:textId="71CCC15F"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875</w:t>
            </w:r>
          </w:p>
        </w:tc>
        <w:tc>
          <w:tcPr>
            <w:tcW w:w="1679" w:type="dxa"/>
            <w:vAlign w:val="bottom"/>
          </w:tcPr>
          <w:p w14:paraId="4D6C4617" w14:textId="57234CE6"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899</w:t>
            </w:r>
          </w:p>
        </w:tc>
        <w:tc>
          <w:tcPr>
            <w:tcW w:w="1679" w:type="dxa"/>
            <w:vAlign w:val="bottom"/>
          </w:tcPr>
          <w:p w14:paraId="4DC9D0BF" w14:textId="004A0945"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922</w:t>
            </w:r>
          </w:p>
        </w:tc>
      </w:tr>
      <w:tr w:rsidR="000E4AFD" w:rsidRPr="0062487B" w14:paraId="7D9F3F16" w14:textId="77777777" w:rsidTr="007507B0">
        <w:tc>
          <w:tcPr>
            <w:tcW w:w="1678" w:type="dxa"/>
            <w:vAlign w:val="bottom"/>
          </w:tcPr>
          <w:p w14:paraId="65C72938" w14:textId="1D8D8BA4" w:rsidR="000E4AFD" w:rsidRPr="0062487B" w:rsidRDefault="000E4AFD" w:rsidP="000E4AFD">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Total</w:t>
            </w:r>
          </w:p>
        </w:tc>
        <w:tc>
          <w:tcPr>
            <w:tcW w:w="1678" w:type="dxa"/>
            <w:vAlign w:val="bottom"/>
          </w:tcPr>
          <w:p w14:paraId="24853B9D" w14:textId="456D28FE"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b/>
                <w:bCs/>
                <w:color w:val="000000"/>
              </w:rPr>
              <w:t>1,60</w:t>
            </w:r>
            <w:r w:rsidR="002E1261">
              <w:rPr>
                <w:rFonts w:asciiTheme="minorHAnsi" w:hAnsiTheme="minorHAnsi" w:cstheme="minorHAnsi"/>
                <w:b/>
                <w:bCs/>
                <w:color w:val="000000"/>
              </w:rPr>
              <w:t>7</w:t>
            </w:r>
          </w:p>
        </w:tc>
        <w:tc>
          <w:tcPr>
            <w:tcW w:w="1678" w:type="dxa"/>
            <w:vAlign w:val="bottom"/>
          </w:tcPr>
          <w:p w14:paraId="264CA996" w14:textId="4D4F1902"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b/>
                <w:bCs/>
                <w:color w:val="000000"/>
              </w:rPr>
              <w:t>1,731</w:t>
            </w:r>
          </w:p>
        </w:tc>
        <w:tc>
          <w:tcPr>
            <w:tcW w:w="1678" w:type="dxa"/>
            <w:vAlign w:val="bottom"/>
          </w:tcPr>
          <w:p w14:paraId="6612B821" w14:textId="02B9D44F"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b/>
                <w:bCs/>
                <w:color w:val="000000"/>
              </w:rPr>
              <w:t>1,75</w:t>
            </w:r>
            <w:r w:rsidR="00291162">
              <w:rPr>
                <w:rFonts w:asciiTheme="minorHAnsi" w:hAnsiTheme="minorHAnsi" w:cstheme="minorHAnsi"/>
                <w:b/>
                <w:bCs/>
                <w:color w:val="000000"/>
              </w:rPr>
              <w:t>8</w:t>
            </w:r>
          </w:p>
        </w:tc>
        <w:tc>
          <w:tcPr>
            <w:tcW w:w="1679" w:type="dxa"/>
            <w:vAlign w:val="bottom"/>
          </w:tcPr>
          <w:p w14:paraId="772EC59E" w14:textId="62148226"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b/>
                <w:bCs/>
                <w:color w:val="000000"/>
              </w:rPr>
              <w:t>1,78</w:t>
            </w:r>
            <w:r w:rsidR="00291162">
              <w:rPr>
                <w:rFonts w:asciiTheme="minorHAnsi" w:hAnsiTheme="minorHAnsi" w:cstheme="minorHAnsi"/>
                <w:b/>
                <w:bCs/>
                <w:color w:val="000000"/>
              </w:rPr>
              <w:t>5</w:t>
            </w:r>
          </w:p>
        </w:tc>
        <w:tc>
          <w:tcPr>
            <w:tcW w:w="1679" w:type="dxa"/>
            <w:vAlign w:val="bottom"/>
          </w:tcPr>
          <w:p w14:paraId="5860335C" w14:textId="5A39307C" w:rsidR="000E4AFD" w:rsidRPr="0062487B" w:rsidRDefault="000E4AFD" w:rsidP="003A6E7C">
            <w:pPr>
              <w:contextualSpacing/>
              <w:jc w:val="right"/>
              <w:rPr>
                <w:rFonts w:asciiTheme="minorHAnsi" w:hAnsiTheme="minorHAnsi" w:cstheme="minorHAnsi"/>
                <w:color w:val="000000" w:themeColor="text1"/>
              </w:rPr>
            </w:pPr>
            <w:r w:rsidRPr="0062487B">
              <w:rPr>
                <w:rFonts w:asciiTheme="minorHAnsi" w:hAnsiTheme="minorHAnsi" w:cstheme="minorHAnsi"/>
                <w:b/>
                <w:bCs/>
                <w:color w:val="000000"/>
              </w:rPr>
              <w:t>1,8</w:t>
            </w:r>
            <w:r w:rsidR="00291162">
              <w:rPr>
                <w:rFonts w:asciiTheme="minorHAnsi" w:hAnsiTheme="minorHAnsi" w:cstheme="minorHAnsi"/>
                <w:b/>
                <w:bCs/>
                <w:color w:val="000000"/>
              </w:rPr>
              <w:t>09</w:t>
            </w:r>
          </w:p>
        </w:tc>
      </w:tr>
    </w:tbl>
    <w:p w14:paraId="44570688" w14:textId="59A27575" w:rsidR="000E4AFD" w:rsidRPr="0062487B" w:rsidRDefault="000E4AFD" w:rsidP="008651FB">
      <w:pPr>
        <w:contextualSpacing/>
        <w:rPr>
          <w:rFonts w:asciiTheme="minorHAnsi" w:hAnsiTheme="minorHAnsi" w:cstheme="minorHAnsi"/>
          <w:color w:val="000000" w:themeColor="text1"/>
        </w:rPr>
      </w:pPr>
    </w:p>
    <w:p w14:paraId="3EF04214" w14:textId="392B741C" w:rsidR="000E4AFD" w:rsidRPr="0062487B" w:rsidRDefault="000E4AFD" w:rsidP="00040D37">
      <w:pPr>
        <w:contextualSpacing/>
        <w:rPr>
          <w:rFonts w:asciiTheme="minorHAnsi" w:hAnsiTheme="minorHAnsi" w:cstheme="minorHAnsi"/>
          <w:color w:val="000000"/>
        </w:rPr>
      </w:pPr>
      <w:r w:rsidRPr="0062487B">
        <w:rPr>
          <w:rFonts w:asciiTheme="minorHAnsi" w:hAnsiTheme="minorHAnsi" w:cstheme="minorHAnsi"/>
          <w:color w:val="000000"/>
        </w:rPr>
        <w:t>The Applicant attributes the need for the 8-bed observation unit to three factors:</w:t>
      </w:r>
    </w:p>
    <w:p w14:paraId="63051F4E" w14:textId="72424FB5" w:rsidR="00B61D0A" w:rsidRPr="00B61D0A" w:rsidRDefault="6921EFCD" w:rsidP="00EB5776">
      <w:pPr>
        <w:pStyle w:val="ListParagraph"/>
        <w:numPr>
          <w:ilvl w:val="0"/>
          <w:numId w:val="19"/>
        </w:numPr>
        <w:rPr>
          <w:rFonts w:asciiTheme="minorHAnsi" w:hAnsiTheme="minorHAnsi" w:cstheme="minorBidi"/>
          <w:color w:val="000000" w:themeColor="text1"/>
        </w:rPr>
      </w:pPr>
      <w:r w:rsidRPr="17FA2F59">
        <w:rPr>
          <w:rFonts w:asciiTheme="minorHAnsi" w:hAnsiTheme="minorHAnsi" w:cstheme="minorBidi"/>
          <w:color w:val="000000" w:themeColor="text1"/>
          <w:u w:val="single"/>
        </w:rPr>
        <w:t xml:space="preserve">Need for a dedicated unit to mitigate capacity constraints and improve throughput </w:t>
      </w:r>
      <w:r w:rsidR="54C113A4" w:rsidRPr="17FA2F59">
        <w:rPr>
          <w:rFonts w:asciiTheme="minorHAnsi" w:hAnsiTheme="minorHAnsi" w:cstheme="minorBidi"/>
          <w:color w:val="000000" w:themeColor="text1"/>
          <w:u w:val="single"/>
        </w:rPr>
        <w:t xml:space="preserve">and patient experience </w:t>
      </w:r>
      <w:r w:rsidRPr="17FA2F59">
        <w:rPr>
          <w:rFonts w:asciiTheme="minorHAnsi" w:hAnsiTheme="minorHAnsi" w:cstheme="minorBidi"/>
          <w:color w:val="000000" w:themeColor="text1"/>
          <w:u w:val="single"/>
        </w:rPr>
        <w:t>at BWFH:</w:t>
      </w:r>
      <w:r w:rsidR="50683480" w:rsidRPr="17FA2F59">
        <w:rPr>
          <w:rFonts w:asciiTheme="minorHAnsi" w:hAnsiTheme="minorHAnsi" w:cstheme="minorBidi"/>
          <w:color w:val="000000" w:themeColor="text1"/>
        </w:rPr>
        <w:t xml:space="preserve"> Currently, BWFH does not have a dedicated observation unit. Post-procedural recovery</w:t>
      </w:r>
      <w:r w:rsidR="40C1C8C9" w:rsidRPr="17FA2F59">
        <w:rPr>
          <w:rFonts w:asciiTheme="minorHAnsi" w:hAnsiTheme="minorHAnsi" w:cstheme="minorBidi"/>
          <w:color w:val="000000" w:themeColor="text1"/>
        </w:rPr>
        <w:t xml:space="preserve"> </w:t>
      </w:r>
      <w:r w:rsidR="50683480" w:rsidRPr="17FA2F59">
        <w:rPr>
          <w:rFonts w:asciiTheme="minorHAnsi" w:hAnsiTheme="minorHAnsi" w:cstheme="minorBidi"/>
          <w:color w:val="000000" w:themeColor="text1"/>
        </w:rPr>
        <w:t xml:space="preserve">patients, interventional nephrology and radiology patients, and surgical Admit </w:t>
      </w:r>
      <w:proofErr w:type="gramStart"/>
      <w:r w:rsidR="50683480" w:rsidRPr="17FA2F59">
        <w:rPr>
          <w:rFonts w:asciiTheme="minorHAnsi" w:hAnsiTheme="minorHAnsi" w:cstheme="minorBidi"/>
          <w:color w:val="000000" w:themeColor="text1"/>
        </w:rPr>
        <w:t>to Observe</w:t>
      </w:r>
      <w:proofErr w:type="gramEnd"/>
      <w:r w:rsidR="50683480" w:rsidRPr="17FA2F59">
        <w:rPr>
          <w:rFonts w:asciiTheme="minorHAnsi" w:hAnsiTheme="minorHAnsi" w:cstheme="minorBidi"/>
          <w:color w:val="000000" w:themeColor="text1"/>
        </w:rPr>
        <w:t xml:space="preserve"> (ATO) patients receive observation-like services in other </w:t>
      </w:r>
      <w:r w:rsidR="000470DC">
        <w:rPr>
          <w:rFonts w:asciiTheme="minorHAnsi" w:hAnsiTheme="minorHAnsi" w:cstheme="minorBidi"/>
          <w:color w:val="000000" w:themeColor="text1"/>
        </w:rPr>
        <w:t>areas</w:t>
      </w:r>
      <w:r w:rsidR="50683480" w:rsidRPr="17FA2F59">
        <w:rPr>
          <w:rFonts w:asciiTheme="minorHAnsi" w:hAnsiTheme="minorHAnsi" w:cstheme="minorBidi"/>
          <w:color w:val="000000" w:themeColor="text1"/>
        </w:rPr>
        <w:t xml:space="preserve"> of the hospital.</w:t>
      </w:r>
      <w:r w:rsidR="54C113A4" w:rsidRPr="17FA2F59">
        <w:rPr>
          <w:rFonts w:asciiTheme="minorHAnsi" w:hAnsiTheme="minorHAnsi" w:cstheme="minorBidi"/>
          <w:color w:val="000000" w:themeColor="text1"/>
        </w:rPr>
        <w:t xml:space="preserve"> </w:t>
      </w:r>
      <w:r w:rsidR="5DF41145" w:rsidRPr="17FA2F59">
        <w:rPr>
          <w:rFonts w:asciiTheme="minorHAnsi" w:hAnsiTheme="minorHAnsi" w:cstheme="minorBidi"/>
          <w:color w:val="000000" w:themeColor="text1"/>
        </w:rPr>
        <w:t>The Applicant reports that providing observation-like care in</w:t>
      </w:r>
      <w:r w:rsidR="498F3F46" w:rsidRPr="17FA2F59">
        <w:rPr>
          <w:rFonts w:asciiTheme="minorHAnsi" w:hAnsiTheme="minorHAnsi" w:cstheme="minorBidi"/>
          <w:color w:val="000000" w:themeColor="text1"/>
        </w:rPr>
        <w:t xml:space="preserve"> higher-acuity level of care</w:t>
      </w:r>
      <w:r w:rsidR="5DF41145" w:rsidRPr="17FA2F59">
        <w:rPr>
          <w:rFonts w:asciiTheme="minorHAnsi" w:hAnsiTheme="minorHAnsi" w:cstheme="minorBidi"/>
          <w:color w:val="000000" w:themeColor="text1"/>
        </w:rPr>
        <w:t xml:space="preserve"> areas</w:t>
      </w:r>
      <w:r w:rsidR="774C23CE" w:rsidRPr="17FA2F59">
        <w:rPr>
          <w:rFonts w:asciiTheme="minorHAnsi" w:hAnsiTheme="minorHAnsi" w:cstheme="minorBidi"/>
          <w:color w:val="000000" w:themeColor="text1"/>
        </w:rPr>
        <w:t xml:space="preserve"> such as the PACU and interventional radiology recovery rooms</w:t>
      </w:r>
      <w:r w:rsidR="498F3F46" w:rsidRPr="17FA2F59">
        <w:rPr>
          <w:rFonts w:asciiTheme="minorHAnsi" w:hAnsiTheme="minorHAnsi" w:cstheme="minorBidi"/>
          <w:color w:val="000000" w:themeColor="text1"/>
        </w:rPr>
        <w:t xml:space="preserve"> </w:t>
      </w:r>
      <w:r w:rsidR="5DF41145" w:rsidRPr="17FA2F59">
        <w:rPr>
          <w:rFonts w:asciiTheme="minorHAnsi" w:hAnsiTheme="minorHAnsi" w:cstheme="minorBidi"/>
          <w:color w:val="000000" w:themeColor="text1"/>
        </w:rPr>
        <w:t xml:space="preserve">creates capacity constraints throughout the hospital by consuming unnecessary </w:t>
      </w:r>
      <w:r w:rsidR="07A6CD70" w:rsidRPr="17FA2F59">
        <w:rPr>
          <w:rFonts w:asciiTheme="minorHAnsi" w:hAnsiTheme="minorHAnsi" w:cstheme="minorBidi"/>
          <w:color w:val="000000" w:themeColor="text1"/>
        </w:rPr>
        <w:t xml:space="preserve">nursing </w:t>
      </w:r>
      <w:r w:rsidR="41BEB789" w:rsidRPr="17FA2F59">
        <w:rPr>
          <w:rFonts w:asciiTheme="minorHAnsi" w:hAnsiTheme="minorHAnsi" w:cstheme="minorBidi"/>
          <w:color w:val="000000" w:themeColor="text1"/>
        </w:rPr>
        <w:t>resources and</w:t>
      </w:r>
      <w:r w:rsidR="07A6CD70" w:rsidRPr="17FA2F59">
        <w:rPr>
          <w:rFonts w:asciiTheme="minorHAnsi" w:hAnsiTheme="minorHAnsi" w:cstheme="minorBidi"/>
          <w:color w:val="000000" w:themeColor="text1"/>
        </w:rPr>
        <w:t xml:space="preserve"> slowing throughput for patients who do require this level of care. </w:t>
      </w:r>
      <w:r w:rsidR="1604F920" w:rsidRPr="17FA2F59">
        <w:rPr>
          <w:rFonts w:asciiTheme="minorHAnsi" w:hAnsiTheme="minorHAnsi" w:cstheme="minorBidi"/>
          <w:color w:val="000000" w:themeColor="text1"/>
        </w:rPr>
        <w:t xml:space="preserve">Currently, </w:t>
      </w:r>
      <w:r w:rsidR="48CEB65B" w:rsidRPr="17FA2F59">
        <w:rPr>
          <w:rFonts w:asciiTheme="minorHAnsi" w:hAnsiTheme="minorHAnsi" w:cstheme="minorBidi"/>
          <w:color w:val="000000" w:themeColor="text1"/>
        </w:rPr>
        <w:t>a</w:t>
      </w:r>
      <w:r w:rsidR="12F5440D" w:rsidRPr="17FA2F59">
        <w:rPr>
          <w:rFonts w:asciiTheme="minorHAnsi" w:hAnsiTheme="minorHAnsi" w:cstheme="minorBidi"/>
          <w:color w:val="000000" w:themeColor="text1"/>
        </w:rPr>
        <w:t>n</w:t>
      </w:r>
      <w:r w:rsidR="12B5BBE4" w:rsidRPr="17FA2F59">
        <w:rPr>
          <w:rFonts w:asciiTheme="minorHAnsi" w:hAnsiTheme="minorHAnsi" w:cstheme="minorBidi"/>
          <w:color w:val="000000" w:themeColor="text1"/>
        </w:rPr>
        <w:t xml:space="preserve"> average of 22% of patients in </w:t>
      </w:r>
      <w:r w:rsidR="07A6CD70" w:rsidRPr="17FA2F59">
        <w:rPr>
          <w:rFonts w:asciiTheme="minorHAnsi" w:hAnsiTheme="minorHAnsi" w:cstheme="minorBidi"/>
        </w:rPr>
        <w:t xml:space="preserve">such </w:t>
      </w:r>
      <w:r w:rsidR="12B5BBE4" w:rsidRPr="17FA2F59">
        <w:rPr>
          <w:rFonts w:asciiTheme="minorHAnsi" w:hAnsiTheme="minorHAnsi" w:cstheme="minorBidi"/>
        </w:rPr>
        <w:t xml:space="preserve">phase one recovery areas could have received care in an observation unit. </w:t>
      </w:r>
      <w:r w:rsidR="000470DC">
        <w:rPr>
          <w:rFonts w:asciiTheme="minorHAnsi" w:hAnsiTheme="minorHAnsi" w:cstheme="minorBidi"/>
        </w:rPr>
        <w:t xml:space="preserve"> Additionally, placing observation-level patients in inpatient beds prevents patients waiting to be admitted from accessing those beds. This impacts both those boarding in the BWFH ED and those awaiting transfer</w:t>
      </w:r>
      <w:r w:rsidR="00750121">
        <w:rPr>
          <w:rFonts w:asciiTheme="minorHAnsi" w:hAnsiTheme="minorHAnsi" w:cstheme="minorBidi"/>
        </w:rPr>
        <w:t xml:space="preserve"> admission</w:t>
      </w:r>
      <w:r w:rsidR="000470DC">
        <w:rPr>
          <w:rFonts w:asciiTheme="minorHAnsi" w:hAnsiTheme="minorHAnsi" w:cstheme="minorBidi"/>
        </w:rPr>
        <w:t xml:space="preserve"> from BWH.</w:t>
      </w:r>
    </w:p>
    <w:p w14:paraId="5C89D84A" w14:textId="77777777" w:rsidR="006E3201" w:rsidRPr="0062487B" w:rsidRDefault="006E3201" w:rsidP="00FE5E44">
      <w:pPr>
        <w:rPr>
          <w:rFonts w:asciiTheme="minorHAnsi" w:hAnsiTheme="minorHAnsi" w:cstheme="minorHAnsi"/>
        </w:rPr>
      </w:pPr>
    </w:p>
    <w:p w14:paraId="0D7CBB6D" w14:textId="1B93EAAF" w:rsidR="006E3201" w:rsidRPr="0062487B" w:rsidRDefault="00001F43" w:rsidP="78F650E0">
      <w:pPr>
        <w:ind w:left="720"/>
        <w:rPr>
          <w:rFonts w:asciiTheme="minorHAnsi" w:hAnsiTheme="minorHAnsi" w:cstheme="minorBidi"/>
        </w:rPr>
      </w:pPr>
      <w:r>
        <w:rPr>
          <w:rFonts w:asciiTheme="minorHAnsi" w:hAnsiTheme="minorHAnsi" w:cstheme="minorBidi"/>
        </w:rPr>
        <w:t>T</w:t>
      </w:r>
      <w:r w:rsidR="0D97A600" w:rsidRPr="78F650E0">
        <w:rPr>
          <w:rFonts w:asciiTheme="minorHAnsi" w:hAnsiTheme="minorHAnsi" w:cstheme="minorBidi"/>
        </w:rPr>
        <w:t xml:space="preserve">he Applicant </w:t>
      </w:r>
      <w:r w:rsidR="256B25FE" w:rsidRPr="78F650E0">
        <w:rPr>
          <w:rFonts w:asciiTheme="minorHAnsi" w:hAnsiTheme="minorHAnsi" w:cstheme="minorBidi"/>
        </w:rPr>
        <w:t xml:space="preserve">states </w:t>
      </w:r>
      <w:r w:rsidR="0D97A600" w:rsidRPr="78F650E0">
        <w:rPr>
          <w:rFonts w:asciiTheme="minorHAnsi" w:hAnsiTheme="minorHAnsi" w:cstheme="minorBidi"/>
        </w:rPr>
        <w:t xml:space="preserve">that the </w:t>
      </w:r>
      <w:r w:rsidR="256B25FE" w:rsidRPr="78F650E0">
        <w:rPr>
          <w:rFonts w:asciiTheme="minorHAnsi" w:hAnsiTheme="minorHAnsi" w:cstheme="minorBidi"/>
        </w:rPr>
        <w:t xml:space="preserve">observation unit will </w:t>
      </w:r>
      <w:r>
        <w:rPr>
          <w:rFonts w:asciiTheme="minorHAnsi" w:hAnsiTheme="minorHAnsi" w:cstheme="minorBidi"/>
        </w:rPr>
        <w:t xml:space="preserve">also </w:t>
      </w:r>
      <w:r w:rsidR="256B25FE" w:rsidRPr="78F650E0">
        <w:rPr>
          <w:rFonts w:asciiTheme="minorHAnsi" w:hAnsiTheme="minorHAnsi" w:cstheme="minorBidi"/>
        </w:rPr>
        <w:t xml:space="preserve">be used to provide pre-discharge services for post-procedure mastectomy, </w:t>
      </w:r>
      <w:proofErr w:type="gramStart"/>
      <w:r w:rsidR="256B25FE" w:rsidRPr="78F650E0">
        <w:rPr>
          <w:rFonts w:asciiTheme="minorHAnsi" w:hAnsiTheme="minorHAnsi" w:cstheme="minorBidi"/>
        </w:rPr>
        <w:t>prostatectomy</w:t>
      </w:r>
      <w:proofErr w:type="gramEnd"/>
      <w:r w:rsidR="256B25FE" w:rsidRPr="78F650E0">
        <w:rPr>
          <w:rFonts w:asciiTheme="minorHAnsi" w:hAnsiTheme="minorHAnsi" w:cstheme="minorBidi"/>
        </w:rPr>
        <w:t xml:space="preserve"> and gynecological patients. The</w:t>
      </w:r>
      <w:r>
        <w:rPr>
          <w:rFonts w:asciiTheme="minorHAnsi" w:hAnsiTheme="minorHAnsi" w:cstheme="minorBidi"/>
        </w:rPr>
        <w:t>se</w:t>
      </w:r>
      <w:r w:rsidR="256B25FE" w:rsidRPr="78F650E0">
        <w:rPr>
          <w:rFonts w:asciiTheme="minorHAnsi" w:hAnsiTheme="minorHAnsi" w:cstheme="minorBidi"/>
        </w:rPr>
        <w:t xml:space="preserve"> patients have extensive educational needs following surgery</w:t>
      </w:r>
      <w:r w:rsidR="4325922F" w:rsidRPr="78F650E0">
        <w:rPr>
          <w:rFonts w:asciiTheme="minorHAnsi" w:hAnsiTheme="minorHAnsi" w:cstheme="minorBidi"/>
        </w:rPr>
        <w:t xml:space="preserve"> of</w:t>
      </w:r>
      <w:r w:rsidR="256B25FE" w:rsidRPr="78F650E0">
        <w:rPr>
          <w:rFonts w:asciiTheme="minorHAnsi" w:hAnsiTheme="minorHAnsi" w:cstheme="minorBidi"/>
        </w:rPr>
        <w:t xml:space="preserve"> a particularly sensitive nature requiring privacy and emotional support. The Applicant reports that the acute recovery area of the PACU where this care currently occurs is small, noisy, and busy, which makes it very difficult to accommodate patient caregivers, provide emotional support, and coordinate and complete multidisciplinary education.</w:t>
      </w:r>
    </w:p>
    <w:p w14:paraId="74E679F3" w14:textId="77777777" w:rsidR="004F5857" w:rsidRPr="0062487B" w:rsidRDefault="004F5857" w:rsidP="004F5857">
      <w:pPr>
        <w:pStyle w:val="ListParagraph"/>
        <w:rPr>
          <w:rFonts w:asciiTheme="minorHAnsi" w:hAnsiTheme="minorHAnsi" w:cstheme="minorHAnsi"/>
          <w:color w:val="000000" w:themeColor="text1"/>
        </w:rPr>
      </w:pPr>
    </w:p>
    <w:p w14:paraId="7B0D81D3" w14:textId="474D997B" w:rsidR="004F5857" w:rsidRDefault="0E33EFE1" w:rsidP="000C3B18">
      <w:pPr>
        <w:pStyle w:val="ListParagraph"/>
        <w:numPr>
          <w:ilvl w:val="0"/>
          <w:numId w:val="19"/>
        </w:numPr>
        <w:rPr>
          <w:rFonts w:asciiTheme="minorHAnsi" w:hAnsiTheme="minorHAnsi" w:cstheme="minorHAnsi"/>
          <w:color w:val="000000" w:themeColor="text1"/>
        </w:rPr>
      </w:pPr>
      <w:r w:rsidRPr="00A04347">
        <w:rPr>
          <w:rFonts w:asciiTheme="minorHAnsi" w:hAnsiTheme="minorHAnsi" w:cstheme="minorHAnsi"/>
          <w:color w:val="000000" w:themeColor="text1"/>
          <w:u w:val="single"/>
        </w:rPr>
        <w:t xml:space="preserve">Address </w:t>
      </w:r>
      <w:r w:rsidR="426EBC40" w:rsidRPr="00A04347">
        <w:rPr>
          <w:rFonts w:asciiTheme="minorHAnsi" w:hAnsiTheme="minorHAnsi" w:cstheme="minorHAnsi"/>
          <w:color w:val="000000" w:themeColor="text1"/>
          <w:u w:val="single"/>
        </w:rPr>
        <w:t xml:space="preserve">the </w:t>
      </w:r>
      <w:r w:rsidRPr="00A04347">
        <w:rPr>
          <w:rFonts w:asciiTheme="minorHAnsi" w:hAnsiTheme="minorHAnsi" w:cstheme="minorHAnsi"/>
          <w:color w:val="000000" w:themeColor="text1"/>
          <w:u w:val="single"/>
        </w:rPr>
        <w:t>ripple effect</w:t>
      </w:r>
      <w:r w:rsidR="2FED9A54" w:rsidRPr="00A04347">
        <w:rPr>
          <w:rFonts w:asciiTheme="minorHAnsi" w:hAnsiTheme="minorHAnsi" w:cstheme="minorHAnsi"/>
          <w:color w:val="000000" w:themeColor="text1"/>
          <w:u w:val="single"/>
        </w:rPr>
        <w:t xml:space="preserve"> on BWH:</w:t>
      </w:r>
      <w:r w:rsidR="4F90BAC4" w:rsidRPr="00A04347">
        <w:rPr>
          <w:rFonts w:asciiTheme="minorHAnsi" w:hAnsiTheme="minorHAnsi" w:cstheme="minorHAnsi"/>
          <w:color w:val="000000" w:themeColor="text1"/>
        </w:rPr>
        <w:t xml:space="preserve"> </w:t>
      </w:r>
      <w:proofErr w:type="gramStart"/>
      <w:r w:rsidR="4F90BAC4" w:rsidRPr="00A04347">
        <w:rPr>
          <w:rFonts w:asciiTheme="minorHAnsi" w:hAnsiTheme="minorHAnsi" w:cstheme="minorHAnsi"/>
          <w:color w:val="000000" w:themeColor="text1"/>
        </w:rPr>
        <w:t>Similar to</w:t>
      </w:r>
      <w:proofErr w:type="gramEnd"/>
      <w:r w:rsidR="4F90BAC4" w:rsidRPr="00A04347">
        <w:rPr>
          <w:rFonts w:asciiTheme="minorHAnsi" w:hAnsiTheme="minorHAnsi" w:cstheme="minorHAnsi"/>
          <w:color w:val="000000" w:themeColor="text1"/>
        </w:rPr>
        <w:t xml:space="preserve"> </w:t>
      </w:r>
      <w:r w:rsidR="00FB42F3" w:rsidRPr="00A04347">
        <w:rPr>
          <w:rFonts w:asciiTheme="minorHAnsi" w:hAnsiTheme="minorHAnsi" w:cstheme="minorHAnsi"/>
          <w:color w:val="000000" w:themeColor="text1"/>
        </w:rPr>
        <w:t xml:space="preserve">the need </w:t>
      </w:r>
      <w:r w:rsidR="4F90BAC4" w:rsidRPr="00A04347">
        <w:rPr>
          <w:rFonts w:asciiTheme="minorHAnsi" w:hAnsiTheme="minorHAnsi" w:cstheme="minorHAnsi"/>
          <w:color w:val="000000" w:themeColor="text1"/>
        </w:rPr>
        <w:t>described in the</w:t>
      </w:r>
      <w:r w:rsidR="180CE275" w:rsidRPr="00A04347">
        <w:rPr>
          <w:rFonts w:asciiTheme="minorHAnsi" w:hAnsiTheme="minorHAnsi" w:cstheme="minorHAnsi"/>
          <w:color w:val="000000" w:themeColor="text1"/>
        </w:rPr>
        <w:t xml:space="preserve"> above </w:t>
      </w:r>
      <w:r w:rsidR="4F90BAC4" w:rsidRPr="00A04347">
        <w:rPr>
          <w:rFonts w:asciiTheme="minorHAnsi" w:hAnsiTheme="minorHAnsi" w:cstheme="minorHAnsi"/>
          <w:color w:val="000000" w:themeColor="text1"/>
        </w:rPr>
        <w:t xml:space="preserve">Medical/Surgical Beds </w:t>
      </w:r>
      <w:r w:rsidR="1D364F34" w:rsidRPr="00A04347">
        <w:rPr>
          <w:rFonts w:asciiTheme="minorHAnsi" w:hAnsiTheme="minorHAnsi" w:cstheme="minorHAnsi"/>
          <w:color w:val="000000" w:themeColor="text1"/>
        </w:rPr>
        <w:t>section</w:t>
      </w:r>
      <w:r w:rsidR="626F8F15" w:rsidRPr="00A04347">
        <w:rPr>
          <w:rFonts w:asciiTheme="minorHAnsi" w:hAnsiTheme="minorHAnsi" w:cstheme="minorHAnsi"/>
          <w:color w:val="000000" w:themeColor="text1"/>
        </w:rPr>
        <w:t>, patients</w:t>
      </w:r>
      <w:r w:rsidR="4E7B0ABF" w:rsidRPr="00A04347">
        <w:rPr>
          <w:rFonts w:asciiTheme="minorHAnsi" w:hAnsiTheme="minorHAnsi" w:cstheme="minorHAnsi"/>
          <w:color w:val="000000" w:themeColor="text1"/>
        </w:rPr>
        <w:t xml:space="preserve"> who </w:t>
      </w:r>
      <w:r w:rsidR="06BCADF5" w:rsidRPr="00A04347">
        <w:rPr>
          <w:rFonts w:asciiTheme="minorHAnsi" w:hAnsiTheme="minorHAnsi" w:cstheme="minorHAnsi"/>
          <w:color w:val="000000" w:themeColor="text1"/>
        </w:rPr>
        <w:t xml:space="preserve">need observation level care </w:t>
      </w:r>
      <w:r w:rsidR="4E7B0ABF" w:rsidRPr="00A04347">
        <w:rPr>
          <w:rFonts w:asciiTheme="minorHAnsi" w:hAnsiTheme="minorHAnsi" w:cstheme="minorHAnsi"/>
          <w:color w:val="000000" w:themeColor="text1"/>
        </w:rPr>
        <w:t>occupy</w:t>
      </w:r>
      <w:r w:rsidR="180CE275" w:rsidRPr="00A04347">
        <w:rPr>
          <w:rFonts w:asciiTheme="minorHAnsi" w:hAnsiTheme="minorHAnsi" w:cstheme="minorHAnsi"/>
          <w:color w:val="000000" w:themeColor="text1"/>
        </w:rPr>
        <w:t>ing</w:t>
      </w:r>
      <w:r w:rsidR="4E7B0ABF" w:rsidRPr="00A04347">
        <w:rPr>
          <w:rFonts w:asciiTheme="minorHAnsi" w:hAnsiTheme="minorHAnsi" w:cstheme="minorHAnsi"/>
          <w:color w:val="000000" w:themeColor="text1"/>
        </w:rPr>
        <w:t xml:space="preserve"> inpatient beds</w:t>
      </w:r>
      <w:r w:rsidR="15197AB5" w:rsidRPr="00A04347">
        <w:rPr>
          <w:rFonts w:asciiTheme="minorHAnsi" w:hAnsiTheme="minorHAnsi" w:cstheme="minorHAnsi"/>
          <w:color w:val="000000" w:themeColor="text1"/>
        </w:rPr>
        <w:t xml:space="preserve"> </w:t>
      </w:r>
      <w:r w:rsidR="5A5F9C35" w:rsidRPr="00A04347">
        <w:rPr>
          <w:rFonts w:asciiTheme="minorHAnsi" w:hAnsiTheme="minorHAnsi" w:cstheme="minorHAnsi"/>
          <w:color w:val="000000" w:themeColor="text1"/>
        </w:rPr>
        <w:t>can impact BWFH’s ability to directly admit transfers from BWH</w:t>
      </w:r>
      <w:r w:rsidR="4F90BAC4" w:rsidRPr="00A04347">
        <w:rPr>
          <w:rFonts w:asciiTheme="minorHAnsi" w:hAnsiTheme="minorHAnsi" w:cstheme="minorHAnsi"/>
          <w:color w:val="000000" w:themeColor="text1"/>
        </w:rPr>
        <w:t>.</w:t>
      </w:r>
      <w:r w:rsidR="5A5F9C35" w:rsidRPr="00A04347">
        <w:rPr>
          <w:rFonts w:asciiTheme="minorHAnsi" w:hAnsiTheme="minorHAnsi" w:cstheme="minorHAnsi"/>
          <w:color w:val="000000" w:themeColor="text1"/>
        </w:rPr>
        <w:t xml:space="preserve"> </w:t>
      </w:r>
      <w:r w:rsidR="626F8F15" w:rsidRPr="00A04347">
        <w:rPr>
          <w:rFonts w:asciiTheme="minorHAnsi" w:hAnsiTheme="minorHAnsi" w:cstheme="minorHAnsi"/>
          <w:color w:val="000000" w:themeColor="text1"/>
        </w:rPr>
        <w:t>The Applicant states the observation unit</w:t>
      </w:r>
      <w:r w:rsidR="000D3CE5">
        <w:rPr>
          <w:rFonts w:asciiTheme="minorHAnsi" w:hAnsiTheme="minorHAnsi" w:cstheme="minorHAnsi"/>
          <w:color w:val="000000" w:themeColor="text1"/>
        </w:rPr>
        <w:t xml:space="preserve"> </w:t>
      </w:r>
      <w:r w:rsidR="000D3CE5" w:rsidRPr="00A04347">
        <w:rPr>
          <w:rFonts w:asciiTheme="minorHAnsi" w:hAnsiTheme="minorHAnsi" w:cstheme="minorHAnsi"/>
          <w:color w:val="000000" w:themeColor="text1"/>
        </w:rPr>
        <w:lastRenderedPageBreak/>
        <w:t>is not intended for ED patients</w:t>
      </w:r>
      <w:r w:rsidR="000D3CE5">
        <w:rPr>
          <w:rFonts w:asciiTheme="minorHAnsi" w:hAnsiTheme="minorHAnsi" w:cstheme="minorHAnsi"/>
          <w:color w:val="000000" w:themeColor="text1"/>
        </w:rPr>
        <w:t xml:space="preserve"> but</w:t>
      </w:r>
      <w:r w:rsidR="626F8F15" w:rsidRPr="00A04347">
        <w:rPr>
          <w:rFonts w:asciiTheme="minorHAnsi" w:hAnsiTheme="minorHAnsi" w:cstheme="minorHAnsi"/>
          <w:color w:val="000000" w:themeColor="text1"/>
        </w:rPr>
        <w:t xml:space="preserve"> will be used for post-procedural patients</w:t>
      </w:r>
      <w:r w:rsidR="00A04347">
        <w:rPr>
          <w:rFonts w:asciiTheme="minorHAnsi" w:hAnsiTheme="minorHAnsi" w:cstheme="minorHAnsi"/>
          <w:color w:val="000000" w:themeColor="text1"/>
        </w:rPr>
        <w:t xml:space="preserve">, thus opening the inpatient beds those patients currently </w:t>
      </w:r>
      <w:proofErr w:type="gramStart"/>
      <w:r w:rsidR="00A04347">
        <w:rPr>
          <w:rFonts w:asciiTheme="minorHAnsi" w:hAnsiTheme="minorHAnsi" w:cstheme="minorHAnsi"/>
          <w:color w:val="000000" w:themeColor="text1"/>
        </w:rPr>
        <w:t>occupy</w:t>
      </w:r>
      <w:r w:rsidR="000D3CE5">
        <w:rPr>
          <w:rFonts w:asciiTheme="minorHAnsi" w:hAnsiTheme="minorHAnsi" w:cstheme="minorHAnsi"/>
          <w:color w:val="000000" w:themeColor="text1"/>
        </w:rPr>
        <w:t>.</w:t>
      </w:r>
      <w:r w:rsidR="180CE275" w:rsidRPr="00A04347">
        <w:rPr>
          <w:rFonts w:asciiTheme="minorHAnsi" w:hAnsiTheme="minorHAnsi" w:cstheme="minorHAnsi"/>
          <w:color w:val="000000" w:themeColor="text1"/>
        </w:rPr>
        <w:t>.</w:t>
      </w:r>
      <w:proofErr w:type="gramEnd"/>
      <w:r w:rsidR="180CE275" w:rsidRPr="00A04347">
        <w:rPr>
          <w:rFonts w:asciiTheme="minorHAnsi" w:hAnsiTheme="minorHAnsi" w:cstheme="minorHAnsi"/>
          <w:color w:val="000000" w:themeColor="text1"/>
        </w:rPr>
        <w:t xml:space="preserve"> </w:t>
      </w:r>
      <w:r w:rsidR="25E696CE" w:rsidRPr="00A04347">
        <w:rPr>
          <w:rFonts w:asciiTheme="minorHAnsi" w:hAnsiTheme="minorHAnsi" w:cstheme="minorHAnsi"/>
          <w:color w:val="000000" w:themeColor="text1"/>
        </w:rPr>
        <w:t xml:space="preserve"> </w:t>
      </w:r>
    </w:p>
    <w:p w14:paraId="725E7FB3" w14:textId="77777777" w:rsidR="00A04347" w:rsidRPr="00A04347" w:rsidRDefault="00A04347" w:rsidP="00A04347">
      <w:pPr>
        <w:pStyle w:val="ListParagraph"/>
        <w:rPr>
          <w:rFonts w:asciiTheme="minorHAnsi" w:hAnsiTheme="minorHAnsi" w:cstheme="minorHAnsi"/>
          <w:color w:val="000000" w:themeColor="text1"/>
        </w:rPr>
      </w:pPr>
    </w:p>
    <w:p w14:paraId="63DE51F7" w14:textId="08663FF7" w:rsidR="006440EB" w:rsidRPr="0062487B" w:rsidRDefault="6921EFCD" w:rsidP="00EB5776">
      <w:pPr>
        <w:pStyle w:val="ListParagraph"/>
        <w:numPr>
          <w:ilvl w:val="0"/>
          <w:numId w:val="19"/>
        </w:numPr>
        <w:rPr>
          <w:rFonts w:asciiTheme="minorHAnsi" w:eastAsiaTheme="minorEastAsia" w:hAnsiTheme="minorHAnsi" w:cstheme="minorBidi"/>
          <w:color w:val="000000" w:themeColor="text1"/>
        </w:rPr>
      </w:pPr>
      <w:r w:rsidRPr="17FA2F59">
        <w:rPr>
          <w:rFonts w:asciiTheme="minorHAnsi" w:hAnsiTheme="minorHAnsi" w:cstheme="minorBidi"/>
          <w:color w:val="000000" w:themeColor="text1"/>
          <w:u w:val="single"/>
        </w:rPr>
        <w:t>Meet the needs of the aging Patient Panel:</w:t>
      </w:r>
      <w:r w:rsidRPr="17FA2F59">
        <w:rPr>
          <w:rFonts w:asciiTheme="minorHAnsi" w:hAnsiTheme="minorHAnsi" w:cstheme="minorBidi"/>
          <w:color w:val="000000" w:themeColor="text1"/>
        </w:rPr>
        <w:t xml:space="preserve"> </w:t>
      </w:r>
      <w:r w:rsidR="686E383E" w:rsidRPr="17FA2F59">
        <w:rPr>
          <w:rFonts w:asciiTheme="minorHAnsi" w:hAnsiTheme="minorHAnsi" w:cstheme="minorBidi"/>
          <w:color w:val="000000" w:themeColor="text1"/>
        </w:rPr>
        <w:t>W</w:t>
      </w:r>
      <w:r w:rsidR="0438684B" w:rsidRPr="17FA2F59">
        <w:rPr>
          <w:rFonts w:asciiTheme="minorHAnsi" w:hAnsiTheme="minorHAnsi" w:cstheme="minorBidi"/>
          <w:color w:val="000000" w:themeColor="text1"/>
        </w:rPr>
        <w:t xml:space="preserve">hile rates of observation visits have remained steady or even decreased across the different age groups </w:t>
      </w:r>
      <w:r w:rsidR="1A3922ED" w:rsidRPr="17FA2F59">
        <w:rPr>
          <w:rFonts w:asciiTheme="minorHAnsi" w:hAnsiTheme="minorHAnsi" w:cstheme="minorBidi"/>
          <w:color w:val="000000" w:themeColor="text1"/>
        </w:rPr>
        <w:t xml:space="preserve">among </w:t>
      </w:r>
      <w:r w:rsidR="0438684B" w:rsidRPr="17FA2F59">
        <w:rPr>
          <w:rFonts w:asciiTheme="minorHAnsi" w:hAnsiTheme="minorHAnsi" w:cstheme="minorBidi"/>
          <w:color w:val="000000" w:themeColor="text1"/>
        </w:rPr>
        <w:t xml:space="preserve">the under 65 population, </w:t>
      </w:r>
      <w:r w:rsidR="468E7117" w:rsidRPr="17FA2F59">
        <w:rPr>
          <w:rFonts w:asciiTheme="minorHAnsi" w:hAnsiTheme="minorHAnsi" w:cstheme="minorBidi"/>
          <w:color w:val="000000" w:themeColor="text1"/>
        </w:rPr>
        <w:t xml:space="preserve">the Applicant states </w:t>
      </w:r>
      <w:r w:rsidR="0438684B" w:rsidRPr="17FA2F59">
        <w:rPr>
          <w:rFonts w:asciiTheme="minorHAnsi" w:hAnsiTheme="minorHAnsi" w:cstheme="minorBidi"/>
          <w:color w:val="000000" w:themeColor="text1"/>
        </w:rPr>
        <w:t>t</w:t>
      </w:r>
      <w:r w:rsidRPr="17FA2F59">
        <w:rPr>
          <w:rFonts w:asciiTheme="minorHAnsi" w:hAnsiTheme="minorHAnsi" w:cstheme="minorBidi"/>
          <w:color w:val="000000" w:themeColor="text1"/>
        </w:rPr>
        <w:t xml:space="preserve">here has been an increase </w:t>
      </w:r>
      <w:r w:rsidR="1A3922ED" w:rsidRPr="17FA2F59">
        <w:rPr>
          <w:rFonts w:asciiTheme="minorHAnsi" w:hAnsiTheme="minorHAnsi" w:cstheme="minorBidi"/>
          <w:color w:val="000000" w:themeColor="text1"/>
        </w:rPr>
        <w:t>across</w:t>
      </w:r>
      <w:r w:rsidR="50FD8616" w:rsidRPr="17FA2F59">
        <w:rPr>
          <w:rFonts w:asciiTheme="minorHAnsi" w:hAnsiTheme="minorHAnsi" w:cstheme="minorBidi"/>
          <w:color w:val="000000" w:themeColor="text1"/>
        </w:rPr>
        <w:t xml:space="preserve"> </w:t>
      </w:r>
      <w:r w:rsidRPr="17FA2F59">
        <w:rPr>
          <w:rFonts w:asciiTheme="minorHAnsi" w:hAnsiTheme="minorHAnsi" w:cstheme="minorBidi"/>
          <w:color w:val="000000" w:themeColor="text1"/>
        </w:rPr>
        <w:t xml:space="preserve">the 65+ age </w:t>
      </w:r>
      <w:r w:rsidR="1A3922ED" w:rsidRPr="17FA2F59">
        <w:rPr>
          <w:rFonts w:asciiTheme="minorHAnsi" w:hAnsiTheme="minorHAnsi" w:cstheme="minorBidi"/>
          <w:color w:val="000000" w:themeColor="text1"/>
        </w:rPr>
        <w:t>cohort</w:t>
      </w:r>
      <w:r w:rsidR="0438684B" w:rsidRPr="17FA2F59">
        <w:rPr>
          <w:rFonts w:asciiTheme="minorHAnsi" w:hAnsiTheme="minorHAnsi" w:cstheme="minorBidi"/>
          <w:color w:val="000000" w:themeColor="text1"/>
        </w:rPr>
        <w:t>. The utilization rate for observation</w:t>
      </w:r>
      <w:r w:rsidR="62940D2E" w:rsidRPr="17FA2F59">
        <w:rPr>
          <w:rFonts w:asciiTheme="minorHAnsi" w:hAnsiTheme="minorHAnsi" w:cstheme="minorBidi"/>
          <w:color w:val="000000" w:themeColor="text1"/>
        </w:rPr>
        <w:t>-like services</w:t>
      </w:r>
      <w:r w:rsidR="0438684B" w:rsidRPr="17FA2F59">
        <w:rPr>
          <w:rFonts w:asciiTheme="minorHAnsi" w:hAnsiTheme="minorHAnsi" w:cstheme="minorBidi"/>
          <w:color w:val="000000" w:themeColor="text1"/>
        </w:rPr>
        <w:t xml:space="preserve"> </w:t>
      </w:r>
      <w:r w:rsidR="4BCE8127" w:rsidRPr="17FA2F59">
        <w:rPr>
          <w:rFonts w:asciiTheme="minorHAnsi" w:hAnsiTheme="minorHAnsi" w:cstheme="minorBidi"/>
          <w:color w:val="000000" w:themeColor="text1"/>
        </w:rPr>
        <w:t xml:space="preserve">at BWFH among the 65+ cohort </w:t>
      </w:r>
      <w:r w:rsidR="0438684B" w:rsidRPr="17FA2F59">
        <w:rPr>
          <w:rFonts w:asciiTheme="minorHAnsi" w:hAnsiTheme="minorHAnsi" w:cstheme="minorBidi"/>
          <w:color w:val="000000" w:themeColor="text1"/>
        </w:rPr>
        <w:t>has increased from</w:t>
      </w:r>
      <w:r w:rsidRPr="17FA2F59">
        <w:rPr>
          <w:rFonts w:asciiTheme="minorHAnsi" w:hAnsiTheme="minorHAnsi" w:cstheme="minorBidi"/>
          <w:color w:val="000000" w:themeColor="text1"/>
        </w:rPr>
        <w:t xml:space="preserve"> 288 unique patients </w:t>
      </w:r>
      <w:r w:rsidR="0438684B" w:rsidRPr="17FA2F59">
        <w:rPr>
          <w:rFonts w:asciiTheme="minorHAnsi" w:hAnsiTheme="minorHAnsi" w:cstheme="minorBidi"/>
          <w:color w:val="000000" w:themeColor="text1"/>
        </w:rPr>
        <w:t>(</w:t>
      </w:r>
      <w:r w:rsidRPr="17FA2F59">
        <w:rPr>
          <w:rFonts w:asciiTheme="minorHAnsi" w:hAnsiTheme="minorHAnsi" w:cstheme="minorBidi"/>
          <w:color w:val="000000" w:themeColor="text1"/>
        </w:rPr>
        <w:t>38.7% of the total patients utilizing observation in FY17) to 618 unique patients</w:t>
      </w:r>
      <w:r w:rsidR="7985F49A" w:rsidRPr="17FA2F59">
        <w:rPr>
          <w:rFonts w:asciiTheme="minorHAnsi" w:hAnsiTheme="minorHAnsi" w:cstheme="minorBidi"/>
          <w:color w:val="000000" w:themeColor="text1"/>
        </w:rPr>
        <w:t xml:space="preserve"> </w:t>
      </w:r>
      <w:r w:rsidR="0438684B" w:rsidRPr="17FA2F59">
        <w:rPr>
          <w:rFonts w:asciiTheme="minorHAnsi" w:hAnsiTheme="minorHAnsi" w:cstheme="minorBidi"/>
          <w:color w:val="000000" w:themeColor="text1"/>
        </w:rPr>
        <w:t>(</w:t>
      </w:r>
      <w:r w:rsidRPr="17FA2F59">
        <w:rPr>
          <w:rFonts w:asciiTheme="minorHAnsi" w:hAnsiTheme="minorHAnsi" w:cstheme="minorBidi"/>
          <w:color w:val="000000" w:themeColor="text1"/>
        </w:rPr>
        <w:t>46.1% of the total patients utilizing observation in FY19</w:t>
      </w:r>
      <w:r w:rsidR="50FD8616" w:rsidRPr="17FA2F59">
        <w:rPr>
          <w:rFonts w:asciiTheme="minorHAnsi" w:hAnsiTheme="minorHAnsi" w:cstheme="minorBidi"/>
          <w:color w:val="000000" w:themeColor="text1"/>
        </w:rPr>
        <w:t>)</w:t>
      </w:r>
      <w:r w:rsidRPr="17FA2F59">
        <w:rPr>
          <w:rFonts w:asciiTheme="minorHAnsi" w:hAnsiTheme="minorHAnsi" w:cstheme="minorBidi"/>
          <w:color w:val="000000" w:themeColor="text1"/>
        </w:rPr>
        <w:t xml:space="preserve">. </w:t>
      </w:r>
      <w:r w:rsidR="00680AB7">
        <w:rPr>
          <w:rFonts w:asciiTheme="minorHAnsi" w:hAnsiTheme="minorHAnsi" w:cstheme="minorBidi"/>
          <w:color w:val="000000" w:themeColor="text1"/>
        </w:rPr>
        <w:t>O</w:t>
      </w:r>
      <w:r w:rsidR="3E4B76E1" w:rsidRPr="17FA2F59">
        <w:rPr>
          <w:rFonts w:asciiTheme="minorHAnsi" w:hAnsiTheme="minorHAnsi" w:cstheme="minorBidi"/>
          <w:color w:val="000000" w:themeColor="text1"/>
        </w:rPr>
        <w:t xml:space="preserve">bservation units are an appropriate care </w:t>
      </w:r>
      <w:r w:rsidR="00680AB7">
        <w:rPr>
          <w:rFonts w:asciiTheme="minorHAnsi" w:hAnsiTheme="minorHAnsi" w:cstheme="minorBidi"/>
          <w:color w:val="000000" w:themeColor="text1"/>
        </w:rPr>
        <w:t>option</w:t>
      </w:r>
      <w:r w:rsidR="3E4B76E1" w:rsidRPr="17FA2F59">
        <w:rPr>
          <w:rFonts w:asciiTheme="minorHAnsi" w:hAnsiTheme="minorHAnsi" w:cstheme="minorBidi"/>
          <w:color w:val="000000" w:themeColor="text1"/>
        </w:rPr>
        <w:t xml:space="preserve"> </w:t>
      </w:r>
      <w:r w:rsidR="000D3CE5" w:rsidRPr="17FA2F59">
        <w:rPr>
          <w:rFonts w:asciiTheme="minorHAnsi" w:hAnsiTheme="minorHAnsi" w:cstheme="minorBidi"/>
          <w:color w:val="000000" w:themeColor="text1"/>
        </w:rPr>
        <w:t xml:space="preserve">for an aging population </w:t>
      </w:r>
      <w:r w:rsidR="3E4B76E1" w:rsidRPr="17FA2F59">
        <w:rPr>
          <w:rFonts w:asciiTheme="minorHAnsi" w:hAnsiTheme="minorHAnsi" w:cstheme="minorBidi"/>
          <w:color w:val="000000" w:themeColor="text1"/>
        </w:rPr>
        <w:t xml:space="preserve">and </w:t>
      </w:r>
      <w:r w:rsidR="50FD8616" w:rsidRPr="17FA2F59">
        <w:rPr>
          <w:rFonts w:asciiTheme="minorHAnsi" w:hAnsiTheme="minorHAnsi" w:cstheme="minorBidi"/>
          <w:color w:val="000000" w:themeColor="text1"/>
        </w:rPr>
        <w:t xml:space="preserve">are </w:t>
      </w:r>
      <w:r w:rsidR="3E4B76E1" w:rsidRPr="17FA2F59">
        <w:rPr>
          <w:rFonts w:asciiTheme="minorHAnsi" w:hAnsiTheme="minorHAnsi" w:cstheme="minorBidi"/>
          <w:color w:val="000000" w:themeColor="text1"/>
        </w:rPr>
        <w:t xml:space="preserve">beneficial </w:t>
      </w:r>
      <w:r w:rsidR="54C9051C" w:rsidRPr="17FA2F59">
        <w:rPr>
          <w:rFonts w:asciiTheme="minorHAnsi" w:hAnsiTheme="minorHAnsi" w:cstheme="minorBidi"/>
          <w:color w:val="000000" w:themeColor="text1"/>
        </w:rPr>
        <w:t xml:space="preserve">because </w:t>
      </w:r>
      <w:r w:rsidR="50FD8616" w:rsidRPr="17FA2F59">
        <w:rPr>
          <w:rFonts w:asciiTheme="minorHAnsi" w:hAnsiTheme="minorHAnsi" w:cstheme="minorBidi"/>
          <w:color w:val="000000" w:themeColor="text1"/>
        </w:rPr>
        <w:t xml:space="preserve">they </w:t>
      </w:r>
      <w:r w:rsidR="54C9051C" w:rsidRPr="17FA2F59">
        <w:rPr>
          <w:rFonts w:asciiTheme="minorHAnsi" w:hAnsiTheme="minorHAnsi" w:cstheme="minorBidi"/>
          <w:color w:val="000000" w:themeColor="text1"/>
        </w:rPr>
        <w:t>allow for timely diagnosis and short-term treatment</w:t>
      </w:r>
      <w:r w:rsidR="00680AB7">
        <w:rPr>
          <w:rFonts w:asciiTheme="minorHAnsi" w:hAnsiTheme="minorHAnsi" w:cstheme="minorBidi"/>
          <w:color w:val="000000" w:themeColor="text1"/>
        </w:rPr>
        <w:t>,</w:t>
      </w:r>
      <w:r w:rsidR="54C9051C" w:rsidRPr="17FA2F59">
        <w:rPr>
          <w:rFonts w:asciiTheme="minorHAnsi" w:hAnsiTheme="minorHAnsi" w:cstheme="minorBidi"/>
          <w:color w:val="000000" w:themeColor="text1"/>
        </w:rPr>
        <w:t xml:space="preserve"> as well as </w:t>
      </w:r>
      <w:r w:rsidR="000D3CE5">
        <w:rPr>
          <w:rFonts w:asciiTheme="minorHAnsi" w:hAnsiTheme="minorHAnsi" w:cstheme="minorBidi"/>
          <w:color w:val="000000" w:themeColor="text1"/>
        </w:rPr>
        <w:t xml:space="preserve">provide </w:t>
      </w:r>
      <w:r w:rsidR="15E63A2B" w:rsidRPr="17FA2F59">
        <w:rPr>
          <w:rFonts w:asciiTheme="minorHAnsi" w:hAnsiTheme="minorHAnsi" w:cstheme="minorBidi"/>
          <w:color w:val="000000" w:themeColor="text1"/>
        </w:rPr>
        <w:t xml:space="preserve">an appropriate place to conduct </w:t>
      </w:r>
      <w:r w:rsidR="54C9051C" w:rsidRPr="17FA2F59">
        <w:rPr>
          <w:rFonts w:asciiTheme="minorHAnsi" w:hAnsiTheme="minorHAnsi" w:cstheme="minorBidi"/>
          <w:color w:val="000000" w:themeColor="text1"/>
        </w:rPr>
        <w:t>geriatric assessments</w:t>
      </w:r>
      <w:r w:rsidR="0029103F">
        <w:rPr>
          <w:rFonts w:asciiTheme="minorHAnsi" w:hAnsiTheme="minorHAnsi" w:cstheme="minorBidi"/>
          <w:color w:val="000000" w:themeColor="text1"/>
        </w:rPr>
        <w:t>. T</w:t>
      </w:r>
      <w:r w:rsidR="0438684B" w:rsidRPr="17FA2F59">
        <w:rPr>
          <w:rFonts w:asciiTheme="minorHAnsi" w:hAnsiTheme="minorHAnsi" w:cstheme="minorBidi"/>
          <w:color w:val="000000" w:themeColor="text1"/>
        </w:rPr>
        <w:t xml:space="preserve">he Applicant asserts </w:t>
      </w:r>
      <w:r w:rsidRPr="17FA2F59">
        <w:rPr>
          <w:rFonts w:asciiTheme="minorHAnsi" w:hAnsiTheme="minorHAnsi" w:cstheme="minorBidi"/>
          <w:color w:val="000000" w:themeColor="text1"/>
        </w:rPr>
        <w:t>the projected increase of the aging population will contribute to further increases in observation cases.</w:t>
      </w:r>
      <w:r w:rsidR="3E4B76E1" w:rsidRPr="17FA2F59">
        <w:rPr>
          <w:rFonts w:asciiTheme="minorHAnsi" w:hAnsiTheme="minorHAnsi" w:cstheme="minorBidi"/>
          <w:color w:val="000000" w:themeColor="text1"/>
        </w:rPr>
        <w:t xml:space="preserve"> </w:t>
      </w:r>
    </w:p>
    <w:p w14:paraId="05F571C0" w14:textId="77777777" w:rsidR="006440EB" w:rsidRPr="0062487B" w:rsidRDefault="006440EB" w:rsidP="008651FB">
      <w:pPr>
        <w:pStyle w:val="ListParagraph"/>
        <w:ind w:left="0"/>
        <w:rPr>
          <w:rFonts w:asciiTheme="minorHAnsi" w:hAnsiTheme="minorHAnsi" w:cstheme="minorHAnsi"/>
          <w:b/>
          <w:i/>
        </w:rPr>
      </w:pPr>
    </w:p>
    <w:p w14:paraId="5AC8858A" w14:textId="10396C1E" w:rsidR="008651FB" w:rsidRPr="0062487B" w:rsidRDefault="008651FB" w:rsidP="008651FB">
      <w:pPr>
        <w:pStyle w:val="ListParagraph"/>
        <w:ind w:left="0"/>
        <w:rPr>
          <w:rFonts w:asciiTheme="minorHAnsi" w:hAnsiTheme="minorHAnsi" w:cstheme="minorHAnsi"/>
          <w:b/>
          <w:i/>
        </w:rPr>
      </w:pPr>
      <w:r w:rsidRPr="0062487B">
        <w:rPr>
          <w:rFonts w:asciiTheme="minorHAnsi" w:hAnsiTheme="minorHAnsi" w:cstheme="minorHAnsi"/>
          <w:b/>
          <w:i/>
        </w:rPr>
        <w:t>Analysis</w:t>
      </w:r>
    </w:p>
    <w:p w14:paraId="59B7DF7D" w14:textId="373DC3F6" w:rsidR="008651FB" w:rsidRPr="0062487B" w:rsidRDefault="2191B52F" w:rsidP="78F650E0">
      <w:pPr>
        <w:pStyle w:val="ListParagraph"/>
        <w:ind w:left="0"/>
        <w:rPr>
          <w:rFonts w:asciiTheme="minorHAnsi" w:eastAsia="Calibri" w:hAnsiTheme="minorHAnsi" w:cstheme="minorBidi"/>
        </w:rPr>
      </w:pPr>
      <w:r w:rsidRPr="78F650E0">
        <w:rPr>
          <w:rFonts w:asciiTheme="minorHAnsi" w:eastAsia="Calibri" w:hAnsiTheme="minorHAnsi" w:cstheme="minorBidi"/>
        </w:rPr>
        <w:t>Staff finds that the Applicant ha</w:t>
      </w:r>
      <w:r w:rsidR="093A97D2" w:rsidRPr="78F650E0">
        <w:rPr>
          <w:rFonts w:asciiTheme="minorHAnsi" w:eastAsia="Calibri" w:hAnsiTheme="minorHAnsi" w:cstheme="minorBidi"/>
        </w:rPr>
        <w:t>s</w:t>
      </w:r>
      <w:r w:rsidRPr="78F650E0">
        <w:rPr>
          <w:rFonts w:asciiTheme="minorHAnsi" w:eastAsia="Calibri" w:hAnsiTheme="minorHAnsi" w:cstheme="minorBidi"/>
        </w:rPr>
        <w:t xml:space="preserve"> demonstrated sufficient need for a dedicated observation unit to meet the </w:t>
      </w:r>
      <w:r w:rsidR="149913F9" w:rsidRPr="78F650E0">
        <w:rPr>
          <w:rFonts w:asciiTheme="minorHAnsi" w:eastAsia="Calibri" w:hAnsiTheme="minorHAnsi" w:cstheme="minorBidi"/>
        </w:rPr>
        <w:t>p</w:t>
      </w:r>
      <w:r w:rsidR="70384F92" w:rsidRPr="78F650E0">
        <w:rPr>
          <w:rFonts w:asciiTheme="minorHAnsi" w:eastAsia="Calibri" w:hAnsiTheme="minorHAnsi" w:cstheme="minorBidi"/>
        </w:rPr>
        <w:t xml:space="preserve">atient </w:t>
      </w:r>
      <w:r w:rsidR="149913F9" w:rsidRPr="78F650E0">
        <w:rPr>
          <w:rFonts w:asciiTheme="minorHAnsi" w:eastAsia="Calibri" w:hAnsiTheme="minorHAnsi" w:cstheme="minorBidi"/>
        </w:rPr>
        <w:t>p</w:t>
      </w:r>
      <w:r w:rsidR="70384F92" w:rsidRPr="78F650E0">
        <w:rPr>
          <w:rFonts w:asciiTheme="minorHAnsi" w:eastAsia="Calibri" w:hAnsiTheme="minorHAnsi" w:cstheme="minorBidi"/>
        </w:rPr>
        <w:t>opulation</w:t>
      </w:r>
      <w:r w:rsidRPr="78F650E0">
        <w:rPr>
          <w:rFonts w:asciiTheme="minorHAnsi" w:eastAsia="Calibri" w:hAnsiTheme="minorHAnsi" w:cstheme="minorBidi"/>
        </w:rPr>
        <w:t xml:space="preserve"> need and alleviate capacity constraints at BWFH and BWH.</w:t>
      </w:r>
      <w:r w:rsidR="0EE025E5" w:rsidRPr="78F650E0">
        <w:rPr>
          <w:rFonts w:asciiTheme="minorHAnsi" w:eastAsia="Calibri" w:hAnsiTheme="minorHAnsi" w:cstheme="minorBidi"/>
        </w:rPr>
        <w:t xml:space="preserve"> The unit will enable BWFH to</w:t>
      </w:r>
      <w:r w:rsidR="29268DB8" w:rsidRPr="78F650E0">
        <w:rPr>
          <w:rFonts w:asciiTheme="minorHAnsi" w:eastAsia="Calibri" w:hAnsiTheme="minorHAnsi" w:cstheme="minorBidi"/>
        </w:rPr>
        <w:t xml:space="preserve"> serve patients needing observation in the appropriate space while also reduc</w:t>
      </w:r>
      <w:r w:rsidR="44549065" w:rsidRPr="78F650E0">
        <w:rPr>
          <w:rFonts w:asciiTheme="minorHAnsi" w:eastAsia="Calibri" w:hAnsiTheme="minorHAnsi" w:cstheme="minorBidi"/>
        </w:rPr>
        <w:t>ing</w:t>
      </w:r>
      <w:r w:rsidR="29268DB8" w:rsidRPr="78F650E0">
        <w:rPr>
          <w:rFonts w:asciiTheme="minorHAnsi" w:eastAsia="Calibri" w:hAnsiTheme="minorHAnsi" w:cstheme="minorBidi"/>
        </w:rPr>
        <w:t xml:space="preserve"> the </w:t>
      </w:r>
      <w:r w:rsidR="00056DB0">
        <w:rPr>
          <w:rFonts w:asciiTheme="minorHAnsi" w:eastAsia="Calibri" w:hAnsiTheme="minorHAnsi" w:cstheme="minorBidi"/>
        </w:rPr>
        <w:t>impact on</w:t>
      </w:r>
      <w:r w:rsidR="29268DB8" w:rsidRPr="78F650E0">
        <w:rPr>
          <w:rFonts w:asciiTheme="minorHAnsi" w:eastAsia="Calibri" w:hAnsiTheme="minorHAnsi" w:cstheme="minorBidi"/>
        </w:rPr>
        <w:t xml:space="preserve"> inpatient beds</w:t>
      </w:r>
      <w:r w:rsidR="34032C19" w:rsidRPr="78F650E0">
        <w:rPr>
          <w:rFonts w:asciiTheme="minorHAnsi" w:eastAsia="Calibri" w:hAnsiTheme="minorHAnsi" w:cstheme="minorBidi"/>
        </w:rPr>
        <w:t xml:space="preserve"> and allow</w:t>
      </w:r>
      <w:r w:rsidR="44549065" w:rsidRPr="78F650E0">
        <w:rPr>
          <w:rFonts w:asciiTheme="minorHAnsi" w:eastAsia="Calibri" w:hAnsiTheme="minorHAnsi" w:cstheme="minorBidi"/>
        </w:rPr>
        <w:t>ing</w:t>
      </w:r>
      <w:r w:rsidR="34032C19" w:rsidRPr="78F650E0">
        <w:rPr>
          <w:rFonts w:asciiTheme="minorHAnsi" w:eastAsia="Calibri" w:hAnsiTheme="minorHAnsi" w:cstheme="minorBidi"/>
        </w:rPr>
        <w:t xml:space="preserve"> for BWFH to accept </w:t>
      </w:r>
      <w:r w:rsidR="00514779">
        <w:rPr>
          <w:rFonts w:asciiTheme="minorHAnsi" w:eastAsia="Calibri" w:hAnsiTheme="minorHAnsi" w:cstheme="minorBidi"/>
        </w:rPr>
        <w:t xml:space="preserve">more </w:t>
      </w:r>
      <w:r w:rsidR="34032C19" w:rsidRPr="78F650E0">
        <w:rPr>
          <w:rFonts w:asciiTheme="minorHAnsi" w:eastAsia="Calibri" w:hAnsiTheme="minorHAnsi" w:cstheme="minorBidi"/>
        </w:rPr>
        <w:t>admits from BWH.</w:t>
      </w:r>
      <w:r w:rsidR="5D8F7453" w:rsidRPr="78F650E0">
        <w:rPr>
          <w:rFonts w:asciiTheme="minorHAnsi" w:eastAsia="Calibri" w:hAnsiTheme="minorHAnsi" w:cstheme="minorBidi"/>
        </w:rPr>
        <w:t xml:space="preserve"> </w:t>
      </w:r>
      <w:r w:rsidR="7099A31C" w:rsidRPr="78F650E0">
        <w:rPr>
          <w:rFonts w:asciiTheme="minorHAnsi" w:hAnsiTheme="minorHAnsi" w:cstheme="minorBidi"/>
        </w:rPr>
        <w:t xml:space="preserve">Staff also recommends that, as a condition of approval, the Applicant provide data to the Department to demonstrate that </w:t>
      </w:r>
      <w:r w:rsidR="7099A31C" w:rsidRPr="78F650E0">
        <w:rPr>
          <w:rFonts w:asciiTheme="minorHAnsi" w:eastAsia="Calibri" w:hAnsiTheme="minorHAnsi" w:cstheme="minorBidi"/>
        </w:rPr>
        <w:t xml:space="preserve">the observation beds are </w:t>
      </w:r>
      <w:r w:rsidR="34C860A5" w:rsidRPr="78F650E0">
        <w:rPr>
          <w:rFonts w:asciiTheme="minorHAnsi" w:eastAsia="Calibri" w:hAnsiTheme="minorHAnsi" w:cstheme="minorBidi"/>
        </w:rPr>
        <w:t>being u</w:t>
      </w:r>
      <w:r w:rsidR="00056DB0">
        <w:rPr>
          <w:rFonts w:asciiTheme="minorHAnsi" w:eastAsia="Calibri" w:hAnsiTheme="minorHAnsi" w:cstheme="minorBidi"/>
        </w:rPr>
        <w:t>s</w:t>
      </w:r>
      <w:r w:rsidR="34C860A5" w:rsidRPr="78F650E0">
        <w:rPr>
          <w:rFonts w:asciiTheme="minorHAnsi" w:eastAsia="Calibri" w:hAnsiTheme="minorHAnsi" w:cstheme="minorBidi"/>
        </w:rPr>
        <w:t>ed</w:t>
      </w:r>
      <w:r w:rsidR="009BE190" w:rsidRPr="78F650E0">
        <w:rPr>
          <w:rFonts w:asciiTheme="minorHAnsi" w:eastAsia="Calibri" w:hAnsiTheme="minorHAnsi" w:cstheme="minorBidi"/>
        </w:rPr>
        <w:t xml:space="preserve"> a</w:t>
      </w:r>
      <w:r w:rsidR="74E99545" w:rsidRPr="78F650E0">
        <w:rPr>
          <w:rFonts w:asciiTheme="minorHAnsi" w:eastAsia="Calibri" w:hAnsiTheme="minorHAnsi" w:cstheme="minorBidi"/>
        </w:rPr>
        <w:t>s presented</w:t>
      </w:r>
      <w:r w:rsidR="00514779">
        <w:rPr>
          <w:rFonts w:asciiTheme="minorHAnsi" w:eastAsia="Calibri" w:hAnsiTheme="minorHAnsi" w:cstheme="minorBidi"/>
        </w:rPr>
        <w:t xml:space="preserve"> in this Application</w:t>
      </w:r>
      <w:r w:rsidR="65F9373A" w:rsidRPr="78F650E0">
        <w:rPr>
          <w:rFonts w:asciiTheme="minorHAnsi" w:eastAsia="Calibri" w:hAnsiTheme="minorHAnsi" w:cstheme="minorBidi"/>
        </w:rPr>
        <w:t>.</w:t>
      </w:r>
      <w:r w:rsidR="7099A31C" w:rsidRPr="78F650E0">
        <w:rPr>
          <w:rFonts w:asciiTheme="minorHAnsi" w:eastAsia="Calibri" w:hAnsiTheme="minorHAnsi" w:cstheme="minorBidi"/>
        </w:rPr>
        <w:t xml:space="preserve"> </w:t>
      </w:r>
    </w:p>
    <w:p w14:paraId="5F445046" w14:textId="77777777" w:rsidR="008651FB" w:rsidRPr="0062487B" w:rsidRDefault="008651FB" w:rsidP="008651FB">
      <w:pPr>
        <w:contextualSpacing/>
        <w:rPr>
          <w:rFonts w:asciiTheme="minorHAnsi" w:hAnsiTheme="minorHAnsi" w:cstheme="minorHAnsi"/>
          <w:b/>
          <w:bCs/>
          <w:color w:val="2F5897" w:themeColor="text2"/>
        </w:rPr>
      </w:pPr>
    </w:p>
    <w:p w14:paraId="4D02D2A8" w14:textId="1CC49940" w:rsidR="008651FB" w:rsidRPr="0062487B" w:rsidRDefault="008651FB" w:rsidP="008651FB">
      <w:pPr>
        <w:contextualSpacing/>
        <w:rPr>
          <w:rFonts w:asciiTheme="minorHAnsi" w:hAnsiTheme="minorHAnsi" w:cstheme="minorHAnsi"/>
          <w:b/>
          <w:bCs/>
          <w:color w:val="2F5897" w:themeColor="text2"/>
        </w:rPr>
      </w:pPr>
      <w:r w:rsidRPr="0062487B">
        <w:rPr>
          <w:rFonts w:asciiTheme="minorHAnsi" w:hAnsiTheme="minorHAnsi" w:cstheme="minorHAnsi"/>
          <w:b/>
          <w:bCs/>
        </w:rPr>
        <w:t>Endoscopy Services</w:t>
      </w:r>
    </w:p>
    <w:p w14:paraId="3566D386" w14:textId="47294328" w:rsidR="007133B9" w:rsidRPr="0062487B" w:rsidRDefault="009877A5" w:rsidP="008651FB">
      <w:pPr>
        <w:contextualSpacing/>
        <w:rPr>
          <w:rFonts w:asciiTheme="minorHAnsi" w:hAnsiTheme="minorHAnsi" w:cstheme="minorHAnsi"/>
          <w:color w:val="000000" w:themeColor="text1"/>
        </w:rPr>
      </w:pPr>
      <w:r w:rsidRPr="0062487B">
        <w:rPr>
          <w:rFonts w:asciiTheme="minorHAnsi" w:hAnsiTheme="minorHAnsi" w:cstheme="minorHAnsi"/>
          <w:color w:val="000000" w:themeColor="text1"/>
        </w:rPr>
        <w:t xml:space="preserve">As part of the Proposed Project, the Applicant seeks to </w:t>
      </w:r>
      <w:r w:rsidR="00144A64" w:rsidRPr="0062487B">
        <w:rPr>
          <w:rFonts w:asciiTheme="minorHAnsi" w:hAnsiTheme="minorHAnsi" w:cstheme="minorHAnsi"/>
          <w:color w:val="000000" w:themeColor="text1"/>
        </w:rPr>
        <w:t xml:space="preserve">relocate and </w:t>
      </w:r>
      <w:r w:rsidRPr="0062487B">
        <w:rPr>
          <w:rFonts w:asciiTheme="minorHAnsi" w:hAnsiTheme="minorHAnsi" w:cstheme="minorHAnsi"/>
          <w:color w:val="000000" w:themeColor="text1"/>
        </w:rPr>
        <w:t>expand its endoscopy services</w:t>
      </w:r>
      <w:r w:rsidR="008E79F2" w:rsidRPr="0062487B">
        <w:rPr>
          <w:rFonts w:asciiTheme="minorHAnsi" w:hAnsiTheme="minorHAnsi" w:cstheme="minorHAnsi"/>
          <w:color w:val="000000" w:themeColor="text1"/>
        </w:rPr>
        <w:t xml:space="preserve"> in the new building</w:t>
      </w:r>
      <w:r w:rsidRPr="0062487B">
        <w:rPr>
          <w:rFonts w:asciiTheme="minorHAnsi" w:hAnsiTheme="minorHAnsi" w:cstheme="minorHAnsi"/>
          <w:color w:val="000000" w:themeColor="text1"/>
        </w:rPr>
        <w:t xml:space="preserve">. </w:t>
      </w:r>
    </w:p>
    <w:p w14:paraId="1655C826" w14:textId="77777777" w:rsidR="008E79F2" w:rsidRPr="0062487B" w:rsidRDefault="008E79F2" w:rsidP="008651FB">
      <w:pPr>
        <w:contextualSpacing/>
        <w:rPr>
          <w:rFonts w:asciiTheme="minorHAnsi" w:hAnsiTheme="minorHAnsi" w:cstheme="minorHAnsi"/>
          <w:b/>
          <w:bCs/>
          <w:color w:val="2F5897" w:themeColor="text2"/>
        </w:rPr>
      </w:pPr>
    </w:p>
    <w:p w14:paraId="5205B354" w14:textId="07FB7C1A" w:rsidR="006440EB" w:rsidRPr="0062487B" w:rsidRDefault="00437066" w:rsidP="00437066">
      <w:pPr>
        <w:pStyle w:val="ListParagraph"/>
        <w:ind w:left="0"/>
        <w:rPr>
          <w:rFonts w:asciiTheme="minorHAnsi" w:eastAsia="Calibri" w:hAnsiTheme="minorHAnsi" w:cstheme="minorHAnsi"/>
        </w:rPr>
      </w:pPr>
      <w:r w:rsidRPr="0062487B">
        <w:rPr>
          <w:rFonts w:asciiTheme="minorHAnsi" w:eastAsia="Calibri" w:hAnsiTheme="minorHAnsi" w:cstheme="minorHAnsi"/>
        </w:rPr>
        <w:t xml:space="preserve">The Applicant outlines several factors for </w:t>
      </w:r>
      <w:r w:rsidR="00095248" w:rsidRPr="0062487B">
        <w:rPr>
          <w:rFonts w:asciiTheme="minorHAnsi" w:eastAsia="Calibri" w:hAnsiTheme="minorHAnsi" w:cstheme="minorHAnsi"/>
        </w:rPr>
        <w:t xml:space="preserve">its need to </w:t>
      </w:r>
      <w:r w:rsidRPr="0062487B">
        <w:rPr>
          <w:rFonts w:asciiTheme="minorHAnsi" w:eastAsia="Calibri" w:hAnsiTheme="minorHAnsi" w:cstheme="minorHAnsi"/>
        </w:rPr>
        <w:t>relocat</w:t>
      </w:r>
      <w:r w:rsidR="00095248" w:rsidRPr="0062487B">
        <w:rPr>
          <w:rFonts w:asciiTheme="minorHAnsi" w:eastAsia="Calibri" w:hAnsiTheme="minorHAnsi" w:cstheme="minorHAnsi"/>
        </w:rPr>
        <w:t>e</w:t>
      </w:r>
      <w:r w:rsidR="00640FD6" w:rsidRPr="0062487B">
        <w:rPr>
          <w:rFonts w:asciiTheme="minorHAnsi" w:eastAsia="Calibri" w:hAnsiTheme="minorHAnsi" w:cstheme="minorHAnsi"/>
        </w:rPr>
        <w:t xml:space="preserve"> </w:t>
      </w:r>
      <w:r w:rsidRPr="0062487B">
        <w:rPr>
          <w:rFonts w:asciiTheme="minorHAnsi" w:eastAsia="Calibri" w:hAnsiTheme="minorHAnsi" w:cstheme="minorHAnsi"/>
        </w:rPr>
        <w:t>and expand endoscopy services:</w:t>
      </w:r>
    </w:p>
    <w:p w14:paraId="2BA0A88C" w14:textId="57D9ED82" w:rsidR="009C6819" w:rsidRPr="0062487B" w:rsidRDefault="656B74E4" w:rsidP="00EB5776">
      <w:pPr>
        <w:pStyle w:val="ListParagraph"/>
        <w:numPr>
          <w:ilvl w:val="0"/>
          <w:numId w:val="10"/>
        </w:numPr>
        <w:rPr>
          <w:rFonts w:asciiTheme="minorHAnsi" w:eastAsiaTheme="minorEastAsia" w:hAnsiTheme="minorHAnsi" w:cstheme="minorBidi"/>
          <w:color w:val="000000" w:themeColor="text1"/>
        </w:rPr>
      </w:pPr>
      <w:r w:rsidRPr="78F650E0">
        <w:rPr>
          <w:rFonts w:asciiTheme="minorHAnsi" w:hAnsiTheme="minorHAnsi" w:cstheme="minorBidi"/>
          <w:color w:val="000000" w:themeColor="text1"/>
          <w:u w:val="single"/>
        </w:rPr>
        <w:t>Relocate and expand to address physical plant constraint</w:t>
      </w:r>
      <w:r w:rsidR="349A3E29" w:rsidRPr="78F650E0">
        <w:rPr>
          <w:rFonts w:asciiTheme="minorHAnsi" w:hAnsiTheme="minorHAnsi" w:cstheme="minorBidi"/>
          <w:color w:val="000000" w:themeColor="text1"/>
          <w:u w:val="single"/>
        </w:rPr>
        <w:t>s</w:t>
      </w:r>
      <w:r w:rsidRPr="78F650E0">
        <w:rPr>
          <w:rFonts w:asciiTheme="minorHAnsi" w:hAnsiTheme="minorHAnsi" w:cstheme="minorBidi"/>
          <w:color w:val="000000" w:themeColor="text1"/>
          <w:u w:val="single"/>
        </w:rPr>
        <w:t>:</w:t>
      </w:r>
      <w:r w:rsidR="1CC50118" w:rsidRPr="78F650E0">
        <w:rPr>
          <w:rFonts w:asciiTheme="minorHAnsi" w:hAnsiTheme="minorHAnsi" w:cstheme="minorBidi"/>
          <w:color w:val="000000" w:themeColor="text1"/>
        </w:rPr>
        <w:t xml:space="preserve"> The current limited space does not accommodate the latest technological devices for certain endoscopic procedures and the existing location cannot be expanded because of </w:t>
      </w:r>
      <w:r w:rsidR="0BC2A392" w:rsidRPr="78F650E0">
        <w:rPr>
          <w:rFonts w:asciiTheme="minorHAnsi" w:hAnsiTheme="minorHAnsi" w:cstheme="minorBidi"/>
          <w:color w:val="000000" w:themeColor="text1"/>
        </w:rPr>
        <w:t xml:space="preserve">the footprint of </w:t>
      </w:r>
      <w:r w:rsidR="1CC50118" w:rsidRPr="78F650E0">
        <w:rPr>
          <w:rFonts w:asciiTheme="minorHAnsi" w:hAnsiTheme="minorHAnsi" w:cstheme="minorBidi"/>
          <w:color w:val="000000" w:themeColor="text1"/>
        </w:rPr>
        <w:t xml:space="preserve">other essential services, such as the ED and Pre-Operating Department. </w:t>
      </w:r>
      <w:r w:rsidR="6D488AAE" w:rsidRPr="78F650E0">
        <w:rPr>
          <w:rFonts w:asciiTheme="minorHAnsi" w:hAnsiTheme="minorHAnsi" w:cstheme="minorBidi"/>
          <w:color w:val="000000" w:themeColor="text1"/>
        </w:rPr>
        <w:t xml:space="preserve">The relocation will also </w:t>
      </w:r>
      <w:r w:rsidR="0BC2A392" w:rsidRPr="78F650E0">
        <w:rPr>
          <w:rFonts w:asciiTheme="minorHAnsi" w:hAnsiTheme="minorHAnsi" w:cstheme="minorBidi"/>
          <w:color w:val="000000" w:themeColor="text1"/>
        </w:rPr>
        <w:t xml:space="preserve">enable the Applicant </w:t>
      </w:r>
      <w:r w:rsidR="6D488AAE" w:rsidRPr="78F650E0">
        <w:rPr>
          <w:rFonts w:asciiTheme="minorHAnsi" w:hAnsiTheme="minorHAnsi" w:cstheme="minorBidi"/>
          <w:color w:val="000000" w:themeColor="text1"/>
        </w:rPr>
        <w:t>to increase the number of procedure rooms from five to six; one for advanced procedures and five for general procedure</w:t>
      </w:r>
      <w:r w:rsidR="7D8D4DD4" w:rsidRPr="78F650E0">
        <w:rPr>
          <w:rFonts w:asciiTheme="minorHAnsi" w:hAnsiTheme="minorHAnsi" w:cstheme="minorBidi"/>
          <w:color w:val="000000" w:themeColor="text1"/>
        </w:rPr>
        <w:t>s</w:t>
      </w:r>
      <w:r w:rsidR="6D488AAE" w:rsidRPr="78F650E0">
        <w:rPr>
          <w:rFonts w:asciiTheme="minorHAnsi" w:hAnsiTheme="minorHAnsi" w:cstheme="minorBidi"/>
          <w:color w:val="000000" w:themeColor="text1"/>
        </w:rPr>
        <w:t xml:space="preserve">. </w:t>
      </w:r>
      <w:r w:rsidR="0BC2A392" w:rsidRPr="78F650E0">
        <w:rPr>
          <w:rFonts w:asciiTheme="minorHAnsi" w:hAnsiTheme="minorHAnsi" w:cstheme="minorBidi"/>
          <w:color w:val="000000" w:themeColor="text1"/>
        </w:rPr>
        <w:t>The new capacity will allow BWFH to offer a broader range of services</w:t>
      </w:r>
      <w:r w:rsidR="00383CC0">
        <w:rPr>
          <w:rFonts w:asciiTheme="minorHAnsi" w:hAnsiTheme="minorHAnsi" w:cstheme="minorBidi"/>
          <w:color w:val="000000" w:themeColor="text1"/>
        </w:rPr>
        <w:t xml:space="preserve">, </w:t>
      </w:r>
      <w:r w:rsidR="00514779" w:rsidRPr="78F650E0">
        <w:rPr>
          <w:rFonts w:asciiTheme="minorHAnsi" w:hAnsiTheme="minorHAnsi" w:cstheme="minorBidi"/>
          <w:color w:val="000000" w:themeColor="text1"/>
        </w:rPr>
        <w:t xml:space="preserve">in </w:t>
      </w:r>
      <w:r w:rsidR="00383CC0">
        <w:rPr>
          <w:rFonts w:asciiTheme="minorHAnsi" w:hAnsiTheme="minorHAnsi" w:cstheme="minorBidi"/>
          <w:color w:val="000000" w:themeColor="text1"/>
        </w:rPr>
        <w:t>the same unit</w:t>
      </w:r>
      <w:r w:rsidR="0BC2A392" w:rsidRPr="78F650E0">
        <w:rPr>
          <w:rFonts w:asciiTheme="minorHAnsi" w:hAnsiTheme="minorHAnsi" w:cstheme="minorBidi"/>
          <w:color w:val="000000" w:themeColor="text1"/>
        </w:rPr>
        <w:t xml:space="preserve">, </w:t>
      </w:r>
      <w:r w:rsidR="00383CC0">
        <w:rPr>
          <w:rFonts w:asciiTheme="minorHAnsi" w:hAnsiTheme="minorHAnsi" w:cstheme="minorBidi"/>
          <w:color w:val="000000" w:themeColor="text1"/>
        </w:rPr>
        <w:t>both routine</w:t>
      </w:r>
      <w:r w:rsidR="00634F27">
        <w:rPr>
          <w:rFonts w:asciiTheme="minorHAnsi" w:hAnsiTheme="minorHAnsi" w:cstheme="minorBidi"/>
          <w:color w:val="000000" w:themeColor="text1"/>
        </w:rPr>
        <w:t xml:space="preserve"> and</w:t>
      </w:r>
      <w:r w:rsidR="00383CC0">
        <w:rPr>
          <w:rFonts w:asciiTheme="minorHAnsi" w:hAnsiTheme="minorHAnsi" w:cstheme="minorBidi"/>
          <w:color w:val="000000" w:themeColor="text1"/>
        </w:rPr>
        <w:t xml:space="preserve"> interventional</w:t>
      </w:r>
      <w:r w:rsidR="00634F27">
        <w:rPr>
          <w:rFonts w:asciiTheme="minorHAnsi" w:hAnsiTheme="minorHAnsi" w:cstheme="minorBidi"/>
          <w:color w:val="000000" w:themeColor="text1"/>
        </w:rPr>
        <w:t xml:space="preserve"> services, including</w:t>
      </w:r>
      <w:r w:rsidR="00383CC0" w:rsidRPr="78F650E0">
        <w:rPr>
          <w:rFonts w:asciiTheme="minorHAnsi" w:hAnsiTheme="minorHAnsi" w:cstheme="minorBidi"/>
          <w:color w:val="000000" w:themeColor="text1"/>
        </w:rPr>
        <w:t xml:space="preserve"> </w:t>
      </w:r>
      <w:r w:rsidR="4E57E74E" w:rsidRPr="78F650E0">
        <w:rPr>
          <w:rFonts w:asciiTheme="minorHAnsi" w:hAnsiTheme="minorHAnsi" w:cstheme="minorBidi"/>
          <w:color w:val="000000" w:themeColor="text1"/>
        </w:rPr>
        <w:t>advanced procedures that require fluoroscopy</w:t>
      </w:r>
      <w:r w:rsidR="00514779">
        <w:rPr>
          <w:rFonts w:asciiTheme="minorHAnsi" w:hAnsiTheme="minorHAnsi" w:cstheme="minorBidi"/>
          <w:color w:val="000000" w:themeColor="text1"/>
        </w:rPr>
        <w:t>.</w:t>
      </w:r>
      <w:r w:rsidR="00CB4E3A">
        <w:rPr>
          <w:rFonts w:asciiTheme="minorHAnsi" w:hAnsiTheme="minorHAnsi" w:cstheme="minorBidi"/>
          <w:color w:val="000000" w:themeColor="text1"/>
        </w:rPr>
        <w:t>.</w:t>
      </w:r>
      <w:r w:rsidR="4E57E74E" w:rsidRPr="78F650E0">
        <w:rPr>
          <w:rFonts w:asciiTheme="minorHAnsi" w:hAnsiTheme="minorHAnsi" w:cstheme="minorBidi"/>
          <w:color w:val="000000" w:themeColor="text1"/>
        </w:rPr>
        <w:t>.</w:t>
      </w:r>
      <w:r w:rsidR="2C1A17C7" w:rsidRPr="78F650E0">
        <w:rPr>
          <w:rFonts w:asciiTheme="minorHAnsi" w:hAnsiTheme="minorHAnsi" w:cstheme="minorBidi"/>
          <w:color w:val="000000" w:themeColor="text1"/>
        </w:rPr>
        <w:t xml:space="preserve"> </w:t>
      </w:r>
      <w:r w:rsidR="0BC2A392" w:rsidRPr="78F650E0">
        <w:rPr>
          <w:rFonts w:asciiTheme="minorHAnsi" w:hAnsiTheme="minorHAnsi" w:cstheme="minorBidi"/>
          <w:color w:val="000000" w:themeColor="text1"/>
        </w:rPr>
        <w:t>Additionally, t</w:t>
      </w:r>
      <w:r w:rsidR="2C1A17C7" w:rsidRPr="78F650E0">
        <w:rPr>
          <w:rFonts w:asciiTheme="minorHAnsi" w:hAnsiTheme="minorHAnsi" w:cstheme="minorBidi"/>
          <w:color w:val="000000" w:themeColor="text1"/>
        </w:rPr>
        <w:t xml:space="preserve">he redesign of the space will allow for more efficiencies in the care process and improved patient experience. </w:t>
      </w:r>
    </w:p>
    <w:p w14:paraId="6BDDC871" w14:textId="77777777" w:rsidR="007E386E" w:rsidRPr="0062487B" w:rsidRDefault="007E386E" w:rsidP="007E386E">
      <w:pPr>
        <w:pStyle w:val="ListParagraph"/>
        <w:rPr>
          <w:rFonts w:asciiTheme="minorHAnsi" w:hAnsiTheme="minorHAnsi" w:cstheme="minorHAnsi"/>
          <w:color w:val="000000" w:themeColor="text1"/>
        </w:rPr>
      </w:pPr>
    </w:p>
    <w:p w14:paraId="02D6B72A" w14:textId="581230F2" w:rsidR="009C6819" w:rsidRPr="0062487B" w:rsidRDefault="656B74E4" w:rsidP="00EB5776">
      <w:pPr>
        <w:pStyle w:val="ListParagraph"/>
        <w:numPr>
          <w:ilvl w:val="0"/>
          <w:numId w:val="10"/>
        </w:numPr>
        <w:rPr>
          <w:rFonts w:asciiTheme="minorHAnsi" w:eastAsiaTheme="minorEastAsia" w:hAnsiTheme="minorHAnsi" w:cstheme="minorBidi"/>
        </w:rPr>
      </w:pPr>
      <w:r w:rsidRPr="78F650E0">
        <w:rPr>
          <w:rFonts w:asciiTheme="minorHAnsi" w:hAnsiTheme="minorHAnsi" w:cstheme="minorBidi"/>
          <w:color w:val="000000" w:themeColor="text1"/>
          <w:u w:val="single"/>
        </w:rPr>
        <w:t xml:space="preserve">Need for </w:t>
      </w:r>
      <w:r w:rsidR="0F1A14D1" w:rsidRPr="78F650E0">
        <w:rPr>
          <w:rFonts w:asciiTheme="minorHAnsi" w:hAnsiTheme="minorHAnsi" w:cstheme="minorBidi"/>
          <w:color w:val="000000" w:themeColor="text1"/>
          <w:u w:val="single"/>
        </w:rPr>
        <w:t>one</w:t>
      </w:r>
      <w:r w:rsidR="6B318838" w:rsidRPr="78F650E0">
        <w:rPr>
          <w:rFonts w:asciiTheme="minorHAnsi" w:hAnsiTheme="minorHAnsi" w:cstheme="minorBidi"/>
          <w:color w:val="000000" w:themeColor="text1"/>
          <w:u w:val="single"/>
        </w:rPr>
        <w:t xml:space="preserve"> </w:t>
      </w:r>
      <w:r w:rsidRPr="78F650E0">
        <w:rPr>
          <w:rFonts w:asciiTheme="minorHAnsi" w:hAnsiTheme="minorHAnsi" w:cstheme="minorBidi"/>
          <w:color w:val="000000" w:themeColor="text1"/>
          <w:u w:val="single"/>
        </w:rPr>
        <w:t>advanced procedural room to reduce inter-facility transfers and timely access to services:</w:t>
      </w:r>
      <w:r w:rsidRPr="78F650E0">
        <w:rPr>
          <w:rFonts w:asciiTheme="minorHAnsi" w:hAnsiTheme="minorHAnsi" w:cstheme="minorBidi"/>
          <w:color w:val="000000" w:themeColor="text1"/>
        </w:rPr>
        <w:t xml:space="preserve"> </w:t>
      </w:r>
      <w:r w:rsidR="1CC50118" w:rsidRPr="78F650E0">
        <w:rPr>
          <w:rFonts w:asciiTheme="minorHAnsi" w:hAnsiTheme="minorHAnsi" w:cstheme="minorBidi"/>
          <w:color w:val="000000" w:themeColor="text1"/>
        </w:rPr>
        <w:t>Currently</w:t>
      </w:r>
      <w:r w:rsidR="44549065" w:rsidRPr="78F650E0">
        <w:rPr>
          <w:rFonts w:asciiTheme="minorHAnsi" w:hAnsiTheme="minorHAnsi" w:cstheme="minorBidi"/>
          <w:color w:val="000000" w:themeColor="text1"/>
        </w:rPr>
        <w:t>,</w:t>
      </w:r>
      <w:r w:rsidR="1CC50118" w:rsidRPr="78F650E0">
        <w:rPr>
          <w:rFonts w:asciiTheme="minorHAnsi" w:hAnsiTheme="minorHAnsi" w:cstheme="minorBidi"/>
          <w:color w:val="000000" w:themeColor="text1"/>
        </w:rPr>
        <w:t xml:space="preserve"> advanced endoscopy procedures are performed in the </w:t>
      </w:r>
      <w:r w:rsidR="2C1A17C7" w:rsidRPr="78F650E0">
        <w:rPr>
          <w:rFonts w:asciiTheme="minorHAnsi" w:hAnsiTheme="minorHAnsi" w:cstheme="minorBidi"/>
          <w:color w:val="000000" w:themeColor="text1"/>
        </w:rPr>
        <w:t xml:space="preserve">hospital’s </w:t>
      </w:r>
      <w:r w:rsidR="1CC50118" w:rsidRPr="78F650E0">
        <w:rPr>
          <w:rFonts w:asciiTheme="minorHAnsi" w:hAnsiTheme="minorHAnsi" w:cstheme="minorBidi"/>
          <w:color w:val="000000" w:themeColor="text1"/>
        </w:rPr>
        <w:t>operating room</w:t>
      </w:r>
      <w:r w:rsidR="2C1A17C7" w:rsidRPr="78F650E0">
        <w:rPr>
          <w:rFonts w:asciiTheme="minorHAnsi" w:hAnsiTheme="minorHAnsi" w:cstheme="minorBidi"/>
          <w:color w:val="000000" w:themeColor="text1"/>
        </w:rPr>
        <w:t>s one half-day per week</w:t>
      </w:r>
      <w:r w:rsidR="62C4A10F" w:rsidRPr="78F650E0">
        <w:rPr>
          <w:rFonts w:asciiTheme="minorHAnsi" w:hAnsiTheme="minorHAnsi" w:cstheme="minorBidi"/>
          <w:color w:val="000000" w:themeColor="text1"/>
        </w:rPr>
        <w:t>,</w:t>
      </w:r>
      <w:r w:rsidR="2C1A17C7" w:rsidRPr="78F650E0">
        <w:rPr>
          <w:rFonts w:asciiTheme="minorHAnsi" w:hAnsiTheme="minorHAnsi" w:cstheme="minorBidi"/>
          <w:color w:val="000000" w:themeColor="text1"/>
        </w:rPr>
        <w:t xml:space="preserve"> or </w:t>
      </w:r>
      <w:r w:rsidR="0BC2A392" w:rsidRPr="78F650E0">
        <w:rPr>
          <w:rFonts w:asciiTheme="minorHAnsi" w:hAnsiTheme="minorHAnsi" w:cstheme="minorBidi"/>
          <w:color w:val="000000" w:themeColor="text1"/>
        </w:rPr>
        <w:t xml:space="preserve">patients are </w:t>
      </w:r>
      <w:r w:rsidR="2C1A17C7" w:rsidRPr="78F650E0">
        <w:rPr>
          <w:rFonts w:asciiTheme="minorHAnsi" w:hAnsiTheme="minorHAnsi" w:cstheme="minorBidi"/>
          <w:color w:val="000000" w:themeColor="text1"/>
        </w:rPr>
        <w:t xml:space="preserve">transferred via ambulance to another hospital </w:t>
      </w:r>
      <w:r w:rsidR="5AB217B1" w:rsidRPr="78F650E0">
        <w:rPr>
          <w:rFonts w:asciiTheme="minorHAnsi" w:hAnsiTheme="minorHAnsi" w:cstheme="minorBidi"/>
          <w:color w:val="000000" w:themeColor="text1"/>
        </w:rPr>
        <w:t xml:space="preserve">(typically BWH) </w:t>
      </w:r>
      <w:r w:rsidR="2C1A17C7" w:rsidRPr="78F650E0">
        <w:rPr>
          <w:rFonts w:asciiTheme="minorHAnsi" w:hAnsiTheme="minorHAnsi" w:cstheme="minorBidi"/>
          <w:color w:val="000000" w:themeColor="text1"/>
        </w:rPr>
        <w:t>that can perform advanced endoscopy procedures</w:t>
      </w:r>
      <w:r w:rsidR="1CC50118" w:rsidRPr="78F650E0">
        <w:rPr>
          <w:rFonts w:asciiTheme="minorHAnsi" w:hAnsiTheme="minorHAnsi" w:cstheme="minorBidi"/>
          <w:color w:val="000000" w:themeColor="text1"/>
        </w:rPr>
        <w:t>.</w:t>
      </w:r>
      <w:r w:rsidR="2C1A17C7" w:rsidRPr="78F650E0">
        <w:rPr>
          <w:rFonts w:asciiTheme="minorHAnsi" w:hAnsiTheme="minorHAnsi" w:cstheme="minorBidi"/>
          <w:color w:val="000000" w:themeColor="text1"/>
        </w:rPr>
        <w:t xml:space="preserve"> Transfer of patients </w:t>
      </w:r>
      <w:r w:rsidR="12F56963" w:rsidRPr="78F650E0">
        <w:rPr>
          <w:rFonts w:asciiTheme="minorHAnsi" w:hAnsiTheme="minorHAnsi" w:cstheme="minorBidi"/>
          <w:color w:val="000000" w:themeColor="text1"/>
        </w:rPr>
        <w:t xml:space="preserve">for these </w:t>
      </w:r>
      <w:r w:rsidR="4F14A7E7" w:rsidRPr="78F650E0">
        <w:rPr>
          <w:rFonts w:asciiTheme="minorHAnsi" w:hAnsiTheme="minorHAnsi" w:cstheme="minorBidi"/>
          <w:color w:val="000000" w:themeColor="text1"/>
        </w:rPr>
        <w:t xml:space="preserve">advanced </w:t>
      </w:r>
      <w:r w:rsidR="12F56963" w:rsidRPr="78F650E0">
        <w:rPr>
          <w:rFonts w:asciiTheme="minorHAnsi" w:hAnsiTheme="minorHAnsi" w:cstheme="minorBidi"/>
          <w:color w:val="000000" w:themeColor="text1"/>
        </w:rPr>
        <w:t xml:space="preserve">procedures </w:t>
      </w:r>
      <w:r w:rsidR="2C1A17C7" w:rsidRPr="78F650E0">
        <w:rPr>
          <w:rFonts w:asciiTheme="minorHAnsi" w:hAnsiTheme="minorHAnsi" w:cstheme="minorBidi"/>
          <w:color w:val="000000" w:themeColor="text1"/>
        </w:rPr>
        <w:t xml:space="preserve">can lead to delay in care, increased costs, and safety risks. </w:t>
      </w:r>
      <w:r w:rsidR="5AB217B1" w:rsidRPr="78F650E0">
        <w:rPr>
          <w:rFonts w:asciiTheme="minorHAnsi" w:hAnsiTheme="minorHAnsi" w:cstheme="minorBidi"/>
          <w:color w:val="000000" w:themeColor="text1"/>
        </w:rPr>
        <w:t>T</w:t>
      </w:r>
      <w:r w:rsidR="1F127EF0" w:rsidRPr="78F650E0">
        <w:rPr>
          <w:rFonts w:asciiTheme="minorHAnsi" w:hAnsiTheme="minorHAnsi" w:cstheme="minorBidi"/>
          <w:color w:val="000000" w:themeColor="text1"/>
        </w:rPr>
        <w:t>he expansion will reduce the need to transfer patients and allow for more timely access to co-located services in a cost-effective, community hospital setting for patients not requiring high</w:t>
      </w:r>
      <w:r w:rsidR="44549065" w:rsidRPr="78F650E0">
        <w:rPr>
          <w:rFonts w:asciiTheme="minorHAnsi" w:hAnsiTheme="minorHAnsi" w:cstheme="minorBidi"/>
          <w:color w:val="000000" w:themeColor="text1"/>
        </w:rPr>
        <w:t>-</w:t>
      </w:r>
      <w:r w:rsidR="1F127EF0" w:rsidRPr="78F650E0">
        <w:rPr>
          <w:rFonts w:asciiTheme="minorHAnsi" w:hAnsiTheme="minorHAnsi" w:cstheme="minorBidi"/>
          <w:color w:val="000000" w:themeColor="text1"/>
        </w:rPr>
        <w:t>acuity services. Further, by reducing demand on BWH, th</w:t>
      </w:r>
      <w:r w:rsidR="5AB217B1" w:rsidRPr="78F650E0">
        <w:rPr>
          <w:rFonts w:asciiTheme="minorHAnsi" w:hAnsiTheme="minorHAnsi" w:cstheme="minorBidi"/>
          <w:color w:val="000000" w:themeColor="text1"/>
        </w:rPr>
        <w:t xml:space="preserve">e proposed change </w:t>
      </w:r>
      <w:r w:rsidR="1F127EF0" w:rsidRPr="78F650E0">
        <w:rPr>
          <w:rFonts w:asciiTheme="minorHAnsi" w:hAnsiTheme="minorHAnsi" w:cstheme="minorBidi"/>
          <w:color w:val="000000" w:themeColor="text1"/>
        </w:rPr>
        <w:t xml:space="preserve">can help mitigate </w:t>
      </w:r>
      <w:r w:rsidR="1F127EF0" w:rsidRPr="78F650E0">
        <w:rPr>
          <w:rFonts w:asciiTheme="minorHAnsi" w:hAnsiTheme="minorHAnsi" w:cstheme="minorBidi"/>
          <w:color w:val="000000" w:themeColor="text1"/>
        </w:rPr>
        <w:lastRenderedPageBreak/>
        <w:t xml:space="preserve">capacity constraints at BWH so that </w:t>
      </w:r>
      <w:r w:rsidR="44549065" w:rsidRPr="78F650E0">
        <w:rPr>
          <w:rFonts w:asciiTheme="minorHAnsi" w:hAnsiTheme="minorHAnsi" w:cstheme="minorBidi"/>
          <w:color w:val="000000" w:themeColor="text1"/>
        </w:rPr>
        <w:t>the hospital</w:t>
      </w:r>
      <w:r w:rsidR="1F127EF0" w:rsidRPr="78F650E0">
        <w:rPr>
          <w:rFonts w:asciiTheme="minorHAnsi" w:hAnsiTheme="minorHAnsi" w:cstheme="minorBidi"/>
          <w:color w:val="000000" w:themeColor="text1"/>
        </w:rPr>
        <w:t xml:space="preserve"> can focus on serving high-acuity patients </w:t>
      </w:r>
      <w:r w:rsidR="5AB217B1" w:rsidRPr="78F650E0">
        <w:rPr>
          <w:rFonts w:asciiTheme="minorHAnsi" w:hAnsiTheme="minorHAnsi" w:cstheme="minorBidi"/>
          <w:color w:val="000000" w:themeColor="text1"/>
        </w:rPr>
        <w:t>and</w:t>
      </w:r>
      <w:r w:rsidR="1F127EF0" w:rsidRPr="78F650E0">
        <w:rPr>
          <w:rFonts w:asciiTheme="minorHAnsi" w:hAnsiTheme="minorHAnsi" w:cstheme="minorBidi"/>
          <w:color w:val="000000" w:themeColor="text1"/>
        </w:rPr>
        <w:t xml:space="preserve"> enable patients to be managed in appropriate settings</w:t>
      </w:r>
      <w:r w:rsidR="5AB217B1" w:rsidRPr="78F650E0">
        <w:rPr>
          <w:rFonts w:asciiTheme="minorHAnsi" w:hAnsiTheme="minorHAnsi" w:cstheme="minorBidi"/>
          <w:color w:val="000000" w:themeColor="text1"/>
        </w:rPr>
        <w:t>.</w:t>
      </w:r>
    </w:p>
    <w:p w14:paraId="2ABC8B92" w14:textId="77777777" w:rsidR="000B6199" w:rsidRPr="0062487B" w:rsidRDefault="000B6199" w:rsidP="00611861">
      <w:pPr>
        <w:ind w:left="360"/>
        <w:rPr>
          <w:rFonts w:asciiTheme="minorHAnsi" w:hAnsiTheme="minorHAnsi" w:cstheme="minorHAnsi"/>
          <w:color w:val="000000" w:themeColor="text1"/>
        </w:rPr>
      </w:pPr>
    </w:p>
    <w:p w14:paraId="6CEC02C4" w14:textId="54120E81" w:rsidR="00B96C8A" w:rsidRPr="0062487B" w:rsidRDefault="12CF1FCF" w:rsidP="00EB5776">
      <w:pPr>
        <w:pStyle w:val="ListParagraph"/>
        <w:numPr>
          <w:ilvl w:val="0"/>
          <w:numId w:val="10"/>
        </w:numPr>
        <w:rPr>
          <w:rFonts w:asciiTheme="minorHAnsi" w:hAnsiTheme="minorHAnsi" w:cstheme="minorBidi"/>
          <w:color w:val="000000" w:themeColor="text1"/>
        </w:rPr>
      </w:pPr>
      <w:r w:rsidRPr="78F650E0">
        <w:rPr>
          <w:rFonts w:asciiTheme="minorHAnsi" w:hAnsiTheme="minorHAnsi" w:cstheme="minorBidi"/>
          <w:color w:val="000000" w:themeColor="text1"/>
          <w:u w:val="single"/>
        </w:rPr>
        <w:t>Meet the needs of the aging Patient Panel</w:t>
      </w:r>
      <w:r w:rsidR="67C38EF4" w:rsidRPr="78F650E0">
        <w:rPr>
          <w:rFonts w:asciiTheme="minorHAnsi" w:hAnsiTheme="minorHAnsi" w:cstheme="minorBidi"/>
          <w:color w:val="000000" w:themeColor="text1"/>
          <w:u w:val="single"/>
        </w:rPr>
        <w:t>:</w:t>
      </w:r>
      <w:r w:rsidR="7792EB7B" w:rsidRPr="78F650E0">
        <w:rPr>
          <w:rFonts w:asciiTheme="minorHAnsi" w:hAnsiTheme="minorHAnsi" w:cstheme="minorBidi"/>
          <w:color w:val="000000" w:themeColor="text1"/>
        </w:rPr>
        <w:t xml:space="preserve"> </w:t>
      </w:r>
      <w:r w:rsidR="03D78069" w:rsidRPr="78F650E0">
        <w:rPr>
          <w:rFonts w:asciiTheme="minorHAnsi" w:hAnsiTheme="minorHAnsi" w:cstheme="minorBidi"/>
          <w:color w:val="000000" w:themeColor="text1"/>
        </w:rPr>
        <w:t>As populations age</w:t>
      </w:r>
      <w:r w:rsidR="0A8B7FB7" w:rsidRPr="78F650E0">
        <w:rPr>
          <w:rFonts w:asciiTheme="minorHAnsi" w:hAnsiTheme="minorHAnsi" w:cstheme="minorBidi"/>
          <w:color w:val="000000" w:themeColor="text1"/>
        </w:rPr>
        <w:t>,</w:t>
      </w:r>
      <w:r w:rsidR="03D78069" w:rsidRPr="78F650E0">
        <w:rPr>
          <w:rFonts w:asciiTheme="minorHAnsi" w:hAnsiTheme="minorHAnsi" w:cstheme="minorBidi"/>
          <w:color w:val="000000" w:themeColor="text1"/>
        </w:rPr>
        <w:t xml:space="preserve"> </w:t>
      </w:r>
      <w:r w:rsidR="5955A95F" w:rsidRPr="78F650E0">
        <w:rPr>
          <w:rFonts w:asciiTheme="minorHAnsi" w:hAnsiTheme="minorHAnsi" w:cstheme="minorBidi"/>
          <w:color w:val="000000" w:themeColor="text1"/>
        </w:rPr>
        <w:t xml:space="preserve">demand for endoscopy services </w:t>
      </w:r>
      <w:r w:rsidR="0A8B7FB7" w:rsidRPr="78F650E0">
        <w:rPr>
          <w:rFonts w:asciiTheme="minorHAnsi" w:hAnsiTheme="minorHAnsi" w:cstheme="minorBidi"/>
          <w:color w:val="000000" w:themeColor="text1"/>
        </w:rPr>
        <w:t>increases</w:t>
      </w:r>
      <w:r w:rsidR="03D78069" w:rsidRPr="78F650E0">
        <w:rPr>
          <w:rFonts w:asciiTheme="minorHAnsi" w:hAnsiTheme="minorHAnsi" w:cstheme="minorBidi"/>
          <w:color w:val="000000" w:themeColor="text1"/>
        </w:rPr>
        <w:t xml:space="preserve"> </w:t>
      </w:r>
      <w:r w:rsidR="5955A95F" w:rsidRPr="78F650E0">
        <w:rPr>
          <w:rFonts w:asciiTheme="minorHAnsi" w:hAnsiTheme="minorHAnsi" w:cstheme="minorBidi"/>
          <w:color w:val="000000" w:themeColor="text1"/>
        </w:rPr>
        <w:t xml:space="preserve">because of the higher </w:t>
      </w:r>
      <w:r w:rsidR="15E9F8FF" w:rsidRPr="78F650E0">
        <w:rPr>
          <w:rFonts w:asciiTheme="minorHAnsi" w:hAnsiTheme="minorHAnsi" w:cstheme="minorBidi"/>
          <w:color w:val="000000" w:themeColor="text1"/>
        </w:rPr>
        <w:t xml:space="preserve">prevalence </w:t>
      </w:r>
      <w:r w:rsidR="5955A95F" w:rsidRPr="78F650E0">
        <w:rPr>
          <w:rFonts w:asciiTheme="minorHAnsi" w:hAnsiTheme="minorHAnsi" w:cstheme="minorBidi"/>
          <w:color w:val="000000" w:themeColor="text1"/>
        </w:rPr>
        <w:t xml:space="preserve">of </w:t>
      </w:r>
      <w:r w:rsidR="30DCF3B4" w:rsidRPr="78F650E0">
        <w:rPr>
          <w:rFonts w:asciiTheme="minorHAnsi" w:hAnsiTheme="minorHAnsi" w:cstheme="minorBidi"/>
          <w:color w:val="000000" w:themeColor="text1"/>
        </w:rPr>
        <w:t xml:space="preserve">an array of </w:t>
      </w:r>
      <w:r w:rsidR="5955A95F" w:rsidRPr="78F650E0">
        <w:rPr>
          <w:rFonts w:asciiTheme="minorHAnsi" w:hAnsiTheme="minorHAnsi" w:cstheme="minorBidi"/>
          <w:color w:val="000000" w:themeColor="text1"/>
        </w:rPr>
        <w:t xml:space="preserve">gastrointestinal (GI) diseases among </w:t>
      </w:r>
      <w:r w:rsidR="03D78069" w:rsidRPr="78F650E0">
        <w:rPr>
          <w:rFonts w:asciiTheme="minorHAnsi" w:hAnsiTheme="minorHAnsi" w:cstheme="minorBidi"/>
          <w:color w:val="000000" w:themeColor="text1"/>
        </w:rPr>
        <w:t xml:space="preserve">the </w:t>
      </w:r>
      <w:r w:rsidR="1C233E8F" w:rsidRPr="78F650E0">
        <w:rPr>
          <w:rFonts w:asciiTheme="minorHAnsi" w:hAnsiTheme="minorHAnsi" w:cstheme="minorBidi"/>
          <w:color w:val="000000" w:themeColor="text1"/>
        </w:rPr>
        <w:t>65+ age cohort</w:t>
      </w:r>
      <w:r w:rsidR="5991C3EB" w:rsidRPr="78F650E0">
        <w:rPr>
          <w:rFonts w:asciiTheme="minorHAnsi" w:hAnsiTheme="minorHAnsi" w:cstheme="minorBidi"/>
          <w:color w:val="000000" w:themeColor="text1"/>
        </w:rPr>
        <w:t xml:space="preserve"> (</w:t>
      </w:r>
      <w:r w:rsidR="0226E9A2" w:rsidRPr="78F650E0">
        <w:rPr>
          <w:rFonts w:asciiTheme="minorHAnsi" w:hAnsiTheme="minorHAnsi" w:cstheme="minorBidi"/>
          <w:color w:val="000000" w:themeColor="text1"/>
        </w:rPr>
        <w:t>such as GI cancers including pancreatic, liver, and colorectal cancers</w:t>
      </w:r>
      <w:r w:rsidR="5991C3EB" w:rsidRPr="78F650E0">
        <w:rPr>
          <w:rFonts w:asciiTheme="minorHAnsi" w:hAnsiTheme="minorHAnsi" w:cstheme="minorBidi"/>
          <w:color w:val="000000" w:themeColor="text1"/>
        </w:rPr>
        <w:t>)</w:t>
      </w:r>
      <w:r w:rsidR="1C233E8F" w:rsidRPr="78F650E0">
        <w:rPr>
          <w:rFonts w:asciiTheme="minorHAnsi" w:hAnsiTheme="minorHAnsi" w:cstheme="minorBidi"/>
          <w:color w:val="000000" w:themeColor="text1"/>
        </w:rPr>
        <w:t xml:space="preserve">. </w:t>
      </w:r>
      <w:r w:rsidR="0EE5B76C" w:rsidRPr="78F650E0">
        <w:rPr>
          <w:rFonts w:asciiTheme="minorHAnsi" w:hAnsiTheme="minorHAnsi" w:cstheme="minorBidi"/>
          <w:color w:val="000000" w:themeColor="text1"/>
        </w:rPr>
        <w:t>In FY19, about 36.0% of 65+ age patients received endoscopy services, representing an overall 3.2% increase over the last three fiscal years.</w:t>
      </w:r>
      <w:r w:rsidR="075E87BE" w:rsidRPr="78F650E0">
        <w:rPr>
          <w:rFonts w:asciiTheme="minorHAnsi" w:hAnsiTheme="minorHAnsi" w:cstheme="minorBidi"/>
          <w:color w:val="000000" w:themeColor="text1"/>
        </w:rPr>
        <w:t xml:space="preserve"> It is also anticipated that </w:t>
      </w:r>
      <w:r w:rsidR="00456CED">
        <w:rPr>
          <w:rFonts w:asciiTheme="minorHAnsi" w:hAnsiTheme="minorHAnsi" w:cstheme="minorBidi"/>
          <w:color w:val="000000" w:themeColor="text1"/>
        </w:rPr>
        <w:t xml:space="preserve">as </w:t>
      </w:r>
      <w:r w:rsidR="1CFE02E3" w:rsidRPr="78F650E0">
        <w:rPr>
          <w:rFonts w:asciiTheme="minorHAnsi" w:hAnsiTheme="minorHAnsi" w:cstheme="minorBidi"/>
          <w:color w:val="000000" w:themeColor="text1"/>
        </w:rPr>
        <w:t xml:space="preserve">more older adults, who tend to have more endoscopy needs, occupy </w:t>
      </w:r>
      <w:r w:rsidR="075E87BE" w:rsidRPr="78F650E0">
        <w:rPr>
          <w:rFonts w:asciiTheme="minorHAnsi" w:hAnsiTheme="minorHAnsi" w:cstheme="minorBidi"/>
          <w:color w:val="000000" w:themeColor="text1"/>
        </w:rPr>
        <w:t>the increased number of medical/surgical inpatient beds</w:t>
      </w:r>
      <w:r w:rsidR="1CFE02E3" w:rsidRPr="78F650E0">
        <w:rPr>
          <w:rFonts w:asciiTheme="minorHAnsi" w:hAnsiTheme="minorHAnsi" w:cstheme="minorBidi"/>
          <w:color w:val="000000" w:themeColor="text1"/>
        </w:rPr>
        <w:t>,</w:t>
      </w:r>
      <w:r w:rsidR="075E87BE" w:rsidRPr="78F650E0">
        <w:rPr>
          <w:rFonts w:asciiTheme="minorHAnsi" w:hAnsiTheme="minorHAnsi" w:cstheme="minorBidi"/>
          <w:color w:val="000000" w:themeColor="text1"/>
        </w:rPr>
        <w:t xml:space="preserve"> the demand for endoscopy services</w:t>
      </w:r>
      <w:r w:rsidR="1CFE02E3" w:rsidRPr="78F650E0">
        <w:rPr>
          <w:rFonts w:asciiTheme="minorHAnsi" w:hAnsiTheme="minorHAnsi" w:cstheme="minorBidi"/>
          <w:color w:val="000000" w:themeColor="text1"/>
        </w:rPr>
        <w:t xml:space="preserve"> at BWFH</w:t>
      </w:r>
      <w:r w:rsidR="00456CED">
        <w:rPr>
          <w:rFonts w:asciiTheme="minorHAnsi" w:hAnsiTheme="minorHAnsi" w:cstheme="minorBidi"/>
          <w:color w:val="000000" w:themeColor="text1"/>
        </w:rPr>
        <w:t xml:space="preserve"> will rise</w:t>
      </w:r>
      <w:r w:rsidR="075E87BE" w:rsidRPr="78F650E0">
        <w:rPr>
          <w:rFonts w:asciiTheme="minorHAnsi" w:hAnsiTheme="minorHAnsi" w:cstheme="minorBidi"/>
          <w:color w:val="000000" w:themeColor="text1"/>
        </w:rPr>
        <w:t xml:space="preserve">. </w:t>
      </w:r>
    </w:p>
    <w:p w14:paraId="048D9AAB" w14:textId="77777777" w:rsidR="00B96C8A" w:rsidRPr="0062487B" w:rsidRDefault="00B96C8A" w:rsidP="00B96C8A">
      <w:pPr>
        <w:pStyle w:val="ListParagraph"/>
        <w:rPr>
          <w:rFonts w:asciiTheme="minorHAnsi" w:hAnsiTheme="minorHAnsi" w:cstheme="minorHAnsi"/>
          <w:color w:val="000000" w:themeColor="text1"/>
        </w:rPr>
      </w:pPr>
    </w:p>
    <w:p w14:paraId="298CF050" w14:textId="53C35DE1" w:rsidR="000B6199" w:rsidRPr="0062487B" w:rsidRDefault="70A2C558" w:rsidP="78F650E0">
      <w:pPr>
        <w:ind w:left="360"/>
        <w:rPr>
          <w:rFonts w:asciiTheme="minorHAnsi" w:hAnsiTheme="minorHAnsi" w:cstheme="minorBidi"/>
          <w:color w:val="000000" w:themeColor="text1"/>
        </w:rPr>
      </w:pPr>
      <w:r w:rsidRPr="78F650E0">
        <w:rPr>
          <w:rFonts w:asciiTheme="minorHAnsi" w:hAnsiTheme="minorHAnsi" w:cstheme="minorBidi"/>
          <w:color w:val="000000" w:themeColor="text1"/>
        </w:rPr>
        <w:t>Table 11 shows that t</w:t>
      </w:r>
      <w:r w:rsidR="0BC2A392" w:rsidRPr="78F650E0">
        <w:rPr>
          <w:rFonts w:asciiTheme="minorHAnsi" w:hAnsiTheme="minorHAnsi" w:cstheme="minorBidi"/>
          <w:color w:val="000000" w:themeColor="text1"/>
        </w:rPr>
        <w:t xml:space="preserve">he Applicant anticipates that </w:t>
      </w:r>
      <w:r w:rsidR="00456CED">
        <w:rPr>
          <w:rFonts w:asciiTheme="minorHAnsi" w:hAnsiTheme="minorHAnsi" w:cstheme="minorBidi"/>
          <w:color w:val="000000" w:themeColor="text1"/>
        </w:rPr>
        <w:t xml:space="preserve">compared to FY19, </w:t>
      </w:r>
      <w:r w:rsidR="0BC2A392" w:rsidRPr="78F650E0">
        <w:rPr>
          <w:rFonts w:asciiTheme="minorHAnsi" w:hAnsiTheme="minorHAnsi" w:cstheme="minorBidi"/>
          <w:color w:val="000000" w:themeColor="text1"/>
        </w:rPr>
        <w:t>the demand for endoscopy services will increase by 9.6% by FY24 when the Proposed Project will open, and by 1</w:t>
      </w:r>
      <w:r w:rsidR="4289B09F" w:rsidRPr="78F650E0">
        <w:rPr>
          <w:rFonts w:asciiTheme="minorHAnsi" w:hAnsiTheme="minorHAnsi" w:cstheme="minorBidi"/>
          <w:color w:val="000000" w:themeColor="text1"/>
        </w:rPr>
        <w:t>9</w:t>
      </w:r>
      <w:r w:rsidR="0BC2A392" w:rsidRPr="78F650E0">
        <w:rPr>
          <w:rFonts w:asciiTheme="minorHAnsi" w:hAnsiTheme="minorHAnsi" w:cstheme="minorBidi"/>
          <w:color w:val="000000" w:themeColor="text1"/>
        </w:rPr>
        <w:t>% when services will be fully operational</w:t>
      </w:r>
      <w:r w:rsidR="00456CED">
        <w:rPr>
          <w:rFonts w:asciiTheme="minorHAnsi" w:hAnsiTheme="minorHAnsi" w:cstheme="minorBidi"/>
          <w:color w:val="000000" w:themeColor="text1"/>
        </w:rPr>
        <w:t xml:space="preserve"> in FY27</w:t>
      </w:r>
      <w:r w:rsidR="0BC2A392" w:rsidRPr="78F650E0">
        <w:rPr>
          <w:rFonts w:asciiTheme="minorHAnsi" w:hAnsiTheme="minorHAnsi" w:cstheme="minorBidi"/>
          <w:color w:val="000000" w:themeColor="text1"/>
        </w:rPr>
        <w:t xml:space="preserve">. Table 11 shows the projected demand that is based on the conditions and diseases of the aging population. </w:t>
      </w:r>
    </w:p>
    <w:p w14:paraId="179D783B" w14:textId="0F1A2217" w:rsidR="003975C4" w:rsidRPr="0062487B" w:rsidRDefault="003975C4" w:rsidP="00B96C8A">
      <w:pPr>
        <w:ind w:left="360"/>
        <w:rPr>
          <w:rFonts w:asciiTheme="minorHAnsi" w:hAnsiTheme="minorHAnsi" w:cstheme="minorHAnsi"/>
          <w:color w:val="000000" w:themeColor="text1"/>
        </w:rPr>
      </w:pPr>
    </w:p>
    <w:p w14:paraId="6024F9D6" w14:textId="70417526" w:rsidR="000B6199" w:rsidRPr="0062487B" w:rsidRDefault="394C8846" w:rsidP="17FA2F59">
      <w:pPr>
        <w:contextualSpacing/>
        <w:rPr>
          <w:rFonts w:asciiTheme="minorHAnsi" w:hAnsiTheme="minorHAnsi" w:cstheme="minorBidi"/>
          <w:b/>
          <w:bCs/>
          <w:color w:val="2F5897" w:themeColor="text2"/>
        </w:rPr>
      </w:pPr>
      <w:r w:rsidRPr="17FA2F59">
        <w:rPr>
          <w:rFonts w:asciiTheme="minorHAnsi" w:hAnsiTheme="minorHAnsi" w:cstheme="minorBidi"/>
          <w:b/>
          <w:bCs/>
          <w:u w:val="single"/>
        </w:rPr>
        <w:t>Table 11</w:t>
      </w:r>
      <w:r w:rsidRPr="17FA2F59">
        <w:rPr>
          <w:rFonts w:asciiTheme="minorHAnsi" w:hAnsiTheme="minorHAnsi" w:cstheme="minorBidi"/>
          <w:b/>
          <w:bCs/>
        </w:rPr>
        <w:t>: Projected Endoscopy Visits</w:t>
      </w:r>
      <w:r w:rsidR="72F29230" w:rsidRPr="17FA2F59">
        <w:rPr>
          <w:rFonts w:asciiTheme="minorHAnsi" w:hAnsiTheme="minorHAnsi" w:cstheme="minorBidi"/>
          <w:b/>
          <w:bCs/>
        </w:rPr>
        <w:t>*</w:t>
      </w:r>
    </w:p>
    <w:tbl>
      <w:tblPr>
        <w:tblStyle w:val="TableGrid"/>
        <w:tblW w:w="9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32"/>
        <w:gridCol w:w="990"/>
        <w:gridCol w:w="930"/>
        <w:gridCol w:w="1049"/>
        <w:gridCol w:w="1111"/>
        <w:gridCol w:w="1174"/>
        <w:gridCol w:w="1589"/>
        <w:gridCol w:w="1710"/>
      </w:tblGrid>
      <w:tr w:rsidR="008D550A" w:rsidRPr="0062487B" w14:paraId="28230BD7" w14:textId="77777777" w:rsidTr="001114BF">
        <w:trPr>
          <w:trHeight w:val="641"/>
        </w:trPr>
        <w:tc>
          <w:tcPr>
            <w:tcW w:w="1432" w:type="dxa"/>
            <w:shd w:val="clear" w:color="auto" w:fill="DFE3F0" w:themeFill="accent1" w:themeFillTint="33"/>
          </w:tcPr>
          <w:p w14:paraId="05918214" w14:textId="77777777" w:rsidR="008D550A" w:rsidRPr="0062487B" w:rsidRDefault="008D550A" w:rsidP="009650D5">
            <w:pPr>
              <w:contextualSpacing/>
              <w:rPr>
                <w:rFonts w:asciiTheme="minorHAnsi" w:hAnsiTheme="minorHAnsi" w:cstheme="minorHAnsi"/>
                <w:b/>
                <w:bCs/>
                <w:color w:val="000000" w:themeColor="text1"/>
              </w:rPr>
            </w:pPr>
            <w:r w:rsidRPr="0062487B">
              <w:rPr>
                <w:rFonts w:asciiTheme="minorHAnsi" w:hAnsiTheme="minorHAnsi" w:cstheme="minorHAnsi"/>
                <w:b/>
                <w:bCs/>
                <w:color w:val="000000" w:themeColor="text1"/>
              </w:rPr>
              <w:t>Age Group</w:t>
            </w:r>
          </w:p>
        </w:tc>
        <w:tc>
          <w:tcPr>
            <w:tcW w:w="990" w:type="dxa"/>
            <w:shd w:val="clear" w:color="auto" w:fill="DFE3F0" w:themeFill="accent1" w:themeFillTint="33"/>
          </w:tcPr>
          <w:p w14:paraId="3A37EBFE" w14:textId="77777777" w:rsidR="008D550A" w:rsidRPr="0062487B" w:rsidRDefault="008D550A" w:rsidP="009650D5">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FY19</w:t>
            </w:r>
          </w:p>
        </w:tc>
        <w:tc>
          <w:tcPr>
            <w:tcW w:w="930" w:type="dxa"/>
            <w:shd w:val="clear" w:color="auto" w:fill="DFE3F0" w:themeFill="accent1" w:themeFillTint="33"/>
          </w:tcPr>
          <w:p w14:paraId="0E6547FE" w14:textId="77777777" w:rsidR="008D550A" w:rsidRPr="0062487B" w:rsidRDefault="008D550A" w:rsidP="009650D5">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FY24</w:t>
            </w:r>
          </w:p>
        </w:tc>
        <w:tc>
          <w:tcPr>
            <w:tcW w:w="1049" w:type="dxa"/>
            <w:shd w:val="clear" w:color="auto" w:fill="DFE3F0" w:themeFill="accent1" w:themeFillTint="33"/>
          </w:tcPr>
          <w:p w14:paraId="5E879125" w14:textId="77777777" w:rsidR="008D550A" w:rsidRPr="0062487B" w:rsidRDefault="008D550A" w:rsidP="009650D5">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FY25</w:t>
            </w:r>
          </w:p>
        </w:tc>
        <w:tc>
          <w:tcPr>
            <w:tcW w:w="1111" w:type="dxa"/>
            <w:shd w:val="clear" w:color="auto" w:fill="DFE3F0" w:themeFill="accent1" w:themeFillTint="33"/>
          </w:tcPr>
          <w:p w14:paraId="11D82949" w14:textId="77777777" w:rsidR="008D550A" w:rsidRPr="0062487B" w:rsidRDefault="008D550A" w:rsidP="009650D5">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FY26</w:t>
            </w:r>
          </w:p>
        </w:tc>
        <w:tc>
          <w:tcPr>
            <w:tcW w:w="1174" w:type="dxa"/>
            <w:shd w:val="clear" w:color="auto" w:fill="DFE3F0" w:themeFill="accent1" w:themeFillTint="33"/>
          </w:tcPr>
          <w:p w14:paraId="2CB49E20" w14:textId="77777777" w:rsidR="008D550A" w:rsidRPr="0062487B" w:rsidRDefault="008D550A" w:rsidP="009650D5">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FY27</w:t>
            </w:r>
          </w:p>
        </w:tc>
        <w:tc>
          <w:tcPr>
            <w:tcW w:w="1589" w:type="dxa"/>
            <w:shd w:val="clear" w:color="auto" w:fill="DFE3F0" w:themeFill="accent1" w:themeFillTint="33"/>
          </w:tcPr>
          <w:p w14:paraId="34DAA02E" w14:textId="77777777" w:rsidR="008D550A" w:rsidRPr="0062487B" w:rsidRDefault="008D550A" w:rsidP="17D07F3A">
            <w:pPr>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Change</w:t>
            </w:r>
          </w:p>
          <w:p w14:paraId="5679480C" w14:textId="63703C1D" w:rsidR="008D550A" w:rsidRPr="0062487B" w:rsidRDefault="008D550A" w:rsidP="17D07F3A">
            <w:pPr>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w:t>
            </w:r>
            <w:r w:rsidR="007507B0">
              <w:rPr>
                <w:rFonts w:asciiTheme="minorHAnsi" w:hAnsiTheme="minorHAnsi" w:cstheme="minorHAnsi"/>
                <w:b/>
                <w:bCs/>
                <w:color w:val="000000" w:themeColor="text1"/>
              </w:rPr>
              <w:t>Y</w:t>
            </w:r>
            <w:r w:rsidRPr="0062487B">
              <w:rPr>
                <w:rFonts w:asciiTheme="minorHAnsi" w:hAnsiTheme="minorHAnsi" w:cstheme="minorHAnsi"/>
                <w:b/>
                <w:bCs/>
                <w:color w:val="000000" w:themeColor="text1"/>
              </w:rPr>
              <w:t>19-FY27)</w:t>
            </w:r>
          </w:p>
        </w:tc>
        <w:tc>
          <w:tcPr>
            <w:tcW w:w="1710" w:type="dxa"/>
            <w:shd w:val="clear" w:color="auto" w:fill="DFE3F0" w:themeFill="accent1" w:themeFillTint="33"/>
          </w:tcPr>
          <w:p w14:paraId="07228E59" w14:textId="78BF1AEF" w:rsidR="008D550A" w:rsidRPr="0062487B" w:rsidRDefault="008D550A" w:rsidP="17D07F3A">
            <w:pPr>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 Change (FY19-FY27)</w:t>
            </w:r>
          </w:p>
        </w:tc>
      </w:tr>
      <w:tr w:rsidR="008D550A" w:rsidRPr="0062487B" w14:paraId="372B17A8" w14:textId="77777777" w:rsidTr="001114BF">
        <w:trPr>
          <w:trHeight w:val="328"/>
        </w:trPr>
        <w:tc>
          <w:tcPr>
            <w:tcW w:w="1432" w:type="dxa"/>
            <w:vAlign w:val="bottom"/>
          </w:tcPr>
          <w:p w14:paraId="638A0541" w14:textId="77777777" w:rsidR="008D550A" w:rsidRPr="0062487B" w:rsidRDefault="008D550A" w:rsidP="009650D5">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0-17</w:t>
            </w:r>
          </w:p>
        </w:tc>
        <w:tc>
          <w:tcPr>
            <w:tcW w:w="990" w:type="dxa"/>
            <w:vAlign w:val="bottom"/>
          </w:tcPr>
          <w:p w14:paraId="40F879C3" w14:textId="77777777" w:rsidR="008D550A" w:rsidRPr="0062487B" w:rsidRDefault="008D550A" w:rsidP="009650D5">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700 </w:t>
            </w:r>
          </w:p>
        </w:tc>
        <w:tc>
          <w:tcPr>
            <w:tcW w:w="930" w:type="dxa"/>
            <w:vAlign w:val="bottom"/>
          </w:tcPr>
          <w:p w14:paraId="1763FDF1" w14:textId="77777777" w:rsidR="008D550A" w:rsidRPr="0062487B" w:rsidRDefault="008D550A" w:rsidP="009650D5">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700 </w:t>
            </w:r>
          </w:p>
        </w:tc>
        <w:tc>
          <w:tcPr>
            <w:tcW w:w="1049" w:type="dxa"/>
            <w:vAlign w:val="bottom"/>
          </w:tcPr>
          <w:p w14:paraId="7211C0B1" w14:textId="77777777" w:rsidR="008D550A" w:rsidRPr="0062487B" w:rsidRDefault="008D550A" w:rsidP="009650D5">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700 </w:t>
            </w:r>
          </w:p>
        </w:tc>
        <w:tc>
          <w:tcPr>
            <w:tcW w:w="1111" w:type="dxa"/>
            <w:vAlign w:val="bottom"/>
          </w:tcPr>
          <w:p w14:paraId="2E1A44B5" w14:textId="77777777" w:rsidR="008D550A" w:rsidRPr="0062487B" w:rsidRDefault="008D550A" w:rsidP="009650D5">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700 </w:t>
            </w:r>
          </w:p>
        </w:tc>
        <w:tc>
          <w:tcPr>
            <w:tcW w:w="1174" w:type="dxa"/>
            <w:vAlign w:val="bottom"/>
          </w:tcPr>
          <w:p w14:paraId="40CA97B7" w14:textId="77777777" w:rsidR="008D550A" w:rsidRPr="0062487B" w:rsidRDefault="008D550A" w:rsidP="009650D5">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700 </w:t>
            </w:r>
          </w:p>
        </w:tc>
        <w:tc>
          <w:tcPr>
            <w:tcW w:w="1589" w:type="dxa"/>
          </w:tcPr>
          <w:p w14:paraId="4332CEC9" w14:textId="692BF2D3" w:rsidR="008D550A" w:rsidRPr="0062487B" w:rsidRDefault="008D550A" w:rsidP="17D07F3A">
            <w:pPr>
              <w:jc w:val="right"/>
              <w:rPr>
                <w:rFonts w:asciiTheme="minorHAnsi" w:hAnsiTheme="minorHAnsi" w:cstheme="minorHAnsi"/>
                <w:color w:val="000000" w:themeColor="text1"/>
              </w:rPr>
            </w:pPr>
            <w:r w:rsidRPr="0062487B">
              <w:rPr>
                <w:rFonts w:asciiTheme="minorHAnsi" w:hAnsiTheme="minorHAnsi" w:cstheme="minorHAnsi"/>
                <w:color w:val="000000" w:themeColor="text1"/>
              </w:rPr>
              <w:t>0</w:t>
            </w:r>
          </w:p>
        </w:tc>
        <w:tc>
          <w:tcPr>
            <w:tcW w:w="1710" w:type="dxa"/>
            <w:vAlign w:val="bottom"/>
          </w:tcPr>
          <w:p w14:paraId="36FF69ED" w14:textId="05CDCCB4" w:rsidR="008D550A" w:rsidRPr="0062487B" w:rsidRDefault="008D550A" w:rsidP="17D07F3A">
            <w:pPr>
              <w:jc w:val="right"/>
              <w:rPr>
                <w:rFonts w:asciiTheme="minorHAnsi" w:hAnsiTheme="minorHAnsi" w:cstheme="minorHAnsi"/>
                <w:color w:val="000000" w:themeColor="text1"/>
              </w:rPr>
            </w:pPr>
            <w:r w:rsidRPr="0062487B">
              <w:rPr>
                <w:rFonts w:asciiTheme="minorHAnsi" w:hAnsiTheme="minorHAnsi" w:cstheme="minorHAnsi"/>
                <w:color w:val="000000" w:themeColor="text1"/>
              </w:rPr>
              <w:t>0%</w:t>
            </w:r>
          </w:p>
        </w:tc>
      </w:tr>
      <w:tr w:rsidR="008D550A" w:rsidRPr="0062487B" w14:paraId="27DC140E" w14:textId="77777777" w:rsidTr="001114BF">
        <w:trPr>
          <w:trHeight w:val="321"/>
        </w:trPr>
        <w:tc>
          <w:tcPr>
            <w:tcW w:w="1432" w:type="dxa"/>
            <w:vAlign w:val="bottom"/>
          </w:tcPr>
          <w:p w14:paraId="0B374926" w14:textId="77777777" w:rsidR="008D550A" w:rsidRPr="0062487B" w:rsidRDefault="008D550A" w:rsidP="009650D5">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18-44</w:t>
            </w:r>
          </w:p>
        </w:tc>
        <w:tc>
          <w:tcPr>
            <w:tcW w:w="990" w:type="dxa"/>
            <w:vAlign w:val="bottom"/>
          </w:tcPr>
          <w:p w14:paraId="62FDE45C" w14:textId="77777777" w:rsidR="008D550A" w:rsidRPr="0062487B" w:rsidRDefault="008D550A" w:rsidP="009650D5">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690 </w:t>
            </w:r>
          </w:p>
        </w:tc>
        <w:tc>
          <w:tcPr>
            <w:tcW w:w="930" w:type="dxa"/>
            <w:vAlign w:val="bottom"/>
          </w:tcPr>
          <w:p w14:paraId="412E880C" w14:textId="743440A0" w:rsidR="008D550A" w:rsidRPr="0062487B" w:rsidRDefault="008D550A" w:rsidP="009650D5">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1,271 </w:t>
            </w:r>
          </w:p>
        </w:tc>
        <w:tc>
          <w:tcPr>
            <w:tcW w:w="1049" w:type="dxa"/>
            <w:vAlign w:val="bottom"/>
          </w:tcPr>
          <w:p w14:paraId="3125FA0B" w14:textId="771AD0C5" w:rsidR="008D550A" w:rsidRPr="0062487B" w:rsidRDefault="008D550A" w:rsidP="009650D5">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1,296 </w:t>
            </w:r>
          </w:p>
        </w:tc>
        <w:tc>
          <w:tcPr>
            <w:tcW w:w="1111" w:type="dxa"/>
            <w:vAlign w:val="bottom"/>
          </w:tcPr>
          <w:p w14:paraId="18F64EFE" w14:textId="0A76AE52" w:rsidR="008D550A" w:rsidRPr="0062487B" w:rsidRDefault="008D550A" w:rsidP="009650D5">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1,320 </w:t>
            </w:r>
          </w:p>
        </w:tc>
        <w:tc>
          <w:tcPr>
            <w:tcW w:w="1174" w:type="dxa"/>
            <w:vAlign w:val="bottom"/>
          </w:tcPr>
          <w:p w14:paraId="3C411554" w14:textId="25DFB190" w:rsidR="008D550A" w:rsidRPr="0062487B" w:rsidRDefault="008D550A" w:rsidP="009650D5">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1,346 </w:t>
            </w:r>
          </w:p>
        </w:tc>
        <w:tc>
          <w:tcPr>
            <w:tcW w:w="1589" w:type="dxa"/>
          </w:tcPr>
          <w:p w14:paraId="525CD68A" w14:textId="393951A0" w:rsidR="008D550A" w:rsidRPr="0062487B" w:rsidRDefault="008D550A" w:rsidP="17D07F3A">
            <w:pPr>
              <w:jc w:val="right"/>
              <w:rPr>
                <w:rFonts w:asciiTheme="minorHAnsi" w:hAnsiTheme="minorHAnsi" w:cstheme="minorHAnsi"/>
                <w:color w:val="000000" w:themeColor="text1"/>
              </w:rPr>
            </w:pPr>
            <w:r w:rsidRPr="0062487B">
              <w:rPr>
                <w:rFonts w:asciiTheme="minorHAnsi" w:hAnsiTheme="minorHAnsi" w:cstheme="minorHAnsi"/>
                <w:color w:val="000000" w:themeColor="text1"/>
              </w:rPr>
              <w:t>656</w:t>
            </w:r>
          </w:p>
        </w:tc>
        <w:tc>
          <w:tcPr>
            <w:tcW w:w="1710" w:type="dxa"/>
            <w:vAlign w:val="bottom"/>
          </w:tcPr>
          <w:p w14:paraId="7F2E4F2E" w14:textId="0F33D41B" w:rsidR="008D550A" w:rsidRPr="0062487B" w:rsidRDefault="7C47F3F8" w:rsidP="17D07F3A">
            <w:pPr>
              <w:jc w:val="right"/>
              <w:rPr>
                <w:rFonts w:asciiTheme="minorHAnsi" w:hAnsiTheme="minorHAnsi" w:cstheme="minorHAnsi"/>
                <w:color w:val="000000" w:themeColor="text1"/>
              </w:rPr>
            </w:pPr>
            <w:r w:rsidRPr="78F650E0">
              <w:rPr>
                <w:rFonts w:asciiTheme="minorHAnsi" w:hAnsiTheme="minorHAnsi" w:cstheme="minorBidi"/>
                <w:color w:val="000000" w:themeColor="text1"/>
              </w:rPr>
              <w:t>95%</w:t>
            </w:r>
          </w:p>
        </w:tc>
      </w:tr>
      <w:tr w:rsidR="008D550A" w:rsidRPr="0062487B" w14:paraId="570D002D" w14:textId="77777777" w:rsidTr="001114BF">
        <w:trPr>
          <w:trHeight w:val="328"/>
        </w:trPr>
        <w:tc>
          <w:tcPr>
            <w:tcW w:w="1432" w:type="dxa"/>
            <w:vAlign w:val="bottom"/>
          </w:tcPr>
          <w:p w14:paraId="40FA1D13" w14:textId="77777777" w:rsidR="008D550A" w:rsidRPr="0062487B" w:rsidRDefault="008D550A" w:rsidP="009650D5">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45-64</w:t>
            </w:r>
          </w:p>
        </w:tc>
        <w:tc>
          <w:tcPr>
            <w:tcW w:w="990" w:type="dxa"/>
            <w:vAlign w:val="bottom"/>
          </w:tcPr>
          <w:p w14:paraId="563A4063" w14:textId="77777777" w:rsidR="008D550A" w:rsidRPr="0062487B" w:rsidRDefault="008D550A" w:rsidP="009650D5">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3,218 </w:t>
            </w:r>
          </w:p>
        </w:tc>
        <w:tc>
          <w:tcPr>
            <w:tcW w:w="930" w:type="dxa"/>
            <w:vAlign w:val="bottom"/>
          </w:tcPr>
          <w:p w14:paraId="13C4F1AE" w14:textId="0C62789C" w:rsidR="008D550A" w:rsidRPr="0062487B" w:rsidRDefault="008D550A" w:rsidP="009650D5">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3,126 </w:t>
            </w:r>
          </w:p>
        </w:tc>
        <w:tc>
          <w:tcPr>
            <w:tcW w:w="1049" w:type="dxa"/>
            <w:vAlign w:val="bottom"/>
          </w:tcPr>
          <w:p w14:paraId="05786047" w14:textId="3C1A24E0" w:rsidR="008D550A" w:rsidRPr="0062487B" w:rsidRDefault="008D550A" w:rsidP="009650D5">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3,192 </w:t>
            </w:r>
          </w:p>
        </w:tc>
        <w:tc>
          <w:tcPr>
            <w:tcW w:w="1111" w:type="dxa"/>
            <w:vAlign w:val="bottom"/>
          </w:tcPr>
          <w:p w14:paraId="761242E1" w14:textId="66796924" w:rsidR="008D550A" w:rsidRPr="0062487B" w:rsidRDefault="008D550A" w:rsidP="009650D5">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3,253 </w:t>
            </w:r>
          </w:p>
        </w:tc>
        <w:tc>
          <w:tcPr>
            <w:tcW w:w="1174" w:type="dxa"/>
            <w:vAlign w:val="bottom"/>
          </w:tcPr>
          <w:p w14:paraId="359CAFB2" w14:textId="24971A70" w:rsidR="008D550A" w:rsidRPr="0062487B" w:rsidRDefault="008D550A" w:rsidP="009650D5">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3,321 </w:t>
            </w:r>
          </w:p>
        </w:tc>
        <w:tc>
          <w:tcPr>
            <w:tcW w:w="1589" w:type="dxa"/>
          </w:tcPr>
          <w:p w14:paraId="51FE1417" w14:textId="16230DAF" w:rsidR="008D550A" w:rsidRPr="0062487B" w:rsidRDefault="008D550A" w:rsidP="17D07F3A">
            <w:pPr>
              <w:jc w:val="right"/>
              <w:rPr>
                <w:rFonts w:asciiTheme="minorHAnsi" w:hAnsiTheme="minorHAnsi" w:cstheme="minorHAnsi"/>
                <w:color w:val="000000" w:themeColor="text1"/>
              </w:rPr>
            </w:pPr>
            <w:r w:rsidRPr="0062487B">
              <w:rPr>
                <w:rFonts w:asciiTheme="minorHAnsi" w:hAnsiTheme="minorHAnsi" w:cstheme="minorHAnsi"/>
                <w:color w:val="000000" w:themeColor="text1"/>
              </w:rPr>
              <w:t>103</w:t>
            </w:r>
          </w:p>
        </w:tc>
        <w:tc>
          <w:tcPr>
            <w:tcW w:w="1710" w:type="dxa"/>
            <w:vAlign w:val="bottom"/>
          </w:tcPr>
          <w:p w14:paraId="38E5C8FD" w14:textId="4E9F57F4" w:rsidR="008D550A" w:rsidRPr="0062487B" w:rsidRDefault="008D550A" w:rsidP="17D07F3A">
            <w:pPr>
              <w:jc w:val="right"/>
              <w:rPr>
                <w:rFonts w:asciiTheme="minorHAnsi" w:hAnsiTheme="minorHAnsi" w:cstheme="minorHAnsi"/>
                <w:color w:val="000000" w:themeColor="text1"/>
              </w:rPr>
            </w:pPr>
            <w:r w:rsidRPr="0062487B">
              <w:rPr>
                <w:rFonts w:asciiTheme="minorHAnsi" w:hAnsiTheme="minorHAnsi" w:cstheme="minorHAnsi"/>
                <w:color w:val="000000" w:themeColor="text1"/>
              </w:rPr>
              <w:t>3%</w:t>
            </w:r>
          </w:p>
        </w:tc>
      </w:tr>
      <w:tr w:rsidR="008D550A" w:rsidRPr="0062487B" w14:paraId="45F62DDF" w14:textId="77777777" w:rsidTr="001114BF">
        <w:trPr>
          <w:trHeight w:val="321"/>
        </w:trPr>
        <w:tc>
          <w:tcPr>
            <w:tcW w:w="1432" w:type="dxa"/>
            <w:vAlign w:val="bottom"/>
          </w:tcPr>
          <w:p w14:paraId="28CCA740" w14:textId="1D906434" w:rsidR="008D550A" w:rsidRPr="0062487B" w:rsidRDefault="008D550A" w:rsidP="001114BF">
            <w:pPr>
              <w:contextualSpacing/>
              <w:jc w:val="right"/>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 xml:space="preserve">65 and </w:t>
            </w:r>
            <w:r w:rsidR="00456CED">
              <w:rPr>
                <w:rFonts w:asciiTheme="minorHAnsi" w:eastAsiaTheme="minorHAnsi" w:hAnsiTheme="minorHAnsi" w:cstheme="minorHAnsi"/>
                <w:b/>
                <w:bCs/>
                <w:color w:val="000000" w:themeColor="text1"/>
              </w:rPr>
              <w:t>over</w:t>
            </w:r>
          </w:p>
        </w:tc>
        <w:tc>
          <w:tcPr>
            <w:tcW w:w="990" w:type="dxa"/>
            <w:vAlign w:val="bottom"/>
          </w:tcPr>
          <w:p w14:paraId="4E39011D" w14:textId="77777777" w:rsidR="008D550A" w:rsidRPr="0062487B" w:rsidRDefault="008D550A" w:rsidP="001114BF">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2,636 </w:t>
            </w:r>
          </w:p>
        </w:tc>
        <w:tc>
          <w:tcPr>
            <w:tcW w:w="930" w:type="dxa"/>
            <w:vAlign w:val="bottom"/>
          </w:tcPr>
          <w:p w14:paraId="7BEC9E95" w14:textId="65E6019F" w:rsidR="008D550A" w:rsidRPr="0062487B" w:rsidRDefault="008D550A" w:rsidP="001114BF">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2,841 </w:t>
            </w:r>
          </w:p>
        </w:tc>
        <w:tc>
          <w:tcPr>
            <w:tcW w:w="1049" w:type="dxa"/>
            <w:vAlign w:val="bottom"/>
          </w:tcPr>
          <w:p w14:paraId="3F8CAD4B" w14:textId="31D70C62" w:rsidR="008D550A" w:rsidRPr="0062487B" w:rsidRDefault="008D550A" w:rsidP="001114BF">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2,970 </w:t>
            </w:r>
          </w:p>
        </w:tc>
        <w:tc>
          <w:tcPr>
            <w:tcW w:w="1111" w:type="dxa"/>
            <w:vAlign w:val="bottom"/>
          </w:tcPr>
          <w:p w14:paraId="12E0F722" w14:textId="1FB03CB0" w:rsidR="008D550A" w:rsidRPr="0062487B" w:rsidRDefault="008D550A" w:rsidP="001114BF">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3,098 </w:t>
            </w:r>
          </w:p>
        </w:tc>
        <w:tc>
          <w:tcPr>
            <w:tcW w:w="1174" w:type="dxa"/>
            <w:vAlign w:val="bottom"/>
          </w:tcPr>
          <w:p w14:paraId="5B758182" w14:textId="784C4D93" w:rsidR="008D550A" w:rsidRPr="0062487B" w:rsidRDefault="008D550A" w:rsidP="001114BF">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 xml:space="preserve">3,233 </w:t>
            </w:r>
          </w:p>
        </w:tc>
        <w:tc>
          <w:tcPr>
            <w:tcW w:w="1589" w:type="dxa"/>
          </w:tcPr>
          <w:p w14:paraId="3DBA5221" w14:textId="56687A4C" w:rsidR="008D550A" w:rsidRPr="0062487B" w:rsidRDefault="008D550A" w:rsidP="001114BF">
            <w:pPr>
              <w:jc w:val="right"/>
              <w:rPr>
                <w:rFonts w:asciiTheme="minorHAnsi" w:hAnsiTheme="minorHAnsi" w:cstheme="minorHAnsi"/>
                <w:color w:val="000000" w:themeColor="text1"/>
              </w:rPr>
            </w:pPr>
            <w:r w:rsidRPr="0062487B">
              <w:rPr>
                <w:rFonts w:asciiTheme="minorHAnsi" w:hAnsiTheme="minorHAnsi" w:cstheme="minorHAnsi"/>
                <w:color w:val="000000" w:themeColor="text1"/>
              </w:rPr>
              <w:t>597</w:t>
            </w:r>
          </w:p>
        </w:tc>
        <w:tc>
          <w:tcPr>
            <w:tcW w:w="1710" w:type="dxa"/>
            <w:vAlign w:val="bottom"/>
          </w:tcPr>
          <w:p w14:paraId="62E03F00" w14:textId="1B559824" w:rsidR="008D550A" w:rsidRPr="0062487B" w:rsidRDefault="008D550A" w:rsidP="001114BF">
            <w:pPr>
              <w:jc w:val="right"/>
              <w:rPr>
                <w:rFonts w:asciiTheme="minorHAnsi" w:hAnsiTheme="minorHAnsi" w:cstheme="minorHAnsi"/>
                <w:color w:val="000000" w:themeColor="text1"/>
              </w:rPr>
            </w:pPr>
            <w:r w:rsidRPr="0062487B">
              <w:rPr>
                <w:rFonts w:asciiTheme="minorHAnsi" w:hAnsiTheme="minorHAnsi" w:cstheme="minorHAnsi"/>
                <w:color w:val="000000" w:themeColor="text1"/>
              </w:rPr>
              <w:t>23%</w:t>
            </w:r>
          </w:p>
        </w:tc>
      </w:tr>
      <w:tr w:rsidR="008D550A" w:rsidRPr="0062487B" w14:paraId="66A7B42E" w14:textId="77777777" w:rsidTr="001114BF">
        <w:trPr>
          <w:trHeight w:val="328"/>
        </w:trPr>
        <w:tc>
          <w:tcPr>
            <w:tcW w:w="1432" w:type="dxa"/>
            <w:vAlign w:val="bottom"/>
          </w:tcPr>
          <w:p w14:paraId="104A8F18" w14:textId="5CBCD875" w:rsidR="008D550A" w:rsidRPr="0062487B" w:rsidRDefault="008D550A" w:rsidP="009650D5">
            <w:pPr>
              <w:contextualSpacing/>
              <w:rPr>
                <w:rFonts w:asciiTheme="minorHAnsi" w:hAnsiTheme="minorHAnsi" w:cstheme="minorHAnsi"/>
                <w:b/>
                <w:bCs/>
                <w:color w:val="FF0000"/>
              </w:rPr>
            </w:pPr>
            <w:r w:rsidRPr="0062487B">
              <w:rPr>
                <w:rFonts w:asciiTheme="minorHAnsi" w:eastAsiaTheme="minorEastAsia" w:hAnsiTheme="minorHAnsi" w:cstheme="minorHAnsi"/>
                <w:b/>
                <w:bCs/>
                <w:color w:val="000000" w:themeColor="text1"/>
              </w:rPr>
              <w:t>Total</w:t>
            </w:r>
          </w:p>
        </w:tc>
        <w:tc>
          <w:tcPr>
            <w:tcW w:w="990" w:type="dxa"/>
            <w:vAlign w:val="bottom"/>
          </w:tcPr>
          <w:p w14:paraId="17603F59" w14:textId="77777777" w:rsidR="008D550A" w:rsidRPr="0062487B" w:rsidRDefault="008D550A" w:rsidP="003068C8">
            <w:pPr>
              <w:contextualSpacing/>
              <w:jc w:val="right"/>
              <w:rPr>
                <w:rFonts w:asciiTheme="minorHAnsi" w:hAnsiTheme="minorHAnsi" w:cstheme="minorHAnsi"/>
                <w:b/>
                <w:bCs/>
              </w:rPr>
            </w:pPr>
            <w:r w:rsidRPr="0062487B">
              <w:rPr>
                <w:rFonts w:asciiTheme="minorHAnsi" w:hAnsiTheme="minorHAnsi" w:cstheme="minorHAnsi"/>
                <w:b/>
                <w:bCs/>
              </w:rPr>
              <w:t xml:space="preserve">7,244 </w:t>
            </w:r>
          </w:p>
        </w:tc>
        <w:tc>
          <w:tcPr>
            <w:tcW w:w="930" w:type="dxa"/>
            <w:vAlign w:val="bottom"/>
          </w:tcPr>
          <w:p w14:paraId="626AF293" w14:textId="3292CFA4" w:rsidR="008D550A" w:rsidRPr="0062487B" w:rsidRDefault="008D550A" w:rsidP="003068C8">
            <w:pPr>
              <w:contextualSpacing/>
              <w:jc w:val="right"/>
              <w:rPr>
                <w:rFonts w:asciiTheme="minorHAnsi" w:hAnsiTheme="minorHAnsi" w:cstheme="minorHAnsi"/>
                <w:b/>
                <w:bCs/>
                <w:color w:val="000000" w:themeColor="text1"/>
              </w:rPr>
            </w:pPr>
            <w:r w:rsidRPr="0062487B">
              <w:rPr>
                <w:rFonts w:asciiTheme="minorHAnsi" w:hAnsiTheme="minorHAnsi" w:cstheme="minorHAnsi"/>
                <w:b/>
                <w:bCs/>
              </w:rPr>
              <w:t xml:space="preserve">7,938 </w:t>
            </w:r>
          </w:p>
        </w:tc>
        <w:tc>
          <w:tcPr>
            <w:tcW w:w="1049" w:type="dxa"/>
            <w:vAlign w:val="bottom"/>
          </w:tcPr>
          <w:p w14:paraId="3BE8E8EA" w14:textId="232C0C18" w:rsidR="008D550A" w:rsidRPr="0062487B" w:rsidRDefault="008D550A" w:rsidP="003068C8">
            <w:pPr>
              <w:contextualSpacing/>
              <w:jc w:val="right"/>
              <w:rPr>
                <w:rFonts w:asciiTheme="minorHAnsi" w:hAnsiTheme="minorHAnsi" w:cstheme="minorHAnsi"/>
                <w:color w:val="000000" w:themeColor="text1"/>
              </w:rPr>
            </w:pPr>
            <w:r w:rsidRPr="0062487B">
              <w:rPr>
                <w:rFonts w:asciiTheme="minorHAnsi" w:hAnsiTheme="minorHAnsi" w:cstheme="minorHAnsi"/>
                <w:b/>
                <w:bCs/>
                <w:color w:val="000000" w:themeColor="text1"/>
              </w:rPr>
              <w:t>8,15</w:t>
            </w:r>
            <w:r w:rsidR="00AE5C45">
              <w:rPr>
                <w:rFonts w:asciiTheme="minorHAnsi" w:hAnsiTheme="minorHAnsi" w:cstheme="minorHAnsi"/>
                <w:b/>
                <w:bCs/>
                <w:color w:val="000000" w:themeColor="text1"/>
              </w:rPr>
              <w:t>8</w:t>
            </w:r>
            <w:r w:rsidRPr="0062487B">
              <w:rPr>
                <w:rFonts w:asciiTheme="minorHAnsi" w:hAnsiTheme="minorHAnsi" w:cstheme="minorHAnsi"/>
                <w:b/>
                <w:bCs/>
                <w:color w:val="000000" w:themeColor="text1"/>
              </w:rPr>
              <w:t xml:space="preserve"> </w:t>
            </w:r>
          </w:p>
        </w:tc>
        <w:tc>
          <w:tcPr>
            <w:tcW w:w="1111" w:type="dxa"/>
            <w:vAlign w:val="bottom"/>
          </w:tcPr>
          <w:p w14:paraId="713C27FB" w14:textId="7199B941" w:rsidR="008D550A" w:rsidRPr="0062487B" w:rsidRDefault="008D550A" w:rsidP="003068C8">
            <w:pPr>
              <w:contextualSpacing/>
              <w:jc w:val="right"/>
              <w:rPr>
                <w:rFonts w:asciiTheme="minorHAnsi" w:hAnsiTheme="minorHAnsi" w:cstheme="minorHAnsi"/>
                <w:color w:val="000000" w:themeColor="text1"/>
              </w:rPr>
            </w:pPr>
            <w:r w:rsidRPr="0062487B">
              <w:rPr>
                <w:rFonts w:asciiTheme="minorHAnsi" w:hAnsiTheme="minorHAnsi" w:cstheme="minorHAnsi"/>
                <w:b/>
                <w:bCs/>
                <w:color w:val="000000" w:themeColor="text1"/>
              </w:rPr>
              <w:t>8,37</w:t>
            </w:r>
            <w:r w:rsidR="00AE5C45">
              <w:rPr>
                <w:rFonts w:asciiTheme="minorHAnsi" w:hAnsiTheme="minorHAnsi" w:cstheme="minorHAnsi"/>
                <w:b/>
                <w:bCs/>
                <w:color w:val="000000" w:themeColor="text1"/>
              </w:rPr>
              <w:t>1</w:t>
            </w:r>
          </w:p>
        </w:tc>
        <w:tc>
          <w:tcPr>
            <w:tcW w:w="1174" w:type="dxa"/>
            <w:vAlign w:val="bottom"/>
          </w:tcPr>
          <w:p w14:paraId="2BD6B342" w14:textId="0083FB9B" w:rsidR="008D550A" w:rsidRPr="0062487B" w:rsidRDefault="008D550A" w:rsidP="003068C8">
            <w:pPr>
              <w:contextualSpacing/>
              <w:jc w:val="right"/>
              <w:rPr>
                <w:rFonts w:asciiTheme="minorHAnsi" w:hAnsiTheme="minorHAnsi" w:cstheme="minorHAnsi"/>
                <w:color w:val="FF0000"/>
                <w:highlight w:val="yellow"/>
              </w:rPr>
            </w:pPr>
            <w:r w:rsidRPr="0062487B">
              <w:rPr>
                <w:rFonts w:asciiTheme="minorHAnsi" w:hAnsiTheme="minorHAnsi" w:cstheme="minorHAnsi"/>
                <w:b/>
                <w:bCs/>
              </w:rPr>
              <w:t xml:space="preserve">8,600 </w:t>
            </w:r>
          </w:p>
        </w:tc>
        <w:tc>
          <w:tcPr>
            <w:tcW w:w="1589" w:type="dxa"/>
          </w:tcPr>
          <w:p w14:paraId="464F5212" w14:textId="0DEF75DD" w:rsidR="008D550A" w:rsidRPr="0062487B" w:rsidRDefault="78F650E0" w:rsidP="003068C8">
            <w:pPr>
              <w:jc w:val="right"/>
              <w:rPr>
                <w:rFonts w:asciiTheme="minorHAnsi" w:hAnsiTheme="minorHAnsi" w:cstheme="minorBidi"/>
                <w:b/>
                <w:bCs/>
              </w:rPr>
            </w:pPr>
            <w:r w:rsidRPr="78F650E0">
              <w:rPr>
                <w:rFonts w:asciiTheme="minorHAnsi" w:hAnsiTheme="minorHAnsi" w:cstheme="minorBidi"/>
                <w:b/>
                <w:bCs/>
              </w:rPr>
              <w:t xml:space="preserve">             1,356</w:t>
            </w:r>
          </w:p>
        </w:tc>
        <w:tc>
          <w:tcPr>
            <w:tcW w:w="1710" w:type="dxa"/>
            <w:vAlign w:val="bottom"/>
          </w:tcPr>
          <w:p w14:paraId="75EBB545" w14:textId="2FED868B" w:rsidR="008D550A" w:rsidRPr="0062487B" w:rsidRDefault="008D550A" w:rsidP="003068C8">
            <w:pPr>
              <w:jc w:val="right"/>
              <w:rPr>
                <w:rFonts w:asciiTheme="minorHAnsi" w:hAnsiTheme="minorHAnsi" w:cstheme="minorHAnsi"/>
                <w:b/>
                <w:bCs/>
              </w:rPr>
            </w:pPr>
            <w:r w:rsidRPr="0062487B">
              <w:rPr>
                <w:rFonts w:asciiTheme="minorHAnsi" w:hAnsiTheme="minorHAnsi" w:cstheme="minorHAnsi"/>
                <w:b/>
                <w:bCs/>
              </w:rPr>
              <w:t>19%</w:t>
            </w:r>
          </w:p>
        </w:tc>
      </w:tr>
    </w:tbl>
    <w:p w14:paraId="130EEDA7" w14:textId="381EC8F0" w:rsidR="000B6199" w:rsidRPr="0062487B" w:rsidRDefault="5B2872FB" w:rsidP="007133B9">
      <w:pPr>
        <w:rPr>
          <w:rFonts w:asciiTheme="minorHAnsi" w:hAnsiTheme="minorHAnsi" w:cstheme="minorHAnsi"/>
          <w:sz w:val="18"/>
          <w:szCs w:val="18"/>
        </w:rPr>
      </w:pPr>
      <w:r w:rsidRPr="0062487B">
        <w:rPr>
          <w:rFonts w:asciiTheme="minorHAnsi" w:hAnsiTheme="minorHAnsi" w:cstheme="minorHAnsi"/>
          <w:sz w:val="18"/>
          <w:szCs w:val="18"/>
        </w:rPr>
        <w:t xml:space="preserve">*The projections do not take into consideration the new clinical guidelines on colonoscopy screenings as the expansion plans predates these guidelines. </w:t>
      </w:r>
    </w:p>
    <w:p w14:paraId="0F86CD47" w14:textId="77777777" w:rsidR="009F5A41" w:rsidRPr="0062487B" w:rsidRDefault="009F5A41" w:rsidP="007133B9">
      <w:pPr>
        <w:rPr>
          <w:rFonts w:asciiTheme="minorHAnsi" w:hAnsiTheme="minorHAnsi" w:cstheme="minorHAnsi"/>
          <w:b/>
          <w:bCs/>
          <w:color w:val="2F5897" w:themeColor="text2"/>
        </w:rPr>
      </w:pPr>
    </w:p>
    <w:p w14:paraId="5871421A" w14:textId="77777777" w:rsidR="008651FB" w:rsidRPr="0062487B" w:rsidRDefault="008651FB" w:rsidP="008651FB">
      <w:pPr>
        <w:pStyle w:val="ListParagraph"/>
        <w:ind w:left="0"/>
        <w:rPr>
          <w:rFonts w:asciiTheme="minorHAnsi" w:hAnsiTheme="minorHAnsi" w:cstheme="minorHAnsi"/>
          <w:b/>
          <w:i/>
        </w:rPr>
      </w:pPr>
      <w:r w:rsidRPr="0062487B">
        <w:rPr>
          <w:rFonts w:asciiTheme="minorHAnsi" w:hAnsiTheme="minorHAnsi" w:cstheme="minorHAnsi"/>
          <w:b/>
          <w:i/>
        </w:rPr>
        <w:t>Analysis</w:t>
      </w:r>
    </w:p>
    <w:p w14:paraId="2383860B" w14:textId="4094BEC5" w:rsidR="00EF0974" w:rsidRPr="0062487B" w:rsidRDefault="2BB6C0DA" w:rsidP="30223CC4">
      <w:pPr>
        <w:pStyle w:val="ListParagraph"/>
        <w:ind w:left="0"/>
        <w:rPr>
          <w:rFonts w:asciiTheme="minorHAnsi" w:hAnsiTheme="minorHAnsi" w:cstheme="minorHAnsi"/>
        </w:rPr>
      </w:pPr>
      <w:r w:rsidRPr="0062487B">
        <w:rPr>
          <w:rFonts w:asciiTheme="minorHAnsi" w:eastAsia="Calibri" w:hAnsiTheme="minorHAnsi" w:cstheme="minorHAnsi"/>
        </w:rPr>
        <w:t xml:space="preserve">Staff finds </w:t>
      </w:r>
      <w:r w:rsidR="4A1384D4" w:rsidRPr="0062487B">
        <w:rPr>
          <w:rFonts w:asciiTheme="minorHAnsi" w:eastAsia="Calibri" w:hAnsiTheme="minorHAnsi" w:cstheme="minorHAnsi"/>
        </w:rPr>
        <w:t>that the Applicant has shown sufficient need for relocating and expanding endoscopy services</w:t>
      </w:r>
      <w:r w:rsidR="69CFCF8C" w:rsidRPr="0062487B">
        <w:rPr>
          <w:rFonts w:asciiTheme="minorHAnsi" w:eastAsia="Calibri" w:hAnsiTheme="minorHAnsi" w:cstheme="minorHAnsi"/>
        </w:rPr>
        <w:t xml:space="preserve"> at BWFH to </w:t>
      </w:r>
      <w:r w:rsidR="62107897" w:rsidRPr="0062487B">
        <w:rPr>
          <w:rFonts w:asciiTheme="minorHAnsi" w:eastAsia="Calibri" w:hAnsiTheme="minorHAnsi" w:cstheme="minorHAnsi"/>
        </w:rPr>
        <w:t>meet</w:t>
      </w:r>
      <w:r w:rsidR="69CFCF8C" w:rsidRPr="0062487B">
        <w:rPr>
          <w:rFonts w:asciiTheme="minorHAnsi" w:eastAsia="Calibri" w:hAnsiTheme="minorHAnsi" w:cstheme="minorHAnsi"/>
        </w:rPr>
        <w:t xml:space="preserve"> the needs of the </w:t>
      </w:r>
      <w:r w:rsidR="00A2188F">
        <w:rPr>
          <w:rFonts w:asciiTheme="minorHAnsi" w:eastAsia="Calibri" w:hAnsiTheme="minorHAnsi" w:cstheme="minorHAnsi"/>
        </w:rPr>
        <w:t>p</w:t>
      </w:r>
      <w:r w:rsidR="10BDBEEC" w:rsidRPr="0062487B">
        <w:rPr>
          <w:rFonts w:asciiTheme="minorHAnsi" w:eastAsia="Calibri" w:hAnsiTheme="minorHAnsi" w:cstheme="minorHAnsi"/>
        </w:rPr>
        <w:t xml:space="preserve">atient </w:t>
      </w:r>
      <w:r w:rsidR="00A2188F">
        <w:rPr>
          <w:rFonts w:asciiTheme="minorHAnsi" w:eastAsia="Calibri" w:hAnsiTheme="minorHAnsi" w:cstheme="minorHAnsi"/>
        </w:rPr>
        <w:t>p</w:t>
      </w:r>
      <w:r w:rsidR="10BDBEEC" w:rsidRPr="0062487B">
        <w:rPr>
          <w:rFonts w:asciiTheme="minorHAnsi" w:eastAsia="Calibri" w:hAnsiTheme="minorHAnsi" w:cstheme="minorHAnsi"/>
        </w:rPr>
        <w:t>opulation</w:t>
      </w:r>
      <w:r w:rsidR="4A1384D4" w:rsidRPr="0062487B">
        <w:rPr>
          <w:rFonts w:asciiTheme="minorHAnsi" w:eastAsia="Calibri" w:hAnsiTheme="minorHAnsi" w:cstheme="minorHAnsi"/>
        </w:rPr>
        <w:t>.</w:t>
      </w:r>
      <w:r w:rsidR="06CB1964" w:rsidRPr="0062487B">
        <w:rPr>
          <w:rFonts w:asciiTheme="minorHAnsi" w:eastAsia="Calibri" w:hAnsiTheme="minorHAnsi" w:cstheme="minorHAnsi"/>
        </w:rPr>
        <w:t xml:space="preserve"> </w:t>
      </w:r>
      <w:r w:rsidR="29372AB5" w:rsidRPr="0062487B">
        <w:rPr>
          <w:rFonts w:asciiTheme="minorHAnsi" w:eastAsia="Calibri" w:hAnsiTheme="minorHAnsi" w:cstheme="minorHAnsi"/>
        </w:rPr>
        <w:t>The redesign of the space will allow for additional procedure rooms for more timely access to care</w:t>
      </w:r>
      <w:r w:rsidR="0055AB55" w:rsidRPr="0062487B">
        <w:rPr>
          <w:rFonts w:asciiTheme="minorHAnsi" w:eastAsia="Calibri" w:hAnsiTheme="minorHAnsi" w:cstheme="minorHAnsi"/>
        </w:rPr>
        <w:t>,</w:t>
      </w:r>
      <w:r w:rsidR="29372AB5" w:rsidRPr="0062487B">
        <w:rPr>
          <w:rFonts w:asciiTheme="minorHAnsi" w:eastAsia="Calibri" w:hAnsiTheme="minorHAnsi" w:cstheme="minorHAnsi"/>
        </w:rPr>
        <w:t xml:space="preserve"> and</w:t>
      </w:r>
      <w:r w:rsidR="443B8D33" w:rsidRPr="0062487B">
        <w:rPr>
          <w:rFonts w:asciiTheme="minorHAnsi" w:eastAsia="Calibri" w:hAnsiTheme="minorHAnsi" w:cstheme="minorHAnsi"/>
        </w:rPr>
        <w:t xml:space="preserve"> result in</w:t>
      </w:r>
      <w:r w:rsidR="29372AB5" w:rsidRPr="0062487B">
        <w:rPr>
          <w:rFonts w:asciiTheme="minorHAnsi" w:eastAsia="Calibri" w:hAnsiTheme="minorHAnsi" w:cstheme="minorHAnsi"/>
        </w:rPr>
        <w:t xml:space="preserve"> all endoscopy services co-located</w:t>
      </w:r>
      <w:r w:rsidR="158DC093" w:rsidRPr="0062487B">
        <w:rPr>
          <w:rFonts w:asciiTheme="minorHAnsi" w:eastAsia="Calibri" w:hAnsiTheme="minorHAnsi" w:cstheme="minorHAnsi"/>
        </w:rPr>
        <w:t>,</w:t>
      </w:r>
      <w:r w:rsidR="29372AB5" w:rsidRPr="0062487B">
        <w:rPr>
          <w:rFonts w:asciiTheme="minorHAnsi" w:eastAsia="Calibri" w:hAnsiTheme="minorHAnsi" w:cstheme="minorHAnsi"/>
        </w:rPr>
        <w:t xml:space="preserve"> creating efficiencies. </w:t>
      </w:r>
      <w:r w:rsidR="0E0F66AE" w:rsidRPr="0062487B">
        <w:rPr>
          <w:rFonts w:asciiTheme="minorHAnsi" w:eastAsia="Calibri" w:hAnsiTheme="minorHAnsi" w:cstheme="minorHAnsi"/>
        </w:rPr>
        <w:t>Additionally, t</w:t>
      </w:r>
      <w:r w:rsidR="4A0C0961" w:rsidRPr="0062487B">
        <w:rPr>
          <w:rFonts w:asciiTheme="minorHAnsi" w:eastAsia="Calibri" w:hAnsiTheme="minorHAnsi" w:cstheme="minorHAnsi"/>
        </w:rPr>
        <w:t>he US Prevent</w:t>
      </w:r>
      <w:r w:rsidR="29AA7686" w:rsidRPr="0062487B">
        <w:rPr>
          <w:rFonts w:asciiTheme="minorHAnsi" w:eastAsia="Calibri" w:hAnsiTheme="minorHAnsi" w:cstheme="minorHAnsi"/>
        </w:rPr>
        <w:t>ive</w:t>
      </w:r>
      <w:r w:rsidR="4A0C0961" w:rsidRPr="0062487B">
        <w:rPr>
          <w:rFonts w:asciiTheme="minorHAnsi" w:eastAsia="Calibri" w:hAnsiTheme="minorHAnsi" w:cstheme="minorHAnsi"/>
        </w:rPr>
        <w:t xml:space="preserve"> Services Task Force</w:t>
      </w:r>
      <w:r w:rsidR="06CB1964" w:rsidRPr="0062487B">
        <w:rPr>
          <w:rFonts w:asciiTheme="minorHAnsi" w:eastAsia="Calibri" w:hAnsiTheme="minorHAnsi" w:cstheme="minorHAnsi"/>
        </w:rPr>
        <w:t xml:space="preserve"> currently recommends beginning</w:t>
      </w:r>
      <w:r w:rsidR="62C3E40D" w:rsidRPr="0062487B">
        <w:rPr>
          <w:rFonts w:asciiTheme="minorHAnsi" w:eastAsia="Calibri" w:hAnsiTheme="minorHAnsi" w:cstheme="minorHAnsi"/>
        </w:rPr>
        <w:t xml:space="preserve"> colonoscopy</w:t>
      </w:r>
      <w:r w:rsidR="06CB1964" w:rsidRPr="0062487B">
        <w:rPr>
          <w:rFonts w:asciiTheme="minorHAnsi" w:eastAsia="Calibri" w:hAnsiTheme="minorHAnsi" w:cstheme="minorHAnsi"/>
        </w:rPr>
        <w:t xml:space="preserve"> screenings at age 45, </w:t>
      </w:r>
      <w:r w:rsidR="29AA7686" w:rsidRPr="0062487B">
        <w:rPr>
          <w:rFonts w:asciiTheme="minorHAnsi" w:eastAsia="Calibri" w:hAnsiTheme="minorHAnsi" w:cstheme="minorHAnsi"/>
        </w:rPr>
        <w:t>recently</w:t>
      </w:r>
      <w:r w:rsidR="77572B0D" w:rsidRPr="0062487B">
        <w:rPr>
          <w:rFonts w:asciiTheme="minorHAnsi" w:eastAsia="Calibri" w:hAnsiTheme="minorHAnsi" w:cstheme="minorHAnsi"/>
        </w:rPr>
        <w:t xml:space="preserve"> </w:t>
      </w:r>
      <w:r w:rsidR="06CB1964" w:rsidRPr="0062487B">
        <w:rPr>
          <w:rFonts w:asciiTheme="minorHAnsi" w:eastAsia="Calibri" w:hAnsiTheme="minorHAnsi" w:cstheme="minorHAnsi"/>
        </w:rPr>
        <w:t>reduced from age 50,</w:t>
      </w:r>
      <w:r w:rsidR="00CE078C" w:rsidRPr="0062487B">
        <w:rPr>
          <w:rStyle w:val="FootnoteReference"/>
          <w:rFonts w:asciiTheme="minorHAnsi" w:eastAsia="Calibri" w:hAnsiTheme="minorHAnsi" w:cstheme="minorHAnsi"/>
        </w:rPr>
        <w:footnoteReference w:id="12"/>
      </w:r>
      <w:r w:rsidR="06CB1964" w:rsidRPr="0062487B">
        <w:rPr>
          <w:rFonts w:asciiTheme="minorHAnsi" w:eastAsia="Calibri" w:hAnsiTheme="minorHAnsi" w:cstheme="minorHAnsi"/>
        </w:rPr>
        <w:t xml:space="preserve"> which will further increase the </w:t>
      </w:r>
      <w:r w:rsidR="00868442" w:rsidRPr="0062487B">
        <w:rPr>
          <w:rFonts w:asciiTheme="minorHAnsi" w:eastAsia="Calibri" w:hAnsiTheme="minorHAnsi" w:cstheme="minorHAnsi"/>
        </w:rPr>
        <w:t xml:space="preserve">demand </w:t>
      </w:r>
      <w:r w:rsidR="06CB1964" w:rsidRPr="0062487B">
        <w:rPr>
          <w:rFonts w:asciiTheme="minorHAnsi" w:eastAsia="Calibri" w:hAnsiTheme="minorHAnsi" w:cstheme="minorHAnsi"/>
        </w:rPr>
        <w:t>for endoscopy services.</w:t>
      </w:r>
      <w:r w:rsidR="5B2872FB" w:rsidRPr="0062487B">
        <w:rPr>
          <w:rFonts w:asciiTheme="minorHAnsi" w:eastAsia="Calibri" w:hAnsiTheme="minorHAnsi" w:cstheme="minorHAnsi"/>
        </w:rPr>
        <w:t xml:space="preserve"> </w:t>
      </w:r>
      <w:r w:rsidR="36EB5180" w:rsidRPr="0062487B">
        <w:rPr>
          <w:rFonts w:asciiTheme="minorHAnsi" w:hAnsiTheme="minorHAnsi" w:cstheme="minorHAnsi"/>
        </w:rPr>
        <w:t xml:space="preserve">Staff also recommends that, as a condition of approval, the Applicant provide data to the Department to demonstrate that advanced endoscopy procedures are occurring at </w:t>
      </w:r>
      <w:r w:rsidR="00A245E0" w:rsidRPr="0062487B">
        <w:rPr>
          <w:rFonts w:asciiTheme="minorHAnsi" w:hAnsiTheme="minorHAnsi" w:cstheme="minorHAnsi"/>
        </w:rPr>
        <w:t>BWFH,</w:t>
      </w:r>
      <w:r w:rsidR="36EB5180" w:rsidRPr="0062487B">
        <w:rPr>
          <w:rFonts w:asciiTheme="minorHAnsi" w:hAnsiTheme="minorHAnsi" w:cstheme="minorHAnsi"/>
        </w:rPr>
        <w:t xml:space="preserve"> and patients are not being inappropriately transferred from BWFH to BWH.</w:t>
      </w:r>
    </w:p>
    <w:p w14:paraId="506DF030" w14:textId="08D88F2F" w:rsidR="00EF0974" w:rsidRPr="0062487B" w:rsidRDefault="00EF0974" w:rsidP="30223CC4">
      <w:pPr>
        <w:pStyle w:val="ListParagraph"/>
        <w:ind w:left="0"/>
        <w:rPr>
          <w:rFonts w:asciiTheme="minorHAnsi" w:hAnsiTheme="minorHAnsi" w:cstheme="minorHAnsi"/>
        </w:rPr>
      </w:pPr>
    </w:p>
    <w:p w14:paraId="56C57F64" w14:textId="77777777" w:rsidR="00A2188F" w:rsidRDefault="00A2188F" w:rsidP="008651FB">
      <w:pPr>
        <w:contextualSpacing/>
        <w:rPr>
          <w:rFonts w:asciiTheme="minorHAnsi" w:hAnsiTheme="minorHAnsi" w:cstheme="minorHAnsi"/>
          <w:b/>
          <w:bCs/>
        </w:rPr>
      </w:pPr>
    </w:p>
    <w:p w14:paraId="7FB33EEF" w14:textId="2602DC2D" w:rsidR="008651FB" w:rsidRPr="0062487B" w:rsidRDefault="008651FB" w:rsidP="008651FB">
      <w:pPr>
        <w:contextualSpacing/>
        <w:rPr>
          <w:rFonts w:asciiTheme="minorHAnsi" w:hAnsiTheme="minorHAnsi" w:cstheme="minorHAnsi"/>
          <w:b/>
          <w:bCs/>
        </w:rPr>
      </w:pPr>
      <w:r w:rsidRPr="0062487B">
        <w:rPr>
          <w:rFonts w:asciiTheme="minorHAnsi" w:hAnsiTheme="minorHAnsi" w:cstheme="minorHAnsi"/>
          <w:b/>
          <w:bCs/>
        </w:rPr>
        <w:t>3T MRI</w:t>
      </w:r>
    </w:p>
    <w:p w14:paraId="57BE3041" w14:textId="46955D77" w:rsidR="00711846" w:rsidRPr="78F650E0" w:rsidRDefault="74752BF9" w:rsidP="00711846">
      <w:pPr>
        <w:rPr>
          <w:rFonts w:asciiTheme="minorHAnsi" w:hAnsiTheme="minorHAnsi" w:cstheme="minorBidi"/>
        </w:rPr>
      </w:pPr>
      <w:r w:rsidRPr="78F650E0">
        <w:rPr>
          <w:rFonts w:asciiTheme="minorHAnsi" w:hAnsiTheme="minorHAnsi" w:cstheme="minorBidi"/>
        </w:rPr>
        <w:t>As part of the Proposed Project, the Radiology Department will be</w:t>
      </w:r>
      <w:r w:rsidR="058BD08F" w:rsidRPr="78F650E0">
        <w:rPr>
          <w:rFonts w:asciiTheme="minorHAnsi" w:hAnsiTheme="minorHAnsi" w:cstheme="minorBidi"/>
        </w:rPr>
        <w:t xml:space="preserve"> renovated and</w:t>
      </w:r>
      <w:r w:rsidRPr="78F650E0">
        <w:rPr>
          <w:rFonts w:asciiTheme="minorHAnsi" w:hAnsiTheme="minorHAnsi" w:cstheme="minorBidi"/>
        </w:rPr>
        <w:t xml:space="preserve"> expanded </w:t>
      </w:r>
      <w:r w:rsidR="1FABC7C7" w:rsidRPr="78F650E0">
        <w:rPr>
          <w:rFonts w:asciiTheme="minorHAnsi" w:hAnsiTheme="minorHAnsi" w:cstheme="minorBidi"/>
        </w:rPr>
        <w:t>to include a</w:t>
      </w:r>
      <w:r w:rsidRPr="78F650E0">
        <w:rPr>
          <w:rFonts w:asciiTheme="minorHAnsi" w:hAnsiTheme="minorHAnsi" w:cstheme="minorBidi"/>
        </w:rPr>
        <w:t xml:space="preserve"> new 3T MRI, an angiographic interventional radiology program, additional pre- and post-procedure </w:t>
      </w:r>
      <w:r w:rsidRPr="78F650E0">
        <w:rPr>
          <w:rFonts w:asciiTheme="minorHAnsi" w:hAnsiTheme="minorHAnsi" w:cstheme="minorBidi"/>
        </w:rPr>
        <w:lastRenderedPageBreak/>
        <w:t>recovery space, and additional support space.</w:t>
      </w:r>
      <w:r w:rsidR="45FF9FF7" w:rsidRPr="78F650E0">
        <w:rPr>
          <w:rFonts w:asciiTheme="minorHAnsi" w:hAnsiTheme="minorHAnsi" w:cstheme="minorBidi"/>
        </w:rPr>
        <w:t xml:space="preserve"> The new MRI unit will</w:t>
      </w:r>
      <w:r w:rsidR="0ECCFC10" w:rsidRPr="78F650E0">
        <w:rPr>
          <w:rFonts w:asciiTheme="minorHAnsi" w:hAnsiTheme="minorHAnsi" w:cstheme="minorBidi"/>
        </w:rPr>
        <w:t xml:space="preserve"> </w:t>
      </w:r>
      <w:r w:rsidR="1FABC7C7" w:rsidRPr="78F650E0">
        <w:rPr>
          <w:rFonts w:asciiTheme="minorHAnsi" w:hAnsiTheme="minorHAnsi" w:cstheme="minorBidi"/>
        </w:rPr>
        <w:t xml:space="preserve">be </w:t>
      </w:r>
      <w:r w:rsidR="0ECCFC10" w:rsidRPr="78F650E0">
        <w:rPr>
          <w:rFonts w:asciiTheme="minorHAnsi" w:hAnsiTheme="minorHAnsi" w:cstheme="minorBidi"/>
        </w:rPr>
        <w:t>co-</w:t>
      </w:r>
      <w:r w:rsidR="45FF9FF7" w:rsidRPr="78F650E0">
        <w:rPr>
          <w:rFonts w:asciiTheme="minorHAnsi" w:hAnsiTheme="minorHAnsi" w:cstheme="minorBidi"/>
        </w:rPr>
        <w:t>located</w:t>
      </w:r>
      <w:r w:rsidR="0ECCFC10" w:rsidRPr="78F650E0">
        <w:rPr>
          <w:rFonts w:asciiTheme="minorHAnsi" w:hAnsiTheme="minorHAnsi" w:cstheme="minorBidi"/>
        </w:rPr>
        <w:t xml:space="preserve"> with the existing 1.5T MRI unit</w:t>
      </w:r>
      <w:r w:rsidR="05FF45E6" w:rsidRPr="78F650E0">
        <w:rPr>
          <w:rFonts w:asciiTheme="minorHAnsi" w:hAnsiTheme="minorHAnsi" w:cstheme="minorBidi"/>
        </w:rPr>
        <w:t xml:space="preserve">. </w:t>
      </w:r>
      <w:r w:rsidR="5415143A" w:rsidRPr="78F650E0">
        <w:rPr>
          <w:rFonts w:asciiTheme="minorHAnsi" w:hAnsiTheme="minorHAnsi" w:cstheme="minorBidi"/>
        </w:rPr>
        <w:t xml:space="preserve">The Applicant </w:t>
      </w:r>
      <w:r w:rsidR="7DE3353A" w:rsidRPr="78F650E0">
        <w:rPr>
          <w:rFonts w:asciiTheme="minorHAnsi" w:hAnsiTheme="minorHAnsi" w:cstheme="minorBidi"/>
        </w:rPr>
        <w:t>states</w:t>
      </w:r>
      <w:r w:rsidR="5415143A" w:rsidRPr="78F650E0">
        <w:rPr>
          <w:rFonts w:asciiTheme="minorHAnsi" w:hAnsiTheme="minorHAnsi" w:cstheme="minorBidi"/>
        </w:rPr>
        <w:t xml:space="preserve"> </w:t>
      </w:r>
      <w:r w:rsidR="13F4D881" w:rsidRPr="78F650E0">
        <w:rPr>
          <w:rFonts w:asciiTheme="minorHAnsi" w:hAnsiTheme="minorHAnsi" w:cstheme="minorBidi"/>
        </w:rPr>
        <w:t>BWFH has experienced</w:t>
      </w:r>
      <w:r w:rsidR="18A14F33" w:rsidRPr="78F650E0">
        <w:rPr>
          <w:rFonts w:asciiTheme="minorHAnsi" w:hAnsiTheme="minorHAnsi" w:cstheme="minorBidi"/>
        </w:rPr>
        <w:t xml:space="preserve"> growth in the number of </w:t>
      </w:r>
      <w:r w:rsidR="5D20800A" w:rsidRPr="78F650E0">
        <w:rPr>
          <w:rFonts w:asciiTheme="minorHAnsi" w:hAnsiTheme="minorHAnsi" w:cstheme="minorBidi"/>
        </w:rPr>
        <w:t xml:space="preserve">unique </w:t>
      </w:r>
      <w:r w:rsidR="18A14F33" w:rsidRPr="78F650E0">
        <w:rPr>
          <w:rFonts w:asciiTheme="minorHAnsi" w:hAnsiTheme="minorHAnsi" w:cstheme="minorBidi"/>
        </w:rPr>
        <w:t xml:space="preserve">patients receiving MRI services over the last three fiscal years as shown in Table </w:t>
      </w:r>
      <w:r w:rsidR="16880BFC" w:rsidRPr="78F650E0">
        <w:rPr>
          <w:rFonts w:asciiTheme="minorHAnsi" w:hAnsiTheme="minorHAnsi" w:cstheme="minorBidi"/>
        </w:rPr>
        <w:t>12</w:t>
      </w:r>
      <w:r w:rsidR="057EFF28" w:rsidRPr="78F650E0">
        <w:rPr>
          <w:rFonts w:asciiTheme="minorHAnsi" w:hAnsiTheme="minorHAnsi" w:cstheme="minorBidi"/>
        </w:rPr>
        <w:t>, which is consistent with trends nationwide</w:t>
      </w:r>
      <w:r w:rsidR="18A14F33" w:rsidRPr="78F650E0">
        <w:rPr>
          <w:rFonts w:asciiTheme="minorHAnsi" w:hAnsiTheme="minorHAnsi" w:cstheme="minorBidi"/>
        </w:rPr>
        <w:t xml:space="preserve">. </w:t>
      </w:r>
      <w:r w:rsidR="5D20800A" w:rsidRPr="78F650E0">
        <w:rPr>
          <w:rFonts w:asciiTheme="minorHAnsi" w:hAnsiTheme="minorHAnsi" w:cstheme="minorBidi"/>
        </w:rPr>
        <w:t xml:space="preserve">MRI scan volume at BWFH increased </w:t>
      </w:r>
      <w:r w:rsidR="7DE3353A" w:rsidRPr="78F650E0">
        <w:rPr>
          <w:rFonts w:asciiTheme="minorHAnsi" w:hAnsiTheme="minorHAnsi" w:cstheme="minorBidi"/>
        </w:rPr>
        <w:t xml:space="preserve">by 27% </w:t>
      </w:r>
      <w:r w:rsidR="5D20800A" w:rsidRPr="78F650E0">
        <w:rPr>
          <w:rFonts w:asciiTheme="minorHAnsi" w:hAnsiTheme="minorHAnsi" w:cstheme="minorBidi"/>
        </w:rPr>
        <w:t>f</w:t>
      </w:r>
      <w:r w:rsidR="0506C75A" w:rsidRPr="78F650E0">
        <w:rPr>
          <w:rFonts w:asciiTheme="minorHAnsi" w:hAnsiTheme="minorHAnsi" w:cstheme="minorBidi"/>
        </w:rPr>
        <w:t>rom FY17-FY19</w:t>
      </w:r>
      <w:r w:rsidR="057EFF28" w:rsidRPr="78F650E0">
        <w:rPr>
          <w:rFonts w:asciiTheme="minorHAnsi" w:hAnsiTheme="minorHAnsi" w:cstheme="minorBidi"/>
        </w:rPr>
        <w:t>,</w:t>
      </w:r>
      <w:r w:rsidR="342E0E33" w:rsidRPr="78F650E0">
        <w:rPr>
          <w:rFonts w:asciiTheme="minorHAnsi" w:hAnsiTheme="minorHAnsi" w:cstheme="minorBidi"/>
        </w:rPr>
        <w:t xml:space="preserve"> </w:t>
      </w:r>
      <w:r w:rsidR="5D20800A" w:rsidRPr="78F650E0">
        <w:rPr>
          <w:rFonts w:asciiTheme="minorHAnsi" w:hAnsiTheme="minorHAnsi" w:cstheme="minorBidi"/>
        </w:rPr>
        <w:t xml:space="preserve">partially </w:t>
      </w:r>
      <w:r w:rsidR="6052D373" w:rsidRPr="78F650E0">
        <w:rPr>
          <w:rFonts w:asciiTheme="minorHAnsi" w:hAnsiTheme="minorHAnsi" w:cstheme="minorBidi"/>
        </w:rPr>
        <w:t xml:space="preserve">attributed to </w:t>
      </w:r>
      <w:r w:rsidR="342E0E33" w:rsidRPr="78F650E0">
        <w:rPr>
          <w:rFonts w:asciiTheme="minorHAnsi" w:hAnsiTheme="minorHAnsi" w:cstheme="minorBidi"/>
        </w:rPr>
        <w:t xml:space="preserve">clinical demand </w:t>
      </w:r>
      <w:r w:rsidR="5D20800A" w:rsidRPr="78F650E0">
        <w:rPr>
          <w:rFonts w:asciiTheme="minorHAnsi" w:hAnsiTheme="minorHAnsi" w:cstheme="minorBidi"/>
        </w:rPr>
        <w:t xml:space="preserve">and </w:t>
      </w:r>
      <w:r w:rsidR="7DE3353A" w:rsidRPr="78F650E0">
        <w:rPr>
          <w:rFonts w:asciiTheme="minorHAnsi" w:hAnsiTheme="minorHAnsi" w:cstheme="minorBidi"/>
        </w:rPr>
        <w:t>partially</w:t>
      </w:r>
      <w:r w:rsidR="5D20800A" w:rsidRPr="78F650E0">
        <w:rPr>
          <w:rFonts w:asciiTheme="minorHAnsi" w:hAnsiTheme="minorHAnsi" w:cstheme="minorBidi"/>
        </w:rPr>
        <w:t xml:space="preserve"> </w:t>
      </w:r>
      <w:r w:rsidR="16312455" w:rsidRPr="78F650E0">
        <w:rPr>
          <w:rFonts w:asciiTheme="minorHAnsi" w:hAnsiTheme="minorHAnsi" w:cstheme="minorBidi"/>
        </w:rPr>
        <w:t>to</w:t>
      </w:r>
      <w:r w:rsidR="7DE3353A" w:rsidRPr="78F650E0">
        <w:rPr>
          <w:rFonts w:asciiTheme="minorHAnsi" w:hAnsiTheme="minorHAnsi" w:cstheme="minorBidi"/>
        </w:rPr>
        <w:t xml:space="preserve"> </w:t>
      </w:r>
      <w:r w:rsidR="342E0E33" w:rsidRPr="78F650E0">
        <w:rPr>
          <w:rFonts w:asciiTheme="minorHAnsi" w:hAnsiTheme="minorHAnsi" w:cstheme="minorBidi"/>
        </w:rPr>
        <w:t xml:space="preserve">the replacement of the existing </w:t>
      </w:r>
      <w:r w:rsidR="6052D373" w:rsidRPr="78F650E0">
        <w:rPr>
          <w:rFonts w:asciiTheme="minorHAnsi" w:hAnsiTheme="minorHAnsi" w:cstheme="minorBidi"/>
        </w:rPr>
        <w:t xml:space="preserve">1.5T </w:t>
      </w:r>
      <w:r w:rsidR="342E0E33" w:rsidRPr="78F650E0">
        <w:rPr>
          <w:rFonts w:asciiTheme="minorHAnsi" w:hAnsiTheme="minorHAnsi" w:cstheme="minorBidi"/>
        </w:rPr>
        <w:t xml:space="preserve">MRI in </w:t>
      </w:r>
    </w:p>
    <w:p w14:paraId="00424796" w14:textId="77777777" w:rsidR="00711846" w:rsidRPr="0062487B" w:rsidRDefault="00711846" w:rsidP="00711846">
      <w:pPr>
        <w:rPr>
          <w:rFonts w:asciiTheme="minorHAnsi" w:hAnsiTheme="minorHAnsi" w:cstheme="minorBidi"/>
        </w:rPr>
      </w:pPr>
      <w:r w:rsidRPr="78F650E0">
        <w:rPr>
          <w:rFonts w:asciiTheme="minorHAnsi" w:hAnsiTheme="minorHAnsi" w:cstheme="minorBidi"/>
        </w:rPr>
        <w:t>FY17</w:t>
      </w:r>
      <w:r>
        <w:rPr>
          <w:rFonts w:asciiTheme="minorHAnsi" w:hAnsiTheme="minorHAnsi" w:cstheme="minorBidi"/>
        </w:rPr>
        <w:t xml:space="preserve"> with a unit that takes less time per scan and thus has an </w:t>
      </w:r>
      <w:r w:rsidRPr="78F650E0">
        <w:rPr>
          <w:rFonts w:asciiTheme="minorHAnsi" w:hAnsiTheme="minorHAnsi" w:cstheme="minorBidi"/>
        </w:rPr>
        <w:t>increase</w:t>
      </w:r>
      <w:r>
        <w:rPr>
          <w:rFonts w:asciiTheme="minorHAnsi" w:hAnsiTheme="minorHAnsi" w:cstheme="minorBidi"/>
        </w:rPr>
        <w:t>d</w:t>
      </w:r>
      <w:r w:rsidRPr="78F650E0">
        <w:rPr>
          <w:rFonts w:asciiTheme="minorHAnsi" w:hAnsiTheme="minorHAnsi" w:cstheme="minorBidi"/>
        </w:rPr>
        <w:t xml:space="preserve"> scanner capacity. </w:t>
      </w:r>
    </w:p>
    <w:p w14:paraId="09C1051C" w14:textId="77777777" w:rsidR="00711846" w:rsidRPr="0062487B" w:rsidRDefault="00711846" w:rsidP="00711846">
      <w:pPr>
        <w:pStyle w:val="ListParagraph"/>
        <w:ind w:left="0"/>
        <w:rPr>
          <w:rFonts w:asciiTheme="minorHAnsi" w:hAnsiTheme="minorHAnsi" w:cstheme="minorHAnsi"/>
          <w:bCs/>
          <w:iCs/>
        </w:rPr>
      </w:pPr>
    </w:p>
    <w:p w14:paraId="72F66D36" w14:textId="68ADA433" w:rsidR="0087762F" w:rsidRPr="0062487B" w:rsidRDefault="54DF15B3" w:rsidP="17FA2F59">
      <w:pPr>
        <w:contextualSpacing/>
        <w:rPr>
          <w:rFonts w:asciiTheme="minorHAnsi" w:hAnsiTheme="minorHAnsi" w:cstheme="minorBidi"/>
          <w:b/>
          <w:bCs/>
          <w:color w:val="2F5897" w:themeColor="text2"/>
        </w:rPr>
      </w:pPr>
      <w:r w:rsidRPr="17FA2F59">
        <w:rPr>
          <w:rFonts w:asciiTheme="minorHAnsi" w:hAnsiTheme="minorHAnsi" w:cstheme="minorBidi"/>
          <w:b/>
          <w:bCs/>
          <w:u w:val="single"/>
        </w:rPr>
        <w:t xml:space="preserve">Table </w:t>
      </w:r>
      <w:r w:rsidR="3360F277" w:rsidRPr="17FA2F59">
        <w:rPr>
          <w:rFonts w:asciiTheme="minorHAnsi" w:hAnsiTheme="minorHAnsi" w:cstheme="minorBidi"/>
          <w:b/>
          <w:bCs/>
          <w:u w:val="single"/>
        </w:rPr>
        <w:t>12</w:t>
      </w:r>
      <w:r w:rsidR="3360F277" w:rsidRPr="17FA2F59">
        <w:rPr>
          <w:rFonts w:asciiTheme="minorHAnsi" w:hAnsiTheme="minorHAnsi" w:cstheme="minorBidi"/>
          <w:b/>
          <w:bCs/>
        </w:rPr>
        <w:t>:</w:t>
      </w:r>
      <w:r w:rsidRPr="17FA2F59">
        <w:rPr>
          <w:rFonts w:asciiTheme="minorHAnsi" w:hAnsiTheme="minorHAnsi" w:cstheme="minorBidi"/>
          <w:b/>
          <w:bCs/>
        </w:rPr>
        <w:t xml:space="preserve"> Historical Trend for</w:t>
      </w:r>
      <w:r w:rsidR="4D673413" w:rsidRPr="17FA2F59">
        <w:rPr>
          <w:rFonts w:asciiTheme="minorHAnsi" w:hAnsiTheme="minorHAnsi" w:cstheme="minorBidi"/>
          <w:b/>
          <w:bCs/>
        </w:rPr>
        <w:t xml:space="preserve"> Unique</w:t>
      </w:r>
      <w:r w:rsidRPr="17FA2F59">
        <w:rPr>
          <w:rFonts w:asciiTheme="minorHAnsi" w:hAnsiTheme="minorHAnsi" w:cstheme="minorBidi"/>
          <w:b/>
          <w:bCs/>
        </w:rPr>
        <w:t xml:space="preserve"> Patients Receiving MRI</w:t>
      </w:r>
      <w:r w:rsidR="2689ADE0" w:rsidRPr="17FA2F59">
        <w:rPr>
          <w:rFonts w:asciiTheme="minorHAnsi" w:hAnsiTheme="minorHAnsi" w:cstheme="minorBidi"/>
          <w:b/>
          <w:bCs/>
        </w:rPr>
        <w:t xml:space="preserve"> </w:t>
      </w:r>
      <w:r w:rsidR="00711846">
        <w:rPr>
          <w:rFonts w:asciiTheme="minorHAnsi" w:hAnsiTheme="minorHAnsi" w:cstheme="minorBidi"/>
          <w:b/>
          <w:bCs/>
        </w:rPr>
        <w:t>and</w:t>
      </w:r>
      <w:r w:rsidR="2689ADE0" w:rsidRPr="17FA2F59">
        <w:rPr>
          <w:rFonts w:asciiTheme="minorHAnsi" w:hAnsiTheme="minorHAnsi" w:cstheme="minorBidi"/>
          <w:b/>
          <w:bCs/>
        </w:rPr>
        <w:t xml:space="preserve"> Scan Volume</w:t>
      </w:r>
    </w:p>
    <w:tbl>
      <w:tblPr>
        <w:tblStyle w:val="TableGrid"/>
        <w:tblW w:w="10070" w:type="dxa"/>
        <w:tblLook w:val="04A0" w:firstRow="1" w:lastRow="0" w:firstColumn="1" w:lastColumn="0" w:noHBand="0" w:noVBand="1"/>
      </w:tblPr>
      <w:tblGrid>
        <w:gridCol w:w="2669"/>
        <w:gridCol w:w="2467"/>
        <w:gridCol w:w="2467"/>
        <w:gridCol w:w="2467"/>
      </w:tblGrid>
      <w:tr w:rsidR="0087762F" w:rsidRPr="0062487B" w14:paraId="2ECE4278" w14:textId="77777777" w:rsidTr="30223CC4">
        <w:tc>
          <w:tcPr>
            <w:tcW w:w="2669" w:type="dxa"/>
            <w:shd w:val="clear" w:color="auto" w:fill="DFE3F0" w:themeFill="accent1" w:themeFillTint="33"/>
          </w:tcPr>
          <w:p w14:paraId="72C89817" w14:textId="77777777" w:rsidR="0087762F" w:rsidRPr="0062487B" w:rsidRDefault="0087762F" w:rsidP="0020678A">
            <w:pPr>
              <w:contextualSpacing/>
              <w:rPr>
                <w:rFonts w:asciiTheme="minorHAnsi" w:hAnsiTheme="minorHAnsi" w:cstheme="minorHAnsi"/>
                <w:color w:val="000000" w:themeColor="text1"/>
              </w:rPr>
            </w:pPr>
          </w:p>
        </w:tc>
        <w:tc>
          <w:tcPr>
            <w:tcW w:w="2467" w:type="dxa"/>
            <w:shd w:val="clear" w:color="auto" w:fill="DFE3F0" w:themeFill="accent1" w:themeFillTint="33"/>
          </w:tcPr>
          <w:p w14:paraId="147FA4B7" w14:textId="77777777" w:rsidR="0087762F" w:rsidRPr="0062487B" w:rsidRDefault="0087762F" w:rsidP="0020678A">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FY17</w:t>
            </w:r>
          </w:p>
        </w:tc>
        <w:tc>
          <w:tcPr>
            <w:tcW w:w="2467" w:type="dxa"/>
            <w:shd w:val="clear" w:color="auto" w:fill="DFE3F0" w:themeFill="accent1" w:themeFillTint="33"/>
          </w:tcPr>
          <w:p w14:paraId="213CA68D" w14:textId="77777777" w:rsidR="0087762F" w:rsidRPr="0062487B" w:rsidRDefault="0087762F" w:rsidP="0020678A">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FY19</w:t>
            </w:r>
          </w:p>
        </w:tc>
        <w:tc>
          <w:tcPr>
            <w:tcW w:w="2467" w:type="dxa"/>
            <w:shd w:val="clear" w:color="auto" w:fill="DFE3F0" w:themeFill="accent1" w:themeFillTint="33"/>
          </w:tcPr>
          <w:p w14:paraId="230B4250" w14:textId="213F20AC" w:rsidR="2B32FC1A" w:rsidRPr="0062487B" w:rsidRDefault="2B32FC1A" w:rsidP="30223CC4">
            <w:pPr>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 Change</w:t>
            </w:r>
          </w:p>
        </w:tc>
      </w:tr>
      <w:tr w:rsidR="0087762F" w:rsidRPr="0062487B" w14:paraId="05B6590E" w14:textId="77777777" w:rsidTr="30223CC4">
        <w:tc>
          <w:tcPr>
            <w:tcW w:w="2669" w:type="dxa"/>
          </w:tcPr>
          <w:p w14:paraId="39D8C7DE" w14:textId="4FB64F51" w:rsidR="0087762F" w:rsidRPr="0062487B" w:rsidRDefault="0087762F" w:rsidP="0020678A">
            <w:pPr>
              <w:contextualSpacing/>
              <w:rPr>
                <w:rFonts w:asciiTheme="minorHAnsi" w:hAnsiTheme="minorHAnsi" w:cstheme="minorHAnsi"/>
                <w:b/>
                <w:bCs/>
                <w:color w:val="000000" w:themeColor="text1"/>
              </w:rPr>
            </w:pPr>
            <w:r w:rsidRPr="0062487B">
              <w:rPr>
                <w:rFonts w:asciiTheme="minorHAnsi" w:hAnsiTheme="minorHAnsi" w:cstheme="minorHAnsi"/>
                <w:b/>
                <w:bCs/>
                <w:color w:val="000000" w:themeColor="text1"/>
              </w:rPr>
              <w:t>Unique patients</w:t>
            </w:r>
          </w:p>
        </w:tc>
        <w:tc>
          <w:tcPr>
            <w:tcW w:w="2467" w:type="dxa"/>
          </w:tcPr>
          <w:p w14:paraId="4C78540F" w14:textId="10832FDA" w:rsidR="0087762F" w:rsidRPr="0062487B" w:rsidRDefault="0087762F" w:rsidP="0020678A">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4,381</w:t>
            </w:r>
          </w:p>
        </w:tc>
        <w:tc>
          <w:tcPr>
            <w:tcW w:w="2467" w:type="dxa"/>
          </w:tcPr>
          <w:p w14:paraId="38D95C4A" w14:textId="4DF5F503" w:rsidR="0087762F" w:rsidRPr="0062487B" w:rsidRDefault="0087762F" w:rsidP="0020678A">
            <w:pPr>
              <w:contextualSpacing/>
              <w:jc w:val="right"/>
              <w:rPr>
                <w:rFonts w:asciiTheme="minorHAnsi" w:hAnsiTheme="minorHAnsi" w:cstheme="minorHAnsi"/>
                <w:color w:val="000000" w:themeColor="text1"/>
              </w:rPr>
            </w:pPr>
            <w:r w:rsidRPr="0062487B">
              <w:rPr>
                <w:rFonts w:asciiTheme="minorHAnsi" w:hAnsiTheme="minorHAnsi" w:cstheme="minorHAnsi"/>
                <w:color w:val="000000" w:themeColor="text1"/>
              </w:rPr>
              <w:t>5,509</w:t>
            </w:r>
          </w:p>
        </w:tc>
        <w:tc>
          <w:tcPr>
            <w:tcW w:w="2467" w:type="dxa"/>
          </w:tcPr>
          <w:p w14:paraId="58300ABB" w14:textId="61D79859" w:rsidR="53D7BF49" w:rsidRPr="0062487B" w:rsidRDefault="53D7BF49" w:rsidP="30223CC4">
            <w:pPr>
              <w:jc w:val="right"/>
              <w:rPr>
                <w:rFonts w:asciiTheme="minorHAnsi" w:hAnsiTheme="minorHAnsi" w:cstheme="minorHAnsi"/>
                <w:color w:val="000000" w:themeColor="text1"/>
              </w:rPr>
            </w:pPr>
            <w:r w:rsidRPr="0062487B">
              <w:rPr>
                <w:rFonts w:asciiTheme="minorHAnsi" w:hAnsiTheme="minorHAnsi" w:cstheme="minorHAnsi"/>
                <w:color w:val="000000" w:themeColor="text1"/>
              </w:rPr>
              <w:t>26%</w:t>
            </w:r>
          </w:p>
        </w:tc>
      </w:tr>
      <w:tr w:rsidR="17D07F3A" w:rsidRPr="0062487B" w14:paraId="2F1212FA" w14:textId="77777777" w:rsidTr="30223CC4">
        <w:tc>
          <w:tcPr>
            <w:tcW w:w="2669" w:type="dxa"/>
          </w:tcPr>
          <w:p w14:paraId="0120390F" w14:textId="67B94286" w:rsidR="13FF132C" w:rsidRPr="0062487B" w:rsidRDefault="33F41758" w:rsidP="17D07F3A">
            <w:pPr>
              <w:rPr>
                <w:rFonts w:asciiTheme="minorHAnsi" w:hAnsiTheme="minorHAnsi" w:cstheme="minorHAnsi"/>
                <w:b/>
                <w:bCs/>
                <w:color w:val="000000" w:themeColor="text1"/>
              </w:rPr>
            </w:pPr>
            <w:r w:rsidRPr="0062487B">
              <w:rPr>
                <w:rFonts w:asciiTheme="minorHAnsi" w:hAnsiTheme="minorHAnsi" w:cstheme="minorHAnsi"/>
                <w:b/>
                <w:bCs/>
                <w:color w:val="000000" w:themeColor="text1"/>
              </w:rPr>
              <w:t>Scan volume</w:t>
            </w:r>
          </w:p>
        </w:tc>
        <w:tc>
          <w:tcPr>
            <w:tcW w:w="2467" w:type="dxa"/>
          </w:tcPr>
          <w:p w14:paraId="4FB7B8A3" w14:textId="4B8A4FCE" w:rsidR="0869E76F" w:rsidRPr="0062487B" w:rsidRDefault="0E260AE2" w:rsidP="17D07F3A">
            <w:pPr>
              <w:jc w:val="right"/>
              <w:rPr>
                <w:rFonts w:asciiTheme="minorHAnsi" w:hAnsiTheme="minorHAnsi" w:cstheme="minorHAnsi"/>
                <w:color w:val="000000" w:themeColor="text1"/>
              </w:rPr>
            </w:pPr>
            <w:r w:rsidRPr="0062487B">
              <w:rPr>
                <w:rFonts w:asciiTheme="minorHAnsi" w:hAnsiTheme="minorHAnsi" w:cstheme="minorHAnsi"/>
                <w:color w:val="000000" w:themeColor="text1"/>
              </w:rPr>
              <w:t>4,793</w:t>
            </w:r>
          </w:p>
        </w:tc>
        <w:tc>
          <w:tcPr>
            <w:tcW w:w="2467" w:type="dxa"/>
          </w:tcPr>
          <w:p w14:paraId="3CECB838" w14:textId="7A461DA0" w:rsidR="0869E76F" w:rsidRPr="0062487B" w:rsidRDefault="0E260AE2" w:rsidP="17D07F3A">
            <w:pPr>
              <w:jc w:val="right"/>
              <w:rPr>
                <w:rFonts w:asciiTheme="minorHAnsi" w:hAnsiTheme="minorHAnsi" w:cstheme="minorHAnsi"/>
                <w:color w:val="000000" w:themeColor="text1"/>
              </w:rPr>
            </w:pPr>
            <w:r w:rsidRPr="0062487B">
              <w:rPr>
                <w:rFonts w:asciiTheme="minorHAnsi" w:hAnsiTheme="minorHAnsi" w:cstheme="minorHAnsi"/>
                <w:color w:val="000000" w:themeColor="text1"/>
              </w:rPr>
              <w:t>6,096</w:t>
            </w:r>
          </w:p>
        </w:tc>
        <w:tc>
          <w:tcPr>
            <w:tcW w:w="2467" w:type="dxa"/>
          </w:tcPr>
          <w:p w14:paraId="7335658D" w14:textId="3F6BE0E2" w:rsidR="2DB68EA6" w:rsidRPr="0062487B" w:rsidRDefault="2DB68EA6" w:rsidP="30223CC4">
            <w:pPr>
              <w:jc w:val="right"/>
              <w:rPr>
                <w:rFonts w:asciiTheme="minorHAnsi" w:hAnsiTheme="minorHAnsi" w:cstheme="minorHAnsi"/>
                <w:color w:val="000000" w:themeColor="text1"/>
              </w:rPr>
            </w:pPr>
            <w:r w:rsidRPr="0062487B">
              <w:rPr>
                <w:rFonts w:asciiTheme="minorHAnsi" w:hAnsiTheme="minorHAnsi" w:cstheme="minorHAnsi"/>
                <w:color w:val="000000" w:themeColor="text1"/>
              </w:rPr>
              <w:t>27%</w:t>
            </w:r>
          </w:p>
        </w:tc>
      </w:tr>
    </w:tbl>
    <w:p w14:paraId="6FC4FBA2" w14:textId="6C351388" w:rsidR="0087762F" w:rsidRPr="0062487B" w:rsidRDefault="0087762F" w:rsidP="008651FB">
      <w:pPr>
        <w:pStyle w:val="ListParagraph"/>
        <w:ind w:left="0"/>
        <w:rPr>
          <w:rFonts w:asciiTheme="minorHAnsi" w:hAnsiTheme="minorHAnsi" w:cstheme="minorHAnsi"/>
          <w:bCs/>
          <w:iCs/>
        </w:rPr>
      </w:pPr>
    </w:p>
    <w:p w14:paraId="4B3B3D72" w14:textId="3F3D44DF" w:rsidR="00425231" w:rsidRPr="0062487B" w:rsidRDefault="5DCA834D" w:rsidP="78F650E0">
      <w:pPr>
        <w:pStyle w:val="ListParagraph"/>
        <w:ind w:left="0"/>
        <w:rPr>
          <w:rFonts w:asciiTheme="minorHAnsi" w:hAnsiTheme="minorHAnsi" w:cstheme="minorBidi"/>
        </w:rPr>
      </w:pPr>
      <w:r w:rsidRPr="78F650E0">
        <w:rPr>
          <w:rFonts w:asciiTheme="minorHAnsi" w:hAnsiTheme="minorHAnsi" w:cstheme="minorBidi"/>
        </w:rPr>
        <w:t xml:space="preserve">Table 13 provides the projected MRI scan volume at BWFH. </w:t>
      </w:r>
      <w:r w:rsidR="4D04D1B0" w:rsidRPr="78F650E0">
        <w:rPr>
          <w:rFonts w:asciiTheme="minorHAnsi" w:hAnsiTheme="minorHAnsi" w:cstheme="minorBidi"/>
        </w:rPr>
        <w:t xml:space="preserve">BWFH anticipates that MRI scans will increase overall and across all age groups except </w:t>
      </w:r>
      <w:r w:rsidR="7DE3353A" w:rsidRPr="78F650E0">
        <w:rPr>
          <w:rFonts w:asciiTheme="minorHAnsi" w:hAnsiTheme="minorHAnsi" w:cstheme="minorBidi"/>
        </w:rPr>
        <w:t>the</w:t>
      </w:r>
      <w:r w:rsidR="4D04D1B0" w:rsidRPr="78F650E0">
        <w:rPr>
          <w:rFonts w:asciiTheme="minorHAnsi" w:hAnsiTheme="minorHAnsi" w:cstheme="minorBidi"/>
        </w:rPr>
        <w:t xml:space="preserve"> 0-17 age group.  </w:t>
      </w:r>
      <w:r w:rsidR="0908F614" w:rsidRPr="78F650E0">
        <w:rPr>
          <w:rFonts w:asciiTheme="minorHAnsi" w:hAnsiTheme="minorHAnsi" w:cstheme="minorBidi"/>
        </w:rPr>
        <w:t xml:space="preserve"> </w:t>
      </w:r>
    </w:p>
    <w:p w14:paraId="657475BE" w14:textId="77777777" w:rsidR="00232C32" w:rsidRPr="0062487B" w:rsidRDefault="00232C32" w:rsidP="17FA2F59">
      <w:pPr>
        <w:contextualSpacing/>
        <w:rPr>
          <w:rFonts w:asciiTheme="minorHAnsi" w:hAnsiTheme="minorHAnsi" w:cstheme="minorBidi"/>
          <w:b/>
          <w:bCs/>
          <w:color w:val="2F5897" w:themeColor="text2"/>
        </w:rPr>
      </w:pPr>
    </w:p>
    <w:p w14:paraId="46F813EB" w14:textId="7EDF012E" w:rsidR="007133B9" w:rsidRPr="0062487B" w:rsidRDefault="5FC41EAD" w:rsidP="17FA2F59">
      <w:pPr>
        <w:contextualSpacing/>
        <w:rPr>
          <w:rFonts w:asciiTheme="minorHAnsi" w:hAnsiTheme="minorHAnsi" w:cstheme="minorBidi"/>
          <w:b/>
          <w:bCs/>
          <w:color w:val="2F5897" w:themeColor="text2"/>
        </w:rPr>
      </w:pPr>
      <w:r w:rsidRPr="17FA2F59">
        <w:rPr>
          <w:rFonts w:asciiTheme="minorHAnsi" w:hAnsiTheme="minorHAnsi" w:cstheme="minorBidi"/>
          <w:b/>
          <w:bCs/>
          <w:u w:val="single"/>
        </w:rPr>
        <w:t xml:space="preserve">Table </w:t>
      </w:r>
      <w:r w:rsidR="1C0C7576" w:rsidRPr="17FA2F59">
        <w:rPr>
          <w:rFonts w:asciiTheme="minorHAnsi" w:hAnsiTheme="minorHAnsi" w:cstheme="minorBidi"/>
          <w:b/>
          <w:bCs/>
          <w:u w:val="single"/>
        </w:rPr>
        <w:t>13</w:t>
      </w:r>
      <w:r w:rsidR="1C0C7576" w:rsidRPr="17FA2F59">
        <w:rPr>
          <w:rFonts w:asciiTheme="minorHAnsi" w:hAnsiTheme="minorHAnsi" w:cstheme="minorBidi"/>
          <w:b/>
          <w:bCs/>
        </w:rPr>
        <w:t>:</w:t>
      </w:r>
      <w:r w:rsidRPr="17FA2F59">
        <w:rPr>
          <w:rFonts w:asciiTheme="minorHAnsi" w:hAnsiTheme="minorHAnsi" w:cstheme="minorBidi"/>
          <w:b/>
          <w:bCs/>
        </w:rPr>
        <w:t xml:space="preserve"> Projected MRI</w:t>
      </w:r>
      <w:r w:rsidR="5FC7FA79" w:rsidRPr="17FA2F59">
        <w:rPr>
          <w:rFonts w:asciiTheme="minorHAnsi" w:hAnsiTheme="minorHAnsi" w:cstheme="minorBidi"/>
          <w:b/>
          <w:bCs/>
        </w:rPr>
        <w:t xml:space="preserve"> Scans</w:t>
      </w: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40"/>
        <w:gridCol w:w="1440"/>
        <w:gridCol w:w="1440"/>
        <w:gridCol w:w="1440"/>
        <w:gridCol w:w="1440"/>
        <w:gridCol w:w="1440"/>
        <w:gridCol w:w="1440"/>
      </w:tblGrid>
      <w:tr w:rsidR="007133B9" w:rsidRPr="0062487B" w14:paraId="7EC6833A" w14:textId="77777777" w:rsidTr="003D03E1">
        <w:tc>
          <w:tcPr>
            <w:tcW w:w="1440" w:type="dxa"/>
            <w:shd w:val="clear" w:color="auto" w:fill="DFE3F0" w:themeFill="accent1" w:themeFillTint="33"/>
          </w:tcPr>
          <w:p w14:paraId="3620E794" w14:textId="77777777" w:rsidR="007133B9" w:rsidRPr="0062487B" w:rsidRDefault="007133B9" w:rsidP="0020678A">
            <w:pPr>
              <w:contextualSpacing/>
              <w:rPr>
                <w:rFonts w:asciiTheme="minorHAnsi" w:hAnsiTheme="minorHAnsi" w:cstheme="minorHAnsi"/>
                <w:b/>
                <w:bCs/>
                <w:color w:val="000000" w:themeColor="text1"/>
              </w:rPr>
            </w:pPr>
            <w:r w:rsidRPr="0062487B">
              <w:rPr>
                <w:rFonts w:asciiTheme="minorHAnsi" w:hAnsiTheme="minorHAnsi" w:cstheme="minorHAnsi"/>
                <w:b/>
                <w:bCs/>
                <w:color w:val="000000" w:themeColor="text1"/>
              </w:rPr>
              <w:t>Age Group</w:t>
            </w:r>
          </w:p>
        </w:tc>
        <w:tc>
          <w:tcPr>
            <w:tcW w:w="1440" w:type="dxa"/>
            <w:shd w:val="clear" w:color="auto" w:fill="DFE3F0" w:themeFill="accent1" w:themeFillTint="33"/>
          </w:tcPr>
          <w:p w14:paraId="2760DE00" w14:textId="77777777" w:rsidR="007133B9" w:rsidRPr="0062487B" w:rsidRDefault="007133B9" w:rsidP="0020678A">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FY19</w:t>
            </w:r>
          </w:p>
        </w:tc>
        <w:tc>
          <w:tcPr>
            <w:tcW w:w="1440" w:type="dxa"/>
            <w:shd w:val="clear" w:color="auto" w:fill="DFE3F0" w:themeFill="accent1" w:themeFillTint="33"/>
          </w:tcPr>
          <w:p w14:paraId="4A31798B" w14:textId="77777777" w:rsidR="007133B9" w:rsidRPr="0062487B" w:rsidRDefault="007133B9" w:rsidP="0020678A">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FY24</w:t>
            </w:r>
          </w:p>
        </w:tc>
        <w:tc>
          <w:tcPr>
            <w:tcW w:w="1440" w:type="dxa"/>
            <w:shd w:val="clear" w:color="auto" w:fill="DFE3F0" w:themeFill="accent1" w:themeFillTint="33"/>
          </w:tcPr>
          <w:p w14:paraId="6710B7A3" w14:textId="77777777" w:rsidR="007133B9" w:rsidRPr="0062487B" w:rsidRDefault="007133B9" w:rsidP="0020678A">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FY25</w:t>
            </w:r>
          </w:p>
        </w:tc>
        <w:tc>
          <w:tcPr>
            <w:tcW w:w="1440" w:type="dxa"/>
            <w:shd w:val="clear" w:color="auto" w:fill="DFE3F0" w:themeFill="accent1" w:themeFillTint="33"/>
          </w:tcPr>
          <w:p w14:paraId="0761E8DF" w14:textId="77777777" w:rsidR="007133B9" w:rsidRPr="0062487B" w:rsidRDefault="007133B9" w:rsidP="0020678A">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FY26</w:t>
            </w:r>
          </w:p>
        </w:tc>
        <w:tc>
          <w:tcPr>
            <w:tcW w:w="1440" w:type="dxa"/>
            <w:shd w:val="clear" w:color="auto" w:fill="DFE3F0" w:themeFill="accent1" w:themeFillTint="33"/>
          </w:tcPr>
          <w:p w14:paraId="522F61C4" w14:textId="77777777" w:rsidR="007133B9" w:rsidRPr="0062487B" w:rsidRDefault="007133B9" w:rsidP="0020678A">
            <w:pPr>
              <w:contextualSpacing/>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FY27</w:t>
            </w:r>
          </w:p>
        </w:tc>
        <w:tc>
          <w:tcPr>
            <w:tcW w:w="1440" w:type="dxa"/>
            <w:shd w:val="clear" w:color="auto" w:fill="DFE3F0" w:themeFill="accent1" w:themeFillTint="33"/>
          </w:tcPr>
          <w:p w14:paraId="4AA2B411" w14:textId="0D04FB94" w:rsidR="5A383679" w:rsidRPr="0062487B" w:rsidRDefault="12A826F1" w:rsidP="17D07F3A">
            <w:pPr>
              <w:jc w:val="center"/>
              <w:rPr>
                <w:rFonts w:asciiTheme="minorHAnsi" w:hAnsiTheme="minorHAnsi" w:cstheme="minorHAnsi"/>
                <w:b/>
                <w:bCs/>
                <w:color w:val="000000" w:themeColor="text1"/>
              </w:rPr>
            </w:pPr>
            <w:r w:rsidRPr="0062487B">
              <w:rPr>
                <w:rFonts w:asciiTheme="minorHAnsi" w:hAnsiTheme="minorHAnsi" w:cstheme="minorHAnsi"/>
                <w:b/>
                <w:bCs/>
                <w:color w:val="000000" w:themeColor="text1"/>
              </w:rPr>
              <w:t>% Change (FY19-FY27)</w:t>
            </w:r>
          </w:p>
        </w:tc>
      </w:tr>
      <w:tr w:rsidR="007133B9" w:rsidRPr="0062487B" w14:paraId="6797B3E2" w14:textId="77777777" w:rsidTr="003D03E1">
        <w:tc>
          <w:tcPr>
            <w:tcW w:w="1440" w:type="dxa"/>
            <w:vAlign w:val="bottom"/>
          </w:tcPr>
          <w:p w14:paraId="20A53EE9" w14:textId="77777777" w:rsidR="007133B9" w:rsidRPr="0062487B" w:rsidRDefault="007133B9" w:rsidP="007133B9">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0-17</w:t>
            </w:r>
          </w:p>
        </w:tc>
        <w:tc>
          <w:tcPr>
            <w:tcW w:w="1440" w:type="dxa"/>
            <w:vAlign w:val="bottom"/>
          </w:tcPr>
          <w:p w14:paraId="7E6B276A" w14:textId="1388E9A4"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10</w:t>
            </w:r>
          </w:p>
        </w:tc>
        <w:tc>
          <w:tcPr>
            <w:tcW w:w="1440" w:type="dxa"/>
            <w:vAlign w:val="bottom"/>
          </w:tcPr>
          <w:p w14:paraId="6FD4053E" w14:textId="444288C1"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10</w:t>
            </w:r>
          </w:p>
        </w:tc>
        <w:tc>
          <w:tcPr>
            <w:tcW w:w="1440" w:type="dxa"/>
            <w:vAlign w:val="bottom"/>
          </w:tcPr>
          <w:p w14:paraId="33D9FF8E" w14:textId="5BA276EA"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10</w:t>
            </w:r>
          </w:p>
        </w:tc>
        <w:tc>
          <w:tcPr>
            <w:tcW w:w="1440" w:type="dxa"/>
            <w:vAlign w:val="bottom"/>
          </w:tcPr>
          <w:p w14:paraId="4D2DB0F1" w14:textId="07EC6843"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10</w:t>
            </w:r>
          </w:p>
        </w:tc>
        <w:tc>
          <w:tcPr>
            <w:tcW w:w="1440" w:type="dxa"/>
            <w:vAlign w:val="bottom"/>
          </w:tcPr>
          <w:p w14:paraId="6CE9FCE4" w14:textId="2ED3A9B6"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10</w:t>
            </w:r>
          </w:p>
        </w:tc>
        <w:tc>
          <w:tcPr>
            <w:tcW w:w="1440" w:type="dxa"/>
            <w:vAlign w:val="bottom"/>
          </w:tcPr>
          <w:p w14:paraId="6E636EAA" w14:textId="43B4A3A7" w:rsidR="1E3C0721" w:rsidRPr="0062487B" w:rsidRDefault="3ABB72BE" w:rsidP="17D07F3A">
            <w:pPr>
              <w:jc w:val="right"/>
              <w:rPr>
                <w:rFonts w:asciiTheme="minorHAnsi" w:hAnsiTheme="minorHAnsi" w:cstheme="minorHAnsi"/>
                <w:color w:val="000000" w:themeColor="text1"/>
              </w:rPr>
            </w:pPr>
            <w:r w:rsidRPr="0062487B">
              <w:rPr>
                <w:rFonts w:asciiTheme="minorHAnsi" w:hAnsiTheme="minorHAnsi" w:cstheme="minorHAnsi"/>
                <w:color w:val="000000" w:themeColor="text1"/>
              </w:rPr>
              <w:t>0</w:t>
            </w:r>
            <w:r w:rsidR="5471560F" w:rsidRPr="0062487B">
              <w:rPr>
                <w:rFonts w:asciiTheme="minorHAnsi" w:hAnsiTheme="minorHAnsi" w:cstheme="minorHAnsi"/>
                <w:color w:val="000000" w:themeColor="text1"/>
              </w:rPr>
              <w:t>%</w:t>
            </w:r>
          </w:p>
        </w:tc>
      </w:tr>
      <w:tr w:rsidR="007133B9" w:rsidRPr="0062487B" w14:paraId="24D282BF" w14:textId="77777777" w:rsidTr="003D03E1">
        <w:tc>
          <w:tcPr>
            <w:tcW w:w="1440" w:type="dxa"/>
            <w:vAlign w:val="bottom"/>
          </w:tcPr>
          <w:p w14:paraId="41DCC516" w14:textId="77777777" w:rsidR="007133B9" w:rsidRPr="0062487B" w:rsidRDefault="007133B9" w:rsidP="007133B9">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18-44</w:t>
            </w:r>
          </w:p>
        </w:tc>
        <w:tc>
          <w:tcPr>
            <w:tcW w:w="1440" w:type="dxa"/>
            <w:vAlign w:val="bottom"/>
          </w:tcPr>
          <w:p w14:paraId="4D81AA9E" w14:textId="07C8C0FE"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1,347</w:t>
            </w:r>
          </w:p>
        </w:tc>
        <w:tc>
          <w:tcPr>
            <w:tcW w:w="1440" w:type="dxa"/>
            <w:vAlign w:val="bottom"/>
          </w:tcPr>
          <w:p w14:paraId="027B5023" w14:textId="1793825E"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1,472</w:t>
            </w:r>
          </w:p>
        </w:tc>
        <w:tc>
          <w:tcPr>
            <w:tcW w:w="1440" w:type="dxa"/>
            <w:vAlign w:val="bottom"/>
          </w:tcPr>
          <w:p w14:paraId="4FBDEEEF" w14:textId="59E4D03B"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1,520</w:t>
            </w:r>
          </w:p>
        </w:tc>
        <w:tc>
          <w:tcPr>
            <w:tcW w:w="1440" w:type="dxa"/>
            <w:vAlign w:val="bottom"/>
          </w:tcPr>
          <w:p w14:paraId="448424B6" w14:textId="5C61CD01"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1,567</w:t>
            </w:r>
          </w:p>
        </w:tc>
        <w:tc>
          <w:tcPr>
            <w:tcW w:w="1440" w:type="dxa"/>
            <w:vAlign w:val="bottom"/>
          </w:tcPr>
          <w:p w14:paraId="1C813B74" w14:textId="1132008D"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1,614</w:t>
            </w:r>
          </w:p>
        </w:tc>
        <w:tc>
          <w:tcPr>
            <w:tcW w:w="1440" w:type="dxa"/>
            <w:vAlign w:val="bottom"/>
          </w:tcPr>
          <w:p w14:paraId="73756F14" w14:textId="4FF3BCD1" w:rsidR="3573C325" w:rsidRPr="0062487B" w:rsidRDefault="33D14A79" w:rsidP="17D07F3A">
            <w:pPr>
              <w:jc w:val="right"/>
              <w:rPr>
                <w:rFonts w:asciiTheme="minorHAnsi" w:hAnsiTheme="minorHAnsi" w:cstheme="minorHAnsi"/>
                <w:color w:val="000000" w:themeColor="text1"/>
              </w:rPr>
            </w:pPr>
            <w:r w:rsidRPr="0062487B">
              <w:rPr>
                <w:rFonts w:asciiTheme="minorHAnsi" w:hAnsiTheme="minorHAnsi" w:cstheme="minorHAnsi"/>
                <w:color w:val="000000" w:themeColor="text1"/>
              </w:rPr>
              <w:t>20</w:t>
            </w:r>
            <w:r w:rsidR="4D190C4D" w:rsidRPr="0062487B">
              <w:rPr>
                <w:rFonts w:asciiTheme="minorHAnsi" w:hAnsiTheme="minorHAnsi" w:cstheme="minorHAnsi"/>
                <w:color w:val="000000" w:themeColor="text1"/>
              </w:rPr>
              <w:t>%</w:t>
            </w:r>
          </w:p>
        </w:tc>
      </w:tr>
      <w:tr w:rsidR="007133B9" w:rsidRPr="0062487B" w14:paraId="21EBFD3C" w14:textId="77777777" w:rsidTr="003D03E1">
        <w:tc>
          <w:tcPr>
            <w:tcW w:w="1440" w:type="dxa"/>
            <w:vAlign w:val="bottom"/>
          </w:tcPr>
          <w:p w14:paraId="3AEE964E" w14:textId="77777777" w:rsidR="007133B9" w:rsidRPr="0062487B" w:rsidRDefault="007133B9" w:rsidP="007133B9">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45-64</w:t>
            </w:r>
          </w:p>
        </w:tc>
        <w:tc>
          <w:tcPr>
            <w:tcW w:w="1440" w:type="dxa"/>
            <w:vAlign w:val="bottom"/>
          </w:tcPr>
          <w:p w14:paraId="6E08FBA9" w14:textId="67C0F676"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2,466</w:t>
            </w:r>
          </w:p>
        </w:tc>
        <w:tc>
          <w:tcPr>
            <w:tcW w:w="1440" w:type="dxa"/>
            <w:vAlign w:val="bottom"/>
          </w:tcPr>
          <w:p w14:paraId="69AB6D9D" w14:textId="786567AF"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2,753</w:t>
            </w:r>
          </w:p>
        </w:tc>
        <w:tc>
          <w:tcPr>
            <w:tcW w:w="1440" w:type="dxa"/>
            <w:vAlign w:val="bottom"/>
          </w:tcPr>
          <w:p w14:paraId="70991D8A" w14:textId="06C30C7A"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2,854</w:t>
            </w:r>
          </w:p>
        </w:tc>
        <w:tc>
          <w:tcPr>
            <w:tcW w:w="1440" w:type="dxa"/>
            <w:vAlign w:val="bottom"/>
          </w:tcPr>
          <w:p w14:paraId="3D0F1A7D" w14:textId="5280D557"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2,955</w:t>
            </w:r>
          </w:p>
        </w:tc>
        <w:tc>
          <w:tcPr>
            <w:tcW w:w="1440" w:type="dxa"/>
            <w:vAlign w:val="bottom"/>
          </w:tcPr>
          <w:p w14:paraId="077801DC" w14:textId="1B773164"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3,057</w:t>
            </w:r>
          </w:p>
        </w:tc>
        <w:tc>
          <w:tcPr>
            <w:tcW w:w="1440" w:type="dxa"/>
            <w:vAlign w:val="bottom"/>
          </w:tcPr>
          <w:p w14:paraId="5CD1E996" w14:textId="2BBAEC99" w:rsidR="4A315B48" w:rsidRPr="0062487B" w:rsidRDefault="5EF69CA5" w:rsidP="17D07F3A">
            <w:pPr>
              <w:jc w:val="right"/>
              <w:rPr>
                <w:rFonts w:asciiTheme="minorHAnsi" w:hAnsiTheme="minorHAnsi" w:cstheme="minorHAnsi"/>
                <w:color w:val="000000" w:themeColor="text1"/>
              </w:rPr>
            </w:pPr>
            <w:r w:rsidRPr="0062487B">
              <w:rPr>
                <w:rFonts w:asciiTheme="minorHAnsi" w:hAnsiTheme="minorHAnsi" w:cstheme="minorHAnsi"/>
                <w:color w:val="000000" w:themeColor="text1"/>
              </w:rPr>
              <w:t>24</w:t>
            </w:r>
            <w:r w:rsidR="6CE4CDFD" w:rsidRPr="0062487B">
              <w:rPr>
                <w:rFonts w:asciiTheme="minorHAnsi" w:hAnsiTheme="minorHAnsi" w:cstheme="minorHAnsi"/>
                <w:color w:val="000000" w:themeColor="text1"/>
              </w:rPr>
              <w:t>%</w:t>
            </w:r>
          </w:p>
        </w:tc>
      </w:tr>
      <w:tr w:rsidR="007133B9" w:rsidRPr="0062487B" w14:paraId="51C4B23B" w14:textId="77777777" w:rsidTr="003D03E1">
        <w:tc>
          <w:tcPr>
            <w:tcW w:w="1440" w:type="dxa"/>
            <w:vAlign w:val="bottom"/>
          </w:tcPr>
          <w:p w14:paraId="755EB5FE" w14:textId="55C90274" w:rsidR="007133B9" w:rsidRPr="0062487B" w:rsidRDefault="007133B9" w:rsidP="007133B9">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 xml:space="preserve">65 and </w:t>
            </w:r>
            <w:r w:rsidR="00B67C35">
              <w:rPr>
                <w:rFonts w:asciiTheme="minorHAnsi" w:eastAsiaTheme="minorHAnsi" w:hAnsiTheme="minorHAnsi" w:cstheme="minorHAnsi"/>
                <w:b/>
                <w:bCs/>
                <w:color w:val="000000" w:themeColor="text1"/>
              </w:rPr>
              <w:t>over</w:t>
            </w:r>
          </w:p>
        </w:tc>
        <w:tc>
          <w:tcPr>
            <w:tcW w:w="1440" w:type="dxa"/>
            <w:vAlign w:val="bottom"/>
          </w:tcPr>
          <w:p w14:paraId="4D78D140" w14:textId="2E922109"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2,273</w:t>
            </w:r>
          </w:p>
        </w:tc>
        <w:tc>
          <w:tcPr>
            <w:tcW w:w="1440" w:type="dxa"/>
            <w:vAlign w:val="bottom"/>
          </w:tcPr>
          <w:p w14:paraId="2F006762" w14:textId="1B71A488"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2,411</w:t>
            </w:r>
          </w:p>
        </w:tc>
        <w:tc>
          <w:tcPr>
            <w:tcW w:w="1440" w:type="dxa"/>
            <w:vAlign w:val="bottom"/>
          </w:tcPr>
          <w:p w14:paraId="3D8AD9FE" w14:textId="2C95A1FE"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2,558</w:t>
            </w:r>
          </w:p>
        </w:tc>
        <w:tc>
          <w:tcPr>
            <w:tcW w:w="1440" w:type="dxa"/>
            <w:vAlign w:val="bottom"/>
          </w:tcPr>
          <w:p w14:paraId="12D9B261" w14:textId="20A237DE"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2,710</w:t>
            </w:r>
          </w:p>
        </w:tc>
        <w:tc>
          <w:tcPr>
            <w:tcW w:w="1440" w:type="dxa"/>
            <w:vAlign w:val="bottom"/>
          </w:tcPr>
          <w:p w14:paraId="449CE331" w14:textId="3D04F0D3" w:rsidR="007133B9" w:rsidRPr="0062487B" w:rsidRDefault="007133B9" w:rsidP="007133B9">
            <w:pPr>
              <w:contextualSpacing/>
              <w:jc w:val="right"/>
              <w:rPr>
                <w:rFonts w:asciiTheme="minorHAnsi" w:hAnsiTheme="minorHAnsi" w:cstheme="minorHAnsi"/>
                <w:color w:val="000000" w:themeColor="text1"/>
              </w:rPr>
            </w:pPr>
            <w:r w:rsidRPr="0062487B">
              <w:rPr>
                <w:rFonts w:asciiTheme="minorHAnsi" w:hAnsiTheme="minorHAnsi" w:cstheme="minorHAnsi"/>
                <w:color w:val="000000"/>
              </w:rPr>
              <w:t>2,866</w:t>
            </w:r>
          </w:p>
        </w:tc>
        <w:tc>
          <w:tcPr>
            <w:tcW w:w="1440" w:type="dxa"/>
            <w:vAlign w:val="bottom"/>
          </w:tcPr>
          <w:p w14:paraId="79938D8D" w14:textId="1C99FD2A" w:rsidR="39E81061" w:rsidRPr="0062487B" w:rsidRDefault="567EDCBE" w:rsidP="17D07F3A">
            <w:pPr>
              <w:jc w:val="right"/>
              <w:rPr>
                <w:rFonts w:asciiTheme="minorHAnsi" w:hAnsiTheme="minorHAnsi" w:cstheme="minorHAnsi"/>
                <w:color w:val="000000" w:themeColor="text1"/>
              </w:rPr>
            </w:pPr>
            <w:r w:rsidRPr="0062487B">
              <w:rPr>
                <w:rFonts w:asciiTheme="minorHAnsi" w:hAnsiTheme="minorHAnsi" w:cstheme="minorHAnsi"/>
                <w:color w:val="000000" w:themeColor="text1"/>
              </w:rPr>
              <w:t>26</w:t>
            </w:r>
            <w:r w:rsidR="5A16CC87" w:rsidRPr="0062487B">
              <w:rPr>
                <w:rFonts w:asciiTheme="minorHAnsi" w:hAnsiTheme="minorHAnsi" w:cstheme="minorHAnsi"/>
                <w:color w:val="000000" w:themeColor="text1"/>
              </w:rPr>
              <w:t>%</w:t>
            </w:r>
          </w:p>
        </w:tc>
      </w:tr>
      <w:tr w:rsidR="007133B9" w:rsidRPr="0062487B" w14:paraId="51774344" w14:textId="77777777" w:rsidTr="003D03E1">
        <w:tc>
          <w:tcPr>
            <w:tcW w:w="1440" w:type="dxa"/>
            <w:vAlign w:val="bottom"/>
          </w:tcPr>
          <w:p w14:paraId="01F65CB3" w14:textId="77777777" w:rsidR="007133B9" w:rsidRPr="0062487B" w:rsidRDefault="007133B9" w:rsidP="007133B9">
            <w:pPr>
              <w:contextualSpacing/>
              <w:rPr>
                <w:rFonts w:asciiTheme="minorHAnsi" w:hAnsiTheme="minorHAnsi" w:cstheme="minorHAnsi"/>
                <w:b/>
                <w:bCs/>
                <w:color w:val="000000" w:themeColor="text1"/>
              </w:rPr>
            </w:pPr>
            <w:r w:rsidRPr="0062487B">
              <w:rPr>
                <w:rFonts w:asciiTheme="minorHAnsi" w:eastAsiaTheme="minorHAnsi" w:hAnsiTheme="minorHAnsi" w:cstheme="minorHAnsi"/>
                <w:b/>
                <w:bCs/>
                <w:color w:val="000000" w:themeColor="text1"/>
              </w:rPr>
              <w:t>Total</w:t>
            </w:r>
          </w:p>
        </w:tc>
        <w:tc>
          <w:tcPr>
            <w:tcW w:w="1440" w:type="dxa"/>
            <w:vAlign w:val="bottom"/>
          </w:tcPr>
          <w:p w14:paraId="634EFBA4" w14:textId="78E263BB" w:rsidR="007133B9" w:rsidRPr="0062487B" w:rsidRDefault="1EB0452A" w:rsidP="78F650E0">
            <w:pPr>
              <w:contextualSpacing/>
              <w:jc w:val="right"/>
              <w:rPr>
                <w:rFonts w:asciiTheme="minorHAnsi" w:hAnsiTheme="minorHAnsi" w:cstheme="minorBidi"/>
                <w:color w:val="000000" w:themeColor="text1"/>
              </w:rPr>
            </w:pPr>
            <w:r w:rsidRPr="78F650E0">
              <w:rPr>
                <w:rFonts w:asciiTheme="minorHAnsi" w:hAnsiTheme="minorHAnsi" w:cstheme="minorBidi"/>
                <w:b/>
                <w:bCs/>
                <w:color w:val="000000" w:themeColor="text1"/>
              </w:rPr>
              <w:t>6,096</w:t>
            </w:r>
          </w:p>
        </w:tc>
        <w:tc>
          <w:tcPr>
            <w:tcW w:w="1440" w:type="dxa"/>
            <w:vAlign w:val="bottom"/>
          </w:tcPr>
          <w:p w14:paraId="6818C0C2" w14:textId="13E0485F" w:rsidR="007133B9" w:rsidRPr="0062487B" w:rsidRDefault="1EB0452A" w:rsidP="78F650E0">
            <w:pPr>
              <w:contextualSpacing/>
              <w:jc w:val="right"/>
              <w:rPr>
                <w:rFonts w:asciiTheme="minorHAnsi" w:hAnsiTheme="minorHAnsi" w:cstheme="minorBidi"/>
                <w:color w:val="000000" w:themeColor="text1"/>
              </w:rPr>
            </w:pPr>
            <w:r w:rsidRPr="78F650E0">
              <w:rPr>
                <w:rFonts w:asciiTheme="minorHAnsi" w:hAnsiTheme="minorHAnsi" w:cstheme="minorBidi"/>
                <w:b/>
                <w:bCs/>
                <w:color w:val="000000" w:themeColor="text1"/>
              </w:rPr>
              <w:t>6,64</w:t>
            </w:r>
            <w:r w:rsidR="6BE80D63" w:rsidRPr="78F650E0">
              <w:rPr>
                <w:rFonts w:asciiTheme="minorHAnsi" w:hAnsiTheme="minorHAnsi" w:cstheme="minorBidi"/>
                <w:b/>
                <w:bCs/>
                <w:color w:val="000000" w:themeColor="text1"/>
              </w:rPr>
              <w:t>6</w:t>
            </w:r>
          </w:p>
        </w:tc>
        <w:tc>
          <w:tcPr>
            <w:tcW w:w="1440" w:type="dxa"/>
            <w:vAlign w:val="bottom"/>
          </w:tcPr>
          <w:p w14:paraId="18A7BED3" w14:textId="00C2EBFF" w:rsidR="007133B9" w:rsidRPr="0062487B" w:rsidRDefault="1EB0452A" w:rsidP="78F650E0">
            <w:pPr>
              <w:contextualSpacing/>
              <w:jc w:val="right"/>
              <w:rPr>
                <w:rFonts w:asciiTheme="minorHAnsi" w:hAnsiTheme="minorHAnsi" w:cstheme="minorBidi"/>
                <w:color w:val="000000" w:themeColor="text1"/>
              </w:rPr>
            </w:pPr>
            <w:r w:rsidRPr="78F650E0">
              <w:rPr>
                <w:rFonts w:asciiTheme="minorHAnsi" w:hAnsiTheme="minorHAnsi" w:cstheme="minorBidi"/>
                <w:b/>
                <w:bCs/>
                <w:color w:val="000000" w:themeColor="text1"/>
              </w:rPr>
              <w:t xml:space="preserve">          6,942</w:t>
            </w:r>
          </w:p>
        </w:tc>
        <w:tc>
          <w:tcPr>
            <w:tcW w:w="1440" w:type="dxa"/>
            <w:vAlign w:val="bottom"/>
          </w:tcPr>
          <w:p w14:paraId="76507127" w14:textId="0650115A" w:rsidR="007133B9" w:rsidRPr="0062487B" w:rsidRDefault="1EB0452A" w:rsidP="78F650E0">
            <w:pPr>
              <w:contextualSpacing/>
              <w:jc w:val="right"/>
              <w:rPr>
                <w:rFonts w:asciiTheme="minorHAnsi" w:hAnsiTheme="minorHAnsi" w:cstheme="minorBidi"/>
                <w:color w:val="000000" w:themeColor="text1"/>
              </w:rPr>
            </w:pPr>
            <w:r w:rsidRPr="78F650E0">
              <w:rPr>
                <w:rFonts w:asciiTheme="minorHAnsi" w:hAnsiTheme="minorHAnsi" w:cstheme="minorBidi"/>
                <w:b/>
                <w:bCs/>
                <w:color w:val="000000" w:themeColor="text1"/>
              </w:rPr>
              <w:t xml:space="preserve">           7,24</w:t>
            </w:r>
            <w:r w:rsidR="6BE80D63" w:rsidRPr="78F650E0">
              <w:rPr>
                <w:rFonts w:asciiTheme="minorHAnsi" w:hAnsiTheme="minorHAnsi" w:cstheme="minorBidi"/>
                <w:b/>
                <w:bCs/>
                <w:color w:val="000000" w:themeColor="text1"/>
              </w:rPr>
              <w:t>2</w:t>
            </w:r>
          </w:p>
        </w:tc>
        <w:tc>
          <w:tcPr>
            <w:tcW w:w="1440" w:type="dxa"/>
            <w:vAlign w:val="bottom"/>
          </w:tcPr>
          <w:p w14:paraId="0711D078" w14:textId="595D7C21" w:rsidR="007133B9" w:rsidRPr="0062487B" w:rsidRDefault="1EB0452A" w:rsidP="78F650E0">
            <w:pPr>
              <w:contextualSpacing/>
              <w:jc w:val="right"/>
              <w:rPr>
                <w:rFonts w:asciiTheme="minorHAnsi" w:hAnsiTheme="minorHAnsi" w:cstheme="minorBidi"/>
                <w:color w:val="000000" w:themeColor="text1"/>
              </w:rPr>
            </w:pPr>
            <w:r w:rsidRPr="78F650E0">
              <w:rPr>
                <w:rFonts w:asciiTheme="minorHAnsi" w:hAnsiTheme="minorHAnsi" w:cstheme="minorBidi"/>
                <w:b/>
                <w:bCs/>
                <w:color w:val="000000" w:themeColor="text1"/>
              </w:rPr>
              <w:t xml:space="preserve">          7,54</w:t>
            </w:r>
            <w:r w:rsidR="6BE80D63" w:rsidRPr="78F650E0">
              <w:rPr>
                <w:rFonts w:asciiTheme="minorHAnsi" w:hAnsiTheme="minorHAnsi" w:cstheme="minorBidi"/>
                <w:b/>
                <w:bCs/>
                <w:color w:val="000000" w:themeColor="text1"/>
              </w:rPr>
              <w:t>7</w:t>
            </w:r>
          </w:p>
        </w:tc>
        <w:tc>
          <w:tcPr>
            <w:tcW w:w="1440" w:type="dxa"/>
            <w:vAlign w:val="bottom"/>
          </w:tcPr>
          <w:p w14:paraId="07AB5A78" w14:textId="3426C141" w:rsidR="2307DFC0" w:rsidRPr="0062487B" w:rsidRDefault="6F9F6502" w:rsidP="78F650E0">
            <w:pPr>
              <w:jc w:val="right"/>
              <w:rPr>
                <w:rFonts w:asciiTheme="minorHAnsi" w:hAnsiTheme="minorHAnsi" w:cstheme="minorBidi"/>
                <w:b/>
                <w:bCs/>
                <w:color w:val="000000" w:themeColor="text1"/>
              </w:rPr>
            </w:pPr>
            <w:r w:rsidRPr="78F650E0">
              <w:rPr>
                <w:rFonts w:asciiTheme="minorHAnsi" w:hAnsiTheme="minorHAnsi" w:cstheme="minorBidi"/>
                <w:b/>
                <w:bCs/>
                <w:color w:val="000000" w:themeColor="text1"/>
              </w:rPr>
              <w:t xml:space="preserve">             24</w:t>
            </w:r>
            <w:r w:rsidR="13B6C6C3" w:rsidRPr="78F650E0">
              <w:rPr>
                <w:rFonts w:asciiTheme="minorHAnsi" w:hAnsiTheme="minorHAnsi" w:cstheme="minorBidi"/>
                <w:b/>
                <w:bCs/>
                <w:color w:val="000000" w:themeColor="text1"/>
              </w:rPr>
              <w:t>%</w:t>
            </w:r>
          </w:p>
        </w:tc>
      </w:tr>
    </w:tbl>
    <w:p w14:paraId="59637D21" w14:textId="64F5CC17" w:rsidR="00306467" w:rsidRPr="0062487B" w:rsidRDefault="00306467" w:rsidP="00306467">
      <w:pPr>
        <w:pStyle w:val="ListParagraph"/>
        <w:ind w:left="360"/>
        <w:rPr>
          <w:rFonts w:asciiTheme="minorHAnsi" w:hAnsiTheme="minorHAnsi" w:cstheme="minorHAnsi"/>
        </w:rPr>
      </w:pPr>
    </w:p>
    <w:p w14:paraId="7865315A" w14:textId="449C69A2" w:rsidR="00F57547" w:rsidRPr="0062487B" w:rsidRDefault="00F57547" w:rsidP="00F57547">
      <w:pPr>
        <w:pStyle w:val="ListParagraph"/>
        <w:ind w:left="0"/>
        <w:rPr>
          <w:rFonts w:asciiTheme="minorHAnsi" w:eastAsia="Calibri" w:hAnsiTheme="minorHAnsi" w:cstheme="minorHAnsi"/>
        </w:rPr>
      </w:pPr>
      <w:r w:rsidRPr="0062487B">
        <w:rPr>
          <w:rFonts w:asciiTheme="minorHAnsi" w:eastAsia="Calibri" w:hAnsiTheme="minorHAnsi" w:cstheme="minorHAnsi"/>
        </w:rPr>
        <w:t xml:space="preserve">The Applicant cites the following factors for expanding </w:t>
      </w:r>
      <w:r w:rsidR="00286002">
        <w:rPr>
          <w:rFonts w:asciiTheme="minorHAnsi" w:eastAsia="Calibri" w:hAnsiTheme="minorHAnsi" w:cstheme="minorHAnsi"/>
        </w:rPr>
        <w:t xml:space="preserve">and </w:t>
      </w:r>
      <w:r w:rsidR="00286002" w:rsidRPr="0062487B">
        <w:rPr>
          <w:rFonts w:asciiTheme="minorHAnsi" w:eastAsia="Calibri" w:hAnsiTheme="minorHAnsi" w:cstheme="minorHAnsi"/>
        </w:rPr>
        <w:t xml:space="preserve">renovating </w:t>
      </w:r>
      <w:r w:rsidRPr="0062487B">
        <w:rPr>
          <w:rFonts w:asciiTheme="minorHAnsi" w:eastAsia="Calibri" w:hAnsiTheme="minorHAnsi" w:cstheme="minorHAnsi"/>
        </w:rPr>
        <w:t>imaging services:</w:t>
      </w:r>
    </w:p>
    <w:p w14:paraId="4680E014" w14:textId="3E6989BC" w:rsidR="00A70228" w:rsidRPr="0062487B" w:rsidRDefault="00A70228" w:rsidP="00EB5776">
      <w:pPr>
        <w:pStyle w:val="ListParagraph"/>
        <w:numPr>
          <w:ilvl w:val="0"/>
          <w:numId w:val="12"/>
        </w:numPr>
        <w:rPr>
          <w:rFonts w:asciiTheme="minorHAnsi" w:hAnsiTheme="minorHAnsi" w:cstheme="minorHAnsi"/>
        </w:rPr>
      </w:pPr>
    </w:p>
    <w:p w14:paraId="228447F9" w14:textId="77777777" w:rsidR="00A70228" w:rsidRPr="0062487B" w:rsidRDefault="00A70228" w:rsidP="00A70228">
      <w:pPr>
        <w:pStyle w:val="ListParagraph"/>
        <w:rPr>
          <w:rFonts w:asciiTheme="minorHAnsi" w:hAnsiTheme="minorHAnsi" w:cstheme="minorHAnsi"/>
        </w:rPr>
      </w:pPr>
    </w:p>
    <w:p w14:paraId="0B5D5D63" w14:textId="340C764C" w:rsidR="00F57547" w:rsidRPr="0062487B" w:rsidRDefault="7B666432" w:rsidP="00EB5776">
      <w:pPr>
        <w:pStyle w:val="ListParagraph"/>
        <w:numPr>
          <w:ilvl w:val="0"/>
          <w:numId w:val="12"/>
        </w:numPr>
        <w:rPr>
          <w:rFonts w:asciiTheme="minorHAnsi" w:hAnsiTheme="minorHAnsi" w:cstheme="minorBidi"/>
        </w:rPr>
      </w:pPr>
      <w:r w:rsidRPr="78F650E0">
        <w:rPr>
          <w:rFonts w:asciiTheme="minorHAnsi" w:hAnsiTheme="minorHAnsi" w:cstheme="minorBidi"/>
          <w:u w:val="single"/>
        </w:rPr>
        <w:t xml:space="preserve">Limited MRI capacity </w:t>
      </w:r>
      <w:r w:rsidR="3F722FE2" w:rsidRPr="78F650E0">
        <w:rPr>
          <w:rFonts w:asciiTheme="minorHAnsi" w:hAnsiTheme="minorHAnsi" w:cstheme="minorBidi"/>
          <w:u w:val="single"/>
        </w:rPr>
        <w:t xml:space="preserve">at BWFH </w:t>
      </w:r>
      <w:r w:rsidRPr="78F650E0">
        <w:rPr>
          <w:rFonts w:asciiTheme="minorHAnsi" w:hAnsiTheme="minorHAnsi" w:cstheme="minorBidi"/>
          <w:u w:val="single"/>
        </w:rPr>
        <w:t>to meet Patient Panel needs resulting in increased wait times:</w:t>
      </w:r>
      <w:r w:rsidRPr="78F650E0">
        <w:rPr>
          <w:rFonts w:asciiTheme="minorHAnsi" w:hAnsiTheme="minorHAnsi" w:cstheme="minorBidi"/>
        </w:rPr>
        <w:t xml:space="preserve"> BWFH currently has one</w:t>
      </w:r>
      <w:r w:rsidR="706FDCC7" w:rsidRPr="78F650E0">
        <w:rPr>
          <w:rFonts w:asciiTheme="minorHAnsi" w:hAnsiTheme="minorHAnsi" w:cstheme="minorBidi"/>
        </w:rPr>
        <w:t xml:space="preserve"> 1.5T</w:t>
      </w:r>
      <w:r w:rsidRPr="78F650E0">
        <w:rPr>
          <w:rFonts w:asciiTheme="minorHAnsi" w:hAnsiTheme="minorHAnsi" w:cstheme="minorBidi"/>
        </w:rPr>
        <w:t xml:space="preserve"> MRI unit that is</w:t>
      </w:r>
      <w:r w:rsidR="706FDCC7" w:rsidRPr="78F650E0">
        <w:rPr>
          <w:rFonts w:asciiTheme="minorHAnsi" w:hAnsiTheme="minorHAnsi" w:cstheme="minorBidi"/>
        </w:rPr>
        <w:t xml:space="preserve"> utilized for</w:t>
      </w:r>
      <w:r w:rsidR="00C70196">
        <w:rPr>
          <w:rFonts w:asciiTheme="minorHAnsi" w:hAnsiTheme="minorHAnsi" w:cstheme="minorBidi"/>
        </w:rPr>
        <w:t xml:space="preserve"> the</w:t>
      </w:r>
      <w:r w:rsidR="706FDCC7" w:rsidRPr="78F650E0">
        <w:rPr>
          <w:rFonts w:asciiTheme="minorHAnsi" w:hAnsiTheme="minorHAnsi" w:cstheme="minorBidi"/>
        </w:rPr>
        <w:t xml:space="preserve"> ED, </w:t>
      </w:r>
      <w:proofErr w:type="gramStart"/>
      <w:r w:rsidR="706FDCC7" w:rsidRPr="78F650E0">
        <w:rPr>
          <w:rFonts w:asciiTheme="minorHAnsi" w:hAnsiTheme="minorHAnsi" w:cstheme="minorBidi"/>
        </w:rPr>
        <w:t>inpatients</w:t>
      </w:r>
      <w:proofErr w:type="gramEnd"/>
      <w:r w:rsidR="706FDCC7" w:rsidRPr="78F650E0">
        <w:rPr>
          <w:rFonts w:asciiTheme="minorHAnsi" w:hAnsiTheme="minorHAnsi" w:cstheme="minorBidi"/>
        </w:rPr>
        <w:t xml:space="preserve"> and outpatients.</w:t>
      </w:r>
      <w:r w:rsidRPr="78F650E0">
        <w:rPr>
          <w:rFonts w:asciiTheme="minorHAnsi" w:hAnsiTheme="minorHAnsi" w:cstheme="minorBidi"/>
        </w:rPr>
        <w:t xml:space="preserve"> High utilization and demand for imaging has led to long wait times. In FY19, the MRI operated at 93% capacity overall and 96% during prime-time business hours. That same year, average wait times </w:t>
      </w:r>
      <w:r w:rsidR="6BF26318" w:rsidRPr="78F650E0">
        <w:rPr>
          <w:rFonts w:asciiTheme="minorHAnsi" w:hAnsiTheme="minorHAnsi" w:cstheme="minorBidi"/>
        </w:rPr>
        <w:t xml:space="preserve">for imaging </w:t>
      </w:r>
      <w:r w:rsidR="5991C3EB" w:rsidRPr="78F650E0">
        <w:rPr>
          <w:rFonts w:asciiTheme="minorHAnsi" w:hAnsiTheme="minorHAnsi" w:cstheme="minorBidi"/>
        </w:rPr>
        <w:t xml:space="preserve">at BWFH </w:t>
      </w:r>
      <w:r w:rsidR="6BF26318" w:rsidRPr="78F650E0">
        <w:rPr>
          <w:rFonts w:asciiTheme="minorHAnsi" w:hAnsiTheme="minorHAnsi" w:cstheme="minorBidi"/>
        </w:rPr>
        <w:t>were</w:t>
      </w:r>
      <w:r w:rsidRPr="78F650E0">
        <w:rPr>
          <w:rFonts w:asciiTheme="minorHAnsi" w:hAnsiTheme="minorHAnsi" w:cstheme="minorBidi"/>
        </w:rPr>
        <w:t xml:space="preserve"> 3.5 hours for inpatients, 9.2 hours for ED patients, and 22 days for outpatients.</w:t>
      </w:r>
      <w:r w:rsidR="3B77526E" w:rsidRPr="78F650E0">
        <w:rPr>
          <w:rFonts w:asciiTheme="minorHAnsi" w:hAnsiTheme="minorHAnsi" w:cstheme="minorBidi"/>
        </w:rPr>
        <w:t xml:space="preserve"> Though BWFH has extended hours of operation</w:t>
      </w:r>
      <w:r w:rsidR="4C906431" w:rsidRPr="78F650E0">
        <w:rPr>
          <w:rFonts w:asciiTheme="minorHAnsi" w:hAnsiTheme="minorHAnsi" w:cstheme="minorBidi"/>
        </w:rPr>
        <w:t xml:space="preserve"> for its MRI unit</w:t>
      </w:r>
      <w:r w:rsidR="3B77526E" w:rsidRPr="78F650E0">
        <w:rPr>
          <w:rFonts w:asciiTheme="minorHAnsi" w:hAnsiTheme="minorHAnsi" w:cstheme="minorBidi"/>
        </w:rPr>
        <w:t xml:space="preserve"> (Monday-Sunday 6:30am-11:00pm), access issues persist. </w:t>
      </w:r>
      <w:r w:rsidR="567491FE" w:rsidRPr="78F650E0">
        <w:rPr>
          <w:rFonts w:asciiTheme="minorHAnsi" w:hAnsiTheme="minorHAnsi" w:cstheme="minorBidi"/>
        </w:rPr>
        <w:t xml:space="preserve">An additional MRI unit can </w:t>
      </w:r>
      <w:r w:rsidR="00286002">
        <w:rPr>
          <w:rFonts w:asciiTheme="minorHAnsi" w:hAnsiTheme="minorHAnsi" w:cstheme="minorBidi"/>
        </w:rPr>
        <w:t>help mitigate</w:t>
      </w:r>
      <w:r w:rsidR="00286002" w:rsidRPr="78F650E0">
        <w:rPr>
          <w:rFonts w:asciiTheme="minorHAnsi" w:hAnsiTheme="minorHAnsi" w:cstheme="minorBidi"/>
        </w:rPr>
        <w:t xml:space="preserve"> </w:t>
      </w:r>
      <w:r w:rsidR="00286002">
        <w:rPr>
          <w:rFonts w:asciiTheme="minorHAnsi" w:hAnsiTheme="minorHAnsi" w:cstheme="minorBidi"/>
        </w:rPr>
        <w:t xml:space="preserve">wait times </w:t>
      </w:r>
      <w:r w:rsidR="567491FE" w:rsidRPr="78F650E0">
        <w:rPr>
          <w:rFonts w:asciiTheme="minorHAnsi" w:hAnsiTheme="minorHAnsi" w:cstheme="minorBidi"/>
        </w:rPr>
        <w:t xml:space="preserve">for all patients, especially inpatients and ED patients, </w:t>
      </w:r>
      <w:r w:rsidR="663CEBB7" w:rsidRPr="78F650E0">
        <w:rPr>
          <w:rFonts w:asciiTheme="minorHAnsi" w:hAnsiTheme="minorHAnsi" w:cstheme="minorBidi"/>
        </w:rPr>
        <w:t xml:space="preserve">and can also ensure access to MRI </w:t>
      </w:r>
      <w:r w:rsidR="567491FE" w:rsidRPr="78F650E0">
        <w:rPr>
          <w:rFonts w:asciiTheme="minorHAnsi" w:hAnsiTheme="minorHAnsi" w:cstheme="minorBidi"/>
        </w:rPr>
        <w:t>if the current MRI unit has scheduled maintenance or there is unexpected downtime.</w:t>
      </w:r>
    </w:p>
    <w:p w14:paraId="7452A21A" w14:textId="592DA631" w:rsidR="00E50639" w:rsidRPr="0062487B" w:rsidRDefault="00E50639" w:rsidP="00E50639">
      <w:pPr>
        <w:rPr>
          <w:rFonts w:asciiTheme="minorHAnsi" w:hAnsiTheme="minorHAnsi" w:cstheme="minorHAnsi"/>
        </w:rPr>
      </w:pPr>
    </w:p>
    <w:p w14:paraId="4482D7D8" w14:textId="48D279B8" w:rsidR="00E50639" w:rsidRPr="0062487B" w:rsidRDefault="0D6998D4" w:rsidP="00EB5776">
      <w:pPr>
        <w:pStyle w:val="ListParagraph"/>
        <w:numPr>
          <w:ilvl w:val="0"/>
          <w:numId w:val="12"/>
        </w:numPr>
        <w:rPr>
          <w:rFonts w:asciiTheme="minorHAnsi" w:eastAsiaTheme="minorEastAsia" w:hAnsiTheme="minorHAnsi" w:cstheme="minorBidi"/>
        </w:rPr>
      </w:pPr>
      <w:r w:rsidRPr="78F650E0">
        <w:rPr>
          <w:rFonts w:asciiTheme="minorHAnsi" w:hAnsiTheme="minorHAnsi" w:cstheme="minorBidi"/>
          <w:u w:val="single"/>
        </w:rPr>
        <w:t>Need for advanced imaging</w:t>
      </w:r>
      <w:r w:rsidR="2F68E020" w:rsidRPr="78F650E0">
        <w:rPr>
          <w:rFonts w:asciiTheme="minorHAnsi" w:hAnsiTheme="minorHAnsi" w:cstheme="minorBidi"/>
          <w:u w:val="single"/>
        </w:rPr>
        <w:t xml:space="preserve"> for better diagnostics and care efficiencies</w:t>
      </w:r>
      <w:r w:rsidR="5912DEF8" w:rsidRPr="78F650E0">
        <w:rPr>
          <w:rFonts w:asciiTheme="minorHAnsi" w:hAnsiTheme="minorHAnsi" w:cstheme="minorBidi"/>
          <w:u w:val="single"/>
        </w:rPr>
        <w:t xml:space="preserve"> with on-campus access</w:t>
      </w:r>
      <w:r w:rsidRPr="78F650E0">
        <w:rPr>
          <w:rFonts w:asciiTheme="minorHAnsi" w:hAnsiTheme="minorHAnsi" w:cstheme="minorBidi"/>
          <w:u w:val="single"/>
        </w:rPr>
        <w:t>:</w:t>
      </w:r>
      <w:r w:rsidRPr="78F650E0">
        <w:rPr>
          <w:rFonts w:asciiTheme="minorHAnsi" w:hAnsiTheme="minorHAnsi" w:cstheme="minorBidi"/>
        </w:rPr>
        <w:t xml:space="preserve"> </w:t>
      </w:r>
      <w:r w:rsidR="040223BF" w:rsidRPr="78F650E0">
        <w:rPr>
          <w:rFonts w:asciiTheme="minorHAnsi" w:hAnsiTheme="minorHAnsi" w:cstheme="minorBidi"/>
        </w:rPr>
        <w:t xml:space="preserve">For certain clinical indications, </w:t>
      </w:r>
      <w:r w:rsidR="61C4490E" w:rsidRPr="78F650E0">
        <w:rPr>
          <w:rFonts w:asciiTheme="minorHAnsi" w:hAnsiTheme="minorHAnsi" w:cstheme="minorBidi"/>
        </w:rPr>
        <w:t xml:space="preserve">3T MRI provides better diagnostic imaging exams </w:t>
      </w:r>
      <w:r w:rsidR="7DE3353A" w:rsidRPr="78F650E0">
        <w:rPr>
          <w:rFonts w:asciiTheme="minorHAnsi" w:hAnsiTheme="minorHAnsi" w:cstheme="minorBidi"/>
        </w:rPr>
        <w:t>than</w:t>
      </w:r>
      <w:r w:rsidR="237DD741" w:rsidRPr="78F650E0">
        <w:rPr>
          <w:rFonts w:asciiTheme="minorHAnsi" w:hAnsiTheme="minorHAnsi" w:cstheme="minorBidi"/>
        </w:rPr>
        <w:t xml:space="preserve"> 1</w:t>
      </w:r>
      <w:r w:rsidR="61C4490E" w:rsidRPr="78F650E0">
        <w:rPr>
          <w:rFonts w:asciiTheme="minorHAnsi" w:hAnsiTheme="minorHAnsi" w:cstheme="minorBidi"/>
        </w:rPr>
        <w:t>.5T MRI. Currently, BWFH depend</w:t>
      </w:r>
      <w:r w:rsidR="05F44B2E" w:rsidRPr="78F650E0">
        <w:rPr>
          <w:rFonts w:asciiTheme="minorHAnsi" w:hAnsiTheme="minorHAnsi" w:cstheme="minorBidi"/>
        </w:rPr>
        <w:t>s</w:t>
      </w:r>
      <w:r w:rsidR="61C4490E" w:rsidRPr="78F650E0">
        <w:rPr>
          <w:rFonts w:asciiTheme="minorHAnsi" w:hAnsiTheme="minorHAnsi" w:cstheme="minorBidi"/>
        </w:rPr>
        <w:t xml:space="preserve"> on </w:t>
      </w:r>
      <w:r w:rsidR="7DE3353A" w:rsidRPr="78F650E0">
        <w:rPr>
          <w:rFonts w:asciiTheme="minorHAnsi" w:hAnsiTheme="minorHAnsi" w:cstheme="minorBidi"/>
        </w:rPr>
        <w:t>a</w:t>
      </w:r>
      <w:r w:rsidR="61C4490E" w:rsidRPr="78F650E0">
        <w:rPr>
          <w:rFonts w:asciiTheme="minorHAnsi" w:hAnsiTheme="minorHAnsi" w:cstheme="minorBidi"/>
        </w:rPr>
        <w:t xml:space="preserve"> 1.5T MRI </w:t>
      </w:r>
      <w:r w:rsidR="7696A735" w:rsidRPr="78F650E0">
        <w:rPr>
          <w:rFonts w:asciiTheme="minorHAnsi" w:hAnsiTheme="minorHAnsi" w:cstheme="minorBidi"/>
        </w:rPr>
        <w:t>which</w:t>
      </w:r>
      <w:r w:rsidR="61C4490E" w:rsidRPr="78F650E0">
        <w:rPr>
          <w:rFonts w:asciiTheme="minorHAnsi" w:hAnsiTheme="minorHAnsi" w:cstheme="minorBidi"/>
        </w:rPr>
        <w:t xml:space="preserve"> </w:t>
      </w:r>
      <w:r w:rsidR="05F44B2E" w:rsidRPr="78F650E0">
        <w:rPr>
          <w:rFonts w:asciiTheme="minorHAnsi" w:hAnsiTheme="minorHAnsi" w:cstheme="minorBidi"/>
        </w:rPr>
        <w:t xml:space="preserve">in some instances </w:t>
      </w:r>
      <w:r w:rsidR="61C4490E" w:rsidRPr="78F650E0">
        <w:rPr>
          <w:rFonts w:asciiTheme="minorHAnsi" w:hAnsiTheme="minorHAnsi" w:cstheme="minorBidi"/>
        </w:rPr>
        <w:t>provide</w:t>
      </w:r>
      <w:r w:rsidR="05F44B2E" w:rsidRPr="78F650E0">
        <w:rPr>
          <w:rFonts w:asciiTheme="minorHAnsi" w:hAnsiTheme="minorHAnsi" w:cstheme="minorBidi"/>
        </w:rPr>
        <w:t>s</w:t>
      </w:r>
      <w:r w:rsidR="61C4490E" w:rsidRPr="78F650E0">
        <w:rPr>
          <w:rFonts w:asciiTheme="minorHAnsi" w:hAnsiTheme="minorHAnsi" w:cstheme="minorBidi"/>
        </w:rPr>
        <w:t xml:space="preserve"> insufficient images for diagnosis and treatment of the patient’s condition</w:t>
      </w:r>
      <w:r w:rsidR="40B45A2C" w:rsidRPr="78F650E0">
        <w:rPr>
          <w:rFonts w:asciiTheme="minorHAnsi" w:hAnsiTheme="minorHAnsi" w:cstheme="minorBidi"/>
        </w:rPr>
        <w:t>. When additional imaging is needed due to an insufficient image, further costs are incurred to get a second scan.</w:t>
      </w:r>
      <w:r w:rsidR="7DE3353A" w:rsidRPr="78F650E0">
        <w:rPr>
          <w:rFonts w:asciiTheme="minorHAnsi" w:hAnsiTheme="minorHAnsi" w:cstheme="minorBidi"/>
        </w:rPr>
        <w:t xml:space="preserve"> </w:t>
      </w:r>
      <w:r w:rsidR="38C978F4" w:rsidRPr="78F650E0">
        <w:rPr>
          <w:rFonts w:asciiTheme="minorHAnsi" w:hAnsiTheme="minorHAnsi" w:cstheme="minorBidi"/>
        </w:rPr>
        <w:t xml:space="preserve">Patients at BWFH who require 3T imaging </w:t>
      </w:r>
      <w:r w:rsidR="2B5DF48C" w:rsidRPr="78F650E0">
        <w:rPr>
          <w:rFonts w:asciiTheme="minorHAnsi" w:hAnsiTheme="minorHAnsi" w:cstheme="minorBidi"/>
        </w:rPr>
        <w:t xml:space="preserve">must be </w:t>
      </w:r>
      <w:r w:rsidR="38C978F4" w:rsidRPr="78F650E0">
        <w:rPr>
          <w:rFonts w:asciiTheme="minorHAnsi" w:hAnsiTheme="minorHAnsi" w:cstheme="minorBidi"/>
        </w:rPr>
        <w:t>transport</w:t>
      </w:r>
      <w:r w:rsidR="171C7735" w:rsidRPr="78F650E0">
        <w:rPr>
          <w:rFonts w:asciiTheme="minorHAnsi" w:hAnsiTheme="minorHAnsi" w:cstheme="minorBidi"/>
        </w:rPr>
        <w:t>ed</w:t>
      </w:r>
      <w:r w:rsidR="38C978F4" w:rsidRPr="78F650E0">
        <w:rPr>
          <w:rFonts w:asciiTheme="minorHAnsi" w:hAnsiTheme="minorHAnsi" w:cstheme="minorBidi"/>
        </w:rPr>
        <w:t xml:space="preserve"> via ambulance off-site, </w:t>
      </w:r>
      <w:r w:rsidR="61C4490E" w:rsidRPr="78F650E0">
        <w:rPr>
          <w:rFonts w:asciiTheme="minorHAnsi" w:hAnsiTheme="minorHAnsi" w:cstheme="minorBidi"/>
        </w:rPr>
        <w:t>within the MGB system</w:t>
      </w:r>
      <w:r w:rsidR="2563B5B8" w:rsidRPr="78F650E0">
        <w:rPr>
          <w:rFonts w:asciiTheme="minorHAnsi" w:hAnsiTheme="minorHAnsi" w:cstheme="minorBidi"/>
        </w:rPr>
        <w:t>,</w:t>
      </w:r>
      <w:r w:rsidR="6BF5C54C" w:rsidRPr="78F650E0">
        <w:rPr>
          <w:rFonts w:asciiTheme="minorHAnsi" w:hAnsiTheme="minorHAnsi" w:cstheme="minorBidi"/>
        </w:rPr>
        <w:t xml:space="preserve"> which is costly, inefficient</w:t>
      </w:r>
      <w:r w:rsidR="00634F27">
        <w:rPr>
          <w:rFonts w:asciiTheme="minorHAnsi" w:hAnsiTheme="minorHAnsi" w:cstheme="minorBidi"/>
        </w:rPr>
        <w:t xml:space="preserve">, </w:t>
      </w:r>
      <w:r w:rsidR="29F7333A" w:rsidRPr="78F650E0">
        <w:rPr>
          <w:rFonts w:asciiTheme="minorHAnsi" w:hAnsiTheme="minorHAnsi" w:cstheme="minorBidi"/>
        </w:rPr>
        <w:t xml:space="preserve">introduces </w:t>
      </w:r>
      <w:r w:rsidR="6BF5C54C" w:rsidRPr="78F650E0">
        <w:rPr>
          <w:rFonts w:asciiTheme="minorHAnsi" w:hAnsiTheme="minorHAnsi" w:cstheme="minorBidi"/>
        </w:rPr>
        <w:t>increase</w:t>
      </w:r>
      <w:r w:rsidR="29F7333A" w:rsidRPr="78F650E0">
        <w:rPr>
          <w:rFonts w:asciiTheme="minorHAnsi" w:hAnsiTheme="minorHAnsi" w:cstheme="minorBidi"/>
        </w:rPr>
        <w:t>d</w:t>
      </w:r>
      <w:r w:rsidR="6BF5C54C" w:rsidRPr="78F650E0">
        <w:rPr>
          <w:rFonts w:asciiTheme="minorHAnsi" w:hAnsiTheme="minorHAnsi" w:cstheme="minorBidi"/>
        </w:rPr>
        <w:t xml:space="preserve"> risk </w:t>
      </w:r>
      <w:r w:rsidR="48E1925A" w:rsidRPr="78F650E0">
        <w:rPr>
          <w:rFonts w:asciiTheme="minorHAnsi" w:hAnsiTheme="minorHAnsi" w:cstheme="minorBidi"/>
        </w:rPr>
        <w:t xml:space="preserve">and/or delay </w:t>
      </w:r>
      <w:r w:rsidR="6BF5C54C" w:rsidRPr="78F650E0">
        <w:rPr>
          <w:rFonts w:asciiTheme="minorHAnsi" w:hAnsiTheme="minorHAnsi" w:cstheme="minorBidi"/>
        </w:rPr>
        <w:t>for patients</w:t>
      </w:r>
      <w:r w:rsidR="2563B5B8" w:rsidRPr="78F650E0">
        <w:rPr>
          <w:rFonts w:asciiTheme="minorHAnsi" w:hAnsiTheme="minorHAnsi" w:cstheme="minorBidi"/>
        </w:rPr>
        <w:t xml:space="preserve">, </w:t>
      </w:r>
      <w:r w:rsidR="3F337F95" w:rsidRPr="78F650E0">
        <w:rPr>
          <w:rFonts w:asciiTheme="minorHAnsi" w:hAnsiTheme="minorHAnsi" w:cstheme="minorBidi"/>
        </w:rPr>
        <w:t xml:space="preserve">and generally </w:t>
      </w:r>
      <w:r w:rsidR="2563B5B8" w:rsidRPr="78F650E0">
        <w:rPr>
          <w:rFonts w:asciiTheme="minorHAnsi" w:hAnsiTheme="minorHAnsi" w:cstheme="minorBidi"/>
        </w:rPr>
        <w:t>impact</w:t>
      </w:r>
      <w:r w:rsidR="239DF3A8" w:rsidRPr="78F650E0">
        <w:rPr>
          <w:rFonts w:asciiTheme="minorHAnsi" w:hAnsiTheme="minorHAnsi" w:cstheme="minorBidi"/>
        </w:rPr>
        <w:t>s</w:t>
      </w:r>
      <w:r w:rsidR="2563B5B8" w:rsidRPr="78F650E0">
        <w:rPr>
          <w:rFonts w:asciiTheme="minorHAnsi" w:hAnsiTheme="minorHAnsi" w:cstheme="minorBidi"/>
        </w:rPr>
        <w:t xml:space="preserve"> both</w:t>
      </w:r>
      <w:r w:rsidR="6BF5C54C" w:rsidRPr="78F650E0">
        <w:rPr>
          <w:rFonts w:asciiTheme="minorHAnsi" w:hAnsiTheme="minorHAnsi" w:cstheme="minorBidi"/>
        </w:rPr>
        <w:t xml:space="preserve"> patient care and experience</w:t>
      </w:r>
      <w:r w:rsidR="29F7333A" w:rsidRPr="78F650E0">
        <w:rPr>
          <w:rFonts w:asciiTheme="minorHAnsi" w:hAnsiTheme="minorHAnsi" w:cstheme="minorBidi"/>
        </w:rPr>
        <w:t xml:space="preserve">. </w:t>
      </w:r>
      <w:r w:rsidR="3980BA8B" w:rsidRPr="78F650E0">
        <w:rPr>
          <w:rFonts w:asciiTheme="minorHAnsi" w:hAnsiTheme="minorHAnsi" w:cstheme="minorBidi"/>
        </w:rPr>
        <w:t xml:space="preserve">With the availability of the 3T MRI, clinicians will be able to </w:t>
      </w:r>
      <w:r w:rsidR="3980BA8B" w:rsidRPr="78F650E0">
        <w:rPr>
          <w:rFonts w:asciiTheme="minorHAnsi" w:hAnsiTheme="minorHAnsi" w:cstheme="minorBidi"/>
        </w:rPr>
        <w:lastRenderedPageBreak/>
        <w:t>consider clinical appropriateness and availability when determining the MRI scanner type that will best meet the needs of the patient.</w:t>
      </w:r>
      <w:r w:rsidR="61C4490E" w:rsidRPr="78F650E0">
        <w:rPr>
          <w:rFonts w:asciiTheme="minorHAnsi" w:hAnsiTheme="minorHAnsi" w:cstheme="minorBidi"/>
        </w:rPr>
        <w:t xml:space="preserve"> </w:t>
      </w:r>
      <w:r w:rsidR="29F7333A" w:rsidRPr="78F650E0">
        <w:rPr>
          <w:rFonts w:asciiTheme="minorHAnsi" w:hAnsiTheme="minorHAnsi" w:cstheme="minorBidi"/>
        </w:rPr>
        <w:t>BWFH projects that 59% of E</w:t>
      </w:r>
      <w:r w:rsidR="00634F27">
        <w:rPr>
          <w:rFonts w:asciiTheme="minorHAnsi" w:hAnsiTheme="minorHAnsi" w:cstheme="minorBidi"/>
        </w:rPr>
        <w:t>D</w:t>
      </w:r>
      <w:r w:rsidR="29F7333A" w:rsidRPr="78F650E0">
        <w:rPr>
          <w:rFonts w:asciiTheme="minorHAnsi" w:hAnsiTheme="minorHAnsi" w:cstheme="minorBidi"/>
        </w:rPr>
        <w:t xml:space="preserve"> MRI volume and 54% of inpatient MRI volume will be performed on the current 1.5T scanner, and 41% of </w:t>
      </w:r>
      <w:r w:rsidR="00634F27">
        <w:rPr>
          <w:rFonts w:asciiTheme="minorHAnsi" w:hAnsiTheme="minorHAnsi" w:cstheme="minorBidi"/>
        </w:rPr>
        <w:t>ED</w:t>
      </w:r>
      <w:r w:rsidR="29F7333A" w:rsidRPr="78F650E0">
        <w:rPr>
          <w:rFonts w:asciiTheme="minorHAnsi" w:hAnsiTheme="minorHAnsi" w:cstheme="minorBidi"/>
        </w:rPr>
        <w:t xml:space="preserve"> MRI volume and 46% of inpatient MRI volume will be performed on the new 3T scanner.</w:t>
      </w:r>
    </w:p>
    <w:p w14:paraId="4A2BCB0A" w14:textId="1C079B1E" w:rsidR="00F57547" w:rsidRPr="0062487B" w:rsidRDefault="00F57547" w:rsidP="00306467">
      <w:pPr>
        <w:pStyle w:val="ListParagraph"/>
        <w:ind w:left="360"/>
        <w:rPr>
          <w:rFonts w:asciiTheme="minorHAnsi" w:hAnsiTheme="minorHAnsi" w:cstheme="minorHAnsi"/>
        </w:rPr>
      </w:pPr>
    </w:p>
    <w:p w14:paraId="6AD69DB2" w14:textId="7DF98D81" w:rsidR="00F57547" w:rsidRPr="0062487B" w:rsidRDefault="4EE951DC" w:rsidP="00EB5776">
      <w:pPr>
        <w:pStyle w:val="ListParagraph"/>
        <w:numPr>
          <w:ilvl w:val="0"/>
          <w:numId w:val="12"/>
        </w:numPr>
        <w:rPr>
          <w:rFonts w:asciiTheme="minorHAnsi" w:hAnsiTheme="minorHAnsi" w:cstheme="minorHAnsi"/>
          <w:color w:val="000000" w:themeColor="text1"/>
        </w:rPr>
      </w:pPr>
      <w:r w:rsidRPr="0062487B">
        <w:rPr>
          <w:rFonts w:asciiTheme="minorHAnsi" w:hAnsiTheme="minorHAnsi" w:cstheme="minorHAnsi"/>
          <w:color w:val="000000" w:themeColor="text1"/>
          <w:u w:val="single"/>
        </w:rPr>
        <w:t>Meet the needs of the aging Patient Panel:</w:t>
      </w:r>
      <w:r w:rsidR="30C3A1A9" w:rsidRPr="0062487B">
        <w:rPr>
          <w:rFonts w:asciiTheme="minorHAnsi" w:hAnsiTheme="minorHAnsi" w:cstheme="minorHAnsi"/>
          <w:color w:val="000000" w:themeColor="text1"/>
        </w:rPr>
        <w:t xml:space="preserve"> </w:t>
      </w:r>
      <w:r w:rsidR="0BD8239E" w:rsidRPr="0062487B">
        <w:rPr>
          <w:rFonts w:asciiTheme="minorHAnsi" w:hAnsiTheme="minorHAnsi" w:cstheme="minorHAnsi"/>
          <w:color w:val="000000" w:themeColor="text1"/>
        </w:rPr>
        <w:t>Slightly over a third of BWFH’s MRI Patient Population is</w:t>
      </w:r>
      <w:r w:rsidR="301A05FC" w:rsidRPr="0062487B">
        <w:rPr>
          <w:rFonts w:asciiTheme="minorHAnsi" w:hAnsiTheme="minorHAnsi" w:cstheme="minorHAnsi"/>
          <w:color w:val="000000" w:themeColor="text1"/>
        </w:rPr>
        <w:t xml:space="preserve"> age</w:t>
      </w:r>
      <w:r w:rsidR="0BD8239E" w:rsidRPr="0062487B">
        <w:rPr>
          <w:rFonts w:asciiTheme="minorHAnsi" w:hAnsiTheme="minorHAnsi" w:cstheme="minorHAnsi"/>
          <w:color w:val="000000" w:themeColor="text1"/>
        </w:rPr>
        <w:t xml:space="preserve"> 65</w:t>
      </w:r>
      <w:r w:rsidR="301A05FC" w:rsidRPr="0062487B">
        <w:rPr>
          <w:rFonts w:asciiTheme="minorHAnsi" w:hAnsiTheme="minorHAnsi" w:cstheme="minorHAnsi"/>
          <w:color w:val="000000" w:themeColor="text1"/>
        </w:rPr>
        <w:t>+</w:t>
      </w:r>
      <w:r w:rsidR="0BD8239E" w:rsidRPr="0062487B">
        <w:rPr>
          <w:rFonts w:asciiTheme="minorHAnsi" w:hAnsiTheme="minorHAnsi" w:cstheme="minorHAnsi"/>
          <w:color w:val="000000" w:themeColor="text1"/>
        </w:rPr>
        <w:t>, and the</w:t>
      </w:r>
      <w:r w:rsidR="007356FC">
        <w:rPr>
          <w:rFonts w:asciiTheme="minorHAnsi" w:hAnsiTheme="minorHAnsi" w:cstheme="minorHAnsi"/>
          <w:color w:val="000000" w:themeColor="text1"/>
        </w:rPr>
        <w:t xml:space="preserve"> projected</w:t>
      </w:r>
      <w:r w:rsidR="0BD8239E" w:rsidRPr="0062487B">
        <w:rPr>
          <w:rFonts w:asciiTheme="minorHAnsi" w:hAnsiTheme="minorHAnsi" w:cstheme="minorHAnsi"/>
          <w:color w:val="000000" w:themeColor="text1"/>
        </w:rPr>
        <w:t xml:space="preserve"> rate</w:t>
      </w:r>
      <w:r w:rsidR="1718A027" w:rsidRPr="0062487B">
        <w:rPr>
          <w:rFonts w:asciiTheme="minorHAnsi" w:hAnsiTheme="minorHAnsi" w:cstheme="minorHAnsi"/>
          <w:color w:val="000000" w:themeColor="text1"/>
        </w:rPr>
        <w:t xml:space="preserve"> of increase </w:t>
      </w:r>
      <w:r w:rsidR="007356FC">
        <w:rPr>
          <w:rFonts w:asciiTheme="minorHAnsi" w:hAnsiTheme="minorHAnsi" w:cstheme="minorHAnsi"/>
          <w:color w:val="000000" w:themeColor="text1"/>
        </w:rPr>
        <w:t xml:space="preserve">in scans </w:t>
      </w:r>
      <w:r w:rsidR="00286002">
        <w:rPr>
          <w:rFonts w:asciiTheme="minorHAnsi" w:hAnsiTheme="minorHAnsi" w:cstheme="minorHAnsi"/>
          <w:color w:val="000000" w:themeColor="text1"/>
        </w:rPr>
        <w:t>among</w:t>
      </w:r>
      <w:r w:rsidR="0BD8239E" w:rsidRPr="0062487B">
        <w:rPr>
          <w:rFonts w:asciiTheme="minorHAnsi" w:hAnsiTheme="minorHAnsi" w:cstheme="minorHAnsi"/>
          <w:color w:val="000000" w:themeColor="text1"/>
        </w:rPr>
        <w:t xml:space="preserve"> this age group is higher compared to other age groups. The Applicant references the literature stating that imaging rates are higher among older adults. Additionally, MRI is a beneficial tool for a variety of conditions that have higher incidence rates related to aging.</w:t>
      </w:r>
      <w:r w:rsidR="00F649B2" w:rsidRPr="0062487B">
        <w:rPr>
          <w:rStyle w:val="FootnoteReference"/>
          <w:rFonts w:asciiTheme="minorHAnsi" w:hAnsiTheme="minorHAnsi" w:cstheme="minorHAnsi"/>
          <w:color w:val="000000" w:themeColor="text1"/>
        </w:rPr>
        <w:footnoteReference w:id="13"/>
      </w:r>
    </w:p>
    <w:p w14:paraId="59628FE2" w14:textId="77777777" w:rsidR="00E50639" w:rsidRPr="0062487B" w:rsidRDefault="00E50639" w:rsidP="00E50639">
      <w:pPr>
        <w:pStyle w:val="ListParagraph"/>
        <w:rPr>
          <w:rFonts w:asciiTheme="minorHAnsi" w:hAnsiTheme="minorHAnsi" w:cstheme="minorHAnsi"/>
        </w:rPr>
      </w:pPr>
    </w:p>
    <w:p w14:paraId="2B5E3D4D" w14:textId="5160626F" w:rsidR="00E50639" w:rsidRDefault="1554091C" w:rsidP="00EB5776">
      <w:pPr>
        <w:pStyle w:val="ListParagraph"/>
        <w:numPr>
          <w:ilvl w:val="0"/>
          <w:numId w:val="12"/>
        </w:numPr>
        <w:rPr>
          <w:rFonts w:asciiTheme="minorHAnsi" w:hAnsiTheme="minorHAnsi" w:cstheme="minorHAnsi"/>
        </w:rPr>
      </w:pPr>
      <w:r w:rsidRPr="0062487B">
        <w:rPr>
          <w:rFonts w:asciiTheme="minorHAnsi" w:hAnsiTheme="minorHAnsi" w:cstheme="minorHAnsi"/>
          <w:color w:val="000000" w:themeColor="text1"/>
          <w:u w:val="single"/>
        </w:rPr>
        <w:t>Increased</w:t>
      </w:r>
      <w:r w:rsidRPr="0062487B">
        <w:rPr>
          <w:rFonts w:asciiTheme="minorHAnsi" w:hAnsiTheme="minorHAnsi" w:cstheme="minorHAnsi"/>
          <w:u w:val="single"/>
        </w:rPr>
        <w:t xml:space="preserve"> demand with expansion of inpatient beds:</w:t>
      </w:r>
      <w:r w:rsidRPr="0062487B">
        <w:rPr>
          <w:rFonts w:asciiTheme="minorHAnsi" w:hAnsiTheme="minorHAnsi" w:cstheme="minorHAnsi"/>
        </w:rPr>
        <w:t xml:space="preserve"> About 24% of all MRIs ordered at BWFH are from inpatient units. With the expansion of inpatient beds, the</w:t>
      </w:r>
      <w:r w:rsidR="07373065" w:rsidRPr="0062487B">
        <w:rPr>
          <w:rFonts w:asciiTheme="minorHAnsi" w:hAnsiTheme="minorHAnsi" w:cstheme="minorHAnsi"/>
        </w:rPr>
        <w:t xml:space="preserve"> Applicant expects the </w:t>
      </w:r>
      <w:r w:rsidRPr="0062487B">
        <w:rPr>
          <w:rFonts w:asciiTheme="minorHAnsi" w:hAnsiTheme="minorHAnsi" w:cstheme="minorHAnsi"/>
        </w:rPr>
        <w:t xml:space="preserve">number of </w:t>
      </w:r>
      <w:r w:rsidR="1498B44E" w:rsidRPr="0062487B">
        <w:rPr>
          <w:rFonts w:asciiTheme="minorHAnsi" w:hAnsiTheme="minorHAnsi" w:cstheme="minorHAnsi"/>
        </w:rPr>
        <w:t>scans</w:t>
      </w:r>
      <w:r w:rsidRPr="0062487B">
        <w:rPr>
          <w:rFonts w:asciiTheme="minorHAnsi" w:hAnsiTheme="minorHAnsi" w:cstheme="minorHAnsi"/>
        </w:rPr>
        <w:t xml:space="preserve"> to increase, thus warranting the </w:t>
      </w:r>
      <w:r w:rsidR="07373065" w:rsidRPr="0062487B">
        <w:rPr>
          <w:rFonts w:asciiTheme="minorHAnsi" w:hAnsiTheme="minorHAnsi" w:cstheme="minorHAnsi"/>
        </w:rPr>
        <w:t>inclu</w:t>
      </w:r>
      <w:r w:rsidR="4552F255" w:rsidRPr="0062487B">
        <w:rPr>
          <w:rFonts w:asciiTheme="minorHAnsi" w:hAnsiTheme="minorHAnsi" w:cstheme="minorHAnsi"/>
        </w:rPr>
        <w:t>s</w:t>
      </w:r>
      <w:r w:rsidR="07373065" w:rsidRPr="0062487B">
        <w:rPr>
          <w:rFonts w:asciiTheme="minorHAnsi" w:hAnsiTheme="minorHAnsi" w:cstheme="minorHAnsi"/>
        </w:rPr>
        <w:t xml:space="preserve">ion of </w:t>
      </w:r>
      <w:r w:rsidRPr="0062487B">
        <w:rPr>
          <w:rFonts w:asciiTheme="minorHAnsi" w:hAnsiTheme="minorHAnsi" w:cstheme="minorHAnsi"/>
        </w:rPr>
        <w:t>additional imaging capacity</w:t>
      </w:r>
      <w:r w:rsidR="07373065" w:rsidRPr="0062487B">
        <w:rPr>
          <w:rFonts w:asciiTheme="minorHAnsi" w:hAnsiTheme="minorHAnsi" w:cstheme="minorHAnsi"/>
        </w:rPr>
        <w:t xml:space="preserve"> in the Proposed Project</w:t>
      </w:r>
      <w:r w:rsidRPr="0062487B">
        <w:rPr>
          <w:rFonts w:asciiTheme="minorHAnsi" w:hAnsiTheme="minorHAnsi" w:cstheme="minorHAnsi"/>
        </w:rPr>
        <w:t xml:space="preserve">. </w:t>
      </w:r>
    </w:p>
    <w:p w14:paraId="03E410A5" w14:textId="77777777" w:rsidR="00286002" w:rsidRPr="00BD7E81" w:rsidRDefault="00286002" w:rsidP="00BD7E81">
      <w:pPr>
        <w:pStyle w:val="ListParagraph"/>
        <w:rPr>
          <w:rFonts w:asciiTheme="minorHAnsi" w:hAnsiTheme="minorHAnsi" w:cstheme="minorHAnsi"/>
        </w:rPr>
      </w:pPr>
    </w:p>
    <w:p w14:paraId="79AD2EA9" w14:textId="3766199D" w:rsidR="00286002" w:rsidRPr="0062487B" w:rsidRDefault="00286002" w:rsidP="00EB5776">
      <w:pPr>
        <w:pStyle w:val="ListParagraph"/>
        <w:numPr>
          <w:ilvl w:val="0"/>
          <w:numId w:val="12"/>
        </w:numPr>
        <w:rPr>
          <w:rFonts w:asciiTheme="minorHAnsi" w:hAnsiTheme="minorHAnsi" w:cstheme="minorHAnsi"/>
        </w:rPr>
      </w:pPr>
      <w:r w:rsidRPr="0062487B">
        <w:rPr>
          <w:rFonts w:asciiTheme="minorHAnsi" w:hAnsiTheme="minorHAnsi" w:cstheme="minorHAnsi"/>
          <w:u w:val="single"/>
        </w:rPr>
        <w:t>Need for renovation to modernize and facilitate efficient care:</w:t>
      </w:r>
      <w:r w:rsidRPr="0062487B">
        <w:rPr>
          <w:rFonts w:asciiTheme="minorHAnsi" w:hAnsiTheme="minorHAnsi" w:cstheme="minorHAnsi"/>
        </w:rPr>
        <w:t xml:space="preserve"> The addition of </w:t>
      </w:r>
      <w:r>
        <w:rPr>
          <w:rFonts w:asciiTheme="minorHAnsi" w:hAnsiTheme="minorHAnsi" w:cstheme="minorHAnsi"/>
        </w:rPr>
        <w:t>M/S</w:t>
      </w:r>
      <w:r w:rsidRPr="0062487B">
        <w:rPr>
          <w:rFonts w:asciiTheme="minorHAnsi" w:hAnsiTheme="minorHAnsi" w:cstheme="minorHAnsi"/>
        </w:rPr>
        <w:t xml:space="preserve"> inpatient beds discussed above will displace several imaging modalities, support spaces, and hallways, necessitating renovations and relocation of these modalities and support spaces. Further, the renovation will create a modern, comfortable, and efficient setting to support optimal patient care.</w:t>
      </w:r>
    </w:p>
    <w:p w14:paraId="505C5BEB" w14:textId="77777777" w:rsidR="00F57547" w:rsidRPr="0062487B" w:rsidRDefault="00F57547" w:rsidP="00306467">
      <w:pPr>
        <w:pStyle w:val="ListParagraph"/>
        <w:ind w:left="360"/>
        <w:rPr>
          <w:rFonts w:asciiTheme="minorHAnsi" w:hAnsiTheme="minorHAnsi" w:cstheme="minorHAnsi"/>
        </w:rPr>
      </w:pPr>
    </w:p>
    <w:p w14:paraId="53DC9B9E" w14:textId="1C58F242" w:rsidR="008651FB" w:rsidRPr="0062487B" w:rsidRDefault="008651FB" w:rsidP="008651FB">
      <w:pPr>
        <w:pStyle w:val="ListParagraph"/>
        <w:ind w:left="0"/>
        <w:rPr>
          <w:rFonts w:asciiTheme="minorHAnsi" w:hAnsiTheme="minorHAnsi" w:cstheme="minorHAnsi"/>
          <w:b/>
          <w:i/>
        </w:rPr>
      </w:pPr>
      <w:r w:rsidRPr="0062487B">
        <w:rPr>
          <w:rFonts w:asciiTheme="minorHAnsi" w:hAnsiTheme="minorHAnsi" w:cstheme="minorHAnsi"/>
          <w:b/>
          <w:i/>
        </w:rPr>
        <w:t>Analysis</w:t>
      </w:r>
    </w:p>
    <w:p w14:paraId="514AE380" w14:textId="6C5EDFEA" w:rsidR="008651FB" w:rsidRPr="0062487B" w:rsidRDefault="23AAE15D" w:rsidP="78F650E0">
      <w:pPr>
        <w:pStyle w:val="ListParagraph"/>
        <w:ind w:left="0"/>
        <w:rPr>
          <w:rFonts w:asciiTheme="minorHAnsi" w:eastAsia="Calibri" w:hAnsiTheme="minorHAnsi" w:cstheme="minorBidi"/>
        </w:rPr>
      </w:pPr>
      <w:r w:rsidRPr="78F650E0">
        <w:rPr>
          <w:rFonts w:asciiTheme="minorHAnsi" w:eastAsia="Calibri" w:hAnsiTheme="minorHAnsi" w:cstheme="minorBidi"/>
        </w:rPr>
        <w:t xml:space="preserve">Staff finds that the </w:t>
      </w:r>
      <w:r w:rsidR="7B3B7918" w:rsidRPr="78F650E0">
        <w:rPr>
          <w:rFonts w:asciiTheme="minorHAnsi" w:eastAsia="Calibri" w:hAnsiTheme="minorHAnsi" w:cstheme="minorBidi"/>
        </w:rPr>
        <w:t xml:space="preserve">Patient Panel </w:t>
      </w:r>
      <w:r w:rsidRPr="78F650E0">
        <w:rPr>
          <w:rFonts w:asciiTheme="minorHAnsi" w:eastAsia="Calibri" w:hAnsiTheme="minorHAnsi" w:cstheme="minorBidi"/>
        </w:rPr>
        <w:t xml:space="preserve">information provided demonstrates sufficient need for the renovation and expansion of imaging services at BWFH. </w:t>
      </w:r>
      <w:r w:rsidR="19077476" w:rsidRPr="78F650E0">
        <w:rPr>
          <w:rFonts w:asciiTheme="minorHAnsi" w:eastAsia="Calibri" w:hAnsiTheme="minorHAnsi" w:cstheme="minorBidi"/>
        </w:rPr>
        <w:t>An advanced MRI machine will allow for timely and better diagnosis a</w:t>
      </w:r>
      <w:r w:rsidR="007356FC">
        <w:rPr>
          <w:rFonts w:asciiTheme="minorHAnsi" w:eastAsia="Calibri" w:hAnsiTheme="minorHAnsi" w:cstheme="minorBidi"/>
        </w:rPr>
        <w:t xml:space="preserve">nd address </w:t>
      </w:r>
      <w:r w:rsidR="19077476" w:rsidRPr="78F650E0">
        <w:rPr>
          <w:rFonts w:asciiTheme="minorHAnsi" w:eastAsia="Calibri" w:hAnsiTheme="minorHAnsi" w:cstheme="minorBidi"/>
        </w:rPr>
        <w:t>capacity constraints</w:t>
      </w:r>
      <w:r w:rsidR="007356FC">
        <w:rPr>
          <w:rFonts w:asciiTheme="minorHAnsi" w:eastAsia="Calibri" w:hAnsiTheme="minorHAnsi" w:cstheme="minorBidi"/>
        </w:rPr>
        <w:t>,</w:t>
      </w:r>
      <w:r w:rsidR="19077476" w:rsidRPr="78F650E0">
        <w:rPr>
          <w:rFonts w:asciiTheme="minorHAnsi" w:eastAsia="Calibri" w:hAnsiTheme="minorHAnsi" w:cstheme="minorBidi"/>
        </w:rPr>
        <w:t xml:space="preserve"> improving efficiencies in care. Upgrading the </w:t>
      </w:r>
      <w:r w:rsidR="79760509" w:rsidRPr="78F650E0">
        <w:rPr>
          <w:rFonts w:asciiTheme="minorHAnsi" w:eastAsia="Calibri" w:hAnsiTheme="minorHAnsi" w:cstheme="minorBidi"/>
        </w:rPr>
        <w:t>Radiology Department</w:t>
      </w:r>
      <w:r w:rsidR="19077476" w:rsidRPr="78F650E0">
        <w:rPr>
          <w:rFonts w:asciiTheme="minorHAnsi" w:eastAsia="Calibri" w:hAnsiTheme="minorHAnsi" w:cstheme="minorBidi"/>
        </w:rPr>
        <w:t xml:space="preserve"> will </w:t>
      </w:r>
      <w:r w:rsidR="00FB829D" w:rsidRPr="78F650E0">
        <w:rPr>
          <w:rFonts w:asciiTheme="minorHAnsi" w:eastAsia="Calibri" w:hAnsiTheme="minorHAnsi" w:cstheme="minorBidi"/>
        </w:rPr>
        <w:t xml:space="preserve">also help to provide better patient care. </w:t>
      </w:r>
      <w:r w:rsidRPr="78F650E0">
        <w:rPr>
          <w:rFonts w:asciiTheme="minorHAnsi" w:eastAsia="Calibri" w:hAnsiTheme="minorHAnsi" w:cstheme="minorBidi"/>
        </w:rPr>
        <w:t xml:space="preserve">Staff agrees that this Proposed Project will address issues on capacity and meeting the demand of aging population and expansion of inpatient beds. </w:t>
      </w:r>
    </w:p>
    <w:p w14:paraId="6A39169A" w14:textId="77777777" w:rsidR="00FF4126" w:rsidRPr="0062487B" w:rsidRDefault="00FF4126" w:rsidP="00FF4126">
      <w:pPr>
        <w:rPr>
          <w:rFonts w:asciiTheme="minorHAnsi" w:hAnsiTheme="minorHAnsi" w:cstheme="minorHAnsi"/>
        </w:rPr>
      </w:pPr>
    </w:p>
    <w:p w14:paraId="516E9A32" w14:textId="2651A2F7" w:rsidR="00A43951" w:rsidRPr="0062487B" w:rsidRDefault="0BCE6E15" w:rsidP="17FA2F59">
      <w:pPr>
        <w:pStyle w:val="Heading1"/>
        <w:spacing w:before="0" w:line="240" w:lineRule="auto"/>
        <w:rPr>
          <w:rFonts w:asciiTheme="minorHAnsi" w:hAnsiTheme="minorHAnsi" w:cstheme="minorBidi"/>
          <w:color w:val="auto"/>
          <w:sz w:val="24"/>
          <w:szCs w:val="24"/>
        </w:rPr>
      </w:pPr>
      <w:bookmarkStart w:id="33" w:name="_Toc99645434"/>
      <w:r w:rsidRPr="17FA2F59">
        <w:rPr>
          <w:rFonts w:asciiTheme="minorHAnsi" w:hAnsiTheme="minorHAnsi" w:cstheme="minorBidi"/>
          <w:color w:val="auto"/>
          <w:sz w:val="24"/>
          <w:szCs w:val="24"/>
        </w:rPr>
        <w:t xml:space="preserve">Factor 1: b) </w:t>
      </w:r>
      <w:r w:rsidR="2663829E" w:rsidRPr="17FA2F59">
        <w:rPr>
          <w:rFonts w:asciiTheme="minorHAnsi" w:hAnsiTheme="minorHAnsi" w:cstheme="minorBidi"/>
          <w:color w:val="auto"/>
          <w:sz w:val="24"/>
          <w:szCs w:val="24"/>
        </w:rPr>
        <w:t>P</w:t>
      </w:r>
      <w:r w:rsidRPr="17FA2F59">
        <w:rPr>
          <w:rFonts w:asciiTheme="minorHAnsi" w:hAnsiTheme="minorHAnsi" w:cstheme="minorBidi"/>
          <w:color w:val="auto"/>
          <w:sz w:val="24"/>
          <w:szCs w:val="24"/>
        </w:rPr>
        <w:t>ublic Health Value, Improved Health Outcomes and Quality of Life; Assurances of Health Equity</w:t>
      </w:r>
      <w:bookmarkEnd w:id="27"/>
      <w:bookmarkEnd w:id="33"/>
    </w:p>
    <w:p w14:paraId="081D1955" w14:textId="32DFE02E" w:rsidR="007C3CDD" w:rsidRPr="0062487B" w:rsidRDefault="00196BFC" w:rsidP="007C3CDD">
      <w:pPr>
        <w:autoSpaceDE w:val="0"/>
        <w:autoSpaceDN w:val="0"/>
        <w:adjustRightInd w:val="0"/>
        <w:rPr>
          <w:rFonts w:asciiTheme="minorHAnsi" w:hAnsiTheme="minorHAnsi" w:cstheme="minorHAnsi"/>
          <w:color w:val="000000"/>
        </w:rPr>
      </w:pPr>
      <w:bookmarkStart w:id="34" w:name="_Toc17149377"/>
      <w:bookmarkStart w:id="35" w:name="_Toc17151181"/>
      <w:bookmarkEnd w:id="28"/>
      <w:bookmarkEnd w:id="29"/>
      <w:bookmarkEnd w:id="30"/>
      <w:bookmarkEnd w:id="31"/>
      <w:bookmarkEnd w:id="32"/>
      <w:r w:rsidRPr="0062487B">
        <w:rPr>
          <w:rFonts w:asciiTheme="minorHAnsi" w:hAnsiTheme="minorHAnsi" w:cstheme="minorHAnsi"/>
          <w:color w:val="000000"/>
        </w:rPr>
        <w:t>In</w:t>
      </w:r>
      <w:r w:rsidRPr="0062487B">
        <w:rPr>
          <w:rFonts w:asciiTheme="minorHAnsi" w:hAnsiTheme="minorHAnsi" w:cstheme="minorHAnsi"/>
        </w:rPr>
        <w:t xml:space="preserve"> this section </w:t>
      </w:r>
      <w:r w:rsidR="0024709B" w:rsidRPr="0062487B">
        <w:rPr>
          <w:rFonts w:asciiTheme="minorHAnsi" w:hAnsiTheme="minorHAnsi" w:cstheme="minorHAnsi"/>
        </w:rPr>
        <w:t xml:space="preserve">staff </w:t>
      </w:r>
      <w:r w:rsidRPr="0062487B">
        <w:rPr>
          <w:rFonts w:asciiTheme="minorHAnsi" w:hAnsiTheme="minorHAnsi" w:cstheme="minorHAnsi"/>
        </w:rPr>
        <w:t xml:space="preserve">will assess </w:t>
      </w:r>
      <w:r w:rsidR="00C75C0C" w:rsidRPr="0062487B">
        <w:rPr>
          <w:rFonts w:asciiTheme="minorHAnsi" w:hAnsiTheme="minorHAnsi" w:cstheme="minorHAnsi"/>
        </w:rPr>
        <w:t>whether</w:t>
      </w:r>
      <w:r w:rsidRPr="0062487B">
        <w:rPr>
          <w:rFonts w:asciiTheme="minorHAnsi" w:hAnsiTheme="minorHAnsi" w:cstheme="minorHAnsi"/>
        </w:rPr>
        <w:t xml:space="preserve"> the Proposed Project </w:t>
      </w:r>
      <w:r w:rsidRPr="0062487B">
        <w:rPr>
          <w:rFonts w:asciiTheme="minorHAnsi" w:hAnsiTheme="minorHAnsi" w:cstheme="minorHAnsi"/>
          <w:color w:val="000000"/>
        </w:rPr>
        <w:t xml:space="preserve">adds measurable public health value in terms of improved health outcomes and quality of life </w:t>
      </w:r>
      <w:r w:rsidR="0024709B" w:rsidRPr="0062487B">
        <w:rPr>
          <w:rFonts w:asciiTheme="minorHAnsi" w:hAnsiTheme="minorHAnsi" w:cstheme="minorHAnsi"/>
          <w:color w:val="000000"/>
        </w:rPr>
        <w:t>for</w:t>
      </w:r>
      <w:r w:rsidRPr="0062487B">
        <w:rPr>
          <w:rFonts w:asciiTheme="minorHAnsi" w:hAnsiTheme="minorHAnsi" w:cstheme="minorHAnsi"/>
          <w:color w:val="000000"/>
        </w:rPr>
        <w:t xml:space="preserve"> the Applicant’s existing </w:t>
      </w:r>
      <w:r w:rsidR="006659B8" w:rsidRPr="0062487B">
        <w:rPr>
          <w:rFonts w:asciiTheme="minorHAnsi" w:hAnsiTheme="minorHAnsi" w:cstheme="minorHAnsi"/>
          <w:color w:val="000000"/>
        </w:rPr>
        <w:t>P</w:t>
      </w:r>
      <w:r w:rsidRPr="0062487B">
        <w:rPr>
          <w:rFonts w:asciiTheme="minorHAnsi" w:hAnsiTheme="minorHAnsi" w:cstheme="minorHAnsi"/>
          <w:color w:val="000000"/>
        </w:rPr>
        <w:t xml:space="preserve">atient </w:t>
      </w:r>
      <w:r w:rsidR="006659B8" w:rsidRPr="0062487B">
        <w:rPr>
          <w:rFonts w:asciiTheme="minorHAnsi" w:hAnsiTheme="minorHAnsi" w:cstheme="minorHAnsi"/>
          <w:color w:val="000000"/>
        </w:rPr>
        <w:t>P</w:t>
      </w:r>
      <w:r w:rsidRPr="0062487B">
        <w:rPr>
          <w:rFonts w:asciiTheme="minorHAnsi" w:hAnsiTheme="minorHAnsi" w:cstheme="minorHAnsi"/>
          <w:color w:val="000000"/>
        </w:rPr>
        <w:t>anel, while providing reasonable assurances of health equity.</w:t>
      </w:r>
      <w:r w:rsidR="007C3CDD" w:rsidRPr="0062487B">
        <w:rPr>
          <w:rFonts w:asciiTheme="minorHAnsi" w:hAnsiTheme="minorHAnsi" w:cstheme="minorHAnsi"/>
          <w:color w:val="000000"/>
        </w:rPr>
        <w:t xml:space="preserve"> </w:t>
      </w:r>
    </w:p>
    <w:p w14:paraId="6C5961AB" w14:textId="16D1F5E9" w:rsidR="00B218B9" w:rsidRPr="0062487B" w:rsidRDefault="00B218B9" w:rsidP="00196BFC">
      <w:pPr>
        <w:autoSpaceDE w:val="0"/>
        <w:autoSpaceDN w:val="0"/>
        <w:adjustRightInd w:val="0"/>
        <w:rPr>
          <w:rFonts w:asciiTheme="minorHAnsi" w:hAnsiTheme="minorHAnsi" w:cstheme="minorHAnsi"/>
          <w:color w:val="000000"/>
        </w:rPr>
      </w:pPr>
    </w:p>
    <w:p w14:paraId="48B3CA15" w14:textId="77777777" w:rsidR="001152C7" w:rsidRPr="0062487B" w:rsidRDefault="001152C7" w:rsidP="001152C7">
      <w:pPr>
        <w:contextualSpacing/>
        <w:rPr>
          <w:rFonts w:asciiTheme="minorHAnsi" w:hAnsiTheme="minorHAnsi" w:cstheme="minorHAnsi"/>
          <w:b/>
          <w:bCs/>
        </w:rPr>
      </w:pPr>
      <w:r w:rsidRPr="0062487B">
        <w:rPr>
          <w:rFonts w:asciiTheme="minorHAnsi" w:hAnsiTheme="minorHAnsi" w:cstheme="minorHAnsi"/>
          <w:b/>
          <w:bCs/>
        </w:rPr>
        <w:t>Public Health Value, Health Outcomes, and Quality of Life</w:t>
      </w:r>
    </w:p>
    <w:p w14:paraId="1BC82A2F" w14:textId="36FBD91E" w:rsidR="00874A8C" w:rsidRPr="0062487B" w:rsidRDefault="04885CD7" w:rsidP="00874A8C">
      <w:pPr>
        <w:contextualSpacing/>
        <w:rPr>
          <w:rFonts w:asciiTheme="minorHAnsi" w:hAnsiTheme="minorHAnsi" w:cstheme="minorHAnsi"/>
        </w:rPr>
      </w:pPr>
      <w:r w:rsidRPr="0062487B">
        <w:rPr>
          <w:rFonts w:asciiTheme="minorHAnsi" w:hAnsiTheme="minorHAnsi" w:cstheme="minorHAnsi"/>
        </w:rPr>
        <w:t xml:space="preserve">The Applicant </w:t>
      </w:r>
      <w:r w:rsidR="0049108B">
        <w:rPr>
          <w:rFonts w:asciiTheme="minorHAnsi" w:hAnsiTheme="minorHAnsi" w:cstheme="minorHAnsi"/>
        </w:rPr>
        <w:t>utilizes</w:t>
      </w:r>
      <w:r w:rsidR="0049108B" w:rsidRPr="0062487B">
        <w:rPr>
          <w:rFonts w:asciiTheme="minorHAnsi" w:hAnsiTheme="minorHAnsi" w:cstheme="minorHAnsi"/>
        </w:rPr>
        <w:t xml:space="preserve"> </w:t>
      </w:r>
      <w:r w:rsidRPr="0062487B">
        <w:rPr>
          <w:rFonts w:asciiTheme="minorHAnsi" w:hAnsiTheme="minorHAnsi" w:cstheme="minorHAnsi"/>
        </w:rPr>
        <w:t xml:space="preserve">several Population Health Management (PHM) approaches </w:t>
      </w:r>
      <w:r w:rsidR="006434BD">
        <w:rPr>
          <w:rFonts w:asciiTheme="minorHAnsi" w:hAnsiTheme="minorHAnsi" w:cstheme="minorHAnsi"/>
        </w:rPr>
        <w:t>encompassing</w:t>
      </w:r>
      <w:r w:rsidR="05C2BC51" w:rsidRPr="0062487B">
        <w:rPr>
          <w:rFonts w:asciiTheme="minorHAnsi" w:hAnsiTheme="minorHAnsi" w:cstheme="minorHAnsi"/>
        </w:rPr>
        <w:t xml:space="preserve"> a </w:t>
      </w:r>
      <w:r w:rsidR="71D96AAA" w:rsidRPr="0062487B">
        <w:rPr>
          <w:rFonts w:asciiTheme="minorHAnsi" w:hAnsiTheme="minorHAnsi" w:cstheme="minorHAnsi"/>
        </w:rPr>
        <w:t>broad</w:t>
      </w:r>
      <w:r w:rsidR="05C2BC51" w:rsidRPr="0062487B">
        <w:rPr>
          <w:rFonts w:asciiTheme="minorHAnsi" w:hAnsiTheme="minorHAnsi" w:cstheme="minorHAnsi"/>
        </w:rPr>
        <w:t xml:space="preserve"> array of </w:t>
      </w:r>
      <w:r w:rsidRPr="0062487B">
        <w:rPr>
          <w:rFonts w:asciiTheme="minorHAnsi" w:hAnsiTheme="minorHAnsi" w:cstheme="minorHAnsi"/>
        </w:rPr>
        <w:t>care coordination and care delivery alternatives aimed at improving patient experience and outcomes.</w:t>
      </w:r>
      <w:r w:rsidR="005C04F3" w:rsidRPr="0062487B">
        <w:rPr>
          <w:rStyle w:val="FootnoteReference"/>
          <w:rFonts w:asciiTheme="minorHAnsi" w:hAnsiTheme="minorHAnsi" w:cstheme="minorHAnsi"/>
        </w:rPr>
        <w:footnoteReference w:id="14"/>
      </w:r>
      <w:r w:rsidRPr="0062487B">
        <w:rPr>
          <w:rFonts w:asciiTheme="minorHAnsi" w:hAnsiTheme="minorHAnsi" w:cstheme="minorHAnsi"/>
        </w:rPr>
        <w:t xml:space="preserve"> These strategies include care models rooted in collaboration, including patient-</w:t>
      </w:r>
      <w:r w:rsidRPr="0062487B">
        <w:rPr>
          <w:rFonts w:asciiTheme="minorHAnsi" w:hAnsiTheme="minorHAnsi" w:cstheme="minorHAnsi"/>
        </w:rPr>
        <w:lastRenderedPageBreak/>
        <w:t>centered medical homes, care integration, team-based care and other care initiatives specifically designed by MGB clinicians.</w:t>
      </w:r>
      <w:r w:rsidR="118D246E" w:rsidRPr="0062487B">
        <w:rPr>
          <w:rFonts w:asciiTheme="minorHAnsi" w:hAnsiTheme="minorHAnsi" w:cstheme="minorHAnsi"/>
        </w:rPr>
        <w:t xml:space="preserve"> Further, the Applicant </w:t>
      </w:r>
      <w:r w:rsidR="1BC0F1A1" w:rsidRPr="0062487B">
        <w:rPr>
          <w:rFonts w:asciiTheme="minorHAnsi" w:hAnsiTheme="minorHAnsi" w:cstheme="minorHAnsi"/>
        </w:rPr>
        <w:t xml:space="preserve">states that the Proposed Project adheres to </w:t>
      </w:r>
      <w:r w:rsidR="6FBA7AD9" w:rsidRPr="0062487B">
        <w:rPr>
          <w:rFonts w:asciiTheme="minorHAnsi" w:hAnsiTheme="minorHAnsi" w:cstheme="minorHAnsi"/>
        </w:rPr>
        <w:t xml:space="preserve">the Institute for Healthcare Improvement’s </w:t>
      </w:r>
      <w:r w:rsidR="1BC0F1A1" w:rsidRPr="0062487B">
        <w:rPr>
          <w:rFonts w:asciiTheme="minorHAnsi" w:hAnsiTheme="minorHAnsi" w:cstheme="minorHAnsi"/>
        </w:rPr>
        <w:t>“</w:t>
      </w:r>
      <w:r w:rsidR="6FBA7AD9" w:rsidRPr="0062487B">
        <w:rPr>
          <w:rFonts w:asciiTheme="minorHAnsi" w:hAnsiTheme="minorHAnsi" w:cstheme="minorHAnsi"/>
        </w:rPr>
        <w:t>Triple Aim</w:t>
      </w:r>
      <w:r w:rsidR="1BC0F1A1" w:rsidRPr="0062487B">
        <w:rPr>
          <w:rFonts w:asciiTheme="minorHAnsi" w:hAnsiTheme="minorHAnsi" w:cstheme="minorHAnsi"/>
        </w:rPr>
        <w:t>".</w:t>
      </w:r>
      <w:r w:rsidR="00201172" w:rsidRPr="0062487B">
        <w:rPr>
          <w:rStyle w:val="FootnoteReference"/>
          <w:rFonts w:asciiTheme="minorHAnsi" w:hAnsiTheme="minorHAnsi" w:cstheme="minorHAnsi"/>
        </w:rPr>
        <w:footnoteReference w:id="15"/>
      </w:r>
      <w:r w:rsidR="6FBA7AD9" w:rsidRPr="0062487B">
        <w:rPr>
          <w:rFonts w:asciiTheme="minorHAnsi" w:hAnsiTheme="minorHAnsi" w:cstheme="minorHAnsi"/>
        </w:rPr>
        <w:t xml:space="preserve"> </w:t>
      </w:r>
    </w:p>
    <w:p w14:paraId="16CFFD2C" w14:textId="173D6A8A" w:rsidR="005C04F3" w:rsidRPr="0062487B" w:rsidRDefault="005C04F3" w:rsidP="007A57C4">
      <w:pPr>
        <w:contextualSpacing/>
        <w:rPr>
          <w:rFonts w:asciiTheme="minorHAnsi" w:hAnsiTheme="minorHAnsi" w:cstheme="minorHAnsi"/>
          <w:b/>
          <w:bCs/>
        </w:rPr>
      </w:pPr>
    </w:p>
    <w:p w14:paraId="4C35F6E9" w14:textId="0780C1C7" w:rsidR="00C308B4" w:rsidRPr="0062487B" w:rsidRDefault="00F702FA" w:rsidP="00F702FA">
      <w:pPr>
        <w:autoSpaceDE w:val="0"/>
        <w:autoSpaceDN w:val="0"/>
        <w:adjustRightInd w:val="0"/>
        <w:rPr>
          <w:rFonts w:asciiTheme="minorHAnsi" w:hAnsiTheme="minorHAnsi" w:cstheme="minorHAnsi"/>
          <w:color w:val="000000" w:themeColor="text1"/>
        </w:rPr>
      </w:pPr>
      <w:r w:rsidRPr="0062487B">
        <w:rPr>
          <w:rFonts w:asciiTheme="minorHAnsi" w:hAnsiTheme="minorHAnsi" w:cstheme="minorHAnsi"/>
        </w:rPr>
        <w:t>The</w:t>
      </w:r>
      <w:r w:rsidR="009A21FE" w:rsidRPr="0062487B">
        <w:rPr>
          <w:rFonts w:asciiTheme="minorHAnsi" w:hAnsiTheme="minorHAnsi" w:cstheme="minorHAnsi"/>
        </w:rPr>
        <w:t xml:space="preserve"> Applicant states that the</w:t>
      </w:r>
      <w:r w:rsidRPr="0062487B">
        <w:rPr>
          <w:rFonts w:asciiTheme="minorHAnsi" w:hAnsiTheme="minorHAnsi" w:cstheme="minorHAnsi"/>
        </w:rPr>
        <w:t xml:space="preserve"> Proposed Project will help improve health outcomes and quality of life </w:t>
      </w:r>
      <w:r w:rsidR="00881219" w:rsidRPr="0062487B">
        <w:rPr>
          <w:rFonts w:asciiTheme="minorHAnsi" w:hAnsiTheme="minorHAnsi" w:cstheme="minorHAnsi"/>
        </w:rPr>
        <w:t>for the Patient Panel</w:t>
      </w:r>
      <w:r w:rsidRPr="0062487B">
        <w:rPr>
          <w:rFonts w:asciiTheme="minorHAnsi" w:hAnsiTheme="minorHAnsi" w:cstheme="minorHAnsi"/>
        </w:rPr>
        <w:t xml:space="preserve"> in several ways. </w:t>
      </w:r>
      <w:r w:rsidRPr="0062487B">
        <w:rPr>
          <w:rFonts w:asciiTheme="minorHAnsi" w:hAnsiTheme="minorHAnsi" w:cstheme="minorHAnsi"/>
          <w:color w:val="000000" w:themeColor="text1"/>
        </w:rPr>
        <w:t>The Applicant asserts that the additional M/S beds will improve patient throughput</w:t>
      </w:r>
      <w:r w:rsidR="00AB0FA2" w:rsidRPr="0062487B">
        <w:rPr>
          <w:rFonts w:asciiTheme="minorHAnsi" w:hAnsiTheme="minorHAnsi" w:cstheme="minorHAnsi"/>
          <w:color w:val="000000" w:themeColor="text1"/>
        </w:rPr>
        <w:t>,</w:t>
      </w:r>
      <w:r w:rsidRPr="0062487B">
        <w:rPr>
          <w:rFonts w:asciiTheme="minorHAnsi" w:hAnsiTheme="minorHAnsi" w:cstheme="minorHAnsi"/>
          <w:color w:val="000000" w:themeColor="text1"/>
        </w:rPr>
        <w:t xml:space="preserve"> convenience</w:t>
      </w:r>
      <w:r w:rsidR="00AB0FA2" w:rsidRPr="0062487B">
        <w:rPr>
          <w:rFonts w:asciiTheme="minorHAnsi" w:hAnsiTheme="minorHAnsi" w:cstheme="minorHAnsi"/>
          <w:color w:val="000000" w:themeColor="text1"/>
        </w:rPr>
        <w:t>,</w:t>
      </w:r>
      <w:r w:rsidRPr="0062487B">
        <w:rPr>
          <w:rFonts w:asciiTheme="minorHAnsi" w:hAnsiTheme="minorHAnsi" w:cstheme="minorHAnsi"/>
          <w:color w:val="000000" w:themeColor="text1"/>
        </w:rPr>
        <w:t xml:space="preserve"> and satisfaction for BWHF and BWH</w:t>
      </w:r>
      <w:r w:rsidR="00AB0FA2" w:rsidRPr="0062487B">
        <w:rPr>
          <w:rFonts w:asciiTheme="minorHAnsi" w:hAnsiTheme="minorHAnsi" w:cstheme="minorHAnsi"/>
          <w:color w:val="000000" w:themeColor="text1"/>
        </w:rPr>
        <w:t xml:space="preserve"> by</w:t>
      </w:r>
      <w:r w:rsidR="00BE20D6" w:rsidRPr="0062487B">
        <w:rPr>
          <w:rFonts w:asciiTheme="minorHAnsi" w:hAnsiTheme="minorHAnsi" w:cstheme="minorHAnsi"/>
          <w:color w:val="000000" w:themeColor="text1"/>
        </w:rPr>
        <w:t xml:space="preserve"> </w:t>
      </w:r>
      <w:r w:rsidR="00C75C0C" w:rsidRPr="0062487B">
        <w:rPr>
          <w:rFonts w:asciiTheme="minorHAnsi" w:hAnsiTheme="minorHAnsi" w:cstheme="minorHAnsi"/>
          <w:color w:val="000000" w:themeColor="text1"/>
        </w:rPr>
        <w:t>reduc</w:t>
      </w:r>
      <w:r w:rsidR="00AB0FA2" w:rsidRPr="0062487B">
        <w:rPr>
          <w:rFonts w:asciiTheme="minorHAnsi" w:hAnsiTheme="minorHAnsi" w:cstheme="minorHAnsi"/>
          <w:color w:val="000000" w:themeColor="text1"/>
        </w:rPr>
        <w:t>ing</w:t>
      </w:r>
      <w:r w:rsidRPr="0062487B">
        <w:rPr>
          <w:rFonts w:asciiTheme="minorHAnsi" w:hAnsiTheme="minorHAnsi" w:cstheme="minorHAnsi"/>
          <w:color w:val="000000" w:themeColor="text1"/>
        </w:rPr>
        <w:t xml:space="preserve"> delays at both hospitals, averting transfers to other facilities for care, and assuring patients receive timely care in appropriate setting</w:t>
      </w:r>
      <w:r w:rsidR="00643A30">
        <w:rPr>
          <w:rFonts w:asciiTheme="minorHAnsi" w:hAnsiTheme="minorHAnsi" w:cstheme="minorHAnsi"/>
          <w:color w:val="000000" w:themeColor="text1"/>
        </w:rPr>
        <w:t>s</w:t>
      </w:r>
      <w:r w:rsidRPr="0062487B">
        <w:rPr>
          <w:rFonts w:asciiTheme="minorHAnsi" w:hAnsiTheme="minorHAnsi" w:cstheme="minorHAnsi"/>
          <w:color w:val="000000" w:themeColor="text1"/>
        </w:rPr>
        <w:t xml:space="preserve"> based on acuity level and condition. </w:t>
      </w:r>
    </w:p>
    <w:p w14:paraId="3C37A186" w14:textId="77777777" w:rsidR="00C308B4" w:rsidRPr="0062487B" w:rsidRDefault="00C308B4" w:rsidP="00F702FA">
      <w:pPr>
        <w:autoSpaceDE w:val="0"/>
        <w:autoSpaceDN w:val="0"/>
        <w:adjustRightInd w:val="0"/>
        <w:rPr>
          <w:rFonts w:asciiTheme="minorHAnsi" w:hAnsiTheme="minorHAnsi" w:cstheme="minorHAnsi"/>
          <w:color w:val="000000" w:themeColor="text1"/>
        </w:rPr>
      </w:pPr>
    </w:p>
    <w:p w14:paraId="6CDFD7FA" w14:textId="664C803E" w:rsidR="00C308B4" w:rsidRPr="0062487B" w:rsidRDefault="59BFDEBE" w:rsidP="00F702FA">
      <w:pPr>
        <w:autoSpaceDE w:val="0"/>
        <w:autoSpaceDN w:val="0"/>
        <w:adjustRightInd w:val="0"/>
        <w:rPr>
          <w:rFonts w:asciiTheme="minorHAnsi" w:hAnsiTheme="minorHAnsi" w:cstheme="minorHAnsi"/>
          <w:color w:val="000000" w:themeColor="text1"/>
        </w:rPr>
      </w:pPr>
      <w:r w:rsidRPr="0062487B">
        <w:rPr>
          <w:rFonts w:asciiTheme="minorHAnsi" w:hAnsiTheme="minorHAnsi" w:cstheme="minorHAnsi"/>
          <w:color w:val="000000" w:themeColor="text1"/>
        </w:rPr>
        <w:t xml:space="preserve">The new </w:t>
      </w:r>
      <w:r w:rsidR="00643A30">
        <w:rPr>
          <w:rFonts w:asciiTheme="minorHAnsi" w:hAnsiTheme="minorHAnsi" w:cstheme="minorHAnsi"/>
          <w:color w:val="000000" w:themeColor="text1"/>
        </w:rPr>
        <w:t>o</w:t>
      </w:r>
      <w:r w:rsidRPr="0062487B">
        <w:rPr>
          <w:rFonts w:asciiTheme="minorHAnsi" w:hAnsiTheme="minorHAnsi" w:cstheme="minorHAnsi"/>
          <w:color w:val="000000" w:themeColor="text1"/>
        </w:rPr>
        <w:t xml:space="preserve">bservation </w:t>
      </w:r>
      <w:r w:rsidR="00643A30">
        <w:rPr>
          <w:rFonts w:asciiTheme="minorHAnsi" w:hAnsiTheme="minorHAnsi" w:cstheme="minorHAnsi"/>
          <w:color w:val="000000" w:themeColor="text1"/>
        </w:rPr>
        <w:t>u</w:t>
      </w:r>
      <w:r w:rsidRPr="0062487B">
        <w:rPr>
          <w:rFonts w:asciiTheme="minorHAnsi" w:hAnsiTheme="minorHAnsi" w:cstheme="minorHAnsi"/>
          <w:color w:val="000000" w:themeColor="text1"/>
        </w:rPr>
        <w:t xml:space="preserve">nit will </w:t>
      </w:r>
      <w:r w:rsidR="73C74CB4" w:rsidRPr="0062487B">
        <w:rPr>
          <w:rFonts w:asciiTheme="minorHAnsi" w:hAnsiTheme="minorHAnsi" w:cstheme="minorHAnsi"/>
          <w:color w:val="000000" w:themeColor="text1"/>
        </w:rPr>
        <w:t xml:space="preserve">provide a </w:t>
      </w:r>
      <w:r w:rsidRPr="0062487B">
        <w:rPr>
          <w:rFonts w:asciiTheme="minorHAnsi" w:hAnsiTheme="minorHAnsi" w:cstheme="minorHAnsi"/>
          <w:color w:val="000000" w:themeColor="text1"/>
        </w:rPr>
        <w:t xml:space="preserve">larger, calmer space </w:t>
      </w:r>
      <w:r w:rsidR="73C74CB4" w:rsidRPr="0062487B">
        <w:rPr>
          <w:rFonts w:asciiTheme="minorHAnsi" w:hAnsiTheme="minorHAnsi" w:cstheme="minorHAnsi"/>
          <w:color w:val="000000" w:themeColor="text1"/>
        </w:rPr>
        <w:t xml:space="preserve">for observation patients </w:t>
      </w:r>
      <w:r w:rsidRPr="0062487B">
        <w:rPr>
          <w:rFonts w:asciiTheme="minorHAnsi" w:hAnsiTheme="minorHAnsi" w:cstheme="minorHAnsi"/>
          <w:color w:val="000000" w:themeColor="text1"/>
        </w:rPr>
        <w:t>that will allow for patient privacy, family presence</w:t>
      </w:r>
      <w:r w:rsidR="00810F3C">
        <w:rPr>
          <w:rFonts w:asciiTheme="minorHAnsi" w:hAnsiTheme="minorHAnsi" w:cstheme="minorHAnsi"/>
          <w:color w:val="000000" w:themeColor="text1"/>
        </w:rPr>
        <w:t>/</w:t>
      </w:r>
      <w:r w:rsidRPr="0062487B">
        <w:rPr>
          <w:rFonts w:asciiTheme="minorHAnsi" w:hAnsiTheme="minorHAnsi" w:cstheme="minorHAnsi"/>
          <w:color w:val="000000" w:themeColor="text1"/>
        </w:rPr>
        <w:t>active engagement, multidisciplinary intervention, and education to improve patient outcomes. Also, appropriate utilization of observation units reduces the duration and potential risks of hospitalization in elderly patients (e.g., delirium, falls, hospital acquired infections, medication errors), which may lead to better quality outcomes.</w:t>
      </w:r>
      <w:r w:rsidR="00F702FA" w:rsidRPr="0062487B">
        <w:rPr>
          <w:rStyle w:val="FootnoteReference"/>
          <w:rFonts w:asciiTheme="minorHAnsi" w:hAnsiTheme="minorHAnsi" w:cstheme="minorHAnsi"/>
          <w:color w:val="000000" w:themeColor="text1"/>
        </w:rPr>
        <w:footnoteReference w:id="16"/>
      </w:r>
      <w:r w:rsidRPr="0062487B">
        <w:rPr>
          <w:rFonts w:asciiTheme="minorHAnsi" w:hAnsiTheme="minorHAnsi" w:cstheme="minorHAnsi"/>
          <w:color w:val="000000" w:themeColor="text1"/>
        </w:rPr>
        <w:t xml:space="preserve"> </w:t>
      </w:r>
    </w:p>
    <w:p w14:paraId="0DCD2B2A" w14:textId="77777777" w:rsidR="00C308B4" w:rsidRPr="0062487B" w:rsidRDefault="00C308B4" w:rsidP="00F702FA">
      <w:pPr>
        <w:autoSpaceDE w:val="0"/>
        <w:autoSpaceDN w:val="0"/>
        <w:adjustRightInd w:val="0"/>
        <w:rPr>
          <w:rFonts w:asciiTheme="minorHAnsi" w:hAnsiTheme="minorHAnsi" w:cstheme="minorHAnsi"/>
          <w:color w:val="000000" w:themeColor="text1"/>
        </w:rPr>
      </w:pPr>
    </w:p>
    <w:p w14:paraId="27977DE2" w14:textId="461526AA" w:rsidR="00C308B4" w:rsidRPr="0062487B" w:rsidRDefault="00F702FA" w:rsidP="00F702FA">
      <w:pPr>
        <w:autoSpaceDE w:val="0"/>
        <w:autoSpaceDN w:val="0"/>
        <w:adjustRightInd w:val="0"/>
        <w:rPr>
          <w:rFonts w:asciiTheme="minorHAnsi" w:hAnsiTheme="minorHAnsi" w:cstheme="minorHAnsi"/>
          <w:color w:val="000000" w:themeColor="text1"/>
        </w:rPr>
      </w:pPr>
      <w:r w:rsidRPr="0062487B">
        <w:rPr>
          <w:rFonts w:asciiTheme="minorHAnsi" w:hAnsiTheme="minorHAnsi" w:cstheme="minorHAnsi"/>
          <w:color w:val="000000" w:themeColor="text1"/>
        </w:rPr>
        <w:t xml:space="preserve">The availability of comprehensive, integrated endoscopy services in one location at the hospital will address care fragmentation and improve patient care </w:t>
      </w:r>
      <w:r w:rsidR="00FC030F" w:rsidRPr="0062487B">
        <w:rPr>
          <w:rFonts w:asciiTheme="minorHAnsi" w:hAnsiTheme="minorHAnsi" w:cstheme="minorHAnsi"/>
          <w:color w:val="000000" w:themeColor="text1"/>
        </w:rPr>
        <w:t>experience and</w:t>
      </w:r>
      <w:r w:rsidRPr="0062487B">
        <w:rPr>
          <w:rFonts w:asciiTheme="minorHAnsi" w:hAnsiTheme="minorHAnsi" w:cstheme="minorHAnsi"/>
          <w:color w:val="000000" w:themeColor="text1"/>
        </w:rPr>
        <w:t xml:space="preserve"> </w:t>
      </w:r>
      <w:r w:rsidR="009E2FC4" w:rsidRPr="0062487B">
        <w:rPr>
          <w:rFonts w:asciiTheme="minorHAnsi" w:hAnsiTheme="minorHAnsi" w:cstheme="minorHAnsi"/>
          <w:color w:val="000000" w:themeColor="text1"/>
        </w:rPr>
        <w:t xml:space="preserve">ensure </w:t>
      </w:r>
      <w:r w:rsidRPr="0062487B">
        <w:rPr>
          <w:rFonts w:asciiTheme="minorHAnsi" w:hAnsiTheme="minorHAnsi" w:cstheme="minorHAnsi"/>
          <w:color w:val="000000" w:themeColor="text1"/>
        </w:rPr>
        <w:t>access with less disruption for patients. Regarding patient safety, having additional endoscopy capacity at BWFH will decrease the need for ambulance transports</w:t>
      </w:r>
      <w:r w:rsidR="00C75C0C" w:rsidRPr="0062487B">
        <w:rPr>
          <w:rFonts w:asciiTheme="minorHAnsi" w:hAnsiTheme="minorHAnsi" w:cstheme="minorHAnsi"/>
          <w:color w:val="000000" w:themeColor="text1"/>
        </w:rPr>
        <w:t xml:space="preserve">, which will reduce </w:t>
      </w:r>
      <w:r w:rsidRPr="0062487B">
        <w:rPr>
          <w:rFonts w:asciiTheme="minorHAnsi" w:hAnsiTheme="minorHAnsi" w:cstheme="minorHAnsi"/>
          <w:color w:val="000000" w:themeColor="text1"/>
        </w:rPr>
        <w:t xml:space="preserve">the safety risks associated with the transport process. </w:t>
      </w:r>
    </w:p>
    <w:p w14:paraId="0CC4DA5C" w14:textId="77777777" w:rsidR="00C308B4" w:rsidRPr="0062487B" w:rsidRDefault="00C308B4" w:rsidP="00F702FA">
      <w:pPr>
        <w:autoSpaceDE w:val="0"/>
        <w:autoSpaceDN w:val="0"/>
        <w:adjustRightInd w:val="0"/>
        <w:rPr>
          <w:rFonts w:asciiTheme="minorHAnsi" w:hAnsiTheme="minorHAnsi" w:cstheme="minorHAnsi"/>
          <w:color w:val="000000" w:themeColor="text1"/>
        </w:rPr>
      </w:pPr>
    </w:p>
    <w:p w14:paraId="4E752E0F" w14:textId="3C0383F3" w:rsidR="00F702FA" w:rsidRPr="0062487B" w:rsidRDefault="59BFDEBE" w:rsidP="30223CC4">
      <w:pPr>
        <w:autoSpaceDE w:val="0"/>
        <w:autoSpaceDN w:val="0"/>
        <w:adjustRightInd w:val="0"/>
        <w:rPr>
          <w:rFonts w:asciiTheme="minorHAnsi" w:hAnsiTheme="minorHAnsi" w:cstheme="minorHAnsi"/>
          <w:color w:val="000000" w:themeColor="text1"/>
        </w:rPr>
      </w:pPr>
      <w:r w:rsidRPr="0062487B">
        <w:rPr>
          <w:rFonts w:asciiTheme="minorHAnsi" w:hAnsiTheme="minorHAnsi" w:cstheme="minorHAnsi"/>
          <w:color w:val="000000" w:themeColor="text1"/>
        </w:rPr>
        <w:t xml:space="preserve">Similarly, expanded MRI services will improve satisfaction, </w:t>
      </w:r>
      <w:r w:rsidR="00FC030F" w:rsidRPr="0062487B">
        <w:rPr>
          <w:rFonts w:asciiTheme="minorHAnsi" w:hAnsiTheme="minorHAnsi" w:cstheme="minorHAnsi"/>
          <w:color w:val="000000" w:themeColor="text1"/>
        </w:rPr>
        <w:t>outcomes,</w:t>
      </w:r>
      <w:r w:rsidR="7A51F05F" w:rsidRPr="0062487B">
        <w:rPr>
          <w:rFonts w:asciiTheme="minorHAnsi" w:hAnsiTheme="minorHAnsi" w:cstheme="minorHAnsi"/>
          <w:color w:val="000000" w:themeColor="text1"/>
        </w:rPr>
        <w:t xml:space="preserve"> and patient safety</w:t>
      </w:r>
      <w:r w:rsidRPr="0062487B">
        <w:rPr>
          <w:rFonts w:asciiTheme="minorHAnsi" w:hAnsiTheme="minorHAnsi" w:cstheme="minorHAnsi"/>
          <w:color w:val="000000" w:themeColor="text1"/>
        </w:rPr>
        <w:t>. Patients will be able to access required MRI services in the same location as their other care, thus decreasing</w:t>
      </w:r>
      <w:r w:rsidR="7F1B00EB" w:rsidRPr="0062487B">
        <w:rPr>
          <w:rFonts w:asciiTheme="minorHAnsi" w:hAnsiTheme="minorHAnsi" w:cstheme="minorHAnsi"/>
          <w:color w:val="000000" w:themeColor="text1"/>
        </w:rPr>
        <w:t xml:space="preserve"> need for transpor</w:t>
      </w:r>
      <w:r w:rsidR="00810F3C">
        <w:rPr>
          <w:rFonts w:asciiTheme="minorHAnsi" w:hAnsiTheme="minorHAnsi" w:cstheme="minorHAnsi"/>
          <w:color w:val="000000" w:themeColor="text1"/>
        </w:rPr>
        <w:t>t</w:t>
      </w:r>
      <w:r w:rsidR="25987FB5" w:rsidRPr="0062487B">
        <w:rPr>
          <w:rFonts w:asciiTheme="minorHAnsi" w:hAnsiTheme="minorHAnsi" w:cstheme="minorHAnsi"/>
          <w:color w:val="000000" w:themeColor="text1"/>
        </w:rPr>
        <w:t xml:space="preserve"> and</w:t>
      </w:r>
      <w:r w:rsidRPr="0062487B">
        <w:rPr>
          <w:rFonts w:asciiTheme="minorHAnsi" w:hAnsiTheme="minorHAnsi" w:cstheme="minorHAnsi"/>
          <w:color w:val="000000" w:themeColor="text1"/>
        </w:rPr>
        <w:t xml:space="preserve"> care fragmentation</w:t>
      </w:r>
      <w:r w:rsidR="3B883790" w:rsidRPr="0062487B">
        <w:rPr>
          <w:rFonts w:asciiTheme="minorHAnsi" w:hAnsiTheme="minorHAnsi" w:cstheme="minorHAnsi"/>
          <w:color w:val="000000" w:themeColor="text1"/>
        </w:rPr>
        <w:t>,</w:t>
      </w:r>
      <w:r w:rsidRPr="0062487B">
        <w:rPr>
          <w:rFonts w:asciiTheme="minorHAnsi" w:hAnsiTheme="minorHAnsi" w:cstheme="minorHAnsi"/>
          <w:color w:val="000000" w:themeColor="text1"/>
        </w:rPr>
        <w:t xml:space="preserve"> and improv</w:t>
      </w:r>
      <w:r w:rsidR="743A3A7E" w:rsidRPr="0062487B">
        <w:rPr>
          <w:rFonts w:asciiTheme="minorHAnsi" w:hAnsiTheme="minorHAnsi" w:cstheme="minorHAnsi"/>
          <w:color w:val="000000" w:themeColor="text1"/>
        </w:rPr>
        <w:t>ing</w:t>
      </w:r>
      <w:r w:rsidRPr="0062487B">
        <w:rPr>
          <w:rFonts w:asciiTheme="minorHAnsi" w:hAnsiTheme="minorHAnsi" w:cstheme="minorHAnsi"/>
          <w:color w:val="000000" w:themeColor="text1"/>
        </w:rPr>
        <w:t xml:space="preserve"> patient convenience and satisfaction </w:t>
      </w:r>
      <w:r w:rsidR="00643A30">
        <w:rPr>
          <w:rFonts w:asciiTheme="minorHAnsi" w:hAnsiTheme="minorHAnsi" w:cstheme="minorHAnsi"/>
          <w:color w:val="000000" w:themeColor="text1"/>
        </w:rPr>
        <w:t xml:space="preserve">as a result </w:t>
      </w:r>
      <w:proofErr w:type="gramStart"/>
      <w:r w:rsidR="00643A30">
        <w:rPr>
          <w:rFonts w:asciiTheme="minorHAnsi" w:hAnsiTheme="minorHAnsi" w:cstheme="minorHAnsi"/>
          <w:color w:val="000000" w:themeColor="text1"/>
        </w:rPr>
        <w:t xml:space="preserve">of </w:t>
      </w:r>
      <w:r w:rsidRPr="0062487B">
        <w:rPr>
          <w:rFonts w:asciiTheme="minorHAnsi" w:hAnsiTheme="minorHAnsi" w:cstheme="minorHAnsi"/>
          <w:color w:val="000000" w:themeColor="text1"/>
        </w:rPr>
        <w:t xml:space="preserve"> increased</w:t>
      </w:r>
      <w:proofErr w:type="gramEnd"/>
      <w:r w:rsidRPr="0062487B">
        <w:rPr>
          <w:rFonts w:asciiTheme="minorHAnsi" w:hAnsiTheme="minorHAnsi" w:cstheme="minorHAnsi"/>
          <w:color w:val="000000" w:themeColor="text1"/>
        </w:rPr>
        <w:t xml:space="preserve"> access and efficiency. </w:t>
      </w:r>
      <w:r w:rsidR="42470CC1" w:rsidRPr="0062487B">
        <w:rPr>
          <w:rFonts w:asciiTheme="minorHAnsi" w:hAnsiTheme="minorHAnsi" w:cstheme="minorHAnsi"/>
          <w:color w:val="000000" w:themeColor="text1"/>
        </w:rPr>
        <w:t xml:space="preserve">Keeping the patient onsite for the appropriate scan shortens the time for </w:t>
      </w:r>
      <w:r w:rsidRPr="0062487B">
        <w:rPr>
          <w:rFonts w:asciiTheme="minorHAnsi" w:hAnsiTheme="minorHAnsi" w:cstheme="minorHAnsi"/>
          <w:color w:val="000000" w:themeColor="text1"/>
        </w:rPr>
        <w:t xml:space="preserve">clinicians </w:t>
      </w:r>
      <w:r w:rsidR="494A8514" w:rsidRPr="0062487B">
        <w:rPr>
          <w:rFonts w:asciiTheme="minorHAnsi" w:hAnsiTheme="minorHAnsi" w:cstheme="minorHAnsi"/>
          <w:color w:val="000000" w:themeColor="text1"/>
        </w:rPr>
        <w:t xml:space="preserve">to </w:t>
      </w:r>
      <w:r w:rsidRPr="0062487B">
        <w:rPr>
          <w:rFonts w:asciiTheme="minorHAnsi" w:hAnsiTheme="minorHAnsi" w:cstheme="minorHAnsi"/>
          <w:color w:val="000000" w:themeColor="text1"/>
        </w:rPr>
        <w:t>receive imaging information</w:t>
      </w:r>
      <w:r w:rsidR="5025D8E9" w:rsidRPr="0062487B">
        <w:rPr>
          <w:rFonts w:asciiTheme="minorHAnsi" w:hAnsiTheme="minorHAnsi" w:cstheme="minorHAnsi"/>
          <w:color w:val="000000" w:themeColor="text1"/>
        </w:rPr>
        <w:t xml:space="preserve"> </w:t>
      </w:r>
      <w:r w:rsidRPr="0062487B">
        <w:rPr>
          <w:rFonts w:asciiTheme="minorHAnsi" w:hAnsiTheme="minorHAnsi" w:cstheme="minorHAnsi"/>
          <w:color w:val="000000" w:themeColor="text1"/>
        </w:rPr>
        <w:t>and allow</w:t>
      </w:r>
      <w:r w:rsidR="743A3A7E" w:rsidRPr="0062487B">
        <w:rPr>
          <w:rFonts w:asciiTheme="minorHAnsi" w:hAnsiTheme="minorHAnsi" w:cstheme="minorHAnsi"/>
          <w:color w:val="000000" w:themeColor="text1"/>
        </w:rPr>
        <w:t>s</w:t>
      </w:r>
      <w:r w:rsidRPr="0062487B">
        <w:rPr>
          <w:rFonts w:asciiTheme="minorHAnsi" w:hAnsiTheme="minorHAnsi" w:cstheme="minorHAnsi"/>
          <w:color w:val="000000" w:themeColor="text1"/>
        </w:rPr>
        <w:t xml:space="preserve"> for earlier </w:t>
      </w:r>
      <w:r w:rsidR="38C70CD9" w:rsidRPr="0062487B">
        <w:rPr>
          <w:rFonts w:asciiTheme="minorHAnsi" w:hAnsiTheme="minorHAnsi" w:cstheme="minorHAnsi"/>
          <w:color w:val="000000" w:themeColor="text1"/>
        </w:rPr>
        <w:t xml:space="preserve">response, including </w:t>
      </w:r>
      <w:r w:rsidRPr="0062487B">
        <w:rPr>
          <w:rFonts w:asciiTheme="minorHAnsi" w:hAnsiTheme="minorHAnsi" w:cstheme="minorHAnsi"/>
          <w:color w:val="000000" w:themeColor="text1"/>
        </w:rPr>
        <w:t>start of treatment, thus improving health outcomes.</w:t>
      </w:r>
      <w:r w:rsidR="78A79E13" w:rsidRPr="0062487B">
        <w:rPr>
          <w:rFonts w:asciiTheme="minorHAnsi" w:hAnsiTheme="minorHAnsi" w:cstheme="minorHAnsi"/>
          <w:color w:val="000000" w:themeColor="text1"/>
        </w:rPr>
        <w:t xml:space="preserve"> </w:t>
      </w:r>
    </w:p>
    <w:p w14:paraId="2A2CDC6B" w14:textId="77777777" w:rsidR="00F702FA" w:rsidRPr="0062487B" w:rsidRDefault="00F702FA" w:rsidP="007A57C4">
      <w:pPr>
        <w:contextualSpacing/>
        <w:rPr>
          <w:rFonts w:asciiTheme="minorHAnsi" w:hAnsiTheme="minorHAnsi" w:cstheme="minorHAnsi"/>
          <w:b/>
          <w:bCs/>
        </w:rPr>
      </w:pPr>
    </w:p>
    <w:p w14:paraId="5BACA265" w14:textId="156F2B99" w:rsidR="008503F6" w:rsidRPr="0062487B" w:rsidRDefault="008503F6" w:rsidP="008503F6">
      <w:pPr>
        <w:contextualSpacing/>
        <w:rPr>
          <w:rFonts w:asciiTheme="minorHAnsi" w:hAnsiTheme="minorHAnsi" w:cstheme="minorHAnsi"/>
          <w:b/>
          <w:i/>
        </w:rPr>
      </w:pPr>
      <w:bookmarkStart w:id="36" w:name="_Toc18922409"/>
      <w:bookmarkStart w:id="37" w:name="_Toc17151150"/>
      <w:bookmarkStart w:id="38" w:name="_Toc17322394"/>
      <w:bookmarkEnd w:id="34"/>
      <w:bookmarkEnd w:id="35"/>
      <w:r w:rsidRPr="0062487B">
        <w:rPr>
          <w:rFonts w:asciiTheme="minorHAnsi" w:hAnsiTheme="minorHAnsi" w:cstheme="minorHAnsi"/>
          <w:b/>
          <w:i/>
        </w:rPr>
        <w:t>Analysis</w:t>
      </w:r>
    </w:p>
    <w:p w14:paraId="377710E4" w14:textId="25A31655" w:rsidR="001B4AD3" w:rsidRPr="0062487B" w:rsidRDefault="001B4AD3" w:rsidP="001B4AD3">
      <w:pPr>
        <w:contextualSpacing/>
        <w:rPr>
          <w:rFonts w:asciiTheme="minorHAnsi" w:hAnsiTheme="minorHAnsi" w:cstheme="minorHAnsi"/>
          <w:color w:val="000000" w:themeColor="text1"/>
        </w:rPr>
      </w:pPr>
      <w:r w:rsidRPr="0062487B">
        <w:rPr>
          <w:rFonts w:asciiTheme="minorHAnsi" w:hAnsiTheme="minorHAnsi" w:cstheme="minorHAnsi"/>
        </w:rPr>
        <w:t xml:space="preserve">The Proposed Project demonstrates potential to improve health outcomes and quality of life for patients at BWFH </w:t>
      </w:r>
      <w:r w:rsidR="00C75C0C" w:rsidRPr="0062487B">
        <w:rPr>
          <w:rFonts w:asciiTheme="minorHAnsi" w:hAnsiTheme="minorHAnsi" w:cstheme="minorHAnsi"/>
        </w:rPr>
        <w:t>and potential to improve</w:t>
      </w:r>
      <w:r w:rsidRPr="0062487B">
        <w:rPr>
          <w:rFonts w:asciiTheme="minorHAnsi" w:hAnsiTheme="minorHAnsi" w:cstheme="minorHAnsi"/>
        </w:rPr>
        <w:t xml:space="preserve"> BWH patient outcomes as well. The component</w:t>
      </w:r>
      <w:r w:rsidR="007E5C5C" w:rsidRPr="0062487B">
        <w:rPr>
          <w:rFonts w:asciiTheme="minorHAnsi" w:hAnsiTheme="minorHAnsi" w:cstheme="minorHAnsi"/>
        </w:rPr>
        <w:t>s</w:t>
      </w:r>
      <w:r w:rsidRPr="0062487B">
        <w:rPr>
          <w:rFonts w:asciiTheme="minorHAnsi" w:hAnsiTheme="minorHAnsi" w:cstheme="minorHAnsi"/>
        </w:rPr>
        <w:t xml:space="preserve"> of the Proposed Project allow for patients to</w:t>
      </w:r>
      <w:r w:rsidR="007E5C5C" w:rsidRPr="0062487B">
        <w:rPr>
          <w:rFonts w:asciiTheme="minorHAnsi" w:hAnsiTheme="minorHAnsi" w:cstheme="minorHAnsi"/>
        </w:rPr>
        <w:t xml:space="preserve"> experience</w:t>
      </w:r>
      <w:r w:rsidRPr="0062487B">
        <w:rPr>
          <w:rFonts w:asciiTheme="minorHAnsi" w:hAnsiTheme="minorHAnsi" w:cstheme="minorHAnsi"/>
        </w:rPr>
        <w:t xml:space="preserve"> </w:t>
      </w:r>
      <w:r w:rsidR="00793627" w:rsidRPr="0062487B">
        <w:rPr>
          <w:rFonts w:asciiTheme="minorHAnsi" w:hAnsiTheme="minorHAnsi" w:cstheme="minorHAnsi"/>
        </w:rPr>
        <w:t xml:space="preserve">appropriately </w:t>
      </w:r>
      <w:r w:rsidRPr="0062487B">
        <w:rPr>
          <w:rFonts w:asciiTheme="minorHAnsi" w:hAnsiTheme="minorHAnsi" w:cstheme="minorHAnsi"/>
        </w:rPr>
        <w:t>located services</w:t>
      </w:r>
      <w:r w:rsidR="00140897" w:rsidRPr="0062487B">
        <w:rPr>
          <w:rFonts w:asciiTheme="minorHAnsi" w:hAnsiTheme="minorHAnsi" w:cstheme="minorHAnsi"/>
        </w:rPr>
        <w:t xml:space="preserve"> (e.g., access to 3T MRI imaging, advanced endoscopy procedures)</w:t>
      </w:r>
      <w:r w:rsidRPr="0062487B">
        <w:rPr>
          <w:rFonts w:asciiTheme="minorHAnsi" w:hAnsiTheme="minorHAnsi" w:cstheme="minorHAnsi"/>
        </w:rPr>
        <w:t xml:space="preserve">, less fragmented care, </w:t>
      </w:r>
      <w:r w:rsidR="007E5C5C" w:rsidRPr="0062487B">
        <w:rPr>
          <w:rFonts w:asciiTheme="minorHAnsi" w:hAnsiTheme="minorHAnsi" w:cstheme="minorHAnsi"/>
        </w:rPr>
        <w:t xml:space="preserve">and </w:t>
      </w:r>
      <w:r w:rsidRPr="0062487B">
        <w:rPr>
          <w:rFonts w:asciiTheme="minorHAnsi" w:hAnsiTheme="minorHAnsi" w:cstheme="minorHAnsi"/>
        </w:rPr>
        <w:t>increased access</w:t>
      </w:r>
      <w:r w:rsidR="00793627" w:rsidRPr="0062487B">
        <w:rPr>
          <w:rFonts w:asciiTheme="minorHAnsi" w:hAnsiTheme="minorHAnsi" w:cstheme="minorHAnsi"/>
        </w:rPr>
        <w:t xml:space="preserve"> to care</w:t>
      </w:r>
      <w:r w:rsidR="007E5C5C" w:rsidRPr="0062487B">
        <w:rPr>
          <w:rFonts w:asciiTheme="minorHAnsi" w:hAnsiTheme="minorHAnsi" w:cstheme="minorHAnsi"/>
        </w:rPr>
        <w:t>. They also</w:t>
      </w:r>
      <w:r w:rsidRPr="0062487B">
        <w:rPr>
          <w:rFonts w:asciiTheme="minorHAnsi" w:hAnsiTheme="minorHAnsi" w:cstheme="minorHAnsi"/>
        </w:rPr>
        <w:t xml:space="preserve"> </w:t>
      </w:r>
      <w:r w:rsidR="005F7CF2" w:rsidRPr="0062487B">
        <w:rPr>
          <w:rFonts w:asciiTheme="minorHAnsi" w:hAnsiTheme="minorHAnsi" w:cstheme="minorHAnsi"/>
        </w:rPr>
        <w:t>enable</w:t>
      </w:r>
      <w:r w:rsidRPr="0062487B">
        <w:rPr>
          <w:rFonts w:asciiTheme="minorHAnsi" w:hAnsiTheme="minorHAnsi" w:cstheme="minorHAnsi"/>
        </w:rPr>
        <w:t xml:space="preserve"> optimal use of </w:t>
      </w:r>
      <w:r w:rsidR="005F7CF2" w:rsidRPr="0062487B">
        <w:rPr>
          <w:rFonts w:asciiTheme="minorHAnsi" w:hAnsiTheme="minorHAnsi" w:cstheme="minorHAnsi"/>
        </w:rPr>
        <w:t xml:space="preserve">the building’s </w:t>
      </w:r>
      <w:r w:rsidRPr="0062487B">
        <w:rPr>
          <w:rFonts w:asciiTheme="minorHAnsi" w:hAnsiTheme="minorHAnsi" w:cstheme="minorHAnsi"/>
        </w:rPr>
        <w:t xml:space="preserve">space, which leads to efficiencies, patient satisfaction and improved health outcomes. </w:t>
      </w:r>
      <w:r w:rsidR="005F7CF2" w:rsidRPr="0062487B">
        <w:rPr>
          <w:rFonts w:asciiTheme="minorHAnsi" w:hAnsiTheme="minorHAnsi" w:cstheme="minorHAnsi"/>
        </w:rPr>
        <w:t xml:space="preserve">Additionally, the </w:t>
      </w:r>
      <w:proofErr w:type="gramStart"/>
      <w:r w:rsidR="00FC030F" w:rsidRPr="0062487B">
        <w:rPr>
          <w:rFonts w:asciiTheme="minorHAnsi" w:hAnsiTheme="minorHAnsi" w:cstheme="minorHAnsi"/>
        </w:rPr>
        <w:t>patient</w:t>
      </w:r>
      <w:r w:rsidR="0030188E">
        <w:rPr>
          <w:rFonts w:asciiTheme="minorHAnsi" w:hAnsiTheme="minorHAnsi" w:cstheme="minorHAnsi"/>
        </w:rPr>
        <w:t>-</w:t>
      </w:r>
      <w:r w:rsidR="00FC030F" w:rsidRPr="0062487B">
        <w:rPr>
          <w:rFonts w:asciiTheme="minorHAnsi" w:hAnsiTheme="minorHAnsi" w:cstheme="minorHAnsi"/>
        </w:rPr>
        <w:t>focused</w:t>
      </w:r>
      <w:proofErr w:type="gramEnd"/>
      <w:r w:rsidR="004E3695" w:rsidRPr="0062487B">
        <w:rPr>
          <w:rFonts w:asciiTheme="minorHAnsi" w:hAnsiTheme="minorHAnsi" w:cstheme="minorHAnsi"/>
        </w:rPr>
        <w:t xml:space="preserve"> </w:t>
      </w:r>
      <w:r w:rsidR="005F7CF2" w:rsidRPr="0062487B">
        <w:rPr>
          <w:rFonts w:asciiTheme="minorHAnsi" w:hAnsiTheme="minorHAnsi" w:cstheme="minorHAnsi"/>
        </w:rPr>
        <w:t>PHM strategies at MGB allow for better care</w:t>
      </w:r>
      <w:r w:rsidR="00C75C0C" w:rsidRPr="0062487B">
        <w:rPr>
          <w:rFonts w:asciiTheme="minorHAnsi" w:hAnsiTheme="minorHAnsi" w:cstheme="minorHAnsi"/>
        </w:rPr>
        <w:t>, which</w:t>
      </w:r>
      <w:r w:rsidR="005F7CF2" w:rsidRPr="0062487B">
        <w:rPr>
          <w:rFonts w:asciiTheme="minorHAnsi" w:hAnsiTheme="minorHAnsi" w:cstheme="minorHAnsi"/>
        </w:rPr>
        <w:t xml:space="preserve"> can translate to better patient experiences and outcomes. </w:t>
      </w:r>
    </w:p>
    <w:p w14:paraId="72920953" w14:textId="77777777" w:rsidR="00736B30" w:rsidRPr="0062487B" w:rsidRDefault="00736B30" w:rsidP="008503F6">
      <w:pPr>
        <w:contextualSpacing/>
        <w:rPr>
          <w:rFonts w:asciiTheme="minorHAnsi" w:hAnsiTheme="minorHAnsi" w:cstheme="minorHAnsi"/>
          <w:bCs/>
          <w:iCs/>
        </w:rPr>
      </w:pPr>
    </w:p>
    <w:p w14:paraId="6ED5C732" w14:textId="77777777" w:rsidR="00860B82" w:rsidRPr="0062487B" w:rsidRDefault="00860B82" w:rsidP="00860B82">
      <w:pPr>
        <w:contextualSpacing/>
        <w:rPr>
          <w:rFonts w:asciiTheme="minorHAnsi" w:hAnsiTheme="minorHAnsi" w:cstheme="minorHAnsi"/>
          <w:b/>
          <w:bCs/>
        </w:rPr>
      </w:pPr>
      <w:r w:rsidRPr="0062487B">
        <w:rPr>
          <w:rFonts w:asciiTheme="minorHAnsi" w:hAnsiTheme="minorHAnsi" w:cstheme="minorHAnsi"/>
          <w:b/>
          <w:bCs/>
        </w:rPr>
        <w:t>Health Equity and Social Determinants of Health (</w:t>
      </w:r>
      <w:proofErr w:type="spellStart"/>
      <w:r w:rsidRPr="0062487B">
        <w:rPr>
          <w:rFonts w:asciiTheme="minorHAnsi" w:hAnsiTheme="minorHAnsi" w:cstheme="minorHAnsi"/>
          <w:b/>
          <w:bCs/>
        </w:rPr>
        <w:t>SDoH</w:t>
      </w:r>
      <w:proofErr w:type="spellEnd"/>
      <w:r w:rsidRPr="0062487B">
        <w:rPr>
          <w:rFonts w:asciiTheme="minorHAnsi" w:hAnsiTheme="minorHAnsi" w:cstheme="minorHAnsi"/>
          <w:b/>
          <w:bCs/>
        </w:rPr>
        <w:t xml:space="preserve">) </w:t>
      </w:r>
    </w:p>
    <w:p w14:paraId="08C12914" w14:textId="0DCEBD27" w:rsidR="00F515BB" w:rsidRPr="0062487B" w:rsidRDefault="00F515BB" w:rsidP="005A6352">
      <w:pPr>
        <w:contextualSpacing/>
        <w:rPr>
          <w:rFonts w:asciiTheme="minorHAnsi" w:hAnsiTheme="minorHAnsi" w:cstheme="minorHAnsi"/>
          <w:bCs/>
        </w:rPr>
      </w:pPr>
      <w:r w:rsidRPr="0062487B">
        <w:rPr>
          <w:rFonts w:asciiTheme="minorHAnsi" w:hAnsiTheme="minorHAnsi" w:cstheme="minorHAnsi"/>
          <w:bCs/>
        </w:rPr>
        <w:t xml:space="preserve">The Applicant described health equity and </w:t>
      </w:r>
      <w:proofErr w:type="spellStart"/>
      <w:r w:rsidRPr="0062487B">
        <w:rPr>
          <w:rFonts w:asciiTheme="minorHAnsi" w:hAnsiTheme="minorHAnsi" w:cstheme="minorHAnsi"/>
          <w:bCs/>
        </w:rPr>
        <w:t>SDoH</w:t>
      </w:r>
      <w:proofErr w:type="spellEnd"/>
      <w:r w:rsidRPr="0062487B">
        <w:rPr>
          <w:rFonts w:asciiTheme="minorHAnsi" w:hAnsiTheme="minorHAnsi" w:cstheme="minorHAnsi"/>
          <w:bCs/>
        </w:rPr>
        <w:t xml:space="preserve"> efforts both </w:t>
      </w:r>
      <w:r w:rsidR="001139EF" w:rsidRPr="0062487B">
        <w:rPr>
          <w:rFonts w:asciiTheme="minorHAnsi" w:hAnsiTheme="minorHAnsi" w:cstheme="minorHAnsi"/>
          <w:bCs/>
        </w:rPr>
        <w:t>MGB systemwide</w:t>
      </w:r>
      <w:r w:rsidRPr="0062487B">
        <w:rPr>
          <w:rFonts w:asciiTheme="minorHAnsi" w:hAnsiTheme="minorHAnsi" w:cstheme="minorHAnsi"/>
          <w:bCs/>
        </w:rPr>
        <w:t xml:space="preserve"> and at BWFH.</w:t>
      </w:r>
    </w:p>
    <w:p w14:paraId="5523321C" w14:textId="77777777" w:rsidR="00F515BB" w:rsidRPr="0062487B" w:rsidRDefault="00F515BB" w:rsidP="005A6352">
      <w:pPr>
        <w:contextualSpacing/>
        <w:rPr>
          <w:rFonts w:asciiTheme="minorHAnsi" w:hAnsiTheme="minorHAnsi" w:cstheme="minorHAnsi"/>
          <w:bCs/>
        </w:rPr>
      </w:pPr>
    </w:p>
    <w:p w14:paraId="0B4B7E90" w14:textId="626094C4" w:rsidR="00D16E75" w:rsidRPr="0062487B" w:rsidRDefault="5A179293" w:rsidP="78F650E0">
      <w:pPr>
        <w:contextualSpacing/>
        <w:rPr>
          <w:rFonts w:asciiTheme="minorHAnsi" w:hAnsiTheme="minorHAnsi" w:cstheme="minorBidi"/>
        </w:rPr>
      </w:pPr>
      <w:r w:rsidRPr="78F650E0">
        <w:rPr>
          <w:rFonts w:asciiTheme="minorHAnsi" w:hAnsiTheme="minorHAnsi" w:cstheme="minorBidi"/>
        </w:rPr>
        <w:t xml:space="preserve">The </w:t>
      </w:r>
      <w:r w:rsidR="1F2D970D" w:rsidRPr="78F650E0">
        <w:rPr>
          <w:rFonts w:asciiTheme="minorHAnsi" w:hAnsiTheme="minorHAnsi" w:cstheme="minorBidi"/>
        </w:rPr>
        <w:t>A</w:t>
      </w:r>
      <w:r w:rsidRPr="78F650E0">
        <w:rPr>
          <w:rFonts w:asciiTheme="minorHAnsi" w:hAnsiTheme="minorHAnsi" w:cstheme="minorBidi"/>
        </w:rPr>
        <w:t xml:space="preserve">pplicant affirms that </w:t>
      </w:r>
      <w:r w:rsidR="72487F22" w:rsidRPr="78F650E0">
        <w:rPr>
          <w:rFonts w:asciiTheme="minorHAnsi" w:hAnsiTheme="minorHAnsi" w:cstheme="minorBidi"/>
        </w:rPr>
        <w:t>it</w:t>
      </w:r>
      <w:r w:rsidRPr="78F650E0">
        <w:rPr>
          <w:rFonts w:asciiTheme="minorHAnsi" w:hAnsiTheme="minorHAnsi" w:cstheme="minorBidi"/>
        </w:rPr>
        <w:t xml:space="preserve"> ensure</w:t>
      </w:r>
      <w:r w:rsidR="72487F22" w:rsidRPr="78F650E0">
        <w:rPr>
          <w:rFonts w:asciiTheme="minorHAnsi" w:hAnsiTheme="minorHAnsi" w:cstheme="minorBidi"/>
        </w:rPr>
        <w:t>s</w:t>
      </w:r>
      <w:r w:rsidRPr="78F650E0">
        <w:rPr>
          <w:rFonts w:asciiTheme="minorHAnsi" w:hAnsiTheme="minorHAnsi" w:cstheme="minorBidi"/>
        </w:rPr>
        <w:t xml:space="preserve"> health equity </w:t>
      </w:r>
      <w:r w:rsidR="58AEB007" w:rsidRPr="78F650E0">
        <w:rPr>
          <w:rFonts w:asciiTheme="minorHAnsi" w:hAnsiTheme="minorHAnsi" w:cstheme="minorBidi"/>
        </w:rPr>
        <w:t>for</w:t>
      </w:r>
      <w:r w:rsidRPr="78F650E0">
        <w:rPr>
          <w:rFonts w:asciiTheme="minorHAnsi" w:hAnsiTheme="minorHAnsi" w:cstheme="minorBidi"/>
        </w:rPr>
        <w:t xml:space="preserve"> all patients and the Proposed Project will not impact accessibility of BWFH’s services for “poor, medically indigent, and/or Medicaid eligible individuals.” Hospitals in the MGB system, including BWFH, participate in the American Hospital Association’s #123Equity Pledge Campaign</w:t>
      </w:r>
      <w:r w:rsidR="00780DE8" w:rsidRPr="78F650E0">
        <w:rPr>
          <w:rStyle w:val="FootnoteReference"/>
          <w:rFonts w:asciiTheme="minorHAnsi" w:hAnsiTheme="minorHAnsi" w:cstheme="minorBidi"/>
        </w:rPr>
        <w:footnoteReference w:id="17"/>
      </w:r>
      <w:r w:rsidRPr="78F650E0">
        <w:rPr>
          <w:rFonts w:asciiTheme="minorHAnsi" w:hAnsiTheme="minorHAnsi" w:cstheme="minorBidi"/>
        </w:rPr>
        <w:t>, which strives “to eliminate health and health care disparities that exist for racially, ethnically and culturally diverse individuals and identifies area for leaders to focus on to ensure high-quality, equitable care for everyone.”</w:t>
      </w:r>
      <w:r w:rsidR="3E710558" w:rsidRPr="78F650E0">
        <w:rPr>
          <w:rFonts w:asciiTheme="minorHAnsi" w:hAnsiTheme="minorHAnsi" w:cstheme="minorBidi"/>
        </w:rPr>
        <w:t xml:space="preserve"> Through the Campaign, BWFH will assure patients have equal access to benefits resulting from the Proposed Project. </w:t>
      </w:r>
      <w:r w:rsidR="2384FBB9" w:rsidRPr="78F650E0">
        <w:rPr>
          <w:rFonts w:asciiTheme="minorHAnsi" w:hAnsiTheme="minorHAnsi" w:cstheme="minorBidi"/>
        </w:rPr>
        <w:t>In 2020, t</w:t>
      </w:r>
      <w:r w:rsidR="3E710558" w:rsidRPr="78F650E0">
        <w:rPr>
          <w:rFonts w:asciiTheme="minorHAnsi" w:hAnsiTheme="minorHAnsi" w:cstheme="minorBidi"/>
        </w:rPr>
        <w:t xml:space="preserve">he Applicant </w:t>
      </w:r>
      <w:r w:rsidR="2CAEEC1A" w:rsidRPr="78F650E0">
        <w:rPr>
          <w:rFonts w:asciiTheme="minorHAnsi" w:hAnsiTheme="minorHAnsi" w:cstheme="minorBidi"/>
        </w:rPr>
        <w:t xml:space="preserve">also </w:t>
      </w:r>
      <w:r w:rsidR="3E710558" w:rsidRPr="78F650E0">
        <w:rPr>
          <w:rFonts w:asciiTheme="minorHAnsi" w:hAnsiTheme="minorHAnsi" w:cstheme="minorBidi"/>
        </w:rPr>
        <w:t>began</w:t>
      </w:r>
      <w:r w:rsidR="21A92D9C" w:rsidRPr="78F650E0">
        <w:rPr>
          <w:rFonts w:asciiTheme="minorHAnsi" w:hAnsiTheme="minorHAnsi" w:cstheme="minorBidi"/>
        </w:rPr>
        <w:t xml:space="preserve"> to participate in</w:t>
      </w:r>
      <w:r w:rsidR="3E710558" w:rsidRPr="78F650E0">
        <w:rPr>
          <w:rFonts w:asciiTheme="minorHAnsi" w:hAnsiTheme="minorHAnsi" w:cstheme="minorBidi"/>
        </w:rPr>
        <w:t xml:space="preserve"> the United Against Racism initiative</w:t>
      </w:r>
      <w:r w:rsidR="00780DE8" w:rsidRPr="78F650E0">
        <w:rPr>
          <w:rStyle w:val="FootnoteReference"/>
          <w:rFonts w:asciiTheme="minorHAnsi" w:hAnsiTheme="minorHAnsi" w:cstheme="minorBidi"/>
        </w:rPr>
        <w:footnoteReference w:id="18"/>
      </w:r>
      <w:r w:rsidR="3E710558" w:rsidRPr="78F650E0">
        <w:rPr>
          <w:rFonts w:asciiTheme="minorHAnsi" w:hAnsiTheme="minorHAnsi" w:cstheme="minorBidi"/>
        </w:rPr>
        <w:t xml:space="preserve"> as part of </w:t>
      </w:r>
      <w:proofErr w:type="spellStart"/>
      <w:r w:rsidR="00A47A29">
        <w:rPr>
          <w:rFonts w:asciiTheme="minorHAnsi" w:hAnsiTheme="minorHAnsi" w:cstheme="minorBidi"/>
        </w:rPr>
        <w:t>its</w:t>
      </w:r>
      <w:r w:rsidR="3E710558" w:rsidRPr="78F650E0">
        <w:rPr>
          <w:rFonts w:asciiTheme="minorHAnsi" w:hAnsiTheme="minorHAnsi" w:cstheme="minorBidi"/>
        </w:rPr>
        <w:t>ership</w:t>
      </w:r>
      <w:r w:rsidR="008E6238">
        <w:rPr>
          <w:rFonts w:asciiTheme="minorHAnsi" w:hAnsiTheme="minorHAnsi" w:cstheme="minorBidi"/>
        </w:rPr>
        <w:t>’</w:t>
      </w:r>
      <w:r w:rsidR="3E710558" w:rsidRPr="78F650E0">
        <w:rPr>
          <w:rFonts w:asciiTheme="minorHAnsi" w:hAnsiTheme="minorHAnsi" w:cstheme="minorBidi"/>
        </w:rPr>
        <w:t>s</w:t>
      </w:r>
      <w:proofErr w:type="spellEnd"/>
      <w:r w:rsidR="3E710558" w:rsidRPr="78F650E0">
        <w:rPr>
          <w:rFonts w:asciiTheme="minorHAnsi" w:hAnsiTheme="minorHAnsi" w:cstheme="minorBidi"/>
        </w:rPr>
        <w:t xml:space="preserve"> commitment to eliminate impact of racism on MGB’s patients and employees. </w:t>
      </w:r>
    </w:p>
    <w:p w14:paraId="27A604E1" w14:textId="0B7E1C8C" w:rsidR="00D16E75" w:rsidRPr="0062487B" w:rsidRDefault="00D16E75" w:rsidP="00860B82">
      <w:pPr>
        <w:contextualSpacing/>
        <w:rPr>
          <w:rFonts w:asciiTheme="minorHAnsi" w:hAnsiTheme="minorHAnsi" w:cstheme="minorHAnsi"/>
          <w:bCs/>
        </w:rPr>
      </w:pPr>
    </w:p>
    <w:p w14:paraId="790B1BBB" w14:textId="629FEA33" w:rsidR="006E7734" w:rsidRPr="0062487B" w:rsidRDefault="2B442A92" w:rsidP="78F650E0">
      <w:pPr>
        <w:contextualSpacing/>
        <w:rPr>
          <w:rFonts w:asciiTheme="minorHAnsi" w:hAnsiTheme="minorHAnsi" w:cstheme="minorBidi"/>
        </w:rPr>
      </w:pPr>
      <w:r w:rsidRPr="17FA2F59">
        <w:rPr>
          <w:rFonts w:asciiTheme="minorHAnsi" w:hAnsiTheme="minorHAnsi" w:cstheme="minorBidi"/>
        </w:rPr>
        <w:t xml:space="preserve">The Applicant states that </w:t>
      </w:r>
      <w:r w:rsidR="10B5EDA6" w:rsidRPr="17FA2F59">
        <w:rPr>
          <w:rFonts w:asciiTheme="minorHAnsi" w:hAnsiTheme="minorHAnsi" w:cstheme="minorBidi"/>
        </w:rPr>
        <w:t xml:space="preserve">BWFH </w:t>
      </w:r>
      <w:proofErr w:type="gramStart"/>
      <w:r w:rsidR="10B5EDA6" w:rsidRPr="17FA2F59">
        <w:rPr>
          <w:rFonts w:asciiTheme="minorHAnsi" w:hAnsiTheme="minorHAnsi" w:cstheme="minorBidi"/>
        </w:rPr>
        <w:t>is dedicated to providing</w:t>
      </w:r>
      <w:proofErr w:type="gramEnd"/>
      <w:r w:rsidR="10B5EDA6" w:rsidRPr="17FA2F59">
        <w:rPr>
          <w:rFonts w:asciiTheme="minorHAnsi" w:hAnsiTheme="minorHAnsi" w:cstheme="minorBidi"/>
        </w:rPr>
        <w:t xml:space="preserve"> access to interpreter and translation services via several modalities at no </w:t>
      </w:r>
      <w:r w:rsidR="3EB5345D" w:rsidRPr="17FA2F59">
        <w:rPr>
          <w:rFonts w:asciiTheme="minorHAnsi" w:hAnsiTheme="minorHAnsi" w:cstheme="minorBidi"/>
        </w:rPr>
        <w:t xml:space="preserve">additional </w:t>
      </w:r>
      <w:r w:rsidR="10B5EDA6" w:rsidRPr="17FA2F59">
        <w:rPr>
          <w:rFonts w:asciiTheme="minorHAnsi" w:hAnsiTheme="minorHAnsi" w:cstheme="minorBidi"/>
        </w:rPr>
        <w:t>cost to patients at all points of clinical contact</w:t>
      </w:r>
      <w:r w:rsidR="005D27F3">
        <w:rPr>
          <w:rFonts w:asciiTheme="minorHAnsi" w:hAnsiTheme="minorHAnsi" w:cstheme="minorBidi"/>
        </w:rPr>
        <w:t>,</w:t>
      </w:r>
      <w:r w:rsidR="2E7723DA" w:rsidRPr="17FA2F59">
        <w:rPr>
          <w:rFonts w:asciiTheme="minorHAnsi" w:hAnsiTheme="minorHAnsi" w:cstheme="minorBidi"/>
        </w:rPr>
        <w:t xml:space="preserve"> and </w:t>
      </w:r>
      <w:r w:rsidR="00047CBD">
        <w:rPr>
          <w:rFonts w:asciiTheme="minorHAnsi" w:hAnsiTheme="minorHAnsi" w:cstheme="minorBidi"/>
        </w:rPr>
        <w:t xml:space="preserve">to </w:t>
      </w:r>
      <w:r w:rsidR="10B5EDA6" w:rsidRPr="17FA2F59">
        <w:rPr>
          <w:rFonts w:asciiTheme="minorHAnsi" w:hAnsiTheme="minorHAnsi" w:cstheme="minorBidi"/>
        </w:rPr>
        <w:t>ensur</w:t>
      </w:r>
      <w:r w:rsidR="5F86E474" w:rsidRPr="17FA2F59">
        <w:rPr>
          <w:rFonts w:asciiTheme="minorHAnsi" w:hAnsiTheme="minorHAnsi" w:cstheme="minorBidi"/>
        </w:rPr>
        <w:t>ing</w:t>
      </w:r>
      <w:r w:rsidR="10B5EDA6" w:rsidRPr="17FA2F59">
        <w:rPr>
          <w:rFonts w:asciiTheme="minorHAnsi" w:hAnsiTheme="minorHAnsi" w:cstheme="minorBidi"/>
        </w:rPr>
        <w:t xml:space="preserve"> all </w:t>
      </w:r>
      <w:r w:rsidR="4C026A42" w:rsidRPr="17FA2F59">
        <w:rPr>
          <w:rFonts w:asciiTheme="minorHAnsi" w:hAnsiTheme="minorHAnsi" w:cstheme="minorBidi"/>
        </w:rPr>
        <w:t>limited English proficiency (</w:t>
      </w:r>
      <w:r w:rsidR="10B5EDA6" w:rsidRPr="17FA2F59">
        <w:rPr>
          <w:rFonts w:asciiTheme="minorHAnsi" w:hAnsiTheme="minorHAnsi" w:cstheme="minorBidi"/>
        </w:rPr>
        <w:t>LEP</w:t>
      </w:r>
      <w:r w:rsidR="4C026A42" w:rsidRPr="17FA2F59">
        <w:rPr>
          <w:rFonts w:asciiTheme="minorHAnsi" w:hAnsiTheme="minorHAnsi" w:cstheme="minorBidi"/>
        </w:rPr>
        <w:t>)</w:t>
      </w:r>
      <w:r w:rsidR="10B5EDA6" w:rsidRPr="17FA2F59">
        <w:rPr>
          <w:rFonts w:asciiTheme="minorHAnsi" w:hAnsiTheme="minorHAnsi" w:cstheme="minorBidi"/>
        </w:rPr>
        <w:t xml:space="preserve"> and deaf and hard of hearing (DHH) patients have access to appropriate services </w:t>
      </w:r>
      <w:r w:rsidR="005D27F3">
        <w:rPr>
          <w:rFonts w:asciiTheme="minorHAnsi" w:hAnsiTheme="minorHAnsi" w:cstheme="minorBidi"/>
        </w:rPr>
        <w:t>required for</w:t>
      </w:r>
      <w:r w:rsidR="005D27F3" w:rsidRPr="17FA2F59">
        <w:rPr>
          <w:rFonts w:asciiTheme="minorHAnsi" w:hAnsiTheme="minorHAnsi" w:cstheme="minorBidi"/>
        </w:rPr>
        <w:t xml:space="preserve"> </w:t>
      </w:r>
      <w:r w:rsidR="10B5EDA6" w:rsidRPr="17FA2F59">
        <w:rPr>
          <w:rFonts w:asciiTheme="minorHAnsi" w:hAnsiTheme="minorHAnsi" w:cstheme="minorBidi"/>
        </w:rPr>
        <w:t xml:space="preserve">receiving health care. </w:t>
      </w:r>
      <w:r w:rsidR="5741F728" w:rsidRPr="17FA2F59">
        <w:rPr>
          <w:rFonts w:asciiTheme="minorHAnsi" w:hAnsiTheme="minorHAnsi" w:cstheme="minorBidi"/>
        </w:rPr>
        <w:t xml:space="preserve">For LEP patients, </w:t>
      </w:r>
      <w:r w:rsidR="10B5EDA6" w:rsidRPr="17FA2F59">
        <w:rPr>
          <w:rFonts w:asciiTheme="minorHAnsi" w:hAnsiTheme="minorHAnsi" w:cstheme="minorBidi"/>
        </w:rPr>
        <w:t xml:space="preserve">certified in-person full-time Spanish and Russian interpreters </w:t>
      </w:r>
      <w:r w:rsidR="2E7723DA" w:rsidRPr="17FA2F59">
        <w:rPr>
          <w:rFonts w:asciiTheme="minorHAnsi" w:hAnsiTheme="minorHAnsi" w:cstheme="minorBidi"/>
        </w:rPr>
        <w:t xml:space="preserve">are available </w:t>
      </w:r>
      <w:r w:rsidR="5741F728" w:rsidRPr="17FA2F59">
        <w:rPr>
          <w:rFonts w:asciiTheme="minorHAnsi" w:hAnsiTheme="minorHAnsi" w:cstheme="minorBidi"/>
        </w:rPr>
        <w:t>during business hours</w:t>
      </w:r>
      <w:r w:rsidR="00047CBD">
        <w:rPr>
          <w:rFonts w:asciiTheme="minorHAnsi" w:hAnsiTheme="minorHAnsi" w:cstheme="minorBidi"/>
        </w:rPr>
        <w:t>. With ad</w:t>
      </w:r>
      <w:r w:rsidR="0029625E">
        <w:rPr>
          <w:rFonts w:asciiTheme="minorHAnsi" w:hAnsiTheme="minorHAnsi" w:cstheme="minorBidi"/>
        </w:rPr>
        <w:t>vance notice, p</w:t>
      </w:r>
      <w:r w:rsidR="5741F728" w:rsidRPr="17FA2F59">
        <w:rPr>
          <w:rFonts w:asciiTheme="minorHAnsi" w:hAnsiTheme="minorHAnsi" w:cstheme="minorBidi"/>
        </w:rPr>
        <w:t xml:space="preserve">er diem interpreters </w:t>
      </w:r>
      <w:r w:rsidR="00047CBD">
        <w:rPr>
          <w:rFonts w:asciiTheme="minorHAnsi" w:hAnsiTheme="minorHAnsi" w:cstheme="minorBidi"/>
        </w:rPr>
        <w:t xml:space="preserve">are available </w:t>
      </w:r>
      <w:r w:rsidR="5741F728" w:rsidRPr="17FA2F59">
        <w:rPr>
          <w:rFonts w:asciiTheme="minorHAnsi" w:hAnsiTheme="minorHAnsi" w:cstheme="minorBidi"/>
        </w:rPr>
        <w:t>for 12 languages</w:t>
      </w:r>
      <w:r w:rsidR="0029625E">
        <w:rPr>
          <w:rFonts w:asciiTheme="minorHAnsi" w:hAnsiTheme="minorHAnsi" w:cstheme="minorBidi"/>
        </w:rPr>
        <w:t>,</w:t>
      </w:r>
      <w:r w:rsidR="5741F728" w:rsidRPr="17FA2F59">
        <w:rPr>
          <w:rFonts w:asciiTheme="minorHAnsi" w:hAnsiTheme="minorHAnsi" w:cstheme="minorBidi"/>
        </w:rPr>
        <w:t xml:space="preserve"> </w:t>
      </w:r>
      <w:r w:rsidR="10B5EDA6" w:rsidRPr="17FA2F59">
        <w:rPr>
          <w:rFonts w:asciiTheme="minorHAnsi" w:hAnsiTheme="minorHAnsi" w:cstheme="minorBidi"/>
        </w:rPr>
        <w:t>a</w:t>
      </w:r>
      <w:r w:rsidR="00047CBD">
        <w:rPr>
          <w:rFonts w:asciiTheme="minorHAnsi" w:hAnsiTheme="minorHAnsi" w:cstheme="minorBidi"/>
        </w:rPr>
        <w:t>s are</w:t>
      </w:r>
      <w:r w:rsidR="10B5EDA6" w:rsidRPr="17FA2F59">
        <w:rPr>
          <w:rFonts w:asciiTheme="minorHAnsi" w:hAnsiTheme="minorHAnsi" w:cstheme="minorBidi"/>
        </w:rPr>
        <w:t xml:space="preserve"> contracted interpreters covering 40 languages</w:t>
      </w:r>
      <w:r w:rsidR="5741F728" w:rsidRPr="17FA2F59">
        <w:rPr>
          <w:rFonts w:asciiTheme="minorHAnsi" w:hAnsiTheme="minorHAnsi" w:cstheme="minorBidi"/>
        </w:rPr>
        <w:t xml:space="preserve">. </w:t>
      </w:r>
      <w:r w:rsidR="2E7723DA" w:rsidRPr="17FA2F59">
        <w:rPr>
          <w:rFonts w:asciiTheme="minorHAnsi" w:hAnsiTheme="minorHAnsi" w:cstheme="minorBidi"/>
        </w:rPr>
        <w:t xml:space="preserve">Additionally, </w:t>
      </w:r>
      <w:r w:rsidR="10B5EDA6" w:rsidRPr="17FA2F59">
        <w:rPr>
          <w:rFonts w:asciiTheme="minorHAnsi" w:hAnsiTheme="minorHAnsi" w:cstheme="minorBidi"/>
        </w:rPr>
        <w:t>sign language interpreters</w:t>
      </w:r>
      <w:r w:rsidR="3F31F266" w:rsidRPr="17FA2F59">
        <w:rPr>
          <w:rFonts w:asciiTheme="minorHAnsi" w:hAnsiTheme="minorHAnsi" w:cstheme="minorBidi"/>
        </w:rPr>
        <w:t xml:space="preserve"> for DHH patients</w:t>
      </w:r>
      <w:r w:rsidR="3365CA9E" w:rsidRPr="17FA2F59">
        <w:rPr>
          <w:rFonts w:asciiTheme="minorHAnsi" w:hAnsiTheme="minorHAnsi" w:cstheme="minorBidi"/>
        </w:rPr>
        <w:t xml:space="preserve"> </w:t>
      </w:r>
      <w:r w:rsidR="2E7723DA" w:rsidRPr="17FA2F59">
        <w:rPr>
          <w:rFonts w:asciiTheme="minorHAnsi" w:hAnsiTheme="minorHAnsi" w:cstheme="minorBidi"/>
        </w:rPr>
        <w:t xml:space="preserve">are </w:t>
      </w:r>
      <w:r w:rsidR="3365CA9E" w:rsidRPr="17FA2F59">
        <w:rPr>
          <w:rFonts w:asciiTheme="minorHAnsi" w:hAnsiTheme="minorHAnsi" w:cstheme="minorBidi"/>
        </w:rPr>
        <w:t>available</w:t>
      </w:r>
      <w:r w:rsidR="2E7723DA" w:rsidRPr="17FA2F59">
        <w:rPr>
          <w:rFonts w:asciiTheme="minorHAnsi" w:hAnsiTheme="minorHAnsi" w:cstheme="minorBidi"/>
        </w:rPr>
        <w:t xml:space="preserve"> through</w:t>
      </w:r>
      <w:r w:rsidR="3365CA9E" w:rsidRPr="17FA2F59">
        <w:rPr>
          <w:rFonts w:asciiTheme="minorHAnsi" w:hAnsiTheme="minorHAnsi" w:cstheme="minorBidi"/>
        </w:rPr>
        <w:t xml:space="preserve"> in-house</w:t>
      </w:r>
      <w:r w:rsidR="2E7723DA" w:rsidRPr="17FA2F59">
        <w:rPr>
          <w:rFonts w:asciiTheme="minorHAnsi" w:hAnsiTheme="minorHAnsi" w:cstheme="minorBidi"/>
        </w:rPr>
        <w:t xml:space="preserve"> staff, </w:t>
      </w:r>
      <w:r w:rsidR="3365CA9E" w:rsidRPr="17FA2F59">
        <w:rPr>
          <w:rFonts w:asciiTheme="minorHAnsi" w:hAnsiTheme="minorHAnsi" w:cstheme="minorBidi"/>
        </w:rPr>
        <w:t>the Hospital’s list of per-diem sign interpreters, contracted agencies, and the MGB Bulfinch Temporary Services Department</w:t>
      </w:r>
      <w:r w:rsidR="10B5EDA6" w:rsidRPr="17FA2F59">
        <w:rPr>
          <w:rFonts w:asciiTheme="minorHAnsi" w:hAnsiTheme="minorHAnsi" w:cstheme="minorBidi"/>
        </w:rPr>
        <w:t>. When</w:t>
      </w:r>
      <w:r w:rsidR="3365CA9E" w:rsidRPr="17FA2F59">
        <w:rPr>
          <w:rFonts w:asciiTheme="minorHAnsi" w:hAnsiTheme="minorHAnsi" w:cstheme="minorBidi"/>
        </w:rPr>
        <w:t xml:space="preserve"> sign</w:t>
      </w:r>
      <w:r w:rsidR="10B5EDA6" w:rsidRPr="17FA2F59">
        <w:rPr>
          <w:rFonts w:asciiTheme="minorHAnsi" w:hAnsiTheme="minorHAnsi" w:cstheme="minorBidi"/>
        </w:rPr>
        <w:t xml:space="preserve"> interpreters are not available in-person</w:t>
      </w:r>
      <w:r w:rsidR="6714C8B6" w:rsidRPr="17FA2F59">
        <w:rPr>
          <w:rFonts w:asciiTheme="minorHAnsi" w:hAnsiTheme="minorHAnsi" w:cstheme="minorBidi"/>
        </w:rPr>
        <w:t xml:space="preserve"> or upon patient request, access is provided through iPad screen</w:t>
      </w:r>
      <w:r w:rsidR="6E0F2AE6" w:rsidRPr="17FA2F59">
        <w:rPr>
          <w:rFonts w:asciiTheme="minorHAnsi" w:hAnsiTheme="minorHAnsi" w:cstheme="minorBidi"/>
        </w:rPr>
        <w:t>s</w:t>
      </w:r>
      <w:r w:rsidR="6714C8B6" w:rsidRPr="17FA2F59">
        <w:rPr>
          <w:rFonts w:asciiTheme="minorHAnsi" w:hAnsiTheme="minorHAnsi" w:cstheme="minorBidi"/>
        </w:rPr>
        <w:t xml:space="preserve">. </w:t>
      </w:r>
      <w:r w:rsidR="6E0F2AE6" w:rsidRPr="17FA2F59">
        <w:rPr>
          <w:rFonts w:asciiTheme="minorHAnsi" w:hAnsiTheme="minorHAnsi" w:cstheme="minorBidi"/>
        </w:rPr>
        <w:t xml:space="preserve">Additionally, patients </w:t>
      </w:r>
      <w:r w:rsidR="10B5EDA6" w:rsidRPr="17FA2F59">
        <w:rPr>
          <w:rFonts w:asciiTheme="minorHAnsi" w:hAnsiTheme="minorHAnsi" w:cstheme="minorBidi"/>
        </w:rPr>
        <w:t>have access to qualified interpreters skilled in 50+ languages via iPad Video Remote Units (iPads on Wheels) or via phone (</w:t>
      </w:r>
      <w:proofErr w:type="spellStart"/>
      <w:r w:rsidR="10B5EDA6" w:rsidRPr="17FA2F59">
        <w:rPr>
          <w:rFonts w:asciiTheme="minorHAnsi" w:hAnsiTheme="minorHAnsi" w:cstheme="minorBidi"/>
        </w:rPr>
        <w:t>LanguageLine</w:t>
      </w:r>
      <w:proofErr w:type="spellEnd"/>
      <w:r w:rsidR="10B5EDA6" w:rsidRPr="17FA2F59">
        <w:rPr>
          <w:rFonts w:asciiTheme="minorHAnsi" w:hAnsiTheme="minorHAnsi" w:cstheme="minorBidi"/>
        </w:rPr>
        <w:t xml:space="preserve"> Solutions).</w:t>
      </w:r>
      <w:r w:rsidR="6E0F2AE6" w:rsidRPr="17FA2F59">
        <w:rPr>
          <w:rFonts w:asciiTheme="minorHAnsi" w:hAnsiTheme="minorHAnsi" w:cstheme="minorBidi"/>
        </w:rPr>
        <w:t xml:space="preserve"> The Applicant notes that </w:t>
      </w:r>
      <w:r w:rsidR="08A1D4C2" w:rsidRPr="17FA2F59">
        <w:rPr>
          <w:rFonts w:asciiTheme="minorHAnsi" w:hAnsiTheme="minorHAnsi" w:cstheme="minorBidi"/>
        </w:rPr>
        <w:t xml:space="preserve">in addition to </w:t>
      </w:r>
      <w:r w:rsidR="528E5C49" w:rsidRPr="17FA2F59">
        <w:rPr>
          <w:rFonts w:asciiTheme="minorHAnsi" w:hAnsiTheme="minorHAnsi" w:cstheme="minorBidi"/>
        </w:rPr>
        <w:t xml:space="preserve">interpreters </w:t>
      </w:r>
      <w:r w:rsidR="3181FB64" w:rsidRPr="17FA2F59">
        <w:rPr>
          <w:rFonts w:asciiTheme="minorHAnsi" w:hAnsiTheme="minorHAnsi" w:cstheme="minorBidi"/>
        </w:rPr>
        <w:t>who are</w:t>
      </w:r>
      <w:r w:rsidR="528E5C49" w:rsidRPr="17FA2F59">
        <w:rPr>
          <w:rFonts w:asciiTheme="minorHAnsi" w:hAnsiTheme="minorHAnsi" w:cstheme="minorBidi"/>
        </w:rPr>
        <w:t xml:space="preserve"> trained and</w:t>
      </w:r>
      <w:r w:rsidR="34D63FA9" w:rsidRPr="17FA2F59">
        <w:rPr>
          <w:rFonts w:asciiTheme="minorHAnsi" w:hAnsiTheme="minorHAnsi" w:cstheme="minorBidi"/>
        </w:rPr>
        <w:t xml:space="preserve"> </w:t>
      </w:r>
      <w:r w:rsidR="528E5C49" w:rsidRPr="17FA2F59">
        <w:rPr>
          <w:rFonts w:asciiTheme="minorHAnsi" w:hAnsiTheme="minorHAnsi" w:cstheme="minorBidi"/>
        </w:rPr>
        <w:t xml:space="preserve">certified in interpretation and BWFH policies, </w:t>
      </w:r>
      <w:r w:rsidR="6E0F2AE6" w:rsidRPr="17FA2F59">
        <w:rPr>
          <w:rFonts w:asciiTheme="minorHAnsi" w:hAnsiTheme="minorHAnsi" w:cstheme="minorBidi"/>
        </w:rPr>
        <w:t xml:space="preserve">patient information documents are </w:t>
      </w:r>
      <w:r w:rsidR="112DFD26" w:rsidRPr="17FA2F59">
        <w:rPr>
          <w:rFonts w:asciiTheme="minorHAnsi" w:hAnsiTheme="minorHAnsi" w:cstheme="minorBidi"/>
        </w:rPr>
        <w:t xml:space="preserve">also </w:t>
      </w:r>
      <w:r w:rsidR="6E0F2AE6" w:rsidRPr="17FA2F59">
        <w:rPr>
          <w:rFonts w:asciiTheme="minorHAnsi" w:hAnsiTheme="minorHAnsi" w:cstheme="minorBidi"/>
        </w:rPr>
        <w:t xml:space="preserve">available in multiple languages. </w:t>
      </w:r>
    </w:p>
    <w:p w14:paraId="0019CE47" w14:textId="77777777" w:rsidR="006E7734" w:rsidRPr="0062487B" w:rsidRDefault="006E7734" w:rsidP="00860B82">
      <w:pPr>
        <w:contextualSpacing/>
        <w:rPr>
          <w:rFonts w:asciiTheme="minorHAnsi" w:hAnsiTheme="minorHAnsi" w:cstheme="minorHAnsi"/>
          <w:bCs/>
        </w:rPr>
      </w:pPr>
    </w:p>
    <w:p w14:paraId="6E13ED89" w14:textId="55F0E266" w:rsidR="00AC7107" w:rsidRPr="0062487B" w:rsidRDefault="439AE58B" w:rsidP="00D32DE3">
      <w:pPr>
        <w:contextualSpacing/>
        <w:rPr>
          <w:rFonts w:asciiTheme="minorHAnsi" w:hAnsiTheme="minorHAnsi" w:cstheme="minorHAnsi"/>
        </w:rPr>
      </w:pPr>
      <w:r w:rsidRPr="0062487B">
        <w:rPr>
          <w:rFonts w:asciiTheme="minorHAnsi" w:hAnsiTheme="minorHAnsi" w:cstheme="minorHAnsi"/>
        </w:rPr>
        <w:t xml:space="preserve">Additionally, the Applicant states that they have adopted the Culturally and Linguistically Appropriate Service (CLAS) standards for all practice sites, including BWFH. The Applicant has committed to adopting these standards </w:t>
      </w:r>
      <w:r w:rsidR="00C37E74" w:rsidRPr="0062487B">
        <w:rPr>
          <w:rFonts w:asciiTheme="minorHAnsi" w:hAnsiTheme="minorHAnsi" w:cstheme="minorHAnsi"/>
        </w:rPr>
        <w:t xml:space="preserve">in </w:t>
      </w:r>
      <w:r w:rsidRPr="0062487B">
        <w:rPr>
          <w:rFonts w:asciiTheme="minorHAnsi" w:hAnsiTheme="minorHAnsi" w:cstheme="minorHAnsi"/>
        </w:rPr>
        <w:t>six areas, as per DPH’s guide to CLAS</w:t>
      </w:r>
      <w:r w:rsidR="78BC2F29" w:rsidRPr="0062487B">
        <w:rPr>
          <w:rFonts w:asciiTheme="minorHAnsi" w:hAnsiTheme="minorHAnsi" w:cstheme="minorHAnsi"/>
        </w:rPr>
        <w:t xml:space="preserve">, many of which </w:t>
      </w:r>
      <w:proofErr w:type="gramStart"/>
      <w:r w:rsidR="78BC2F29" w:rsidRPr="0062487B">
        <w:rPr>
          <w:rFonts w:asciiTheme="minorHAnsi" w:hAnsiTheme="minorHAnsi" w:cstheme="minorHAnsi"/>
        </w:rPr>
        <w:t>are connected with</w:t>
      </w:r>
      <w:proofErr w:type="gramEnd"/>
      <w:r w:rsidR="78BC2F29" w:rsidRPr="0062487B">
        <w:rPr>
          <w:rFonts w:asciiTheme="minorHAnsi" w:hAnsiTheme="minorHAnsi" w:cstheme="minorHAnsi"/>
        </w:rPr>
        <w:t xml:space="preserve"> the #123Equity Pledge Campaign</w:t>
      </w:r>
      <w:r w:rsidRPr="0062487B">
        <w:rPr>
          <w:rFonts w:asciiTheme="minorHAnsi" w:hAnsiTheme="minorHAnsi" w:cstheme="minorHAnsi"/>
        </w:rPr>
        <w:t>. These include</w:t>
      </w:r>
      <w:r w:rsidR="0A1D24C8" w:rsidRPr="0062487B">
        <w:rPr>
          <w:rFonts w:asciiTheme="minorHAnsi" w:hAnsiTheme="minorHAnsi" w:cstheme="minorHAnsi"/>
        </w:rPr>
        <w:t xml:space="preserve"> </w:t>
      </w:r>
      <w:r w:rsidRPr="0062487B">
        <w:rPr>
          <w:rFonts w:asciiTheme="minorHAnsi" w:hAnsiTheme="minorHAnsi" w:cstheme="minorHAnsi"/>
        </w:rPr>
        <w:t>Foster Cultural Competence</w:t>
      </w:r>
      <w:r w:rsidR="0CA79F36" w:rsidRPr="0062487B">
        <w:rPr>
          <w:rFonts w:asciiTheme="minorHAnsi" w:hAnsiTheme="minorHAnsi" w:cstheme="minorHAnsi"/>
        </w:rPr>
        <w:t>,</w:t>
      </w:r>
      <w:r w:rsidR="0A1D24C8" w:rsidRPr="0062487B">
        <w:rPr>
          <w:rFonts w:asciiTheme="minorHAnsi" w:hAnsiTheme="minorHAnsi" w:cstheme="minorHAnsi"/>
        </w:rPr>
        <w:t xml:space="preserve"> </w:t>
      </w:r>
      <w:r w:rsidRPr="0062487B">
        <w:rPr>
          <w:rFonts w:asciiTheme="minorHAnsi" w:hAnsiTheme="minorHAnsi" w:cstheme="minorHAnsi"/>
        </w:rPr>
        <w:t>Build Community Partnerships</w:t>
      </w:r>
      <w:r w:rsidR="59CE53D1" w:rsidRPr="0062487B">
        <w:rPr>
          <w:rFonts w:asciiTheme="minorHAnsi" w:hAnsiTheme="minorHAnsi" w:cstheme="minorHAnsi"/>
        </w:rPr>
        <w:t>,</w:t>
      </w:r>
      <w:r w:rsidR="0A1D24C8" w:rsidRPr="0062487B">
        <w:rPr>
          <w:rFonts w:asciiTheme="minorHAnsi" w:hAnsiTheme="minorHAnsi" w:cstheme="minorHAnsi"/>
        </w:rPr>
        <w:t xml:space="preserve"> </w:t>
      </w:r>
      <w:r w:rsidR="08FA1A49" w:rsidRPr="0062487B">
        <w:rPr>
          <w:rFonts w:asciiTheme="minorHAnsi" w:hAnsiTheme="minorHAnsi" w:cstheme="minorHAnsi"/>
        </w:rPr>
        <w:t>Collect and Share Diversity Data</w:t>
      </w:r>
      <w:r w:rsidR="7C12D87D" w:rsidRPr="0062487B">
        <w:rPr>
          <w:rFonts w:asciiTheme="minorHAnsi" w:hAnsiTheme="minorHAnsi" w:cstheme="minorHAnsi"/>
        </w:rPr>
        <w:t>,</w:t>
      </w:r>
      <w:r w:rsidR="0A1D24C8" w:rsidRPr="0062487B">
        <w:rPr>
          <w:rFonts w:asciiTheme="minorHAnsi" w:hAnsiTheme="minorHAnsi" w:cstheme="minorHAnsi"/>
        </w:rPr>
        <w:t xml:space="preserve"> </w:t>
      </w:r>
      <w:r w:rsidR="3B088000" w:rsidRPr="0062487B">
        <w:rPr>
          <w:rFonts w:asciiTheme="minorHAnsi" w:hAnsiTheme="minorHAnsi" w:cstheme="minorHAnsi"/>
        </w:rPr>
        <w:t>Benchmark</w:t>
      </w:r>
      <w:r w:rsidR="0A1D24C8" w:rsidRPr="0062487B">
        <w:rPr>
          <w:rFonts w:asciiTheme="minorHAnsi" w:hAnsiTheme="minorHAnsi" w:cstheme="minorHAnsi"/>
        </w:rPr>
        <w:t xml:space="preserve">: </w:t>
      </w:r>
      <w:r w:rsidR="3B088000" w:rsidRPr="0062487B">
        <w:rPr>
          <w:rFonts w:asciiTheme="minorHAnsi" w:hAnsiTheme="minorHAnsi" w:cstheme="minorHAnsi"/>
        </w:rPr>
        <w:t>Plan &amp; Evaluat</w:t>
      </w:r>
      <w:r w:rsidR="0A1D24C8" w:rsidRPr="0062487B">
        <w:rPr>
          <w:rFonts w:asciiTheme="minorHAnsi" w:hAnsiTheme="minorHAnsi" w:cstheme="minorHAnsi"/>
        </w:rPr>
        <w:t>e</w:t>
      </w:r>
      <w:r w:rsidR="6A161F3F" w:rsidRPr="0062487B">
        <w:rPr>
          <w:rFonts w:asciiTheme="minorHAnsi" w:hAnsiTheme="minorHAnsi" w:cstheme="minorHAnsi"/>
        </w:rPr>
        <w:t>,</w:t>
      </w:r>
      <w:r w:rsidR="3B088000" w:rsidRPr="0062487B">
        <w:rPr>
          <w:rFonts w:asciiTheme="minorHAnsi" w:hAnsiTheme="minorHAnsi" w:cstheme="minorHAnsi"/>
        </w:rPr>
        <w:t xml:space="preserve"> Reflect and Respect Diversity</w:t>
      </w:r>
      <w:r w:rsidR="2D3775E6" w:rsidRPr="0062487B">
        <w:rPr>
          <w:rFonts w:asciiTheme="minorHAnsi" w:hAnsiTheme="minorHAnsi" w:cstheme="minorHAnsi"/>
        </w:rPr>
        <w:t>,</w:t>
      </w:r>
      <w:r w:rsidR="0A1D24C8" w:rsidRPr="0062487B">
        <w:rPr>
          <w:rFonts w:asciiTheme="minorHAnsi" w:hAnsiTheme="minorHAnsi" w:cstheme="minorHAnsi"/>
        </w:rPr>
        <w:t xml:space="preserve"> and </w:t>
      </w:r>
      <w:r w:rsidR="0CFF5CB2" w:rsidRPr="0062487B">
        <w:rPr>
          <w:rFonts w:asciiTheme="minorHAnsi" w:hAnsiTheme="minorHAnsi" w:cstheme="minorHAnsi"/>
        </w:rPr>
        <w:t>Ensure Language Access</w:t>
      </w:r>
      <w:r w:rsidR="0A1D24C8" w:rsidRPr="0062487B">
        <w:rPr>
          <w:rFonts w:asciiTheme="minorHAnsi" w:hAnsiTheme="minorHAnsi" w:cstheme="minorHAnsi"/>
        </w:rPr>
        <w:t>.</w:t>
      </w:r>
    </w:p>
    <w:p w14:paraId="3AA949B9" w14:textId="77777777" w:rsidR="006E7734" w:rsidRPr="0062487B" w:rsidRDefault="006E7734" w:rsidP="17FA2F59">
      <w:pPr>
        <w:contextualSpacing/>
        <w:rPr>
          <w:rFonts w:asciiTheme="minorHAnsi" w:hAnsiTheme="minorHAnsi" w:cstheme="minorBidi"/>
        </w:rPr>
      </w:pPr>
    </w:p>
    <w:p w14:paraId="73E85A68" w14:textId="2FD180A7" w:rsidR="17FA2F59" w:rsidRDefault="17FA2F59" w:rsidP="17FA2F59">
      <w:pPr>
        <w:rPr>
          <w:rFonts w:ascii="Calibri" w:eastAsia="Calibri" w:hAnsi="Calibri" w:cs="Calibri"/>
        </w:rPr>
      </w:pPr>
      <w:r w:rsidRPr="17FA2F59">
        <w:rPr>
          <w:rFonts w:ascii="Calibri" w:eastAsia="Calibri" w:hAnsi="Calibri" w:cs="Calibri"/>
        </w:rPr>
        <w:t xml:space="preserve">As a standard condition of approval of the Proposed Project, as set out in </w:t>
      </w:r>
      <w:proofErr w:type="spellStart"/>
      <w:r w:rsidRPr="17FA2F59">
        <w:rPr>
          <w:rFonts w:ascii="Calibri" w:eastAsia="Calibri" w:hAnsi="Calibri" w:cs="Calibri"/>
        </w:rPr>
        <w:t>DoN</w:t>
      </w:r>
      <w:proofErr w:type="spellEnd"/>
      <w:r w:rsidRPr="17FA2F59">
        <w:rPr>
          <w:rFonts w:ascii="Calibri" w:eastAsia="Calibri" w:hAnsi="Calibri" w:cs="Calibri"/>
        </w:rPr>
        <w:t xml:space="preserve"> regulation 105 CMR 100.310, all Determination of Need Holders must provide a plan for approval by the Office of Health Equity for the development and improvement of language access and assistive services provided to individuals with disabilities, non-English speaking, Limited English Proficiency (LEP), and American Sign Language (ASL) patients.</w:t>
      </w:r>
    </w:p>
    <w:p w14:paraId="53A79F4C" w14:textId="41EF4BF9" w:rsidR="17FA2F59" w:rsidRDefault="17FA2F59" w:rsidP="17FA2F59"/>
    <w:p w14:paraId="711C985B" w14:textId="1FEBAE72" w:rsidR="00E047A7" w:rsidRPr="0062487B" w:rsidRDefault="5AAF175D" w:rsidP="002A0986">
      <w:pPr>
        <w:contextualSpacing/>
        <w:rPr>
          <w:rFonts w:asciiTheme="minorHAnsi" w:hAnsiTheme="minorHAnsi" w:cstheme="minorHAnsi"/>
        </w:rPr>
      </w:pPr>
      <w:r w:rsidRPr="0062487B">
        <w:rPr>
          <w:rFonts w:asciiTheme="minorHAnsi" w:hAnsiTheme="minorHAnsi" w:cstheme="minorHAnsi"/>
        </w:rPr>
        <w:lastRenderedPageBreak/>
        <w:t xml:space="preserve">The Applicant and BWFH have a long-term goal to implement a universal </w:t>
      </w:r>
      <w:proofErr w:type="spellStart"/>
      <w:r w:rsidRPr="0062487B">
        <w:rPr>
          <w:rFonts w:asciiTheme="minorHAnsi" w:hAnsiTheme="minorHAnsi" w:cstheme="minorHAnsi"/>
        </w:rPr>
        <w:t>SDoH</w:t>
      </w:r>
      <w:proofErr w:type="spellEnd"/>
      <w:r w:rsidRPr="0062487B">
        <w:rPr>
          <w:rFonts w:asciiTheme="minorHAnsi" w:hAnsiTheme="minorHAnsi" w:cstheme="minorHAnsi"/>
        </w:rPr>
        <w:t xml:space="preserve"> needs screening program for all patients. BWFH already screens certain patients for </w:t>
      </w:r>
      <w:proofErr w:type="spellStart"/>
      <w:r w:rsidRPr="0062487B">
        <w:rPr>
          <w:rFonts w:asciiTheme="minorHAnsi" w:hAnsiTheme="minorHAnsi" w:cstheme="minorHAnsi"/>
        </w:rPr>
        <w:t>SDoH</w:t>
      </w:r>
      <w:proofErr w:type="spellEnd"/>
      <w:r w:rsidRPr="0062487B">
        <w:rPr>
          <w:rFonts w:asciiTheme="minorHAnsi" w:hAnsiTheme="minorHAnsi" w:cstheme="minorHAnsi"/>
        </w:rPr>
        <w:t xml:space="preserve"> needs as a part of the MassHealth ACO model of care</w:t>
      </w:r>
      <w:r w:rsidR="6E7C94E7" w:rsidRPr="0062487B">
        <w:rPr>
          <w:rFonts w:asciiTheme="minorHAnsi" w:hAnsiTheme="minorHAnsi" w:cstheme="minorHAnsi"/>
        </w:rPr>
        <w:t xml:space="preserve">. </w:t>
      </w:r>
      <w:r w:rsidR="428D9E89" w:rsidRPr="0062487B">
        <w:rPr>
          <w:rFonts w:asciiTheme="minorHAnsi" w:hAnsiTheme="minorHAnsi" w:cstheme="minorHAnsi"/>
        </w:rPr>
        <w:t>P</w:t>
      </w:r>
      <w:r w:rsidRPr="0062487B">
        <w:rPr>
          <w:rFonts w:asciiTheme="minorHAnsi" w:hAnsiTheme="minorHAnsi" w:cstheme="minorHAnsi"/>
        </w:rPr>
        <w:t xml:space="preserve">atients </w:t>
      </w:r>
      <w:r w:rsidR="5FF42D12" w:rsidRPr="0062487B">
        <w:rPr>
          <w:rFonts w:asciiTheme="minorHAnsi" w:hAnsiTheme="minorHAnsi" w:cstheme="minorHAnsi"/>
        </w:rPr>
        <w:t>are</w:t>
      </w:r>
      <w:r w:rsidRPr="0062487B">
        <w:rPr>
          <w:rFonts w:asciiTheme="minorHAnsi" w:hAnsiTheme="minorHAnsi" w:cstheme="minorHAnsi"/>
          <w:bCs/>
        </w:rPr>
        <w:t xml:space="preserve"> </w:t>
      </w:r>
      <w:r w:rsidR="5FF42D12" w:rsidRPr="0062487B">
        <w:rPr>
          <w:rFonts w:asciiTheme="minorHAnsi" w:hAnsiTheme="minorHAnsi" w:cstheme="minorHAnsi"/>
        </w:rPr>
        <w:t xml:space="preserve">asked </w:t>
      </w:r>
      <w:r w:rsidRPr="0062487B">
        <w:rPr>
          <w:rFonts w:asciiTheme="minorHAnsi" w:hAnsiTheme="minorHAnsi" w:cstheme="minorHAnsi"/>
        </w:rPr>
        <w:t xml:space="preserve">about </w:t>
      </w:r>
      <w:r w:rsidR="005D27F3">
        <w:rPr>
          <w:rFonts w:asciiTheme="minorHAnsi" w:hAnsiTheme="minorHAnsi" w:cstheme="minorHAnsi"/>
        </w:rPr>
        <w:t xml:space="preserve">needed </w:t>
      </w:r>
      <w:r w:rsidRPr="0062487B">
        <w:rPr>
          <w:rFonts w:asciiTheme="minorHAnsi" w:hAnsiTheme="minorHAnsi" w:cstheme="minorHAnsi"/>
        </w:rPr>
        <w:t xml:space="preserve">assistance and receive follow-up on </w:t>
      </w:r>
      <w:proofErr w:type="spellStart"/>
      <w:r w:rsidRPr="0062487B">
        <w:rPr>
          <w:rFonts w:asciiTheme="minorHAnsi" w:hAnsiTheme="minorHAnsi" w:cstheme="minorHAnsi"/>
        </w:rPr>
        <w:t>SDoH</w:t>
      </w:r>
      <w:proofErr w:type="spellEnd"/>
      <w:r w:rsidRPr="0062487B">
        <w:rPr>
          <w:rFonts w:asciiTheme="minorHAnsi" w:hAnsiTheme="minorHAnsi" w:cstheme="minorHAnsi"/>
        </w:rPr>
        <w:t xml:space="preserve"> resources, </w:t>
      </w:r>
      <w:r w:rsidR="5FF42D12" w:rsidRPr="0062487B">
        <w:rPr>
          <w:rFonts w:asciiTheme="minorHAnsi" w:hAnsiTheme="minorHAnsi" w:cstheme="minorHAnsi"/>
        </w:rPr>
        <w:t xml:space="preserve">with </w:t>
      </w:r>
      <w:r w:rsidRPr="0062487B">
        <w:rPr>
          <w:rFonts w:asciiTheme="minorHAnsi" w:hAnsiTheme="minorHAnsi" w:cstheme="minorHAnsi"/>
        </w:rPr>
        <w:t xml:space="preserve">patients who would like </w:t>
      </w:r>
      <w:r w:rsidR="5E51934D" w:rsidRPr="0062487B">
        <w:rPr>
          <w:rFonts w:asciiTheme="minorHAnsi" w:hAnsiTheme="minorHAnsi" w:cstheme="minorHAnsi"/>
        </w:rPr>
        <w:t xml:space="preserve">immediate </w:t>
      </w:r>
      <w:r w:rsidRPr="0062487B">
        <w:rPr>
          <w:rFonts w:asciiTheme="minorHAnsi" w:hAnsiTheme="minorHAnsi" w:cstheme="minorHAnsi"/>
        </w:rPr>
        <w:t xml:space="preserve">help </w:t>
      </w:r>
      <w:r w:rsidR="5FF42D12" w:rsidRPr="0062487B">
        <w:rPr>
          <w:rFonts w:asciiTheme="minorHAnsi" w:hAnsiTheme="minorHAnsi" w:cstheme="minorHAnsi"/>
        </w:rPr>
        <w:t>prioritized</w:t>
      </w:r>
      <w:r w:rsidRPr="0062487B">
        <w:rPr>
          <w:rFonts w:asciiTheme="minorHAnsi" w:hAnsiTheme="minorHAnsi" w:cstheme="minorHAnsi"/>
        </w:rPr>
        <w:t xml:space="preserve">. Screenings are conducted via iPads, and the screening tool is available in </w:t>
      </w:r>
      <w:r w:rsidR="5FF42D12" w:rsidRPr="0062487B">
        <w:rPr>
          <w:rFonts w:asciiTheme="minorHAnsi" w:hAnsiTheme="minorHAnsi" w:cstheme="minorHAnsi"/>
        </w:rPr>
        <w:t>multiple</w:t>
      </w:r>
      <w:r w:rsidR="5FF42D12" w:rsidRPr="0062487B">
        <w:rPr>
          <w:rFonts w:asciiTheme="minorHAnsi" w:hAnsiTheme="minorHAnsi" w:cstheme="minorHAnsi"/>
          <w:bCs/>
        </w:rPr>
        <w:t xml:space="preserve"> </w:t>
      </w:r>
      <w:r w:rsidRPr="0062487B">
        <w:rPr>
          <w:rFonts w:asciiTheme="minorHAnsi" w:hAnsiTheme="minorHAnsi" w:cstheme="minorHAnsi"/>
        </w:rPr>
        <w:t>languages</w:t>
      </w:r>
      <w:r w:rsidR="002A0986" w:rsidRPr="0062487B">
        <w:rPr>
          <w:rStyle w:val="FootnoteReference"/>
          <w:rFonts w:asciiTheme="minorHAnsi" w:hAnsiTheme="minorHAnsi" w:cstheme="minorHAnsi"/>
        </w:rPr>
        <w:footnoteReference w:id="19"/>
      </w:r>
      <w:r w:rsidRPr="0062487B">
        <w:rPr>
          <w:rFonts w:asciiTheme="minorHAnsi" w:hAnsiTheme="minorHAnsi" w:cstheme="minorHAnsi"/>
          <w:bCs/>
        </w:rPr>
        <w:t xml:space="preserve"> </w:t>
      </w:r>
      <w:r w:rsidR="00363BD8">
        <w:rPr>
          <w:rFonts w:asciiTheme="minorHAnsi" w:hAnsiTheme="minorHAnsi" w:cstheme="minorHAnsi"/>
          <w:bCs/>
        </w:rPr>
        <w:t>w</w:t>
      </w:r>
      <w:r w:rsidR="005D27F3">
        <w:rPr>
          <w:rFonts w:asciiTheme="minorHAnsi" w:hAnsiTheme="minorHAnsi" w:cstheme="minorHAnsi"/>
          <w:bCs/>
        </w:rPr>
        <w:t xml:space="preserve">ith </w:t>
      </w:r>
      <w:r w:rsidR="005D27F3">
        <w:rPr>
          <w:rFonts w:asciiTheme="minorHAnsi" w:hAnsiTheme="minorHAnsi" w:cstheme="minorHAnsi"/>
        </w:rPr>
        <w:t>s</w:t>
      </w:r>
      <w:r w:rsidRPr="0062487B">
        <w:rPr>
          <w:rFonts w:asciiTheme="minorHAnsi" w:hAnsiTheme="minorHAnsi" w:cstheme="minorHAnsi"/>
        </w:rPr>
        <w:t>taff available for technological assistance. BWFH is integrated into MGB’s electronic</w:t>
      </w:r>
      <w:r w:rsidR="7BCE76C2" w:rsidRPr="0062487B">
        <w:rPr>
          <w:rFonts w:asciiTheme="minorHAnsi" w:hAnsiTheme="minorHAnsi" w:cstheme="minorHAnsi"/>
        </w:rPr>
        <w:t xml:space="preserve"> health</w:t>
      </w:r>
      <w:r w:rsidRPr="0062487B">
        <w:rPr>
          <w:rFonts w:asciiTheme="minorHAnsi" w:hAnsiTheme="minorHAnsi" w:cstheme="minorHAnsi"/>
        </w:rPr>
        <w:t xml:space="preserve"> record </w:t>
      </w:r>
      <w:r w:rsidR="110876AC" w:rsidRPr="0062487B">
        <w:rPr>
          <w:rFonts w:asciiTheme="minorHAnsi" w:hAnsiTheme="minorHAnsi" w:cstheme="minorHAnsi"/>
        </w:rPr>
        <w:t xml:space="preserve">(EHR) </w:t>
      </w:r>
      <w:r w:rsidRPr="0062487B">
        <w:rPr>
          <w:rFonts w:asciiTheme="minorHAnsi" w:hAnsiTheme="minorHAnsi" w:cstheme="minorHAnsi"/>
        </w:rPr>
        <w:t>system, which enable</w:t>
      </w:r>
      <w:r w:rsidR="00192058">
        <w:rPr>
          <w:rFonts w:asciiTheme="minorHAnsi" w:hAnsiTheme="minorHAnsi" w:cstheme="minorHAnsi"/>
        </w:rPr>
        <w:t>s</w:t>
      </w:r>
      <w:r w:rsidRPr="0062487B">
        <w:rPr>
          <w:rFonts w:asciiTheme="minorHAnsi" w:hAnsiTheme="minorHAnsi" w:cstheme="minorHAnsi"/>
        </w:rPr>
        <w:t xml:space="preserve"> specialty care staff and PCPs to have access to screening information. </w:t>
      </w:r>
    </w:p>
    <w:p w14:paraId="5941655F" w14:textId="77777777" w:rsidR="00E047A7" w:rsidRPr="0062487B" w:rsidRDefault="00E047A7" w:rsidP="002A0986">
      <w:pPr>
        <w:contextualSpacing/>
        <w:rPr>
          <w:rFonts w:asciiTheme="minorHAnsi" w:hAnsiTheme="minorHAnsi" w:cstheme="minorHAnsi"/>
          <w:bCs/>
        </w:rPr>
      </w:pPr>
    </w:p>
    <w:p w14:paraId="65FA31A2" w14:textId="7DF6AD2D" w:rsidR="002A0986" w:rsidRPr="0062487B" w:rsidRDefault="002A0986" w:rsidP="002A0986">
      <w:pPr>
        <w:contextualSpacing/>
        <w:rPr>
          <w:rFonts w:asciiTheme="minorHAnsi" w:hAnsiTheme="minorHAnsi" w:cstheme="minorHAnsi"/>
          <w:bCs/>
        </w:rPr>
      </w:pPr>
      <w:r w:rsidRPr="0062487B">
        <w:rPr>
          <w:rFonts w:asciiTheme="minorHAnsi" w:hAnsiTheme="minorHAnsi" w:cstheme="minorHAnsi"/>
          <w:bCs/>
        </w:rPr>
        <w:t xml:space="preserve">BWFH </w:t>
      </w:r>
      <w:r w:rsidR="00E047A7" w:rsidRPr="0062487B">
        <w:rPr>
          <w:rFonts w:asciiTheme="minorHAnsi" w:hAnsiTheme="minorHAnsi" w:cstheme="minorHAnsi"/>
          <w:bCs/>
        </w:rPr>
        <w:t xml:space="preserve">has also </w:t>
      </w:r>
      <w:r w:rsidRPr="0062487B">
        <w:rPr>
          <w:rFonts w:asciiTheme="minorHAnsi" w:hAnsiTheme="minorHAnsi" w:cstheme="minorHAnsi"/>
          <w:bCs/>
        </w:rPr>
        <w:t>implemented Social Work and Case Management in the ED to connect more patients to community resources. Recognizing limited community resources, social workers and community health workers will continue to work with patient</w:t>
      </w:r>
      <w:r w:rsidR="00192058">
        <w:rPr>
          <w:rFonts w:asciiTheme="minorHAnsi" w:hAnsiTheme="minorHAnsi" w:cstheme="minorHAnsi"/>
          <w:bCs/>
        </w:rPr>
        <w:t>s</w:t>
      </w:r>
      <w:r w:rsidRPr="0062487B">
        <w:rPr>
          <w:rFonts w:asciiTheme="minorHAnsi" w:hAnsiTheme="minorHAnsi" w:cstheme="minorHAnsi"/>
          <w:bCs/>
        </w:rPr>
        <w:t xml:space="preserve"> to access needed services and patients’ PCP</w:t>
      </w:r>
      <w:r w:rsidR="004E761C" w:rsidRPr="0062487B">
        <w:rPr>
          <w:rFonts w:asciiTheme="minorHAnsi" w:hAnsiTheme="minorHAnsi" w:cstheme="minorHAnsi"/>
          <w:bCs/>
        </w:rPr>
        <w:t>s</w:t>
      </w:r>
      <w:r w:rsidRPr="0062487B">
        <w:rPr>
          <w:rFonts w:asciiTheme="minorHAnsi" w:hAnsiTheme="minorHAnsi" w:cstheme="minorHAnsi"/>
          <w:bCs/>
        </w:rPr>
        <w:t xml:space="preserve"> will be informed </w:t>
      </w:r>
      <w:r w:rsidR="004E761C" w:rsidRPr="0062487B">
        <w:rPr>
          <w:rFonts w:asciiTheme="minorHAnsi" w:hAnsiTheme="minorHAnsi" w:cstheme="minorHAnsi"/>
          <w:bCs/>
        </w:rPr>
        <w:t>when</w:t>
      </w:r>
      <w:r w:rsidRPr="0062487B">
        <w:rPr>
          <w:rFonts w:asciiTheme="minorHAnsi" w:hAnsiTheme="minorHAnsi" w:cstheme="minorHAnsi"/>
          <w:bCs/>
        </w:rPr>
        <w:t xml:space="preserve"> follow-up</w:t>
      </w:r>
      <w:r w:rsidR="004E761C" w:rsidRPr="0062487B">
        <w:rPr>
          <w:rFonts w:asciiTheme="minorHAnsi" w:hAnsiTheme="minorHAnsi" w:cstheme="minorHAnsi"/>
          <w:bCs/>
        </w:rPr>
        <w:t xml:space="preserve"> is needed</w:t>
      </w:r>
      <w:r w:rsidRPr="0062487B">
        <w:rPr>
          <w:rFonts w:asciiTheme="minorHAnsi" w:hAnsiTheme="minorHAnsi" w:cstheme="minorHAnsi"/>
          <w:bCs/>
        </w:rPr>
        <w:t xml:space="preserve">. </w:t>
      </w:r>
    </w:p>
    <w:p w14:paraId="4A4F00F2" w14:textId="77777777" w:rsidR="002A0986" w:rsidRPr="0062487B" w:rsidRDefault="002A0986" w:rsidP="002A0986">
      <w:pPr>
        <w:contextualSpacing/>
        <w:rPr>
          <w:rFonts w:asciiTheme="minorHAnsi" w:hAnsiTheme="minorHAnsi" w:cstheme="minorHAnsi"/>
          <w:bCs/>
        </w:rPr>
      </w:pPr>
    </w:p>
    <w:p w14:paraId="53E42FBC" w14:textId="7073FFFB" w:rsidR="002A0986" w:rsidRPr="0062487B" w:rsidRDefault="00E9346C" w:rsidP="30223CC4">
      <w:pPr>
        <w:contextualSpacing/>
        <w:rPr>
          <w:rFonts w:asciiTheme="minorHAnsi" w:hAnsiTheme="minorHAnsi" w:cstheme="minorHAnsi"/>
          <w:color w:val="000000"/>
        </w:rPr>
      </w:pPr>
      <w:r>
        <w:rPr>
          <w:rFonts w:asciiTheme="minorHAnsi" w:hAnsiTheme="minorHAnsi" w:cstheme="minorHAnsi"/>
        </w:rPr>
        <w:t xml:space="preserve">The Applicant is a member of </w:t>
      </w:r>
      <w:r w:rsidR="5AAF175D" w:rsidRPr="0062487B">
        <w:rPr>
          <w:rFonts w:asciiTheme="minorHAnsi" w:hAnsiTheme="minorHAnsi" w:cstheme="minorHAnsi"/>
        </w:rPr>
        <w:t>the Boston Area Hospital Collaboration</w:t>
      </w:r>
      <w:r w:rsidR="2A8C49DE" w:rsidRPr="0062487B">
        <w:rPr>
          <w:rFonts w:asciiTheme="minorHAnsi" w:hAnsiTheme="minorHAnsi" w:cstheme="minorHAnsi"/>
        </w:rPr>
        <w:t xml:space="preserve"> (“Boston </w:t>
      </w:r>
      <w:r w:rsidR="2A8C49DE" w:rsidRPr="003068C8">
        <w:rPr>
          <w:rFonts w:asciiTheme="minorHAnsi" w:hAnsiTheme="minorHAnsi" w:cstheme="minorHAnsi"/>
        </w:rPr>
        <w:t xml:space="preserve">Collaboration”) </w:t>
      </w:r>
      <w:r w:rsidRPr="003068C8">
        <w:rPr>
          <w:rFonts w:asciiTheme="minorHAnsi" w:hAnsiTheme="minorHAnsi" w:cstheme="minorHAnsi"/>
        </w:rPr>
        <w:t xml:space="preserve">which has fostered </w:t>
      </w:r>
      <w:r w:rsidR="2A8C49DE" w:rsidRPr="003068C8">
        <w:rPr>
          <w:rFonts w:asciiTheme="minorHAnsi" w:hAnsiTheme="minorHAnsi" w:cstheme="minorHAnsi"/>
        </w:rPr>
        <w:t xml:space="preserve">discussions </w:t>
      </w:r>
      <w:r w:rsidRPr="003068C8">
        <w:rPr>
          <w:rFonts w:asciiTheme="minorHAnsi" w:hAnsiTheme="minorHAnsi" w:cstheme="minorHAnsi"/>
        </w:rPr>
        <w:t xml:space="preserve">among Boston </w:t>
      </w:r>
      <w:r w:rsidR="00736AFA">
        <w:rPr>
          <w:rFonts w:asciiTheme="minorHAnsi" w:hAnsiTheme="minorHAnsi" w:cstheme="minorHAnsi"/>
        </w:rPr>
        <w:t>health care</w:t>
      </w:r>
      <w:r w:rsidRPr="003068C8">
        <w:rPr>
          <w:rFonts w:asciiTheme="minorHAnsi" w:hAnsiTheme="minorHAnsi" w:cstheme="minorHAnsi"/>
        </w:rPr>
        <w:t xml:space="preserve"> institutions </w:t>
      </w:r>
      <w:r w:rsidR="5AAF175D" w:rsidRPr="003068C8">
        <w:rPr>
          <w:rFonts w:asciiTheme="minorHAnsi" w:hAnsiTheme="minorHAnsi" w:cstheme="minorHAnsi"/>
        </w:rPr>
        <w:t xml:space="preserve">on </w:t>
      </w:r>
      <w:proofErr w:type="spellStart"/>
      <w:r w:rsidR="5AAF175D" w:rsidRPr="003068C8">
        <w:rPr>
          <w:rFonts w:asciiTheme="minorHAnsi" w:hAnsiTheme="minorHAnsi" w:cstheme="minorHAnsi"/>
        </w:rPr>
        <w:t>SDoH</w:t>
      </w:r>
      <w:proofErr w:type="spellEnd"/>
      <w:r w:rsidRPr="003068C8">
        <w:rPr>
          <w:rFonts w:asciiTheme="minorHAnsi" w:hAnsiTheme="minorHAnsi" w:cstheme="minorHAnsi"/>
        </w:rPr>
        <w:t xml:space="preserve"> and engaged Health Resources in Action (</w:t>
      </w:r>
      <w:proofErr w:type="spellStart"/>
      <w:r w:rsidRPr="003068C8">
        <w:rPr>
          <w:rFonts w:asciiTheme="minorHAnsi" w:hAnsiTheme="minorHAnsi" w:cstheme="minorHAnsi"/>
        </w:rPr>
        <w:t>HRiA</w:t>
      </w:r>
      <w:proofErr w:type="spellEnd"/>
      <w:r w:rsidRPr="003068C8">
        <w:rPr>
          <w:rFonts w:asciiTheme="minorHAnsi" w:hAnsiTheme="minorHAnsi" w:cstheme="minorHAnsi"/>
        </w:rPr>
        <w:t xml:space="preserve">) in 2017 to facilitate new </w:t>
      </w:r>
      <w:proofErr w:type="spellStart"/>
      <w:r w:rsidRPr="003068C8">
        <w:rPr>
          <w:rFonts w:asciiTheme="minorHAnsi" w:hAnsiTheme="minorHAnsi" w:cstheme="minorHAnsi"/>
        </w:rPr>
        <w:t>SDoH</w:t>
      </w:r>
      <w:proofErr w:type="spellEnd"/>
      <w:r w:rsidRPr="003068C8">
        <w:rPr>
          <w:rFonts w:asciiTheme="minorHAnsi" w:hAnsiTheme="minorHAnsi" w:cstheme="minorHAnsi"/>
        </w:rPr>
        <w:t xml:space="preserve"> processes</w:t>
      </w:r>
      <w:r w:rsidR="4BBE0967" w:rsidRPr="003068C8">
        <w:rPr>
          <w:rFonts w:asciiTheme="minorHAnsi" w:hAnsiTheme="minorHAnsi" w:cstheme="minorHAnsi"/>
        </w:rPr>
        <w:t xml:space="preserve">. </w:t>
      </w:r>
      <w:r w:rsidR="117F2E9E" w:rsidRPr="003068C8">
        <w:rPr>
          <w:rFonts w:asciiTheme="minorHAnsi" w:hAnsiTheme="minorHAnsi" w:cstheme="minorHAnsi"/>
        </w:rPr>
        <w:t xml:space="preserve">The Boston Collaboration </w:t>
      </w:r>
      <w:r w:rsidR="5AAF175D" w:rsidRPr="003068C8">
        <w:rPr>
          <w:rFonts w:asciiTheme="minorHAnsi" w:hAnsiTheme="minorHAnsi" w:cstheme="minorHAnsi"/>
        </w:rPr>
        <w:t xml:space="preserve">assessed options and best practices to thoughtfully implement a universal </w:t>
      </w:r>
      <w:proofErr w:type="spellStart"/>
      <w:r w:rsidR="5AAF175D" w:rsidRPr="003068C8">
        <w:rPr>
          <w:rFonts w:asciiTheme="minorHAnsi" w:hAnsiTheme="minorHAnsi" w:cstheme="minorHAnsi"/>
        </w:rPr>
        <w:t>SDoH</w:t>
      </w:r>
      <w:proofErr w:type="spellEnd"/>
      <w:r w:rsidR="5AAF175D" w:rsidRPr="003068C8">
        <w:rPr>
          <w:rFonts w:asciiTheme="minorHAnsi" w:hAnsiTheme="minorHAnsi" w:cstheme="minorHAnsi"/>
        </w:rPr>
        <w:t xml:space="preserve"> screening progra</w:t>
      </w:r>
      <w:r w:rsidR="2867AFDE" w:rsidRPr="003068C8">
        <w:rPr>
          <w:rFonts w:asciiTheme="minorHAnsi" w:hAnsiTheme="minorHAnsi" w:cstheme="minorHAnsi"/>
        </w:rPr>
        <w:t>m and</w:t>
      </w:r>
      <w:r w:rsidR="14DD0FF5" w:rsidRPr="0062487B">
        <w:rPr>
          <w:rFonts w:asciiTheme="minorHAnsi" w:hAnsiTheme="minorHAnsi" w:cstheme="minorHAnsi"/>
        </w:rPr>
        <w:t xml:space="preserve"> </w:t>
      </w:r>
      <w:r w:rsidR="3FE3D76B" w:rsidRPr="0062487B">
        <w:rPr>
          <w:rFonts w:asciiTheme="minorHAnsi" w:hAnsiTheme="minorHAnsi" w:cstheme="minorHAnsi"/>
        </w:rPr>
        <w:t xml:space="preserve">BWFH </w:t>
      </w:r>
      <w:r w:rsidR="14DD0FF5" w:rsidRPr="0062487B">
        <w:rPr>
          <w:rFonts w:asciiTheme="minorHAnsi" w:hAnsiTheme="minorHAnsi" w:cstheme="minorHAnsi"/>
        </w:rPr>
        <w:t xml:space="preserve">is subsequently </w:t>
      </w:r>
      <w:r w:rsidR="5AAF175D" w:rsidRPr="0062487B">
        <w:rPr>
          <w:rFonts w:asciiTheme="minorHAnsi" w:hAnsiTheme="minorHAnsi" w:cstheme="minorHAnsi"/>
        </w:rPr>
        <w:t>implementing a staggered approach to link patients to community-based organizations for services. Facilities serving communities with highest needs will be first to roll out universal screening program</w:t>
      </w:r>
      <w:r w:rsidR="005E68F0" w:rsidRPr="0062487B">
        <w:rPr>
          <w:rFonts w:asciiTheme="minorHAnsi" w:hAnsiTheme="minorHAnsi" w:cstheme="minorHAnsi"/>
        </w:rPr>
        <w:t>s</w:t>
      </w:r>
      <w:r w:rsidR="5AAF175D" w:rsidRPr="0062487B">
        <w:rPr>
          <w:rFonts w:asciiTheme="minorHAnsi" w:hAnsiTheme="minorHAnsi" w:cstheme="minorHAnsi"/>
        </w:rPr>
        <w:t>. MGB’s screening and referral program is currently only for MGB PCP patients. Those without a</w:t>
      </w:r>
      <w:r w:rsidR="20C2B971" w:rsidRPr="0062487B">
        <w:rPr>
          <w:rFonts w:asciiTheme="minorHAnsi" w:hAnsiTheme="minorHAnsi" w:cstheme="minorHAnsi"/>
        </w:rPr>
        <w:t>n MGB</w:t>
      </w:r>
      <w:r w:rsidR="5AAF175D" w:rsidRPr="0062487B">
        <w:rPr>
          <w:rFonts w:asciiTheme="minorHAnsi" w:hAnsiTheme="minorHAnsi" w:cstheme="minorHAnsi"/>
        </w:rPr>
        <w:t xml:space="preserve"> PCP may be connected to care and coverage by a Certified Application Counselor</w:t>
      </w:r>
      <w:r w:rsidR="43109921" w:rsidRPr="0062487B">
        <w:rPr>
          <w:rFonts w:asciiTheme="minorHAnsi" w:hAnsiTheme="minorHAnsi" w:cstheme="minorHAnsi"/>
        </w:rPr>
        <w:t>. Subsequently,</w:t>
      </w:r>
      <w:r w:rsidR="5AAF175D" w:rsidRPr="0062487B">
        <w:rPr>
          <w:rFonts w:asciiTheme="minorHAnsi" w:hAnsiTheme="minorHAnsi" w:cstheme="minorHAnsi"/>
        </w:rPr>
        <w:t xml:space="preserve"> a</w:t>
      </w:r>
      <w:r w:rsidR="43109921" w:rsidRPr="0062487B">
        <w:rPr>
          <w:rFonts w:asciiTheme="minorHAnsi" w:hAnsiTheme="minorHAnsi" w:cstheme="minorHAnsi"/>
        </w:rPr>
        <w:t>n</w:t>
      </w:r>
      <w:r w:rsidR="5AAF175D" w:rsidRPr="0062487B">
        <w:rPr>
          <w:rFonts w:asciiTheme="minorHAnsi" w:hAnsiTheme="minorHAnsi" w:cstheme="minorHAnsi"/>
        </w:rPr>
        <w:t xml:space="preserve"> </w:t>
      </w:r>
      <w:proofErr w:type="spellStart"/>
      <w:r w:rsidR="5AAF175D" w:rsidRPr="0062487B">
        <w:rPr>
          <w:rFonts w:asciiTheme="minorHAnsi" w:hAnsiTheme="minorHAnsi" w:cstheme="minorHAnsi"/>
        </w:rPr>
        <w:t>SDoH</w:t>
      </w:r>
      <w:proofErr w:type="spellEnd"/>
      <w:r w:rsidR="5AAF175D" w:rsidRPr="0062487B">
        <w:rPr>
          <w:rFonts w:asciiTheme="minorHAnsi" w:hAnsiTheme="minorHAnsi" w:cstheme="minorHAnsi"/>
        </w:rPr>
        <w:t xml:space="preserve"> assessment will be </w:t>
      </w:r>
      <w:r w:rsidR="43109921" w:rsidRPr="0062487B">
        <w:rPr>
          <w:rFonts w:asciiTheme="minorHAnsi" w:hAnsiTheme="minorHAnsi" w:cstheme="minorHAnsi"/>
        </w:rPr>
        <w:t>conducted</w:t>
      </w:r>
      <w:r w:rsidR="5AAF175D" w:rsidRPr="0062487B">
        <w:rPr>
          <w:rFonts w:asciiTheme="minorHAnsi" w:hAnsiTheme="minorHAnsi" w:cstheme="minorHAnsi"/>
        </w:rPr>
        <w:t xml:space="preserve">, and these patients may receive </w:t>
      </w:r>
      <w:proofErr w:type="spellStart"/>
      <w:r w:rsidR="5AAF175D" w:rsidRPr="0062487B">
        <w:rPr>
          <w:rFonts w:asciiTheme="minorHAnsi" w:hAnsiTheme="minorHAnsi" w:cstheme="minorHAnsi"/>
        </w:rPr>
        <w:t>SDoH</w:t>
      </w:r>
      <w:proofErr w:type="spellEnd"/>
      <w:r w:rsidR="5AAF175D" w:rsidRPr="0062487B">
        <w:rPr>
          <w:rFonts w:asciiTheme="minorHAnsi" w:hAnsiTheme="minorHAnsi" w:cstheme="minorHAnsi"/>
        </w:rPr>
        <w:t xml:space="preserve"> need assistance through MGB’s community benefit programs.</w:t>
      </w:r>
    </w:p>
    <w:p w14:paraId="77BECD70" w14:textId="77777777" w:rsidR="00860B82" w:rsidRPr="0062487B" w:rsidRDefault="00860B82" w:rsidP="00860B82">
      <w:pPr>
        <w:spacing w:after="120"/>
        <w:contextualSpacing/>
        <w:rPr>
          <w:rFonts w:asciiTheme="minorHAnsi" w:hAnsiTheme="minorHAnsi" w:cstheme="minorHAnsi"/>
        </w:rPr>
      </w:pPr>
    </w:p>
    <w:p w14:paraId="6DDC38BF" w14:textId="2BE87EB8" w:rsidR="00860B82" w:rsidRPr="0062487B" w:rsidRDefault="00860B82" w:rsidP="00860B82">
      <w:pPr>
        <w:contextualSpacing/>
        <w:rPr>
          <w:rFonts w:asciiTheme="minorHAnsi" w:hAnsiTheme="minorHAnsi" w:cstheme="minorHAnsi"/>
          <w:b/>
          <w:i/>
        </w:rPr>
      </w:pPr>
      <w:r w:rsidRPr="0062487B">
        <w:rPr>
          <w:rFonts w:asciiTheme="minorHAnsi" w:hAnsiTheme="minorHAnsi" w:cstheme="minorHAnsi"/>
          <w:b/>
          <w:i/>
        </w:rPr>
        <w:t>Analysis</w:t>
      </w:r>
    </w:p>
    <w:p w14:paraId="3479E95B" w14:textId="0D342669" w:rsidR="00860B82" w:rsidRPr="0062487B" w:rsidRDefault="00860B82" w:rsidP="00860B82">
      <w:pPr>
        <w:contextualSpacing/>
        <w:rPr>
          <w:rFonts w:asciiTheme="minorHAnsi" w:hAnsiTheme="minorHAnsi" w:cstheme="minorHAnsi"/>
          <w:b/>
          <w:i/>
        </w:rPr>
      </w:pPr>
      <w:proofErr w:type="spellStart"/>
      <w:r w:rsidRPr="0062487B">
        <w:rPr>
          <w:rFonts w:asciiTheme="minorHAnsi" w:hAnsiTheme="minorHAnsi" w:cstheme="minorHAnsi"/>
          <w:color w:val="000000"/>
        </w:rPr>
        <w:t>DoN</w:t>
      </w:r>
      <w:proofErr w:type="spellEnd"/>
      <w:r w:rsidRPr="0062487B">
        <w:rPr>
          <w:rFonts w:asciiTheme="minorHAnsi" w:hAnsiTheme="minorHAnsi" w:cstheme="minorHAnsi"/>
          <w:color w:val="000000"/>
        </w:rPr>
        <w:t xml:space="preserve"> </w:t>
      </w:r>
      <w:r w:rsidR="0003475D" w:rsidRPr="0062487B">
        <w:rPr>
          <w:rFonts w:asciiTheme="minorHAnsi" w:hAnsiTheme="minorHAnsi" w:cstheme="minorHAnsi"/>
          <w:color w:val="000000"/>
        </w:rPr>
        <w:t xml:space="preserve">staff </w:t>
      </w:r>
      <w:r w:rsidRPr="0062487B">
        <w:rPr>
          <w:rFonts w:asciiTheme="minorHAnsi" w:hAnsiTheme="minorHAnsi" w:cstheme="minorHAnsi"/>
          <w:color w:val="000000"/>
        </w:rPr>
        <w:t xml:space="preserve">assessed the Proposed Project’s impact on equitable access to care. </w:t>
      </w:r>
      <w:r w:rsidR="001704FE" w:rsidRPr="0062487B">
        <w:rPr>
          <w:rFonts w:asciiTheme="minorHAnsi" w:hAnsiTheme="minorHAnsi" w:cstheme="minorHAnsi"/>
          <w:color w:val="000000"/>
        </w:rPr>
        <w:t xml:space="preserve">The Interpreter Services, </w:t>
      </w:r>
      <w:proofErr w:type="spellStart"/>
      <w:r w:rsidR="001704FE" w:rsidRPr="0062487B">
        <w:rPr>
          <w:rFonts w:asciiTheme="minorHAnsi" w:hAnsiTheme="minorHAnsi" w:cstheme="minorHAnsi"/>
          <w:color w:val="000000"/>
        </w:rPr>
        <w:t>SDoH</w:t>
      </w:r>
      <w:proofErr w:type="spellEnd"/>
      <w:r w:rsidR="001704FE" w:rsidRPr="0062487B">
        <w:rPr>
          <w:rFonts w:asciiTheme="minorHAnsi" w:hAnsiTheme="minorHAnsi" w:cstheme="minorHAnsi"/>
          <w:color w:val="000000"/>
        </w:rPr>
        <w:t xml:space="preserve"> screening, and campaigns/initiatives demonstrate</w:t>
      </w:r>
      <w:r w:rsidR="004E761C" w:rsidRPr="0062487B">
        <w:rPr>
          <w:rFonts w:asciiTheme="minorHAnsi" w:hAnsiTheme="minorHAnsi" w:cstheme="minorHAnsi"/>
          <w:color w:val="000000"/>
        </w:rPr>
        <w:t xml:space="preserve"> BWFH’s</w:t>
      </w:r>
      <w:r w:rsidR="001704FE" w:rsidRPr="0062487B">
        <w:rPr>
          <w:rFonts w:asciiTheme="minorHAnsi" w:hAnsiTheme="minorHAnsi" w:cstheme="minorHAnsi"/>
          <w:color w:val="000000"/>
        </w:rPr>
        <w:t xml:space="preserve"> commitment </w:t>
      </w:r>
      <w:r w:rsidR="004E761C" w:rsidRPr="0062487B">
        <w:rPr>
          <w:rFonts w:asciiTheme="minorHAnsi" w:hAnsiTheme="minorHAnsi" w:cstheme="minorHAnsi"/>
          <w:color w:val="000000"/>
        </w:rPr>
        <w:t>to</w:t>
      </w:r>
      <w:r w:rsidR="001704FE" w:rsidRPr="0062487B">
        <w:rPr>
          <w:rFonts w:asciiTheme="minorHAnsi" w:hAnsiTheme="minorHAnsi" w:cstheme="minorHAnsi"/>
          <w:color w:val="000000"/>
        </w:rPr>
        <w:t xml:space="preserve"> promoting health equity.</w:t>
      </w:r>
      <w:r w:rsidR="00A61BA7" w:rsidRPr="0062487B">
        <w:rPr>
          <w:rFonts w:asciiTheme="minorHAnsi" w:hAnsiTheme="minorHAnsi" w:cstheme="minorHAnsi"/>
          <w:color w:val="000000"/>
        </w:rPr>
        <w:t xml:space="preserve"> The integrated </w:t>
      </w:r>
      <w:r w:rsidR="0046600E" w:rsidRPr="0062487B">
        <w:rPr>
          <w:rFonts w:asciiTheme="minorHAnsi" w:hAnsiTheme="minorHAnsi" w:cstheme="minorHAnsi"/>
          <w:color w:val="000000"/>
        </w:rPr>
        <w:t>EHR</w:t>
      </w:r>
      <w:r w:rsidR="00A61BA7" w:rsidRPr="0062487B">
        <w:rPr>
          <w:rFonts w:asciiTheme="minorHAnsi" w:hAnsiTheme="minorHAnsi" w:cstheme="minorHAnsi"/>
          <w:color w:val="000000"/>
        </w:rPr>
        <w:t xml:space="preserve"> system </w:t>
      </w:r>
      <w:r w:rsidR="00884D13" w:rsidRPr="0062487B">
        <w:rPr>
          <w:rFonts w:asciiTheme="minorHAnsi" w:hAnsiTheme="minorHAnsi" w:cstheme="minorHAnsi"/>
          <w:color w:val="000000"/>
        </w:rPr>
        <w:t xml:space="preserve">and social work and case management </w:t>
      </w:r>
      <w:r w:rsidR="00A61BA7" w:rsidRPr="0062487B">
        <w:rPr>
          <w:rFonts w:asciiTheme="minorHAnsi" w:hAnsiTheme="minorHAnsi" w:cstheme="minorHAnsi"/>
          <w:color w:val="000000"/>
        </w:rPr>
        <w:t>enable</w:t>
      </w:r>
      <w:r w:rsidR="00884D13" w:rsidRPr="0062487B">
        <w:rPr>
          <w:rFonts w:asciiTheme="minorHAnsi" w:hAnsiTheme="minorHAnsi" w:cstheme="minorHAnsi"/>
          <w:color w:val="000000"/>
        </w:rPr>
        <w:t xml:space="preserve"> appropriate</w:t>
      </w:r>
      <w:r w:rsidR="00A61BA7" w:rsidRPr="0062487B">
        <w:rPr>
          <w:rFonts w:asciiTheme="minorHAnsi" w:hAnsiTheme="minorHAnsi" w:cstheme="minorHAnsi"/>
          <w:color w:val="000000"/>
        </w:rPr>
        <w:t xml:space="preserve"> </w:t>
      </w:r>
      <w:r w:rsidR="00884D13" w:rsidRPr="0062487B">
        <w:rPr>
          <w:rFonts w:asciiTheme="minorHAnsi" w:hAnsiTheme="minorHAnsi" w:cstheme="minorHAnsi"/>
          <w:color w:val="000000"/>
        </w:rPr>
        <w:t>follow-up on and linkages to social service needs.</w:t>
      </w:r>
      <w:r w:rsidR="001704FE" w:rsidRPr="0062487B">
        <w:rPr>
          <w:rFonts w:asciiTheme="minorHAnsi" w:hAnsiTheme="minorHAnsi" w:cstheme="minorHAnsi"/>
          <w:color w:val="000000"/>
        </w:rPr>
        <w:t xml:space="preserve"> </w:t>
      </w:r>
      <w:r w:rsidRPr="0062487B">
        <w:rPr>
          <w:rFonts w:asciiTheme="minorHAnsi" w:hAnsiTheme="minorHAnsi" w:cstheme="minorHAnsi"/>
          <w:color w:val="000000"/>
        </w:rPr>
        <w:t>Staff finds that the Applicant has sufficiently outlined a case for improved health outcomes and health equity at a high level.</w:t>
      </w:r>
    </w:p>
    <w:p w14:paraId="3F54FA68" w14:textId="77777777" w:rsidR="00A61BA7" w:rsidRPr="0062487B" w:rsidRDefault="00A61BA7" w:rsidP="003E2749">
      <w:pPr>
        <w:pStyle w:val="Heading1"/>
        <w:spacing w:before="0"/>
        <w:rPr>
          <w:rFonts w:asciiTheme="minorHAnsi" w:hAnsiTheme="minorHAnsi" w:cstheme="minorHAnsi"/>
          <w:sz w:val="24"/>
          <w:szCs w:val="24"/>
        </w:rPr>
      </w:pPr>
    </w:p>
    <w:p w14:paraId="4E8BED05" w14:textId="1DEFBBD4" w:rsidR="00BB7B4F" w:rsidRPr="0062487B" w:rsidRDefault="5D11DFB0" w:rsidP="17FA2F59">
      <w:pPr>
        <w:pStyle w:val="Heading1"/>
        <w:spacing w:before="0" w:line="240" w:lineRule="auto"/>
        <w:rPr>
          <w:rFonts w:asciiTheme="minorHAnsi" w:hAnsiTheme="minorHAnsi" w:cstheme="minorBidi"/>
          <w:color w:val="auto"/>
          <w:sz w:val="24"/>
          <w:szCs w:val="24"/>
        </w:rPr>
      </w:pPr>
      <w:bookmarkStart w:id="39" w:name="_Toc99645435"/>
      <w:r w:rsidRPr="17FA2F59">
        <w:rPr>
          <w:rFonts w:asciiTheme="minorHAnsi" w:hAnsiTheme="minorHAnsi" w:cstheme="minorBidi"/>
          <w:color w:val="auto"/>
          <w:sz w:val="24"/>
          <w:szCs w:val="24"/>
        </w:rPr>
        <w:t xml:space="preserve">Factor 1: c) </w:t>
      </w:r>
      <w:r w:rsidR="25731884" w:rsidRPr="17FA2F59">
        <w:rPr>
          <w:rFonts w:asciiTheme="minorHAnsi" w:hAnsiTheme="minorHAnsi" w:cstheme="minorBidi"/>
          <w:color w:val="auto"/>
          <w:sz w:val="24"/>
          <w:szCs w:val="24"/>
        </w:rPr>
        <w:t>Efficiency, Continuity of Care, Coordination of Care</w:t>
      </w:r>
      <w:bookmarkStart w:id="40" w:name="_Toc17322393"/>
      <w:bookmarkStart w:id="41" w:name="_Toc17748465"/>
      <w:bookmarkEnd w:id="36"/>
      <w:bookmarkEnd w:id="39"/>
    </w:p>
    <w:bookmarkEnd w:id="37"/>
    <w:bookmarkEnd w:id="38"/>
    <w:bookmarkEnd w:id="40"/>
    <w:bookmarkEnd w:id="41"/>
    <w:p w14:paraId="60F5C91E" w14:textId="536C18CE" w:rsidR="00896C7A" w:rsidRPr="0062487B" w:rsidRDefault="303312AB" w:rsidP="001E6E05">
      <w:pPr>
        <w:contextualSpacing/>
        <w:rPr>
          <w:rFonts w:asciiTheme="minorHAnsi" w:hAnsiTheme="minorHAnsi" w:cstheme="minorHAnsi"/>
        </w:rPr>
      </w:pPr>
      <w:r w:rsidRPr="0062487B">
        <w:rPr>
          <w:rFonts w:asciiTheme="minorHAnsi" w:hAnsiTheme="minorHAnsi" w:cstheme="minorHAnsi"/>
        </w:rPr>
        <w:t>T</w:t>
      </w:r>
      <w:r w:rsidR="439BE084" w:rsidRPr="0062487B">
        <w:rPr>
          <w:rFonts w:asciiTheme="minorHAnsi" w:hAnsiTheme="minorHAnsi" w:cstheme="minorHAnsi"/>
        </w:rPr>
        <w:t xml:space="preserve">o ensure continuity of care, the Applicant </w:t>
      </w:r>
      <w:r w:rsidR="16566F17" w:rsidRPr="0062487B">
        <w:rPr>
          <w:rFonts w:asciiTheme="minorHAnsi" w:hAnsiTheme="minorHAnsi" w:cstheme="minorHAnsi"/>
        </w:rPr>
        <w:t>plans to maintain its existing formal processes for linking patients with their primary care physicians and community providers for follow-up care</w:t>
      </w:r>
      <w:r w:rsidR="2BC8D9F1" w:rsidRPr="0062487B">
        <w:rPr>
          <w:rFonts w:asciiTheme="minorHAnsi" w:hAnsiTheme="minorHAnsi" w:cstheme="minorHAnsi"/>
        </w:rPr>
        <w:t>.</w:t>
      </w:r>
      <w:r w:rsidR="433384B8" w:rsidRPr="0062487B">
        <w:rPr>
          <w:rFonts w:asciiTheme="minorHAnsi" w:hAnsiTheme="minorHAnsi" w:cstheme="minorHAnsi"/>
        </w:rPr>
        <w:t xml:space="preserve"> BWFH has several PHM strategies </w:t>
      </w:r>
      <w:r w:rsidR="5D87254E" w:rsidRPr="0062487B">
        <w:rPr>
          <w:rFonts w:asciiTheme="minorHAnsi" w:hAnsiTheme="minorHAnsi" w:cstheme="minorHAnsi"/>
        </w:rPr>
        <w:t>around</w:t>
      </w:r>
      <w:r w:rsidR="433384B8" w:rsidRPr="0062487B">
        <w:rPr>
          <w:rFonts w:asciiTheme="minorHAnsi" w:hAnsiTheme="minorHAnsi" w:cstheme="minorHAnsi"/>
        </w:rPr>
        <w:t xml:space="preserve"> continuity of care and coordination of care. </w:t>
      </w:r>
      <w:r w:rsidR="3AF47FE1" w:rsidRPr="0062487B">
        <w:rPr>
          <w:rFonts w:asciiTheme="minorHAnsi" w:hAnsiTheme="minorHAnsi" w:cstheme="minorHAnsi"/>
        </w:rPr>
        <w:t xml:space="preserve">Further, all patients, particularly the most vulnerable </w:t>
      </w:r>
      <w:r w:rsidR="27AF1009" w:rsidRPr="0062487B">
        <w:rPr>
          <w:rFonts w:asciiTheme="minorHAnsi" w:hAnsiTheme="minorHAnsi" w:cstheme="minorHAnsi"/>
        </w:rPr>
        <w:t>(</w:t>
      </w:r>
      <w:r w:rsidR="3AF47FE1" w:rsidRPr="0062487B">
        <w:rPr>
          <w:rFonts w:asciiTheme="minorHAnsi" w:hAnsiTheme="minorHAnsi" w:cstheme="minorHAnsi"/>
        </w:rPr>
        <w:t xml:space="preserve">including </w:t>
      </w:r>
      <w:r w:rsidR="0FC20430" w:rsidRPr="0062487B">
        <w:rPr>
          <w:rFonts w:asciiTheme="minorHAnsi" w:hAnsiTheme="minorHAnsi" w:cstheme="minorHAnsi"/>
        </w:rPr>
        <w:t>older adults</w:t>
      </w:r>
      <w:r w:rsidR="27AF1009" w:rsidRPr="0062487B">
        <w:rPr>
          <w:rFonts w:asciiTheme="minorHAnsi" w:hAnsiTheme="minorHAnsi" w:cstheme="minorHAnsi"/>
        </w:rPr>
        <w:t>)</w:t>
      </w:r>
      <w:r w:rsidR="3AF47FE1" w:rsidRPr="0062487B">
        <w:rPr>
          <w:rFonts w:asciiTheme="minorHAnsi" w:hAnsiTheme="minorHAnsi" w:cstheme="minorHAnsi"/>
        </w:rPr>
        <w:t>, are assessed for home safety</w:t>
      </w:r>
      <w:r w:rsidR="4AB32238" w:rsidRPr="0062487B">
        <w:rPr>
          <w:rFonts w:asciiTheme="minorHAnsi" w:hAnsiTheme="minorHAnsi" w:cstheme="minorHAnsi"/>
        </w:rPr>
        <w:t>,</w:t>
      </w:r>
      <w:r w:rsidR="3AF47FE1" w:rsidRPr="0062487B">
        <w:rPr>
          <w:rFonts w:asciiTheme="minorHAnsi" w:hAnsiTheme="minorHAnsi" w:cstheme="minorHAnsi"/>
        </w:rPr>
        <w:t xml:space="preserve"> and care coordination RNs and social work</w:t>
      </w:r>
      <w:r w:rsidR="4AB32238" w:rsidRPr="0062487B">
        <w:rPr>
          <w:rFonts w:asciiTheme="minorHAnsi" w:hAnsiTheme="minorHAnsi" w:cstheme="minorHAnsi"/>
        </w:rPr>
        <w:t>ers</w:t>
      </w:r>
      <w:r w:rsidR="3AF47FE1" w:rsidRPr="0062487B">
        <w:rPr>
          <w:rFonts w:asciiTheme="minorHAnsi" w:hAnsiTheme="minorHAnsi" w:cstheme="minorHAnsi"/>
        </w:rPr>
        <w:t xml:space="preserve"> ensure there </w:t>
      </w:r>
      <w:r w:rsidR="27AF1009" w:rsidRPr="0062487B">
        <w:rPr>
          <w:rFonts w:asciiTheme="minorHAnsi" w:hAnsiTheme="minorHAnsi" w:cstheme="minorHAnsi"/>
        </w:rPr>
        <w:t>are</w:t>
      </w:r>
      <w:r w:rsidR="3AF47FE1" w:rsidRPr="0062487B">
        <w:rPr>
          <w:rFonts w:asciiTheme="minorHAnsi" w:hAnsiTheme="minorHAnsi" w:cstheme="minorHAnsi"/>
        </w:rPr>
        <w:t xml:space="preserve"> sufficient support services within the home to implement post-discharge care plan</w:t>
      </w:r>
      <w:r w:rsidR="27AF1009" w:rsidRPr="0062487B">
        <w:rPr>
          <w:rFonts w:asciiTheme="minorHAnsi" w:hAnsiTheme="minorHAnsi" w:cstheme="minorHAnsi"/>
        </w:rPr>
        <w:t>s</w:t>
      </w:r>
      <w:r w:rsidR="3AF47FE1" w:rsidRPr="0062487B">
        <w:rPr>
          <w:rFonts w:asciiTheme="minorHAnsi" w:hAnsiTheme="minorHAnsi" w:cstheme="minorHAnsi"/>
        </w:rPr>
        <w:t xml:space="preserve">. </w:t>
      </w:r>
    </w:p>
    <w:p w14:paraId="1480A3D2" w14:textId="77777777" w:rsidR="00896C7A" w:rsidRPr="0062487B" w:rsidRDefault="00896C7A" w:rsidP="001E6E05">
      <w:pPr>
        <w:contextualSpacing/>
        <w:rPr>
          <w:rFonts w:asciiTheme="minorHAnsi" w:hAnsiTheme="minorHAnsi" w:cstheme="minorHAnsi"/>
          <w:color w:val="2F5897" w:themeColor="text2"/>
        </w:rPr>
      </w:pPr>
    </w:p>
    <w:p w14:paraId="193E2D56" w14:textId="54DD53A4" w:rsidR="001E6E05" w:rsidRPr="0062487B" w:rsidRDefault="1D536EA6" w:rsidP="17FA2F59">
      <w:pPr>
        <w:contextualSpacing/>
        <w:rPr>
          <w:rFonts w:asciiTheme="minorHAnsi" w:hAnsiTheme="minorHAnsi" w:cstheme="minorBidi"/>
          <w:b/>
          <w:bCs/>
          <w:color w:val="2F5897" w:themeColor="text2"/>
        </w:rPr>
      </w:pPr>
      <w:r w:rsidRPr="17FA2F59">
        <w:rPr>
          <w:rFonts w:asciiTheme="minorHAnsi" w:hAnsiTheme="minorHAnsi" w:cstheme="minorBidi"/>
          <w:b/>
          <w:bCs/>
        </w:rPr>
        <w:t>Medical/Surgical Inpatient Beds</w:t>
      </w:r>
    </w:p>
    <w:p w14:paraId="1CAA850D" w14:textId="6C7279FB" w:rsidR="00EE5DC9" w:rsidRPr="0062487B" w:rsidRDefault="19460563" w:rsidP="006E3316">
      <w:pPr>
        <w:contextualSpacing/>
        <w:rPr>
          <w:rFonts w:asciiTheme="minorHAnsi" w:hAnsiTheme="minorHAnsi" w:cstheme="minorHAnsi"/>
        </w:rPr>
      </w:pPr>
      <w:r w:rsidRPr="0062487B">
        <w:rPr>
          <w:rFonts w:asciiTheme="minorHAnsi" w:hAnsiTheme="minorHAnsi" w:cstheme="minorHAnsi"/>
        </w:rPr>
        <w:t xml:space="preserve">The Applicant asserts that the expanded bed capacity will help address capacity issues at BWFH and </w:t>
      </w:r>
      <w:r w:rsidR="4BB1FF5A" w:rsidRPr="0062487B">
        <w:rPr>
          <w:rFonts w:asciiTheme="minorHAnsi" w:hAnsiTheme="minorHAnsi" w:cstheme="minorHAnsi"/>
        </w:rPr>
        <w:t>have a</w:t>
      </w:r>
      <w:r w:rsidR="0C630D80" w:rsidRPr="0062487B">
        <w:rPr>
          <w:rFonts w:asciiTheme="minorHAnsi" w:hAnsiTheme="minorHAnsi" w:cstheme="minorHAnsi"/>
        </w:rPr>
        <w:t xml:space="preserve"> </w:t>
      </w:r>
      <w:r w:rsidRPr="0062487B">
        <w:rPr>
          <w:rFonts w:asciiTheme="minorHAnsi" w:hAnsiTheme="minorHAnsi" w:cstheme="minorHAnsi"/>
        </w:rPr>
        <w:t>ripple effect on BWH and Brigham Health</w:t>
      </w:r>
      <w:r w:rsidR="0FC20430" w:rsidRPr="0062487B">
        <w:rPr>
          <w:rFonts w:asciiTheme="minorHAnsi" w:hAnsiTheme="minorHAnsi" w:cstheme="minorHAnsi"/>
        </w:rPr>
        <w:t xml:space="preserve"> overall</w:t>
      </w:r>
      <w:r w:rsidRPr="0062487B">
        <w:rPr>
          <w:rFonts w:asciiTheme="minorHAnsi" w:hAnsiTheme="minorHAnsi" w:cstheme="minorHAnsi"/>
        </w:rPr>
        <w:t>. Internally at BWFH</w:t>
      </w:r>
      <w:r w:rsidR="4BB1FF5A" w:rsidRPr="0062487B">
        <w:rPr>
          <w:rFonts w:asciiTheme="minorHAnsi" w:hAnsiTheme="minorHAnsi" w:cstheme="minorHAnsi"/>
        </w:rPr>
        <w:t>,</w:t>
      </w:r>
      <w:r w:rsidRPr="0062487B">
        <w:rPr>
          <w:rFonts w:asciiTheme="minorHAnsi" w:hAnsiTheme="minorHAnsi" w:cstheme="minorHAnsi"/>
        </w:rPr>
        <w:t xml:space="preserve"> there will be increase</w:t>
      </w:r>
      <w:r w:rsidR="4BB1FF5A" w:rsidRPr="0062487B">
        <w:rPr>
          <w:rFonts w:asciiTheme="minorHAnsi" w:hAnsiTheme="minorHAnsi" w:cstheme="minorHAnsi"/>
        </w:rPr>
        <w:t>s</w:t>
      </w:r>
      <w:r w:rsidRPr="0062487B">
        <w:rPr>
          <w:rFonts w:asciiTheme="minorHAnsi" w:hAnsiTheme="minorHAnsi" w:cstheme="minorHAnsi"/>
        </w:rPr>
        <w:t xml:space="preserve"> in efficiencies by </w:t>
      </w:r>
      <w:r w:rsidR="4AB32238" w:rsidRPr="0062487B">
        <w:rPr>
          <w:rFonts w:asciiTheme="minorHAnsi" w:hAnsiTheme="minorHAnsi" w:cstheme="minorHAnsi"/>
        </w:rPr>
        <w:t>reduc</w:t>
      </w:r>
      <w:r w:rsidRPr="0062487B">
        <w:rPr>
          <w:rFonts w:asciiTheme="minorHAnsi" w:hAnsiTheme="minorHAnsi" w:cstheme="minorHAnsi"/>
        </w:rPr>
        <w:t xml:space="preserve">ing waits and ED boarding times. The Applicant cited that </w:t>
      </w:r>
      <w:r w:rsidR="7747275A" w:rsidRPr="0062487B">
        <w:rPr>
          <w:rFonts w:asciiTheme="minorHAnsi" w:hAnsiTheme="minorHAnsi" w:cstheme="minorHAnsi"/>
        </w:rPr>
        <w:t xml:space="preserve">increasing availability of </w:t>
      </w:r>
      <w:r w:rsidR="7747275A" w:rsidRPr="0062487B">
        <w:rPr>
          <w:rFonts w:asciiTheme="minorHAnsi" w:hAnsiTheme="minorHAnsi" w:cstheme="minorHAnsi"/>
        </w:rPr>
        <w:lastRenderedPageBreak/>
        <w:t>inpatient beds will</w:t>
      </w:r>
      <w:r w:rsidR="32132512" w:rsidRPr="0062487B">
        <w:rPr>
          <w:rFonts w:asciiTheme="minorHAnsi" w:hAnsiTheme="minorHAnsi" w:cstheme="minorHAnsi"/>
        </w:rPr>
        <w:t xml:space="preserve"> improve</w:t>
      </w:r>
      <w:r w:rsidRPr="0062487B">
        <w:rPr>
          <w:rFonts w:asciiTheme="minorHAnsi" w:hAnsiTheme="minorHAnsi" w:cstheme="minorHAnsi"/>
        </w:rPr>
        <w:t xml:space="preserve"> patient throughput </w:t>
      </w:r>
      <w:r w:rsidRPr="0062487B">
        <w:rPr>
          <w:rFonts w:asciiTheme="minorHAnsi" w:hAnsiTheme="minorHAnsi" w:cstheme="minorHAnsi"/>
          <w:color w:val="000000" w:themeColor="text1"/>
        </w:rPr>
        <w:t xml:space="preserve">and </w:t>
      </w:r>
      <w:r w:rsidR="43144049" w:rsidRPr="0062487B">
        <w:rPr>
          <w:rFonts w:asciiTheme="minorHAnsi" w:hAnsiTheme="minorHAnsi" w:cstheme="minorHAnsi"/>
          <w:color w:val="000000" w:themeColor="text1"/>
        </w:rPr>
        <w:t>overall</w:t>
      </w:r>
      <w:r w:rsidR="5972033E" w:rsidRPr="0062487B">
        <w:rPr>
          <w:rFonts w:asciiTheme="minorHAnsi" w:hAnsiTheme="minorHAnsi" w:cstheme="minorHAnsi"/>
          <w:color w:val="000000" w:themeColor="text1"/>
        </w:rPr>
        <w:t>,</w:t>
      </w:r>
      <w:r w:rsidR="43144049" w:rsidRPr="0062487B">
        <w:rPr>
          <w:rFonts w:asciiTheme="minorHAnsi" w:hAnsiTheme="minorHAnsi" w:cstheme="minorHAnsi"/>
          <w:color w:val="000000" w:themeColor="text1"/>
        </w:rPr>
        <w:t xml:space="preserve"> </w:t>
      </w:r>
      <w:r w:rsidRPr="0062487B">
        <w:rPr>
          <w:rFonts w:asciiTheme="minorHAnsi" w:hAnsiTheme="minorHAnsi" w:cstheme="minorHAnsi"/>
          <w:color w:val="000000" w:themeColor="text1"/>
        </w:rPr>
        <w:t>ED performance</w:t>
      </w:r>
      <w:r w:rsidR="43144049" w:rsidRPr="0062487B">
        <w:rPr>
          <w:rFonts w:asciiTheme="minorHAnsi" w:hAnsiTheme="minorHAnsi" w:cstheme="minorHAnsi"/>
          <w:color w:val="000000" w:themeColor="text1"/>
        </w:rPr>
        <w:t xml:space="preserve"> </w:t>
      </w:r>
      <w:r w:rsidR="4AB32238" w:rsidRPr="0062487B">
        <w:rPr>
          <w:rFonts w:asciiTheme="minorHAnsi" w:hAnsiTheme="minorHAnsi" w:cstheme="minorHAnsi"/>
          <w:color w:val="000000" w:themeColor="text1"/>
        </w:rPr>
        <w:t>wil</w:t>
      </w:r>
      <w:r w:rsidR="4AB32238" w:rsidRPr="0062487B">
        <w:rPr>
          <w:rFonts w:asciiTheme="minorHAnsi" w:hAnsiTheme="minorHAnsi" w:cstheme="minorHAnsi"/>
        </w:rPr>
        <w:t xml:space="preserve">l </w:t>
      </w:r>
      <w:r w:rsidRPr="0062487B">
        <w:rPr>
          <w:rFonts w:asciiTheme="minorHAnsi" w:hAnsiTheme="minorHAnsi" w:cstheme="minorHAnsi"/>
        </w:rPr>
        <w:t>increas</w:t>
      </w:r>
      <w:r w:rsidR="4AB32238" w:rsidRPr="0062487B">
        <w:rPr>
          <w:rFonts w:asciiTheme="minorHAnsi" w:hAnsiTheme="minorHAnsi" w:cstheme="minorHAnsi"/>
        </w:rPr>
        <w:t>e</w:t>
      </w:r>
      <w:r w:rsidR="00EF1383" w:rsidRPr="0062487B">
        <w:rPr>
          <w:rStyle w:val="FootnoteReference"/>
          <w:rFonts w:asciiTheme="minorHAnsi" w:hAnsiTheme="minorHAnsi" w:cstheme="minorHAnsi"/>
        </w:rPr>
        <w:footnoteReference w:id="20"/>
      </w:r>
      <w:r w:rsidRPr="0062487B">
        <w:rPr>
          <w:rFonts w:asciiTheme="minorHAnsi" w:hAnsiTheme="minorHAnsi" w:cstheme="minorHAnsi"/>
        </w:rPr>
        <w:t xml:space="preserve"> </w:t>
      </w:r>
      <w:r w:rsidR="4AB32238" w:rsidRPr="0062487B">
        <w:rPr>
          <w:rFonts w:asciiTheme="minorHAnsi" w:hAnsiTheme="minorHAnsi" w:cstheme="minorHAnsi"/>
        </w:rPr>
        <w:t xml:space="preserve">which </w:t>
      </w:r>
      <w:r w:rsidR="1996A342" w:rsidRPr="0062487B">
        <w:rPr>
          <w:rFonts w:asciiTheme="minorHAnsi" w:hAnsiTheme="minorHAnsi" w:cstheme="minorHAnsi"/>
        </w:rPr>
        <w:t>will enable patients to receive care in appropriate settings</w:t>
      </w:r>
      <w:r w:rsidR="4BB1FF5A" w:rsidRPr="0062487B">
        <w:rPr>
          <w:rFonts w:asciiTheme="minorHAnsi" w:hAnsiTheme="minorHAnsi" w:cstheme="minorHAnsi"/>
        </w:rPr>
        <w:t>,</w:t>
      </w:r>
      <w:r w:rsidR="05AF9F89" w:rsidRPr="0062487B">
        <w:rPr>
          <w:rFonts w:asciiTheme="minorHAnsi" w:hAnsiTheme="minorHAnsi" w:cstheme="minorHAnsi"/>
        </w:rPr>
        <w:t xml:space="preserve"> creating operating efficiencies </w:t>
      </w:r>
      <w:r w:rsidR="5769A9BF" w:rsidRPr="0062487B">
        <w:rPr>
          <w:rFonts w:asciiTheme="minorHAnsi" w:hAnsiTheme="minorHAnsi" w:cstheme="minorHAnsi"/>
        </w:rPr>
        <w:t>and leverag</w:t>
      </w:r>
      <w:r w:rsidR="4BB1FF5A" w:rsidRPr="0062487B">
        <w:rPr>
          <w:rFonts w:asciiTheme="minorHAnsi" w:hAnsiTheme="minorHAnsi" w:cstheme="minorHAnsi"/>
        </w:rPr>
        <w:t>ing</w:t>
      </w:r>
      <w:r w:rsidR="5769A9BF" w:rsidRPr="0062487B">
        <w:rPr>
          <w:rFonts w:asciiTheme="minorHAnsi" w:hAnsiTheme="minorHAnsi" w:cstheme="minorHAnsi"/>
        </w:rPr>
        <w:t xml:space="preserve"> capacity with</w:t>
      </w:r>
      <w:r w:rsidR="05AF9F89" w:rsidRPr="0062487B">
        <w:rPr>
          <w:rFonts w:asciiTheme="minorHAnsi" w:hAnsiTheme="minorHAnsi" w:cstheme="minorHAnsi"/>
        </w:rPr>
        <w:t>in the Brigham Health system</w:t>
      </w:r>
      <w:r w:rsidR="4AB32238" w:rsidRPr="0062487B">
        <w:rPr>
          <w:rFonts w:asciiTheme="minorHAnsi" w:hAnsiTheme="minorHAnsi" w:cstheme="minorHAnsi"/>
        </w:rPr>
        <w:t>.</w:t>
      </w:r>
      <w:r w:rsidR="1996A342" w:rsidRPr="0062487B">
        <w:rPr>
          <w:rFonts w:asciiTheme="minorHAnsi" w:hAnsiTheme="minorHAnsi" w:cstheme="minorHAnsi"/>
        </w:rPr>
        <w:t xml:space="preserve"> </w:t>
      </w:r>
      <w:r w:rsidR="4AB32238" w:rsidRPr="0062487B">
        <w:rPr>
          <w:rFonts w:asciiTheme="minorHAnsi" w:hAnsiTheme="minorHAnsi" w:cstheme="minorHAnsi"/>
        </w:rPr>
        <w:t>T</w:t>
      </w:r>
      <w:r w:rsidR="1996A342" w:rsidRPr="0062487B">
        <w:rPr>
          <w:rFonts w:asciiTheme="minorHAnsi" w:hAnsiTheme="minorHAnsi" w:cstheme="minorHAnsi"/>
        </w:rPr>
        <w:t xml:space="preserve">his will allow BWFH to see patients </w:t>
      </w:r>
      <w:r w:rsidR="5769A9BF" w:rsidRPr="0062487B">
        <w:rPr>
          <w:rFonts w:asciiTheme="minorHAnsi" w:hAnsiTheme="minorHAnsi" w:cstheme="minorHAnsi"/>
        </w:rPr>
        <w:t xml:space="preserve">needing secondary care </w:t>
      </w:r>
      <w:r w:rsidR="1996A342" w:rsidRPr="0062487B">
        <w:rPr>
          <w:rFonts w:asciiTheme="minorHAnsi" w:hAnsiTheme="minorHAnsi" w:cstheme="minorHAnsi"/>
        </w:rPr>
        <w:t xml:space="preserve">in a </w:t>
      </w:r>
      <w:r w:rsidR="05AF9F89" w:rsidRPr="0062487B">
        <w:rPr>
          <w:rFonts w:asciiTheme="minorHAnsi" w:hAnsiTheme="minorHAnsi" w:cstheme="minorHAnsi"/>
        </w:rPr>
        <w:t>timelier</w:t>
      </w:r>
      <w:r w:rsidR="1996A342" w:rsidRPr="0062487B">
        <w:rPr>
          <w:rFonts w:asciiTheme="minorHAnsi" w:hAnsiTheme="minorHAnsi" w:cstheme="minorHAnsi"/>
        </w:rPr>
        <w:t xml:space="preserve"> manner and in a cost-effective community </w:t>
      </w:r>
      <w:r w:rsidR="003068C8" w:rsidRPr="0062487B">
        <w:rPr>
          <w:rFonts w:asciiTheme="minorHAnsi" w:hAnsiTheme="minorHAnsi" w:cstheme="minorHAnsi"/>
        </w:rPr>
        <w:t>setting, while</w:t>
      </w:r>
      <w:r w:rsidR="1996A342" w:rsidRPr="0062487B">
        <w:rPr>
          <w:rFonts w:asciiTheme="minorHAnsi" w:hAnsiTheme="minorHAnsi" w:cstheme="minorHAnsi"/>
        </w:rPr>
        <w:t xml:space="preserve"> </w:t>
      </w:r>
      <w:r w:rsidR="4AB32238" w:rsidRPr="0062487B">
        <w:rPr>
          <w:rFonts w:asciiTheme="minorHAnsi" w:hAnsiTheme="minorHAnsi" w:cstheme="minorHAnsi"/>
        </w:rPr>
        <w:t xml:space="preserve">high-acuity </w:t>
      </w:r>
      <w:r w:rsidR="1996A342" w:rsidRPr="0062487B">
        <w:rPr>
          <w:rFonts w:asciiTheme="minorHAnsi" w:hAnsiTheme="minorHAnsi" w:cstheme="minorHAnsi"/>
        </w:rPr>
        <w:t xml:space="preserve">patients </w:t>
      </w:r>
      <w:r w:rsidR="4AB32238" w:rsidRPr="0062487B">
        <w:rPr>
          <w:rFonts w:asciiTheme="minorHAnsi" w:hAnsiTheme="minorHAnsi" w:cstheme="minorHAnsi"/>
        </w:rPr>
        <w:t xml:space="preserve">will have better access to </w:t>
      </w:r>
      <w:r w:rsidR="1996A342" w:rsidRPr="0062487B">
        <w:rPr>
          <w:rFonts w:asciiTheme="minorHAnsi" w:hAnsiTheme="minorHAnsi" w:cstheme="minorHAnsi"/>
        </w:rPr>
        <w:t>care at the academic medical center, BWH.</w:t>
      </w:r>
      <w:r w:rsidR="2EA9E811" w:rsidRPr="0062487B">
        <w:rPr>
          <w:rFonts w:asciiTheme="minorHAnsi" w:hAnsiTheme="minorHAnsi" w:cstheme="minorHAnsi"/>
        </w:rPr>
        <w:t xml:space="preserve"> Further, </w:t>
      </w:r>
      <w:r w:rsidR="7EC11A6B" w:rsidRPr="0062487B">
        <w:rPr>
          <w:rFonts w:asciiTheme="minorHAnsi" w:hAnsiTheme="minorHAnsi" w:cstheme="minorHAnsi"/>
        </w:rPr>
        <w:t xml:space="preserve">the </w:t>
      </w:r>
      <w:r w:rsidR="2EA9E811" w:rsidRPr="0062487B">
        <w:rPr>
          <w:rFonts w:asciiTheme="minorHAnsi" w:hAnsiTheme="minorHAnsi" w:cstheme="minorHAnsi"/>
        </w:rPr>
        <w:t xml:space="preserve">BWFH Transfer Program </w:t>
      </w:r>
      <w:r w:rsidR="7EC11A6B" w:rsidRPr="0062487B">
        <w:rPr>
          <w:rFonts w:asciiTheme="minorHAnsi" w:hAnsiTheme="minorHAnsi" w:cstheme="minorHAnsi"/>
        </w:rPr>
        <w:t>allows ED</w:t>
      </w:r>
      <w:r w:rsidR="4AB32238" w:rsidRPr="0062487B">
        <w:rPr>
          <w:rFonts w:asciiTheme="minorHAnsi" w:hAnsiTheme="minorHAnsi" w:cstheme="minorHAnsi"/>
        </w:rPr>
        <w:t xml:space="preserve"> </w:t>
      </w:r>
      <w:r w:rsidR="7EC11A6B" w:rsidRPr="0062487B">
        <w:rPr>
          <w:rFonts w:asciiTheme="minorHAnsi" w:hAnsiTheme="minorHAnsi" w:cstheme="minorHAnsi"/>
        </w:rPr>
        <w:t>clinicians at BWH to directly admit qualifying patients to BWFH inpatient units.</w:t>
      </w:r>
    </w:p>
    <w:p w14:paraId="152E3655" w14:textId="5F18B59B" w:rsidR="00EE5DC9" w:rsidRPr="0062487B" w:rsidRDefault="00EE5DC9" w:rsidP="001E6E05">
      <w:pPr>
        <w:contextualSpacing/>
        <w:rPr>
          <w:rFonts w:asciiTheme="minorHAnsi" w:hAnsiTheme="minorHAnsi" w:cstheme="minorHAnsi"/>
        </w:rPr>
      </w:pPr>
    </w:p>
    <w:p w14:paraId="40F824D7" w14:textId="55E8528D" w:rsidR="00EE5DC9" w:rsidRPr="0062487B" w:rsidRDefault="1D536EA6" w:rsidP="17FA2F59">
      <w:pPr>
        <w:contextualSpacing/>
        <w:rPr>
          <w:rFonts w:asciiTheme="minorHAnsi" w:hAnsiTheme="minorHAnsi" w:cstheme="minorBidi"/>
          <w:b/>
          <w:bCs/>
          <w:color w:val="2F5897" w:themeColor="text2"/>
        </w:rPr>
      </w:pPr>
      <w:r w:rsidRPr="17FA2F59">
        <w:rPr>
          <w:rFonts w:asciiTheme="minorHAnsi" w:hAnsiTheme="minorHAnsi" w:cstheme="minorBidi"/>
          <w:b/>
          <w:bCs/>
        </w:rPr>
        <w:t>Observation Unit</w:t>
      </w:r>
    </w:p>
    <w:p w14:paraId="6BD55162" w14:textId="6950DEDC" w:rsidR="00646C37" w:rsidRPr="0062487B" w:rsidRDefault="5B3B1F09" w:rsidP="17FA2F59">
      <w:pPr>
        <w:contextualSpacing/>
        <w:rPr>
          <w:rFonts w:asciiTheme="minorHAnsi" w:hAnsiTheme="minorHAnsi" w:cstheme="minorBidi"/>
        </w:rPr>
      </w:pPr>
      <w:r w:rsidRPr="17FA2F59">
        <w:rPr>
          <w:rFonts w:asciiTheme="minorHAnsi" w:hAnsiTheme="minorHAnsi" w:cstheme="minorBidi"/>
        </w:rPr>
        <w:t>The Applicant states that the addition of the observation unit will alleviate capacity constraints in other areas of the hospital where patients receive observation-like service</w:t>
      </w:r>
      <w:r w:rsidR="002E666E" w:rsidRPr="17FA2F59">
        <w:rPr>
          <w:rFonts w:asciiTheme="minorHAnsi" w:hAnsiTheme="minorHAnsi" w:cstheme="minorBidi"/>
          <w:vertAlign w:val="superscript"/>
        </w:rPr>
        <w:footnoteReference w:id="21"/>
      </w:r>
      <w:r w:rsidRPr="17FA2F59">
        <w:rPr>
          <w:rFonts w:asciiTheme="minorHAnsi" w:hAnsiTheme="minorHAnsi" w:cstheme="minorBidi"/>
        </w:rPr>
        <w:t xml:space="preserve"> and allow for better </w:t>
      </w:r>
      <w:r w:rsidR="121CBD9F" w:rsidRPr="17FA2F59">
        <w:rPr>
          <w:rFonts w:asciiTheme="minorHAnsi" w:hAnsiTheme="minorHAnsi" w:cstheme="minorBidi"/>
        </w:rPr>
        <w:t xml:space="preserve">overall </w:t>
      </w:r>
      <w:r w:rsidRPr="17FA2F59">
        <w:rPr>
          <w:rFonts w:asciiTheme="minorHAnsi" w:hAnsiTheme="minorHAnsi" w:cstheme="minorBidi"/>
        </w:rPr>
        <w:t>patient throughput, including expedited admission of ED patients to an inpatient bed. Having a dedicated space for observation will improve patient management efforts</w:t>
      </w:r>
      <w:r w:rsidR="6BF8C3AC" w:rsidRPr="17FA2F59">
        <w:rPr>
          <w:rFonts w:asciiTheme="minorHAnsi" w:hAnsiTheme="minorHAnsi" w:cstheme="minorBidi"/>
        </w:rPr>
        <w:t xml:space="preserve"> and provide patient-centered care, particularly for certain post-surgical patient populations</w:t>
      </w:r>
      <w:r w:rsidR="01DE1D6E" w:rsidRPr="17FA2F59">
        <w:rPr>
          <w:rFonts w:asciiTheme="minorHAnsi" w:hAnsiTheme="minorHAnsi" w:cstheme="minorBidi"/>
        </w:rPr>
        <w:t xml:space="preserve"> (i</w:t>
      </w:r>
      <w:r w:rsidR="24A788FF" w:rsidRPr="17FA2F59">
        <w:rPr>
          <w:rFonts w:asciiTheme="minorHAnsi" w:hAnsiTheme="minorHAnsi" w:cstheme="minorBidi"/>
        </w:rPr>
        <w:t xml:space="preserve">n particular, patients receiving pre-discharge services, a majority </w:t>
      </w:r>
      <w:r w:rsidR="569CAD15" w:rsidRPr="17FA2F59">
        <w:rPr>
          <w:rFonts w:asciiTheme="minorHAnsi" w:hAnsiTheme="minorHAnsi" w:cstheme="minorBidi"/>
        </w:rPr>
        <w:t xml:space="preserve">of </w:t>
      </w:r>
      <w:r w:rsidR="226D0E1B" w:rsidRPr="17FA2F59">
        <w:rPr>
          <w:rFonts w:asciiTheme="minorHAnsi" w:hAnsiTheme="minorHAnsi" w:cstheme="minorBidi"/>
        </w:rPr>
        <w:t>who</w:t>
      </w:r>
      <w:r w:rsidR="569CAD15" w:rsidRPr="17FA2F59">
        <w:rPr>
          <w:rFonts w:asciiTheme="minorHAnsi" w:hAnsiTheme="minorHAnsi" w:cstheme="minorBidi"/>
        </w:rPr>
        <w:t>m</w:t>
      </w:r>
      <w:r w:rsidR="24A788FF" w:rsidRPr="17FA2F59">
        <w:rPr>
          <w:rFonts w:asciiTheme="minorHAnsi" w:hAnsiTheme="minorHAnsi" w:cstheme="minorBidi"/>
        </w:rPr>
        <w:t xml:space="preserve"> are post-procedure mastectomy, </w:t>
      </w:r>
      <w:proofErr w:type="gramStart"/>
      <w:r w:rsidR="24A788FF" w:rsidRPr="17FA2F59">
        <w:rPr>
          <w:rFonts w:asciiTheme="minorHAnsi" w:hAnsiTheme="minorHAnsi" w:cstheme="minorBidi"/>
        </w:rPr>
        <w:t>prostatectomy</w:t>
      </w:r>
      <w:proofErr w:type="gramEnd"/>
      <w:r w:rsidR="24A788FF" w:rsidRPr="17FA2F59">
        <w:rPr>
          <w:rFonts w:asciiTheme="minorHAnsi" w:hAnsiTheme="minorHAnsi" w:cstheme="minorBidi"/>
        </w:rPr>
        <w:t xml:space="preserve"> and gynecological patients</w:t>
      </w:r>
      <w:r w:rsidR="01DE1D6E" w:rsidRPr="17FA2F59">
        <w:rPr>
          <w:rFonts w:asciiTheme="minorHAnsi" w:hAnsiTheme="minorHAnsi" w:cstheme="minorBidi"/>
        </w:rPr>
        <w:t>)</w:t>
      </w:r>
      <w:r w:rsidR="121CBD9F" w:rsidRPr="17FA2F59">
        <w:rPr>
          <w:rFonts w:asciiTheme="minorHAnsi" w:hAnsiTheme="minorHAnsi" w:cstheme="minorBidi"/>
        </w:rPr>
        <w:t>.</w:t>
      </w:r>
      <w:r w:rsidR="24A788FF" w:rsidRPr="17FA2F59">
        <w:rPr>
          <w:rFonts w:asciiTheme="minorHAnsi" w:hAnsiTheme="minorHAnsi" w:cstheme="minorBidi"/>
        </w:rPr>
        <w:t xml:space="preserve"> </w:t>
      </w:r>
      <w:r w:rsidR="121CBD9F" w:rsidRPr="17FA2F59">
        <w:rPr>
          <w:rFonts w:asciiTheme="minorHAnsi" w:hAnsiTheme="minorHAnsi" w:cstheme="minorBidi"/>
        </w:rPr>
        <w:t xml:space="preserve">These patients </w:t>
      </w:r>
      <w:r w:rsidR="24A788FF" w:rsidRPr="17FA2F59">
        <w:rPr>
          <w:rFonts w:asciiTheme="minorHAnsi" w:hAnsiTheme="minorHAnsi" w:cstheme="minorBidi"/>
        </w:rPr>
        <w:t xml:space="preserve">have extensive educational, </w:t>
      </w:r>
      <w:proofErr w:type="gramStart"/>
      <w:r w:rsidR="24A788FF" w:rsidRPr="17FA2F59">
        <w:rPr>
          <w:rFonts w:asciiTheme="minorHAnsi" w:hAnsiTheme="minorHAnsi" w:cstheme="minorBidi"/>
        </w:rPr>
        <w:t>psychological</w:t>
      </w:r>
      <w:proofErr w:type="gramEnd"/>
      <w:r w:rsidR="24A788FF" w:rsidRPr="17FA2F59">
        <w:rPr>
          <w:rFonts w:asciiTheme="minorHAnsi" w:hAnsiTheme="minorHAnsi" w:cstheme="minorBidi"/>
        </w:rPr>
        <w:t xml:space="preserve"> and emotional support needs following surgeries. The observation unit provides appropriate space</w:t>
      </w:r>
      <w:r w:rsidR="5445DAF8" w:rsidRPr="17FA2F59">
        <w:rPr>
          <w:rFonts w:asciiTheme="minorHAnsi" w:hAnsiTheme="minorHAnsi" w:cstheme="minorBidi"/>
        </w:rPr>
        <w:t xml:space="preserve"> and privacy</w:t>
      </w:r>
      <w:r w:rsidR="24A788FF" w:rsidRPr="17FA2F59">
        <w:rPr>
          <w:rFonts w:asciiTheme="minorHAnsi" w:hAnsiTheme="minorHAnsi" w:cstheme="minorBidi"/>
        </w:rPr>
        <w:t xml:space="preserve"> for necessary support, </w:t>
      </w:r>
      <w:r w:rsidR="121CBD9F" w:rsidRPr="17FA2F59">
        <w:rPr>
          <w:rFonts w:asciiTheme="minorHAnsi" w:hAnsiTheme="minorHAnsi" w:cstheme="minorBidi"/>
        </w:rPr>
        <w:t xml:space="preserve">the </w:t>
      </w:r>
      <w:r w:rsidR="24A788FF" w:rsidRPr="17FA2F59">
        <w:rPr>
          <w:rFonts w:asciiTheme="minorHAnsi" w:hAnsiTheme="minorHAnsi" w:cstheme="minorBidi"/>
        </w:rPr>
        <w:t>presence of family/caregiver</w:t>
      </w:r>
      <w:r w:rsidR="01DE1D6E" w:rsidRPr="17FA2F59">
        <w:rPr>
          <w:rFonts w:asciiTheme="minorHAnsi" w:hAnsiTheme="minorHAnsi" w:cstheme="minorBidi"/>
        </w:rPr>
        <w:t>s</w:t>
      </w:r>
      <w:r w:rsidR="0018734C">
        <w:rPr>
          <w:rFonts w:asciiTheme="minorHAnsi" w:hAnsiTheme="minorHAnsi" w:cstheme="minorBidi"/>
        </w:rPr>
        <w:t>,</w:t>
      </w:r>
      <w:r w:rsidR="24A788FF" w:rsidRPr="17FA2F59">
        <w:rPr>
          <w:rFonts w:asciiTheme="minorHAnsi" w:hAnsiTheme="minorHAnsi" w:cstheme="minorBidi"/>
        </w:rPr>
        <w:t xml:space="preserve"> and education prior to discharge.  </w:t>
      </w:r>
    </w:p>
    <w:p w14:paraId="232DE2A9" w14:textId="77777777" w:rsidR="00646C37" w:rsidRPr="0062487B" w:rsidRDefault="00646C37" w:rsidP="17FA2F59">
      <w:pPr>
        <w:contextualSpacing/>
        <w:rPr>
          <w:rFonts w:asciiTheme="minorHAnsi" w:hAnsiTheme="minorHAnsi" w:cstheme="minorBidi"/>
        </w:rPr>
      </w:pPr>
    </w:p>
    <w:p w14:paraId="2C60A852" w14:textId="32334D46" w:rsidR="002E666E" w:rsidRPr="0062487B" w:rsidRDefault="74578375" w:rsidP="17FA2F59">
      <w:pPr>
        <w:spacing w:after="200"/>
        <w:contextualSpacing/>
        <w:rPr>
          <w:rFonts w:asciiTheme="minorHAnsi" w:hAnsiTheme="minorHAnsi" w:cstheme="minorBidi"/>
        </w:rPr>
      </w:pPr>
      <w:r w:rsidRPr="17FA2F59">
        <w:rPr>
          <w:rFonts w:asciiTheme="minorHAnsi" w:hAnsiTheme="minorHAnsi" w:cstheme="minorBidi"/>
        </w:rPr>
        <w:t xml:space="preserve">The Applicant </w:t>
      </w:r>
      <w:r w:rsidR="6F7B4B3F" w:rsidRPr="17FA2F59">
        <w:rPr>
          <w:rFonts w:asciiTheme="minorHAnsi" w:hAnsiTheme="minorHAnsi" w:cstheme="minorBidi"/>
        </w:rPr>
        <w:t xml:space="preserve">also </w:t>
      </w:r>
      <w:r w:rsidR="690A97AD" w:rsidRPr="17FA2F59">
        <w:rPr>
          <w:rFonts w:asciiTheme="minorHAnsi" w:hAnsiTheme="minorHAnsi" w:cstheme="minorBidi"/>
        </w:rPr>
        <w:t>discusses</w:t>
      </w:r>
      <w:r w:rsidRPr="17FA2F59">
        <w:rPr>
          <w:rFonts w:asciiTheme="minorHAnsi" w:hAnsiTheme="minorHAnsi" w:cstheme="minorBidi"/>
        </w:rPr>
        <w:t xml:space="preserve"> provision of care in an efficient, protocol-driven observation unit </w:t>
      </w:r>
      <w:r w:rsidR="76E8CE96" w:rsidRPr="17FA2F59">
        <w:rPr>
          <w:rFonts w:asciiTheme="minorHAnsi" w:hAnsiTheme="minorHAnsi" w:cstheme="minorBidi"/>
        </w:rPr>
        <w:t xml:space="preserve">and </w:t>
      </w:r>
      <w:r w:rsidR="32EDC16A" w:rsidRPr="17FA2F59">
        <w:rPr>
          <w:rFonts w:asciiTheme="minorHAnsi" w:hAnsiTheme="minorHAnsi" w:cstheme="minorBidi"/>
        </w:rPr>
        <w:t xml:space="preserve">implementation of a PHM strategy, </w:t>
      </w:r>
      <w:r w:rsidRPr="17FA2F59">
        <w:rPr>
          <w:rFonts w:asciiTheme="minorHAnsi" w:hAnsiTheme="minorHAnsi" w:cstheme="minorBidi"/>
        </w:rPr>
        <w:t xml:space="preserve">Enhanced Recovery After Surgery (ERAS) protocols, which </w:t>
      </w:r>
      <w:r w:rsidR="159A8E55" w:rsidRPr="17FA2F59">
        <w:rPr>
          <w:rFonts w:asciiTheme="minorHAnsi" w:hAnsiTheme="minorHAnsi" w:cstheme="minorBidi"/>
        </w:rPr>
        <w:t>is a patient-centered, evidence-based approach to per</w:t>
      </w:r>
      <w:r w:rsidR="32EDC16A" w:rsidRPr="17FA2F59">
        <w:rPr>
          <w:rFonts w:asciiTheme="minorHAnsi" w:hAnsiTheme="minorHAnsi" w:cstheme="minorBidi"/>
        </w:rPr>
        <w:t xml:space="preserve">ioperative care for planned surgeries that </w:t>
      </w:r>
      <w:r w:rsidRPr="17FA2F59">
        <w:rPr>
          <w:rFonts w:asciiTheme="minorHAnsi" w:hAnsiTheme="minorHAnsi" w:cstheme="minorBidi"/>
        </w:rPr>
        <w:t>benefits elderly patients and ha</w:t>
      </w:r>
      <w:r w:rsidR="32EDC16A" w:rsidRPr="17FA2F59">
        <w:rPr>
          <w:rFonts w:asciiTheme="minorHAnsi" w:hAnsiTheme="minorHAnsi" w:cstheme="minorBidi"/>
        </w:rPr>
        <w:t>s</w:t>
      </w:r>
      <w:r w:rsidR="759D04B1" w:rsidRPr="17FA2F59">
        <w:rPr>
          <w:rFonts w:asciiTheme="minorHAnsi" w:hAnsiTheme="minorHAnsi" w:cstheme="minorBidi"/>
        </w:rPr>
        <w:t xml:space="preserve"> been</w:t>
      </w:r>
      <w:r w:rsidRPr="17FA2F59">
        <w:rPr>
          <w:rFonts w:asciiTheme="minorHAnsi" w:hAnsiTheme="minorHAnsi" w:cstheme="minorBidi"/>
        </w:rPr>
        <w:t xml:space="preserve"> shown to reduce length of stay.</w:t>
      </w:r>
      <w:r w:rsidR="3D2A0DAC" w:rsidRPr="17FA2F59">
        <w:rPr>
          <w:rFonts w:asciiTheme="minorHAnsi" w:hAnsiTheme="minorHAnsi" w:cstheme="minorBidi"/>
        </w:rPr>
        <w:t xml:space="preserve"> </w:t>
      </w:r>
    </w:p>
    <w:p w14:paraId="4B838FD1" w14:textId="303FC981" w:rsidR="0011336D" w:rsidRPr="0062487B" w:rsidRDefault="0011336D" w:rsidP="17FA2F59">
      <w:pPr>
        <w:contextualSpacing/>
        <w:rPr>
          <w:rFonts w:asciiTheme="minorHAnsi" w:hAnsiTheme="minorHAnsi" w:cstheme="minorBidi"/>
        </w:rPr>
      </w:pPr>
    </w:p>
    <w:p w14:paraId="0ED29E9C" w14:textId="4B32FDCA" w:rsidR="00EE5DC9" w:rsidRPr="0062487B" w:rsidRDefault="1D536EA6" w:rsidP="17FA2F59">
      <w:pPr>
        <w:contextualSpacing/>
        <w:rPr>
          <w:rFonts w:asciiTheme="minorHAnsi" w:hAnsiTheme="minorHAnsi" w:cstheme="minorBidi"/>
          <w:b/>
          <w:bCs/>
          <w:color w:val="2F5897" w:themeColor="text2"/>
        </w:rPr>
      </w:pPr>
      <w:r w:rsidRPr="17FA2F59">
        <w:rPr>
          <w:rFonts w:asciiTheme="minorHAnsi" w:hAnsiTheme="minorHAnsi" w:cstheme="minorBidi"/>
          <w:b/>
          <w:bCs/>
        </w:rPr>
        <w:t>Endoscopy Services</w:t>
      </w:r>
    </w:p>
    <w:p w14:paraId="3C6AC206" w14:textId="104B3BCA" w:rsidR="00C5343D" w:rsidRPr="0062487B" w:rsidRDefault="73827AA4" w:rsidP="78F650E0">
      <w:pPr>
        <w:spacing w:after="200"/>
        <w:contextualSpacing/>
        <w:rPr>
          <w:rFonts w:asciiTheme="minorHAnsi" w:hAnsiTheme="minorHAnsi" w:cstheme="minorBidi"/>
        </w:rPr>
      </w:pPr>
      <w:r w:rsidRPr="17FA2F59">
        <w:rPr>
          <w:rFonts w:asciiTheme="minorHAnsi" w:hAnsiTheme="minorHAnsi" w:cstheme="minorBidi"/>
        </w:rPr>
        <w:t xml:space="preserve">The Applicant </w:t>
      </w:r>
      <w:r w:rsidR="5B83EE8F" w:rsidRPr="17FA2F59">
        <w:rPr>
          <w:rFonts w:asciiTheme="minorHAnsi" w:hAnsiTheme="minorHAnsi" w:cstheme="minorBidi"/>
        </w:rPr>
        <w:t xml:space="preserve">notes </w:t>
      </w:r>
      <w:r w:rsidRPr="17FA2F59">
        <w:rPr>
          <w:rFonts w:asciiTheme="minorHAnsi" w:hAnsiTheme="minorHAnsi" w:cstheme="minorBidi"/>
        </w:rPr>
        <w:t xml:space="preserve">that the relocation and expansion will allow BWFH to provide cost-effective and efficiently operated endoscopy procedures in </w:t>
      </w:r>
      <w:r w:rsidR="18174D3D" w:rsidRPr="17FA2F59">
        <w:rPr>
          <w:rFonts w:asciiTheme="minorHAnsi" w:hAnsiTheme="minorHAnsi" w:cstheme="minorBidi"/>
        </w:rPr>
        <w:t>a</w:t>
      </w:r>
      <w:r w:rsidRPr="17FA2F59">
        <w:rPr>
          <w:rFonts w:asciiTheme="minorHAnsi" w:hAnsiTheme="minorHAnsi" w:cstheme="minorBidi"/>
        </w:rPr>
        <w:t xml:space="preserve"> community-based hospital setting. </w:t>
      </w:r>
      <w:r w:rsidR="030D28BA" w:rsidRPr="17FA2F59">
        <w:rPr>
          <w:rFonts w:asciiTheme="minorHAnsi" w:hAnsiTheme="minorHAnsi" w:cstheme="minorBidi"/>
        </w:rPr>
        <w:t xml:space="preserve">Relocation will enable the expansion of both pre- and post-procedural space in the endoscopy unit </w:t>
      </w:r>
      <w:r w:rsidR="00E4425A">
        <w:rPr>
          <w:rFonts w:asciiTheme="minorHAnsi" w:hAnsiTheme="minorHAnsi" w:cstheme="minorBidi"/>
        </w:rPr>
        <w:t xml:space="preserve">and </w:t>
      </w:r>
      <w:r w:rsidR="030D28BA" w:rsidRPr="17FA2F59">
        <w:rPr>
          <w:rFonts w:asciiTheme="minorHAnsi" w:hAnsiTheme="minorHAnsi" w:cstheme="minorBidi"/>
        </w:rPr>
        <w:t xml:space="preserve">permit the redesign of </w:t>
      </w:r>
      <w:r w:rsidR="00E4425A">
        <w:rPr>
          <w:rFonts w:asciiTheme="minorHAnsi" w:hAnsiTheme="minorHAnsi" w:cstheme="minorBidi"/>
        </w:rPr>
        <w:t>care processes to increase</w:t>
      </w:r>
      <w:r w:rsidR="030D28BA" w:rsidRPr="17FA2F59">
        <w:rPr>
          <w:rFonts w:asciiTheme="minorHAnsi" w:hAnsiTheme="minorHAnsi" w:cstheme="minorBidi"/>
        </w:rPr>
        <w:t xml:space="preserve"> efficiencies. </w:t>
      </w:r>
      <w:r w:rsidRPr="17FA2F59">
        <w:rPr>
          <w:rFonts w:asciiTheme="minorHAnsi" w:hAnsiTheme="minorHAnsi" w:cstheme="minorBidi"/>
        </w:rPr>
        <w:t xml:space="preserve">The new endoscopy suite will allow all endoscopy services to be performed within the unit, maximizing staff and resources in one location of the hospital. Clinicians will be able to perform both routine and interventional endoscopy procedures, including advanced procedures, </w:t>
      </w:r>
      <w:r w:rsidR="5B83EE8F" w:rsidRPr="17FA2F59">
        <w:rPr>
          <w:rFonts w:asciiTheme="minorHAnsi" w:hAnsiTheme="minorHAnsi" w:cstheme="minorBidi"/>
        </w:rPr>
        <w:t xml:space="preserve">which </w:t>
      </w:r>
      <w:r w:rsidRPr="17FA2F59">
        <w:rPr>
          <w:rFonts w:asciiTheme="minorHAnsi" w:hAnsiTheme="minorHAnsi" w:cstheme="minorBidi"/>
        </w:rPr>
        <w:t xml:space="preserve">currently are done in the operating room. Expanding capacity will enable BWFH to offer </w:t>
      </w:r>
      <w:r w:rsidR="18174D3D" w:rsidRPr="17FA2F59">
        <w:rPr>
          <w:rFonts w:asciiTheme="minorHAnsi" w:hAnsiTheme="minorHAnsi" w:cstheme="minorBidi"/>
        </w:rPr>
        <w:t xml:space="preserve">a </w:t>
      </w:r>
      <w:r w:rsidRPr="17FA2F59">
        <w:rPr>
          <w:rFonts w:asciiTheme="minorHAnsi" w:hAnsiTheme="minorHAnsi" w:cstheme="minorBidi"/>
        </w:rPr>
        <w:t>broader range of services to BWFH patients and timely access to co-located services, reducing the need for BWFH to transfer patients to other locations.</w:t>
      </w:r>
    </w:p>
    <w:p w14:paraId="75A7855E" w14:textId="77777777" w:rsidR="00C5343D" w:rsidRPr="0062487B" w:rsidRDefault="00C5343D" w:rsidP="00CC5B19">
      <w:pPr>
        <w:autoSpaceDE w:val="0"/>
        <w:autoSpaceDN w:val="0"/>
        <w:adjustRightInd w:val="0"/>
        <w:rPr>
          <w:rFonts w:asciiTheme="minorHAnsi" w:hAnsiTheme="minorHAnsi" w:cstheme="minorHAnsi"/>
        </w:rPr>
      </w:pPr>
    </w:p>
    <w:p w14:paraId="0943ED67" w14:textId="27075C70" w:rsidR="00EE5DC9" w:rsidRPr="0062487B" w:rsidRDefault="1D536EA6" w:rsidP="17FA2F59">
      <w:pPr>
        <w:contextualSpacing/>
        <w:rPr>
          <w:rFonts w:asciiTheme="minorHAnsi" w:hAnsiTheme="minorHAnsi" w:cstheme="minorBidi"/>
          <w:b/>
          <w:bCs/>
          <w:color w:val="2F5897" w:themeColor="text2"/>
        </w:rPr>
      </w:pPr>
      <w:r w:rsidRPr="17FA2F59">
        <w:rPr>
          <w:rFonts w:asciiTheme="minorHAnsi" w:hAnsiTheme="minorHAnsi" w:cstheme="minorBidi"/>
          <w:b/>
          <w:bCs/>
        </w:rPr>
        <w:t>3T MRI</w:t>
      </w:r>
    </w:p>
    <w:p w14:paraId="7A1007C9" w14:textId="73B09D8B" w:rsidR="00D14605" w:rsidRPr="0062487B" w:rsidRDefault="00D14605" w:rsidP="00BC20AD">
      <w:pPr>
        <w:contextualSpacing/>
        <w:rPr>
          <w:rFonts w:asciiTheme="minorHAnsi" w:hAnsiTheme="minorHAnsi" w:cstheme="minorHAnsi"/>
        </w:rPr>
      </w:pPr>
      <w:r w:rsidRPr="0062487B">
        <w:rPr>
          <w:rFonts w:asciiTheme="minorHAnsi" w:hAnsiTheme="minorHAnsi" w:cstheme="minorHAnsi"/>
        </w:rPr>
        <w:t>The Applicant affirms that renovating and expanding imaging capacity</w:t>
      </w:r>
      <w:r w:rsidR="002A4DB8" w:rsidRPr="0062487B">
        <w:rPr>
          <w:rFonts w:asciiTheme="minorHAnsi" w:hAnsiTheme="minorHAnsi" w:cstheme="minorHAnsi"/>
        </w:rPr>
        <w:t>, including</w:t>
      </w:r>
      <w:r w:rsidRPr="0062487B">
        <w:rPr>
          <w:rFonts w:asciiTheme="minorHAnsi" w:hAnsiTheme="minorHAnsi" w:cstheme="minorHAnsi"/>
        </w:rPr>
        <w:t xml:space="preserve"> the addition with the 3T MRI</w:t>
      </w:r>
      <w:r w:rsidR="002A4DB8" w:rsidRPr="0062487B">
        <w:rPr>
          <w:rFonts w:asciiTheme="minorHAnsi" w:hAnsiTheme="minorHAnsi" w:cstheme="minorHAnsi"/>
        </w:rPr>
        <w:t>,</w:t>
      </w:r>
      <w:r w:rsidRPr="0062487B">
        <w:rPr>
          <w:rFonts w:asciiTheme="minorHAnsi" w:hAnsiTheme="minorHAnsi" w:cstheme="minorHAnsi"/>
        </w:rPr>
        <w:t xml:space="preserve"> will lead to increased access to timely, co-located and efficiently operated imaging services for BWFH patients. </w:t>
      </w:r>
      <w:r w:rsidR="005A0078" w:rsidRPr="0062487B">
        <w:rPr>
          <w:rFonts w:asciiTheme="minorHAnsi" w:hAnsiTheme="minorHAnsi" w:cstheme="minorHAnsi"/>
        </w:rPr>
        <w:t xml:space="preserve">It will facilitate efficient coordination of services among staff, including board-certified and fellowship-trained radiologists who are available on-site for consultations in subspecialty imaging. </w:t>
      </w:r>
      <w:r w:rsidRPr="0062487B">
        <w:rPr>
          <w:rFonts w:asciiTheme="minorHAnsi" w:hAnsiTheme="minorHAnsi" w:cstheme="minorHAnsi"/>
        </w:rPr>
        <w:lastRenderedPageBreak/>
        <w:t xml:space="preserve">Further, increasing imaging capacity will no longer require transport of inpatients and ED patients to BWH for 3T imaging and eliminate barriers for secondary case transfers from BWH </w:t>
      </w:r>
      <w:r w:rsidR="005A0078" w:rsidRPr="0062487B">
        <w:rPr>
          <w:rFonts w:asciiTheme="minorHAnsi" w:hAnsiTheme="minorHAnsi" w:cstheme="minorHAnsi"/>
        </w:rPr>
        <w:t>to BWFH</w:t>
      </w:r>
      <w:r w:rsidRPr="0062487B">
        <w:rPr>
          <w:rFonts w:asciiTheme="minorHAnsi" w:hAnsiTheme="minorHAnsi" w:cstheme="minorHAnsi"/>
        </w:rPr>
        <w:t xml:space="preserve">. </w:t>
      </w:r>
      <w:r w:rsidR="002A4DB8" w:rsidRPr="0062487B">
        <w:rPr>
          <w:rFonts w:asciiTheme="minorHAnsi" w:hAnsiTheme="minorHAnsi" w:cstheme="minorHAnsi"/>
        </w:rPr>
        <w:t>C</w:t>
      </w:r>
      <w:r w:rsidR="00BC20AD" w:rsidRPr="0062487B">
        <w:rPr>
          <w:rFonts w:asciiTheme="minorHAnsi" w:hAnsiTheme="minorHAnsi" w:cstheme="minorHAnsi"/>
        </w:rPr>
        <w:t>o-locating and integrating 1.5T and 3T MRI services will increase access and efficiency.</w:t>
      </w:r>
    </w:p>
    <w:p w14:paraId="0E193A27" w14:textId="78D8AB0D" w:rsidR="000376DC" w:rsidRPr="0062487B" w:rsidRDefault="000376DC" w:rsidP="00BC20AD">
      <w:pPr>
        <w:contextualSpacing/>
        <w:rPr>
          <w:rFonts w:asciiTheme="minorHAnsi" w:hAnsiTheme="minorHAnsi" w:cstheme="minorHAnsi"/>
        </w:rPr>
      </w:pPr>
    </w:p>
    <w:p w14:paraId="44F1E044" w14:textId="5322FFF3" w:rsidR="00D14605" w:rsidRPr="0062487B" w:rsidRDefault="00591496" w:rsidP="00EB2036">
      <w:pPr>
        <w:contextualSpacing/>
        <w:rPr>
          <w:rFonts w:asciiTheme="minorHAnsi" w:hAnsiTheme="minorHAnsi" w:cstheme="minorHAnsi"/>
        </w:rPr>
      </w:pPr>
      <w:r w:rsidRPr="0062487B">
        <w:rPr>
          <w:rFonts w:asciiTheme="minorHAnsi" w:hAnsiTheme="minorHAnsi" w:cstheme="minorHAnsi"/>
        </w:rPr>
        <w:t>P</w:t>
      </w:r>
      <w:r w:rsidR="00EB2036" w:rsidRPr="0062487B">
        <w:rPr>
          <w:rFonts w:asciiTheme="minorHAnsi" w:hAnsiTheme="minorHAnsi" w:cstheme="minorHAnsi"/>
        </w:rPr>
        <w:t xml:space="preserve">hysicians </w:t>
      </w:r>
      <w:r w:rsidRPr="0062487B">
        <w:rPr>
          <w:rFonts w:asciiTheme="minorHAnsi" w:hAnsiTheme="minorHAnsi" w:cstheme="minorHAnsi"/>
        </w:rPr>
        <w:t xml:space="preserve">at BWH </w:t>
      </w:r>
      <w:r w:rsidR="00EB2036" w:rsidRPr="0062487B">
        <w:rPr>
          <w:rFonts w:asciiTheme="minorHAnsi" w:hAnsiTheme="minorHAnsi" w:cstheme="minorHAnsi"/>
        </w:rPr>
        <w:t>use the American College of Radiology’s (ACR) ACR Select tool, a comprehensive, national standards-based, clinical decision support database that uses evidence-based decision support for the appropriate utilization of all medical imaging procedures.</w:t>
      </w:r>
      <w:r w:rsidR="00DC35EE" w:rsidRPr="0062487B">
        <w:rPr>
          <w:rFonts w:asciiTheme="minorHAnsi" w:hAnsiTheme="minorHAnsi" w:cstheme="minorHAnsi"/>
        </w:rPr>
        <w:t xml:space="preserve"> Physicians order MRI tests through electronic Radiology Order Entry forms in</w:t>
      </w:r>
      <w:r w:rsidR="000A44B4" w:rsidRPr="0062487B">
        <w:rPr>
          <w:rFonts w:asciiTheme="minorHAnsi" w:hAnsiTheme="minorHAnsi" w:cstheme="minorHAnsi"/>
        </w:rPr>
        <w:t xml:space="preserve"> the EHR</w:t>
      </w:r>
      <w:r w:rsidR="00DC35EE" w:rsidRPr="0062487B">
        <w:rPr>
          <w:rFonts w:asciiTheme="minorHAnsi" w:hAnsiTheme="minorHAnsi" w:cstheme="minorHAnsi"/>
        </w:rPr>
        <w:t>, and this tool can guide physicians to the appropriate exam that may improve performance and efficiencies in patient care.</w:t>
      </w:r>
    </w:p>
    <w:p w14:paraId="4B2F10E2" w14:textId="77777777" w:rsidR="00EB2036" w:rsidRPr="0062487B" w:rsidRDefault="00EB2036" w:rsidP="00EB2036">
      <w:pPr>
        <w:contextualSpacing/>
        <w:rPr>
          <w:rFonts w:asciiTheme="minorHAnsi" w:hAnsiTheme="minorHAnsi" w:cstheme="minorHAnsi"/>
        </w:rPr>
      </w:pPr>
    </w:p>
    <w:p w14:paraId="015DF065" w14:textId="77777777" w:rsidR="001E6E05" w:rsidRPr="0062487B" w:rsidRDefault="001E6E05" w:rsidP="001E6E05">
      <w:pPr>
        <w:ind w:right="540"/>
        <w:contextualSpacing/>
        <w:rPr>
          <w:rFonts w:asciiTheme="minorHAnsi" w:eastAsia="Calibri" w:hAnsiTheme="minorHAnsi" w:cstheme="minorHAnsi"/>
          <w:b/>
          <w:i/>
        </w:rPr>
      </w:pPr>
      <w:r w:rsidRPr="0062487B">
        <w:rPr>
          <w:rFonts w:asciiTheme="minorHAnsi" w:eastAsia="Calibri" w:hAnsiTheme="minorHAnsi" w:cstheme="minorHAnsi"/>
          <w:b/>
          <w:i/>
        </w:rPr>
        <w:t xml:space="preserve">Analysis </w:t>
      </w:r>
    </w:p>
    <w:p w14:paraId="12A18786" w14:textId="03CE843E" w:rsidR="001E6E05" w:rsidRPr="0062487B" w:rsidRDefault="001E6E05" w:rsidP="006C571A">
      <w:pPr>
        <w:autoSpaceDE w:val="0"/>
        <w:autoSpaceDN w:val="0"/>
        <w:adjustRightInd w:val="0"/>
        <w:rPr>
          <w:rFonts w:asciiTheme="minorHAnsi" w:hAnsiTheme="minorHAnsi" w:cstheme="minorHAnsi"/>
          <w:color w:val="000000"/>
        </w:rPr>
      </w:pPr>
      <w:r w:rsidRPr="0062487B">
        <w:rPr>
          <w:rFonts w:asciiTheme="minorHAnsi" w:hAnsiTheme="minorHAnsi" w:cstheme="minorHAnsi"/>
          <w:color w:val="000000"/>
        </w:rPr>
        <w:t xml:space="preserve">Staff finds that the Applicant’s care coordination and discharge processes will contribute positively to efficiency, </w:t>
      </w:r>
      <w:proofErr w:type="gramStart"/>
      <w:r w:rsidRPr="0062487B">
        <w:rPr>
          <w:rFonts w:asciiTheme="minorHAnsi" w:hAnsiTheme="minorHAnsi" w:cstheme="minorHAnsi"/>
          <w:color w:val="000000"/>
        </w:rPr>
        <w:t>continuity</w:t>
      </w:r>
      <w:proofErr w:type="gramEnd"/>
      <w:r w:rsidRPr="0062487B">
        <w:rPr>
          <w:rFonts w:asciiTheme="minorHAnsi" w:hAnsiTheme="minorHAnsi" w:cstheme="minorHAnsi"/>
          <w:color w:val="000000"/>
        </w:rPr>
        <w:t xml:space="preserve"> and coordination of care. </w:t>
      </w:r>
      <w:r w:rsidR="005817E4" w:rsidRPr="0062487B">
        <w:rPr>
          <w:rFonts w:asciiTheme="minorHAnsi" w:hAnsiTheme="minorHAnsi" w:cstheme="minorHAnsi"/>
          <w:color w:val="000000"/>
        </w:rPr>
        <w:t xml:space="preserve">The </w:t>
      </w:r>
      <w:r w:rsidR="00D74D86" w:rsidRPr="0062487B">
        <w:rPr>
          <w:rFonts w:asciiTheme="minorHAnsi" w:hAnsiTheme="minorHAnsi" w:cstheme="minorHAnsi"/>
          <w:color w:val="000000"/>
        </w:rPr>
        <w:t>co-location</w:t>
      </w:r>
      <w:r w:rsidR="005817E4" w:rsidRPr="0062487B">
        <w:rPr>
          <w:rFonts w:asciiTheme="minorHAnsi" w:hAnsiTheme="minorHAnsi" w:cstheme="minorHAnsi"/>
          <w:color w:val="000000"/>
        </w:rPr>
        <w:t xml:space="preserve"> and expansion of services</w:t>
      </w:r>
      <w:r w:rsidR="008917AD" w:rsidRPr="0062487B">
        <w:rPr>
          <w:rFonts w:asciiTheme="minorHAnsi" w:hAnsiTheme="minorHAnsi" w:cstheme="minorHAnsi"/>
          <w:color w:val="000000"/>
        </w:rPr>
        <w:t xml:space="preserve"> </w:t>
      </w:r>
      <w:r w:rsidR="005817E4" w:rsidRPr="0062487B">
        <w:rPr>
          <w:rFonts w:asciiTheme="minorHAnsi" w:hAnsiTheme="minorHAnsi" w:cstheme="minorHAnsi"/>
          <w:color w:val="000000"/>
        </w:rPr>
        <w:t xml:space="preserve">will make them more efficient, which will contribute to increased patient satisfaction and support continuity and coordination of care. </w:t>
      </w:r>
      <w:r w:rsidR="008145D5" w:rsidRPr="0062487B">
        <w:rPr>
          <w:rFonts w:asciiTheme="minorHAnsi" w:hAnsiTheme="minorHAnsi" w:cstheme="minorHAnsi"/>
          <w:color w:val="000000"/>
        </w:rPr>
        <w:t xml:space="preserve">Several of the PHM strategies, such as </w:t>
      </w:r>
      <w:r w:rsidR="00354817" w:rsidRPr="0062487B">
        <w:rPr>
          <w:rFonts w:asciiTheme="minorHAnsi" w:hAnsiTheme="minorHAnsi" w:cstheme="minorHAnsi"/>
          <w:color w:val="000000"/>
        </w:rPr>
        <w:t>the Stay Connected Program (</w:t>
      </w:r>
      <w:r w:rsidR="008145D5" w:rsidRPr="0062487B">
        <w:rPr>
          <w:rFonts w:asciiTheme="minorHAnsi" w:hAnsiTheme="minorHAnsi" w:cstheme="minorHAnsi"/>
          <w:color w:val="000000"/>
        </w:rPr>
        <w:t>SCP</w:t>
      </w:r>
      <w:r w:rsidR="00354817" w:rsidRPr="0062487B">
        <w:rPr>
          <w:rFonts w:asciiTheme="minorHAnsi" w:hAnsiTheme="minorHAnsi" w:cstheme="minorHAnsi"/>
          <w:color w:val="000000"/>
        </w:rPr>
        <w:t>)</w:t>
      </w:r>
      <w:r w:rsidR="008145D5" w:rsidRPr="0062487B">
        <w:rPr>
          <w:rFonts w:asciiTheme="minorHAnsi" w:hAnsiTheme="minorHAnsi" w:cstheme="minorHAnsi"/>
          <w:color w:val="000000"/>
        </w:rPr>
        <w:t xml:space="preserve">, support pre-discharge planning and care coordination post-discharge. Patient-centered care facilitates improved health outcomes and patient satisfaction. Family involvement is an important aspect of patient-centered </w:t>
      </w:r>
      <w:r w:rsidR="00FC7582" w:rsidRPr="0062487B">
        <w:rPr>
          <w:rFonts w:asciiTheme="minorHAnsi" w:hAnsiTheme="minorHAnsi" w:cstheme="minorHAnsi"/>
          <w:color w:val="000000"/>
        </w:rPr>
        <w:t>care and</w:t>
      </w:r>
      <w:r w:rsidR="002A4DB8" w:rsidRPr="0062487B">
        <w:rPr>
          <w:rFonts w:asciiTheme="minorHAnsi" w:hAnsiTheme="minorHAnsi" w:cstheme="minorHAnsi"/>
          <w:color w:val="000000"/>
        </w:rPr>
        <w:t xml:space="preserve"> </w:t>
      </w:r>
      <w:r w:rsidR="008145D5" w:rsidRPr="0062487B">
        <w:rPr>
          <w:rFonts w:asciiTheme="minorHAnsi" w:hAnsiTheme="minorHAnsi" w:cstheme="minorHAnsi"/>
          <w:color w:val="000000"/>
        </w:rPr>
        <w:t xml:space="preserve">is a practice </w:t>
      </w:r>
      <w:r w:rsidR="002A4DB8" w:rsidRPr="0062487B">
        <w:rPr>
          <w:rFonts w:asciiTheme="minorHAnsi" w:hAnsiTheme="minorHAnsi" w:cstheme="minorHAnsi"/>
          <w:color w:val="000000"/>
        </w:rPr>
        <w:t xml:space="preserve">for which </w:t>
      </w:r>
      <w:r w:rsidR="008145D5" w:rsidRPr="0062487B">
        <w:rPr>
          <w:rFonts w:asciiTheme="minorHAnsi" w:hAnsiTheme="minorHAnsi" w:cstheme="minorHAnsi"/>
          <w:color w:val="000000"/>
        </w:rPr>
        <w:t xml:space="preserve">the observation unit will provide space. </w:t>
      </w:r>
    </w:p>
    <w:p w14:paraId="3958F406" w14:textId="69990518" w:rsidR="006C571A" w:rsidRPr="0062487B" w:rsidRDefault="006C571A" w:rsidP="006C571A">
      <w:pPr>
        <w:rPr>
          <w:rFonts w:asciiTheme="minorHAnsi" w:hAnsiTheme="minorHAnsi" w:cstheme="minorHAnsi"/>
        </w:rPr>
      </w:pPr>
    </w:p>
    <w:p w14:paraId="0521E143" w14:textId="49A22409" w:rsidR="00E40FAA" w:rsidRPr="0062487B" w:rsidRDefault="7FCC16E4" w:rsidP="17FA2F59">
      <w:pPr>
        <w:pStyle w:val="Heading1"/>
        <w:spacing w:before="0" w:line="240" w:lineRule="auto"/>
        <w:rPr>
          <w:rFonts w:asciiTheme="minorHAnsi" w:hAnsiTheme="minorHAnsi" w:cstheme="minorBidi"/>
          <w:color w:val="auto"/>
          <w:sz w:val="24"/>
          <w:szCs w:val="24"/>
        </w:rPr>
      </w:pPr>
      <w:bookmarkStart w:id="42" w:name="_Toc18922415"/>
      <w:bookmarkStart w:id="43" w:name="_Toc99645436"/>
      <w:r w:rsidRPr="17FA2F59">
        <w:rPr>
          <w:rFonts w:asciiTheme="minorHAnsi" w:hAnsiTheme="minorHAnsi" w:cstheme="minorBidi"/>
          <w:color w:val="auto"/>
          <w:sz w:val="24"/>
          <w:szCs w:val="24"/>
        </w:rPr>
        <w:t>Factor 1: d) Consultatio</w:t>
      </w:r>
      <w:bookmarkEnd w:id="42"/>
      <w:r w:rsidR="2243FD72" w:rsidRPr="17FA2F59">
        <w:rPr>
          <w:rFonts w:asciiTheme="minorHAnsi" w:hAnsiTheme="minorHAnsi" w:cstheme="minorBidi"/>
          <w:color w:val="auto"/>
          <w:sz w:val="24"/>
          <w:szCs w:val="24"/>
        </w:rPr>
        <w:t>n</w:t>
      </w:r>
      <w:bookmarkEnd w:id="43"/>
    </w:p>
    <w:p w14:paraId="7FCB6C6D" w14:textId="5E5B368A" w:rsidR="00D346E3" w:rsidRPr="0062487B" w:rsidRDefault="7F19847A" w:rsidP="17FA2F59">
      <w:pPr>
        <w:rPr>
          <w:rStyle w:val="Heading1Char"/>
          <w:rFonts w:asciiTheme="minorHAnsi" w:hAnsiTheme="minorHAnsi" w:cstheme="minorBidi"/>
          <w:b w:val="0"/>
          <w:bCs w:val="0"/>
          <w:color w:val="auto"/>
          <w:sz w:val="24"/>
          <w:szCs w:val="24"/>
        </w:rPr>
      </w:pPr>
      <w:r w:rsidRPr="17FA2F59">
        <w:rPr>
          <w:rFonts w:asciiTheme="minorHAnsi" w:hAnsiTheme="minorHAnsi" w:cstheme="minorBidi"/>
        </w:rPr>
        <w:t xml:space="preserve">The Applicant has provided evidence of consultation, both prior to and after the Filing Date, with all </w:t>
      </w:r>
      <w:r w:rsidR="21633A7E" w:rsidRPr="17FA2F59">
        <w:rPr>
          <w:rFonts w:asciiTheme="minorHAnsi" w:hAnsiTheme="minorHAnsi" w:cstheme="minorBidi"/>
        </w:rPr>
        <w:t>government agencies that have</w:t>
      </w:r>
      <w:r w:rsidRPr="17FA2F59">
        <w:rPr>
          <w:rFonts w:asciiTheme="minorHAnsi" w:hAnsiTheme="minorHAnsi" w:cstheme="minorBidi"/>
        </w:rPr>
        <w:t xml:space="preserve"> licensure, </w:t>
      </w:r>
      <w:proofErr w:type="gramStart"/>
      <w:r w:rsidRPr="17FA2F59">
        <w:rPr>
          <w:rFonts w:asciiTheme="minorHAnsi" w:hAnsiTheme="minorHAnsi" w:cstheme="minorBidi"/>
        </w:rPr>
        <w:t>certification</w:t>
      </w:r>
      <w:proofErr w:type="gramEnd"/>
      <w:r w:rsidRPr="17FA2F59">
        <w:rPr>
          <w:rFonts w:asciiTheme="minorHAnsi" w:hAnsiTheme="minorHAnsi" w:cstheme="minorBidi"/>
        </w:rPr>
        <w:t xml:space="preserve"> or ot</w:t>
      </w:r>
      <w:r w:rsidR="21633A7E" w:rsidRPr="17FA2F59">
        <w:rPr>
          <w:rFonts w:asciiTheme="minorHAnsi" w:hAnsiTheme="minorHAnsi" w:cstheme="minorBidi"/>
        </w:rPr>
        <w:t>her regulatory oversight, which has been done and will not be addressed further in this report.</w:t>
      </w:r>
      <w:bookmarkStart w:id="44" w:name="_Toc18922416"/>
    </w:p>
    <w:p w14:paraId="160F177F" w14:textId="77777777" w:rsidR="003964D0" w:rsidRPr="0062487B" w:rsidRDefault="003964D0" w:rsidP="17FA2F59">
      <w:pPr>
        <w:pStyle w:val="Heading1"/>
        <w:spacing w:before="0" w:line="240" w:lineRule="auto"/>
        <w:rPr>
          <w:rStyle w:val="Heading1Char"/>
          <w:rFonts w:asciiTheme="minorHAnsi" w:hAnsiTheme="minorHAnsi" w:cstheme="minorBidi"/>
          <w:b/>
          <w:bCs/>
          <w:color w:val="auto"/>
          <w:sz w:val="24"/>
          <w:szCs w:val="24"/>
        </w:rPr>
      </w:pPr>
    </w:p>
    <w:p w14:paraId="3A0B8E6E" w14:textId="460056CF" w:rsidR="00076B1A" w:rsidRPr="0062487B" w:rsidRDefault="2ED17174" w:rsidP="17FA2F59">
      <w:pPr>
        <w:pStyle w:val="Heading1"/>
        <w:spacing w:before="0" w:line="240" w:lineRule="auto"/>
        <w:rPr>
          <w:rFonts w:asciiTheme="minorHAnsi" w:hAnsiTheme="minorHAnsi" w:cstheme="minorBidi"/>
          <w:color w:val="auto"/>
          <w:sz w:val="24"/>
          <w:szCs w:val="24"/>
        </w:rPr>
      </w:pPr>
      <w:bookmarkStart w:id="45" w:name="_Toc99645437"/>
      <w:r w:rsidRPr="17FA2F59">
        <w:rPr>
          <w:rStyle w:val="Heading1Char"/>
          <w:rFonts w:asciiTheme="minorHAnsi" w:hAnsiTheme="minorHAnsi" w:cstheme="minorBidi"/>
          <w:b/>
          <w:bCs/>
          <w:color w:val="auto"/>
          <w:sz w:val="24"/>
          <w:szCs w:val="24"/>
        </w:rPr>
        <w:t>Factor 1: e) Evidence of Sound Community Engagement through the Patient Panel</w:t>
      </w:r>
      <w:bookmarkEnd w:id="45"/>
      <w:r w:rsidRPr="17FA2F59">
        <w:rPr>
          <w:rFonts w:asciiTheme="minorHAnsi" w:hAnsiTheme="minorHAnsi" w:cstheme="minorBidi"/>
          <w:color w:val="auto"/>
          <w:sz w:val="24"/>
          <w:szCs w:val="24"/>
        </w:rPr>
        <w:t xml:space="preserve"> </w:t>
      </w:r>
    </w:p>
    <w:bookmarkEnd w:id="44"/>
    <w:p w14:paraId="3DB7C7ED" w14:textId="55278A3A" w:rsidR="00742E20" w:rsidRPr="0062487B" w:rsidRDefault="00742E20" w:rsidP="00742E20">
      <w:pPr>
        <w:autoSpaceDE w:val="0"/>
        <w:autoSpaceDN w:val="0"/>
        <w:adjustRightInd w:val="0"/>
        <w:rPr>
          <w:rFonts w:asciiTheme="minorHAnsi" w:hAnsiTheme="minorHAnsi" w:cstheme="minorHAnsi"/>
          <w:color w:val="000000"/>
        </w:rPr>
      </w:pPr>
      <w:r w:rsidRPr="0062487B">
        <w:rPr>
          <w:rFonts w:asciiTheme="minorHAnsi" w:hAnsiTheme="minorHAnsi" w:cstheme="minorHAnsi"/>
          <w:color w:val="000000"/>
        </w:rPr>
        <w:t xml:space="preserve">The Department’s Guideline for community engagement defines “community” as the Patient Panel and requires that, at minimum, the Applicant must “consult” with groups representative of the Applicant’s Patient Panel. Regulations state that efforts in such consultation should consist of </w:t>
      </w:r>
      <w:r w:rsidR="00591496" w:rsidRPr="0062487B">
        <w:rPr>
          <w:rFonts w:asciiTheme="minorHAnsi" w:hAnsiTheme="minorHAnsi" w:cstheme="minorHAnsi"/>
          <w:color w:val="000000"/>
        </w:rPr>
        <w:t>“</w:t>
      </w:r>
      <w:r w:rsidRPr="0062487B">
        <w:rPr>
          <w:rFonts w:asciiTheme="minorHAnsi" w:hAnsiTheme="minorHAnsi" w:cstheme="minorHAnsi"/>
          <w:color w:val="000000"/>
        </w:rPr>
        <w:t xml:space="preserve">engaging community coalitions statistically representative of the Patient Panel.” The Applicant community and Patient Panel focuses broadly across neighborhood and community stakeholders of the service area. They held focus group meetings with these community organizations:  </w:t>
      </w:r>
    </w:p>
    <w:p w14:paraId="4E7DA018" w14:textId="77777777" w:rsidR="00742E20" w:rsidRPr="0062487B" w:rsidRDefault="00742E20" w:rsidP="00EB5776">
      <w:pPr>
        <w:numPr>
          <w:ilvl w:val="0"/>
          <w:numId w:val="4"/>
        </w:numPr>
        <w:autoSpaceDE w:val="0"/>
        <w:autoSpaceDN w:val="0"/>
        <w:adjustRightInd w:val="0"/>
        <w:rPr>
          <w:rFonts w:asciiTheme="minorHAnsi" w:hAnsiTheme="minorHAnsi" w:cstheme="minorHAnsi"/>
          <w:color w:val="000000"/>
        </w:rPr>
      </w:pPr>
      <w:r w:rsidRPr="0062487B">
        <w:rPr>
          <w:rFonts w:asciiTheme="minorHAnsi" w:hAnsiTheme="minorHAnsi" w:cstheme="minorHAnsi"/>
          <w:color w:val="000000"/>
        </w:rPr>
        <w:t>Sophia Snow Place</w:t>
      </w:r>
    </w:p>
    <w:p w14:paraId="4473A01F" w14:textId="77777777" w:rsidR="00742E20" w:rsidRPr="0062487B" w:rsidRDefault="00742E20" w:rsidP="00EB5776">
      <w:pPr>
        <w:numPr>
          <w:ilvl w:val="0"/>
          <w:numId w:val="4"/>
        </w:numPr>
        <w:autoSpaceDE w:val="0"/>
        <w:autoSpaceDN w:val="0"/>
        <w:adjustRightInd w:val="0"/>
        <w:rPr>
          <w:rFonts w:asciiTheme="minorHAnsi" w:hAnsiTheme="minorHAnsi" w:cstheme="minorHAnsi"/>
          <w:color w:val="000000"/>
        </w:rPr>
      </w:pPr>
      <w:r w:rsidRPr="0062487B">
        <w:rPr>
          <w:rFonts w:asciiTheme="minorHAnsi" w:hAnsiTheme="minorHAnsi" w:cstheme="minorHAnsi"/>
          <w:color w:val="000000"/>
        </w:rPr>
        <w:t>Springhouse Senior Living Community</w:t>
      </w:r>
    </w:p>
    <w:p w14:paraId="22D29237" w14:textId="77777777" w:rsidR="00742E20" w:rsidRPr="0062487B" w:rsidRDefault="00742E20" w:rsidP="00EB5776">
      <w:pPr>
        <w:numPr>
          <w:ilvl w:val="0"/>
          <w:numId w:val="4"/>
        </w:numPr>
        <w:autoSpaceDE w:val="0"/>
        <w:autoSpaceDN w:val="0"/>
        <w:adjustRightInd w:val="0"/>
        <w:rPr>
          <w:rFonts w:asciiTheme="minorHAnsi" w:hAnsiTheme="minorHAnsi" w:cstheme="minorHAnsi"/>
          <w:color w:val="000000"/>
        </w:rPr>
      </w:pPr>
      <w:r w:rsidRPr="0062487B">
        <w:rPr>
          <w:rFonts w:asciiTheme="minorHAnsi" w:hAnsiTheme="minorHAnsi" w:cstheme="minorHAnsi"/>
          <w:color w:val="000000"/>
        </w:rPr>
        <w:t>Jamaica Plain Neighborhood Council Zoning Committee</w:t>
      </w:r>
    </w:p>
    <w:p w14:paraId="0340105D" w14:textId="77777777" w:rsidR="00742E20" w:rsidRPr="0062487B" w:rsidRDefault="00742E20" w:rsidP="00EB5776">
      <w:pPr>
        <w:numPr>
          <w:ilvl w:val="0"/>
          <w:numId w:val="4"/>
        </w:numPr>
        <w:autoSpaceDE w:val="0"/>
        <w:autoSpaceDN w:val="0"/>
        <w:adjustRightInd w:val="0"/>
        <w:rPr>
          <w:rFonts w:asciiTheme="minorHAnsi" w:hAnsiTheme="minorHAnsi" w:cstheme="minorHAnsi"/>
          <w:color w:val="000000"/>
        </w:rPr>
      </w:pPr>
      <w:r w:rsidRPr="0062487B">
        <w:rPr>
          <w:rFonts w:asciiTheme="minorHAnsi" w:hAnsiTheme="minorHAnsi" w:cstheme="minorHAnsi"/>
          <w:color w:val="000000"/>
        </w:rPr>
        <w:t>Jamaica Hills Association</w:t>
      </w:r>
    </w:p>
    <w:p w14:paraId="4BC08518" w14:textId="77777777" w:rsidR="00742E20" w:rsidRPr="0062487B" w:rsidRDefault="00742E20" w:rsidP="00EB5776">
      <w:pPr>
        <w:numPr>
          <w:ilvl w:val="0"/>
          <w:numId w:val="4"/>
        </w:numPr>
        <w:autoSpaceDE w:val="0"/>
        <w:autoSpaceDN w:val="0"/>
        <w:adjustRightInd w:val="0"/>
        <w:rPr>
          <w:rFonts w:asciiTheme="minorHAnsi" w:hAnsiTheme="minorHAnsi" w:cstheme="minorHAnsi"/>
          <w:color w:val="000000"/>
        </w:rPr>
      </w:pPr>
      <w:r w:rsidRPr="0062487B">
        <w:rPr>
          <w:rFonts w:asciiTheme="minorHAnsi" w:hAnsiTheme="minorHAnsi" w:cstheme="minorHAnsi"/>
          <w:color w:val="000000"/>
        </w:rPr>
        <w:t>Rogerson Communities</w:t>
      </w:r>
    </w:p>
    <w:p w14:paraId="33BEC43C" w14:textId="77777777" w:rsidR="00742E20" w:rsidRPr="0062487B" w:rsidRDefault="00742E20" w:rsidP="00EB5776">
      <w:pPr>
        <w:numPr>
          <w:ilvl w:val="0"/>
          <w:numId w:val="4"/>
        </w:numPr>
        <w:autoSpaceDE w:val="0"/>
        <w:autoSpaceDN w:val="0"/>
        <w:adjustRightInd w:val="0"/>
        <w:rPr>
          <w:rFonts w:asciiTheme="minorHAnsi" w:hAnsiTheme="minorHAnsi" w:cstheme="minorHAnsi"/>
          <w:color w:val="000000"/>
        </w:rPr>
      </w:pPr>
      <w:r w:rsidRPr="0062487B">
        <w:rPr>
          <w:rFonts w:asciiTheme="minorHAnsi" w:hAnsiTheme="minorHAnsi" w:cstheme="minorHAnsi"/>
          <w:color w:val="000000"/>
        </w:rPr>
        <w:t>Boston Planning and Development Agency (BPDA)</w:t>
      </w:r>
    </w:p>
    <w:p w14:paraId="387B0C76" w14:textId="77777777" w:rsidR="00742E20" w:rsidRPr="0062487B" w:rsidRDefault="00742E20" w:rsidP="00EB5776">
      <w:pPr>
        <w:numPr>
          <w:ilvl w:val="0"/>
          <w:numId w:val="4"/>
        </w:numPr>
        <w:autoSpaceDE w:val="0"/>
        <w:autoSpaceDN w:val="0"/>
        <w:adjustRightInd w:val="0"/>
        <w:rPr>
          <w:rFonts w:asciiTheme="minorHAnsi" w:hAnsiTheme="minorHAnsi" w:cstheme="minorHAnsi"/>
          <w:color w:val="000000"/>
        </w:rPr>
      </w:pPr>
      <w:r w:rsidRPr="0062487B">
        <w:rPr>
          <w:rFonts w:asciiTheme="minorHAnsi" w:hAnsiTheme="minorHAnsi" w:cstheme="minorHAnsi"/>
          <w:color w:val="000000"/>
        </w:rPr>
        <w:t>Boston Civic Design Commission</w:t>
      </w:r>
    </w:p>
    <w:p w14:paraId="6399DC76" w14:textId="4E9A49FA" w:rsidR="00742E20" w:rsidRPr="0062487B" w:rsidRDefault="00742E20" w:rsidP="00EB5776">
      <w:pPr>
        <w:numPr>
          <w:ilvl w:val="0"/>
          <w:numId w:val="4"/>
        </w:numPr>
        <w:autoSpaceDE w:val="0"/>
        <w:autoSpaceDN w:val="0"/>
        <w:adjustRightInd w:val="0"/>
        <w:rPr>
          <w:rFonts w:asciiTheme="minorHAnsi" w:hAnsiTheme="minorHAnsi" w:cstheme="minorHAnsi"/>
          <w:color w:val="000000"/>
        </w:rPr>
      </w:pPr>
      <w:r w:rsidRPr="0062487B">
        <w:rPr>
          <w:rFonts w:asciiTheme="minorHAnsi" w:hAnsiTheme="minorHAnsi" w:cstheme="minorHAnsi"/>
          <w:color w:val="000000"/>
        </w:rPr>
        <w:t>Massachusetts Environmental Policy Act Office (MEPA)</w:t>
      </w:r>
    </w:p>
    <w:p w14:paraId="20AB93A7" w14:textId="77777777" w:rsidR="00742E20" w:rsidRPr="0062487B" w:rsidRDefault="00742E20" w:rsidP="00EB5776">
      <w:pPr>
        <w:numPr>
          <w:ilvl w:val="0"/>
          <w:numId w:val="4"/>
        </w:numPr>
        <w:autoSpaceDE w:val="0"/>
        <w:autoSpaceDN w:val="0"/>
        <w:adjustRightInd w:val="0"/>
        <w:rPr>
          <w:rFonts w:asciiTheme="minorHAnsi" w:hAnsiTheme="minorHAnsi" w:cstheme="minorHAnsi"/>
          <w:color w:val="000000"/>
        </w:rPr>
      </w:pPr>
      <w:r w:rsidRPr="0062487B">
        <w:rPr>
          <w:rFonts w:asciiTheme="minorHAnsi" w:hAnsiTheme="minorHAnsi" w:cstheme="minorHAnsi"/>
          <w:color w:val="000000"/>
        </w:rPr>
        <w:t>Community Engagement Advisory Committee (CEAC)</w:t>
      </w:r>
    </w:p>
    <w:p w14:paraId="714C4003" w14:textId="77DFBAB9" w:rsidR="00742E20" w:rsidRPr="0062487B" w:rsidRDefault="00742E20" w:rsidP="00EB5776">
      <w:pPr>
        <w:numPr>
          <w:ilvl w:val="0"/>
          <w:numId w:val="4"/>
        </w:numPr>
        <w:autoSpaceDE w:val="0"/>
        <w:autoSpaceDN w:val="0"/>
        <w:adjustRightInd w:val="0"/>
        <w:rPr>
          <w:rFonts w:asciiTheme="minorHAnsi" w:hAnsiTheme="minorHAnsi" w:cstheme="minorHAnsi"/>
          <w:color w:val="000000"/>
        </w:rPr>
      </w:pPr>
      <w:r w:rsidRPr="0062487B">
        <w:rPr>
          <w:rFonts w:asciiTheme="minorHAnsi" w:hAnsiTheme="minorHAnsi" w:cstheme="minorHAnsi"/>
          <w:color w:val="000000"/>
        </w:rPr>
        <w:t xml:space="preserve">Faulkner </w:t>
      </w:r>
      <w:r w:rsidR="009F1BD4" w:rsidRPr="0062487B">
        <w:rPr>
          <w:rFonts w:asciiTheme="minorHAnsi" w:hAnsiTheme="minorHAnsi" w:cstheme="minorHAnsi"/>
          <w:color w:val="000000"/>
        </w:rPr>
        <w:t>Patient and Family Action Co</w:t>
      </w:r>
      <w:r w:rsidR="00B4056E" w:rsidRPr="0062487B">
        <w:rPr>
          <w:rFonts w:asciiTheme="minorHAnsi" w:hAnsiTheme="minorHAnsi" w:cstheme="minorHAnsi"/>
          <w:color w:val="000000"/>
        </w:rPr>
        <w:t>uncil</w:t>
      </w:r>
      <w:r w:rsidR="009F1BD4" w:rsidRPr="0062487B">
        <w:rPr>
          <w:rFonts w:asciiTheme="minorHAnsi" w:hAnsiTheme="minorHAnsi" w:cstheme="minorHAnsi"/>
          <w:color w:val="000000"/>
        </w:rPr>
        <w:t xml:space="preserve"> </w:t>
      </w:r>
      <w:r w:rsidR="001A3C05">
        <w:rPr>
          <w:rFonts w:asciiTheme="minorHAnsi" w:hAnsiTheme="minorHAnsi" w:cstheme="minorHAnsi"/>
          <w:color w:val="000000"/>
        </w:rPr>
        <w:t>(</w:t>
      </w:r>
      <w:r w:rsidRPr="0062487B">
        <w:rPr>
          <w:rFonts w:asciiTheme="minorHAnsi" w:hAnsiTheme="minorHAnsi" w:cstheme="minorHAnsi"/>
          <w:color w:val="000000"/>
        </w:rPr>
        <w:t>PFAC</w:t>
      </w:r>
      <w:r w:rsidR="001A3C05">
        <w:rPr>
          <w:rFonts w:asciiTheme="minorHAnsi" w:hAnsiTheme="minorHAnsi" w:cstheme="minorHAnsi"/>
          <w:color w:val="000000"/>
        </w:rPr>
        <w:t>)</w:t>
      </w:r>
    </w:p>
    <w:p w14:paraId="39273789" w14:textId="77777777" w:rsidR="00742E20" w:rsidRPr="0062487B" w:rsidRDefault="00742E20" w:rsidP="00742E20">
      <w:pPr>
        <w:autoSpaceDE w:val="0"/>
        <w:autoSpaceDN w:val="0"/>
        <w:adjustRightInd w:val="0"/>
        <w:rPr>
          <w:rFonts w:asciiTheme="minorHAnsi" w:hAnsiTheme="minorHAnsi" w:cstheme="minorHAnsi"/>
          <w:color w:val="000000"/>
        </w:rPr>
      </w:pPr>
    </w:p>
    <w:p w14:paraId="1540A4D5" w14:textId="28E96587" w:rsidR="00742E20" w:rsidRPr="0062487B" w:rsidRDefault="00742E20" w:rsidP="00742E20">
      <w:pPr>
        <w:autoSpaceDE w:val="0"/>
        <w:autoSpaceDN w:val="0"/>
        <w:adjustRightInd w:val="0"/>
        <w:rPr>
          <w:rFonts w:asciiTheme="minorHAnsi" w:hAnsiTheme="minorHAnsi" w:cstheme="minorHAnsi"/>
          <w:color w:val="000000"/>
        </w:rPr>
      </w:pPr>
      <w:r w:rsidRPr="0062487B">
        <w:rPr>
          <w:rFonts w:asciiTheme="minorHAnsi" w:hAnsiTheme="minorHAnsi" w:cstheme="minorHAnsi"/>
          <w:color w:val="000000"/>
        </w:rPr>
        <w:t xml:space="preserve">The Applicant’s meetings with the above organizations largely consisted of BWFH representatives presenting an overview of the Proposed Project and resulted in broad support from participants. Three of the above organizations are focused on the senior living community in the vicinity of BWFH. </w:t>
      </w:r>
    </w:p>
    <w:p w14:paraId="1310384B" w14:textId="77777777" w:rsidR="00742E20" w:rsidRPr="0062487B" w:rsidRDefault="00742E20" w:rsidP="00742E20">
      <w:pPr>
        <w:autoSpaceDE w:val="0"/>
        <w:autoSpaceDN w:val="0"/>
        <w:adjustRightInd w:val="0"/>
        <w:rPr>
          <w:rFonts w:asciiTheme="minorHAnsi" w:hAnsiTheme="minorHAnsi" w:cstheme="minorHAnsi"/>
          <w:color w:val="000000"/>
        </w:rPr>
      </w:pPr>
    </w:p>
    <w:p w14:paraId="6C004F06" w14:textId="72EA3B02" w:rsidR="00742E20" w:rsidRPr="0062487B" w:rsidRDefault="00742E20" w:rsidP="00742E20">
      <w:pPr>
        <w:autoSpaceDE w:val="0"/>
        <w:autoSpaceDN w:val="0"/>
        <w:adjustRightInd w:val="0"/>
        <w:rPr>
          <w:rFonts w:asciiTheme="minorHAnsi" w:hAnsiTheme="minorHAnsi" w:cstheme="minorHAnsi"/>
          <w:color w:val="000000"/>
        </w:rPr>
      </w:pPr>
      <w:r w:rsidRPr="0062487B">
        <w:rPr>
          <w:rFonts w:asciiTheme="minorHAnsi" w:hAnsiTheme="minorHAnsi" w:cstheme="minorHAnsi"/>
          <w:color w:val="000000"/>
        </w:rPr>
        <w:t xml:space="preserve">The BWFH’s CEAC and PFAC were presented with mock-ups of the Proposed Project and engaged appropriately to provide feedback and ask questions about the timing of </w:t>
      </w:r>
      <w:r w:rsidR="00354817" w:rsidRPr="0062487B">
        <w:rPr>
          <w:rFonts w:asciiTheme="minorHAnsi" w:hAnsiTheme="minorHAnsi" w:cstheme="minorHAnsi"/>
          <w:color w:val="000000"/>
        </w:rPr>
        <w:t>p</w:t>
      </w:r>
      <w:r w:rsidRPr="0062487B">
        <w:rPr>
          <w:rFonts w:asciiTheme="minorHAnsi" w:hAnsiTheme="minorHAnsi" w:cstheme="minorHAnsi"/>
          <w:color w:val="000000"/>
        </w:rPr>
        <w:t>roject implementation and detail</w:t>
      </w:r>
      <w:r w:rsidR="00354817" w:rsidRPr="0062487B">
        <w:rPr>
          <w:rFonts w:asciiTheme="minorHAnsi" w:hAnsiTheme="minorHAnsi" w:cstheme="minorHAnsi"/>
          <w:color w:val="000000"/>
        </w:rPr>
        <w:t>s of the</w:t>
      </w:r>
      <w:r w:rsidRPr="0062487B">
        <w:rPr>
          <w:rFonts w:asciiTheme="minorHAnsi" w:hAnsiTheme="minorHAnsi" w:cstheme="minorHAnsi"/>
          <w:color w:val="000000"/>
        </w:rPr>
        <w:t xml:space="preserve"> make-up of medical and surgical inpatient rooms.</w:t>
      </w:r>
    </w:p>
    <w:p w14:paraId="18447F11" w14:textId="52D87970" w:rsidR="00742E20" w:rsidRPr="0062487B" w:rsidRDefault="00742E20" w:rsidP="00742E20">
      <w:pPr>
        <w:autoSpaceDE w:val="0"/>
        <w:autoSpaceDN w:val="0"/>
        <w:adjustRightInd w:val="0"/>
        <w:rPr>
          <w:rFonts w:asciiTheme="minorHAnsi" w:hAnsiTheme="minorHAnsi" w:cstheme="minorHAnsi"/>
          <w:color w:val="000000"/>
        </w:rPr>
      </w:pPr>
    </w:p>
    <w:p w14:paraId="62E49C9A" w14:textId="3F414A94" w:rsidR="00742E20" w:rsidRPr="0062487B" w:rsidRDefault="00742E20" w:rsidP="00742E20">
      <w:pPr>
        <w:autoSpaceDE w:val="0"/>
        <w:autoSpaceDN w:val="0"/>
        <w:adjustRightInd w:val="0"/>
        <w:rPr>
          <w:rFonts w:asciiTheme="minorHAnsi" w:hAnsiTheme="minorHAnsi" w:cstheme="minorHAnsi"/>
          <w:color w:val="000000"/>
        </w:rPr>
      </w:pPr>
      <w:r w:rsidRPr="0062487B">
        <w:rPr>
          <w:rFonts w:asciiTheme="minorHAnsi" w:hAnsiTheme="minorHAnsi" w:cstheme="minorHAnsi"/>
          <w:color w:val="000000"/>
        </w:rPr>
        <w:t xml:space="preserve">Boston Planning and Development Agency and BWFH hosted one meeting open to the public for questions and comments. </w:t>
      </w:r>
    </w:p>
    <w:p w14:paraId="7758B0DC" w14:textId="77777777" w:rsidR="00742E20" w:rsidRPr="0062487B" w:rsidRDefault="00742E20" w:rsidP="00742E20">
      <w:pPr>
        <w:autoSpaceDE w:val="0"/>
        <w:autoSpaceDN w:val="0"/>
        <w:adjustRightInd w:val="0"/>
        <w:rPr>
          <w:rFonts w:asciiTheme="minorHAnsi" w:hAnsiTheme="minorHAnsi" w:cstheme="minorHAnsi"/>
          <w:color w:val="000000"/>
        </w:rPr>
      </w:pPr>
    </w:p>
    <w:p w14:paraId="2085DDDC" w14:textId="77777777" w:rsidR="00742E20" w:rsidRPr="0062487B" w:rsidRDefault="00742E20" w:rsidP="00742E20">
      <w:pPr>
        <w:autoSpaceDE w:val="0"/>
        <w:autoSpaceDN w:val="0"/>
        <w:adjustRightInd w:val="0"/>
        <w:rPr>
          <w:rFonts w:asciiTheme="minorHAnsi" w:hAnsiTheme="minorHAnsi" w:cstheme="minorHAnsi"/>
          <w:b/>
          <w:bCs/>
          <w:i/>
          <w:iCs/>
          <w:color w:val="000000"/>
        </w:rPr>
      </w:pPr>
      <w:r w:rsidRPr="0062487B">
        <w:rPr>
          <w:rFonts w:asciiTheme="minorHAnsi" w:hAnsiTheme="minorHAnsi" w:cstheme="minorHAnsi"/>
          <w:b/>
          <w:bCs/>
          <w:i/>
          <w:iCs/>
          <w:color w:val="000000"/>
        </w:rPr>
        <w:t>Analysis</w:t>
      </w:r>
    </w:p>
    <w:p w14:paraId="390261EA" w14:textId="00CF2A69" w:rsidR="00D57431" w:rsidRPr="0062487B" w:rsidRDefault="4B3D5D5F" w:rsidP="78F650E0">
      <w:pPr>
        <w:autoSpaceDE w:val="0"/>
        <w:autoSpaceDN w:val="0"/>
        <w:adjustRightInd w:val="0"/>
        <w:rPr>
          <w:rFonts w:asciiTheme="minorHAnsi" w:hAnsiTheme="minorHAnsi" w:cstheme="minorBidi"/>
          <w:color w:val="000000"/>
        </w:rPr>
      </w:pPr>
      <w:r w:rsidRPr="17FA2F59">
        <w:rPr>
          <w:rFonts w:asciiTheme="minorHAnsi" w:hAnsiTheme="minorHAnsi" w:cstheme="minorBidi"/>
          <w:color w:val="000000" w:themeColor="text1"/>
        </w:rPr>
        <w:t xml:space="preserve">Staff reviewed the information on the Applicant’s community engagement and finds that the Applicant has met the required community engagement standard for Consult in the planning phase of the Proposed Project. </w:t>
      </w:r>
      <w:r w:rsidR="6A50BD6E" w:rsidRPr="17FA2F59">
        <w:rPr>
          <w:rFonts w:asciiTheme="minorHAnsi" w:hAnsiTheme="minorHAnsi" w:cstheme="minorBidi"/>
          <w:color w:val="000000" w:themeColor="text1"/>
        </w:rPr>
        <w:t>Attendees expressed general support for the Proposed Project at these presentation meetings.</w:t>
      </w:r>
    </w:p>
    <w:p w14:paraId="4A9D172A" w14:textId="2B730DEC" w:rsidR="00742E20" w:rsidRPr="0062487B" w:rsidRDefault="00742E20" w:rsidP="00742E20">
      <w:pPr>
        <w:autoSpaceDE w:val="0"/>
        <w:autoSpaceDN w:val="0"/>
        <w:adjustRightInd w:val="0"/>
        <w:rPr>
          <w:rFonts w:asciiTheme="minorHAnsi" w:hAnsiTheme="minorHAnsi" w:cstheme="minorHAnsi"/>
          <w:color w:val="000000"/>
        </w:rPr>
      </w:pPr>
    </w:p>
    <w:p w14:paraId="4A960CCB" w14:textId="530785E9" w:rsidR="00E40FAA" w:rsidRPr="0062487B" w:rsidRDefault="0250B96A" w:rsidP="17FA2F59">
      <w:pPr>
        <w:pStyle w:val="Heading1"/>
        <w:spacing w:before="0" w:line="240" w:lineRule="auto"/>
        <w:rPr>
          <w:rFonts w:asciiTheme="minorHAnsi" w:hAnsiTheme="minorHAnsi" w:cstheme="minorBidi"/>
          <w:color w:val="auto"/>
          <w:sz w:val="24"/>
          <w:szCs w:val="24"/>
        </w:rPr>
      </w:pPr>
      <w:bookmarkStart w:id="46" w:name="_Toc18922417"/>
      <w:bookmarkStart w:id="47" w:name="_Toc99645438"/>
      <w:r w:rsidRPr="17FA2F59">
        <w:rPr>
          <w:rFonts w:asciiTheme="minorHAnsi" w:hAnsiTheme="minorHAnsi" w:cstheme="minorBidi"/>
          <w:color w:val="auto"/>
          <w:sz w:val="24"/>
          <w:szCs w:val="24"/>
        </w:rPr>
        <w:t>Factor 1: f) Competition on Price, T</w:t>
      </w:r>
      <w:r w:rsidR="7FCC16E4" w:rsidRPr="17FA2F59">
        <w:rPr>
          <w:rFonts w:asciiTheme="minorHAnsi" w:hAnsiTheme="minorHAnsi" w:cstheme="minorBidi"/>
          <w:color w:val="auto"/>
          <w:sz w:val="24"/>
          <w:szCs w:val="24"/>
        </w:rPr>
        <w:t>otal Medical Expenses (TME)</w:t>
      </w:r>
      <w:r w:rsidRPr="17FA2F59">
        <w:rPr>
          <w:rFonts w:asciiTheme="minorHAnsi" w:hAnsiTheme="minorHAnsi" w:cstheme="minorBidi"/>
          <w:color w:val="auto"/>
          <w:sz w:val="24"/>
          <w:szCs w:val="24"/>
        </w:rPr>
        <w:t>, Costs and Other Measures of Health Care Spending</w:t>
      </w:r>
      <w:bookmarkStart w:id="48" w:name="_Toc17322399"/>
      <w:bookmarkEnd w:id="46"/>
      <w:bookmarkEnd w:id="47"/>
    </w:p>
    <w:bookmarkEnd w:id="48"/>
    <w:p w14:paraId="69733B12" w14:textId="7A8EA986" w:rsidR="002D535F" w:rsidRPr="0062487B" w:rsidRDefault="27CBD4E0" w:rsidP="00AE1AB4">
      <w:pPr>
        <w:contextualSpacing/>
        <w:rPr>
          <w:rFonts w:asciiTheme="minorHAnsi" w:hAnsiTheme="minorHAnsi" w:cstheme="minorHAnsi"/>
        </w:rPr>
      </w:pPr>
      <w:r w:rsidRPr="0062487B">
        <w:rPr>
          <w:rFonts w:asciiTheme="minorHAnsi" w:hAnsiTheme="minorHAnsi" w:cstheme="minorHAnsi"/>
        </w:rPr>
        <w:t xml:space="preserve">The Applicant </w:t>
      </w:r>
      <w:r w:rsidR="358BE697" w:rsidRPr="0062487B">
        <w:rPr>
          <w:rFonts w:asciiTheme="minorHAnsi" w:hAnsiTheme="minorHAnsi" w:cstheme="minorHAnsi"/>
        </w:rPr>
        <w:t>notes</w:t>
      </w:r>
      <w:r w:rsidRPr="0062487B">
        <w:rPr>
          <w:rFonts w:asciiTheme="minorHAnsi" w:hAnsiTheme="minorHAnsi" w:cstheme="minorHAnsi"/>
        </w:rPr>
        <w:t xml:space="preserve"> that the </w:t>
      </w:r>
      <w:r w:rsidR="46EE46F4" w:rsidRPr="0062487B">
        <w:rPr>
          <w:rFonts w:asciiTheme="minorHAnsi" w:hAnsiTheme="minorHAnsi" w:cstheme="minorHAnsi"/>
        </w:rPr>
        <w:t>Proposed P</w:t>
      </w:r>
      <w:r w:rsidRPr="0062487B">
        <w:rPr>
          <w:rFonts w:asciiTheme="minorHAnsi" w:hAnsiTheme="minorHAnsi" w:cstheme="minorHAnsi"/>
        </w:rPr>
        <w:t xml:space="preserve">roject will compete </w:t>
      </w:r>
      <w:r w:rsidR="00DF53EA" w:rsidRPr="0062487B">
        <w:rPr>
          <w:rFonts w:asciiTheme="minorHAnsi" w:hAnsiTheme="minorHAnsi" w:cstheme="minorHAnsi"/>
        </w:rPr>
        <w:t>based on</w:t>
      </w:r>
      <w:r w:rsidRPr="0062487B">
        <w:rPr>
          <w:rFonts w:asciiTheme="minorHAnsi" w:hAnsiTheme="minorHAnsi" w:cstheme="minorHAnsi"/>
        </w:rPr>
        <w:t xml:space="preserve"> price, total medical expenses (TME), provider costs, and other recognized measures of </w:t>
      </w:r>
      <w:r w:rsidR="00736AFA">
        <w:rPr>
          <w:rFonts w:asciiTheme="minorHAnsi" w:hAnsiTheme="minorHAnsi" w:cstheme="minorHAnsi"/>
        </w:rPr>
        <w:t>health care</w:t>
      </w:r>
      <w:r w:rsidRPr="0062487B">
        <w:rPr>
          <w:rFonts w:asciiTheme="minorHAnsi" w:hAnsiTheme="minorHAnsi" w:cstheme="minorHAnsi"/>
        </w:rPr>
        <w:t xml:space="preserve"> spending. </w:t>
      </w:r>
      <w:r w:rsidR="6A09AD7B" w:rsidRPr="0062487B">
        <w:rPr>
          <w:rFonts w:asciiTheme="minorHAnsi" w:hAnsiTheme="minorHAnsi" w:cstheme="minorHAnsi"/>
        </w:rPr>
        <w:t>The Applicant states that they monitor and control costs, outcomes</w:t>
      </w:r>
      <w:r w:rsidR="00DF53EA">
        <w:rPr>
          <w:rFonts w:asciiTheme="minorHAnsi" w:hAnsiTheme="minorHAnsi" w:cstheme="minorHAnsi"/>
        </w:rPr>
        <w:t>,</w:t>
      </w:r>
      <w:r w:rsidR="6A09AD7B" w:rsidRPr="0062487B">
        <w:rPr>
          <w:rFonts w:asciiTheme="minorHAnsi" w:hAnsiTheme="minorHAnsi" w:cstheme="minorHAnsi"/>
        </w:rPr>
        <w:t xml:space="preserve"> and </w:t>
      </w:r>
      <w:r w:rsidR="4AC2972E" w:rsidRPr="0062487B">
        <w:rPr>
          <w:rFonts w:asciiTheme="minorHAnsi" w:hAnsiTheme="minorHAnsi" w:cstheme="minorHAnsi"/>
        </w:rPr>
        <w:t xml:space="preserve">appropriate </w:t>
      </w:r>
      <w:r w:rsidR="6A09AD7B" w:rsidRPr="0062487B">
        <w:rPr>
          <w:rFonts w:asciiTheme="minorHAnsi" w:hAnsiTheme="minorHAnsi" w:cstheme="minorHAnsi"/>
        </w:rPr>
        <w:t xml:space="preserve">access to services </w:t>
      </w:r>
      <w:proofErr w:type="gramStart"/>
      <w:r w:rsidR="6A09AD7B" w:rsidRPr="0062487B">
        <w:rPr>
          <w:rFonts w:asciiTheme="minorHAnsi" w:hAnsiTheme="minorHAnsi" w:cstheme="minorHAnsi"/>
        </w:rPr>
        <w:t>in an effort to</w:t>
      </w:r>
      <w:proofErr w:type="gramEnd"/>
      <w:r w:rsidR="6A09AD7B" w:rsidRPr="0062487B">
        <w:rPr>
          <w:rFonts w:asciiTheme="minorHAnsi" w:hAnsiTheme="minorHAnsi" w:cstheme="minorHAnsi"/>
        </w:rPr>
        <w:t xml:space="preserve"> meet the </w:t>
      </w:r>
      <w:r w:rsidR="4AC2972E" w:rsidRPr="0062487B">
        <w:rPr>
          <w:rFonts w:asciiTheme="minorHAnsi" w:hAnsiTheme="minorHAnsi" w:cstheme="minorHAnsi"/>
        </w:rPr>
        <w:t xml:space="preserve">state’s </w:t>
      </w:r>
      <w:r w:rsidR="6A09AD7B" w:rsidRPr="0062487B">
        <w:rPr>
          <w:rFonts w:asciiTheme="minorHAnsi" w:hAnsiTheme="minorHAnsi" w:cstheme="minorHAnsi"/>
        </w:rPr>
        <w:t>cost growth benchmark</w:t>
      </w:r>
      <w:r w:rsidR="00AE1AB4" w:rsidRPr="0062487B">
        <w:rPr>
          <w:rStyle w:val="FootnoteReference"/>
          <w:rFonts w:asciiTheme="minorHAnsi" w:hAnsiTheme="minorHAnsi" w:cstheme="minorHAnsi"/>
        </w:rPr>
        <w:footnoteReference w:id="22"/>
      </w:r>
      <w:r w:rsidR="6A09AD7B" w:rsidRPr="0062487B">
        <w:rPr>
          <w:rFonts w:asciiTheme="minorHAnsi" w:hAnsiTheme="minorHAnsi" w:cstheme="minorHAnsi"/>
        </w:rPr>
        <w:t xml:space="preserve"> and reduce the overall cost of care. Recent examples of efforts implemented to reduce costs of care delivery have included standardization of E</w:t>
      </w:r>
      <w:r w:rsidR="110876AC" w:rsidRPr="0062487B">
        <w:rPr>
          <w:rFonts w:asciiTheme="minorHAnsi" w:hAnsiTheme="minorHAnsi" w:cstheme="minorHAnsi"/>
        </w:rPr>
        <w:t>H</w:t>
      </w:r>
      <w:r w:rsidR="6A09AD7B" w:rsidRPr="0062487B">
        <w:rPr>
          <w:rFonts w:asciiTheme="minorHAnsi" w:hAnsiTheme="minorHAnsi" w:cstheme="minorHAnsi"/>
        </w:rPr>
        <w:t>Rs and related IT systems across MGB</w:t>
      </w:r>
      <w:r w:rsidR="0C0562CE" w:rsidRPr="0062487B">
        <w:rPr>
          <w:rFonts w:asciiTheme="minorHAnsi" w:hAnsiTheme="minorHAnsi" w:cstheme="minorHAnsi"/>
          <w:bCs/>
          <w:iCs/>
        </w:rPr>
        <w:t xml:space="preserve">, </w:t>
      </w:r>
      <w:r w:rsidR="627CE3F6" w:rsidRPr="0062487B">
        <w:rPr>
          <w:rFonts w:asciiTheme="minorHAnsi" w:hAnsiTheme="minorHAnsi" w:cstheme="minorHAnsi"/>
        </w:rPr>
        <w:t>reduction of third</w:t>
      </w:r>
      <w:r w:rsidR="733E944F" w:rsidRPr="0062487B">
        <w:rPr>
          <w:rFonts w:asciiTheme="minorHAnsi" w:hAnsiTheme="minorHAnsi" w:cstheme="minorHAnsi"/>
          <w:bCs/>
          <w:iCs/>
        </w:rPr>
        <w:t>-</w:t>
      </w:r>
      <w:r w:rsidR="627CE3F6" w:rsidRPr="0062487B">
        <w:rPr>
          <w:rFonts w:asciiTheme="minorHAnsi" w:hAnsiTheme="minorHAnsi" w:cstheme="minorHAnsi"/>
        </w:rPr>
        <w:t xml:space="preserve">party reference laboratory test send outs by </w:t>
      </w:r>
      <w:r w:rsidR="0C0562CE" w:rsidRPr="0062487B">
        <w:rPr>
          <w:rFonts w:asciiTheme="minorHAnsi" w:hAnsiTheme="minorHAnsi" w:cstheme="minorHAnsi"/>
        </w:rPr>
        <w:t>utiliz</w:t>
      </w:r>
      <w:r w:rsidR="627CE3F6" w:rsidRPr="0062487B">
        <w:rPr>
          <w:rFonts w:asciiTheme="minorHAnsi" w:hAnsiTheme="minorHAnsi" w:cstheme="minorHAnsi"/>
        </w:rPr>
        <w:t>ing</w:t>
      </w:r>
      <w:r w:rsidR="2D51F12A" w:rsidRPr="0062487B">
        <w:rPr>
          <w:rFonts w:asciiTheme="minorHAnsi" w:hAnsiTheme="minorHAnsi" w:cstheme="minorHAnsi"/>
          <w:bCs/>
          <w:iCs/>
        </w:rPr>
        <w:t xml:space="preserve"> </w:t>
      </w:r>
      <w:r w:rsidR="0C0562CE" w:rsidRPr="0062487B">
        <w:rPr>
          <w:rFonts w:asciiTheme="minorHAnsi" w:hAnsiTheme="minorHAnsi" w:cstheme="minorHAnsi"/>
        </w:rPr>
        <w:t>expertise and technology across campu</w:t>
      </w:r>
      <w:r w:rsidR="627CE3F6" w:rsidRPr="0062487B">
        <w:rPr>
          <w:rFonts w:asciiTheme="minorHAnsi" w:hAnsiTheme="minorHAnsi" w:cstheme="minorHAnsi"/>
        </w:rPr>
        <w:t>s</w:t>
      </w:r>
      <w:r w:rsidR="0C0562CE" w:rsidRPr="0062487B">
        <w:rPr>
          <w:rFonts w:asciiTheme="minorHAnsi" w:hAnsiTheme="minorHAnsi" w:cstheme="minorHAnsi"/>
        </w:rPr>
        <w:t xml:space="preserve">, </w:t>
      </w:r>
      <w:proofErr w:type="gramStart"/>
      <w:r w:rsidR="0C0562CE" w:rsidRPr="0062487B">
        <w:rPr>
          <w:rFonts w:asciiTheme="minorHAnsi" w:hAnsiTheme="minorHAnsi" w:cstheme="minorHAnsi"/>
        </w:rPr>
        <w:t>standardization</w:t>
      </w:r>
      <w:proofErr w:type="gramEnd"/>
      <w:r w:rsidR="0C0562CE" w:rsidRPr="0062487B">
        <w:rPr>
          <w:rFonts w:asciiTheme="minorHAnsi" w:hAnsiTheme="minorHAnsi" w:cstheme="minorHAnsi"/>
        </w:rPr>
        <w:t xml:space="preserve"> or elimination of contracted services as appropriate across campuses, and aggressive supply chain work to standardize of products across service lines and institutions. </w:t>
      </w:r>
    </w:p>
    <w:p w14:paraId="65C42F87" w14:textId="326045EE" w:rsidR="00637760" w:rsidRPr="0062487B" w:rsidRDefault="00637760" w:rsidP="00AE1AB4">
      <w:pPr>
        <w:contextualSpacing/>
        <w:rPr>
          <w:rFonts w:asciiTheme="minorHAnsi" w:hAnsiTheme="minorHAnsi" w:cstheme="minorHAnsi"/>
          <w:bCs/>
          <w:iCs/>
        </w:rPr>
      </w:pPr>
    </w:p>
    <w:p w14:paraId="326786EA" w14:textId="6520FF4F" w:rsidR="00637760" w:rsidRPr="0062487B" w:rsidRDefault="2CBEE383" w:rsidP="78F650E0">
      <w:pPr>
        <w:contextualSpacing/>
        <w:rPr>
          <w:rFonts w:asciiTheme="minorHAnsi" w:hAnsiTheme="minorHAnsi" w:cstheme="minorBidi"/>
        </w:rPr>
      </w:pPr>
      <w:r w:rsidRPr="78F650E0">
        <w:rPr>
          <w:rFonts w:asciiTheme="minorHAnsi" w:hAnsiTheme="minorHAnsi" w:cstheme="minorBidi"/>
        </w:rPr>
        <w:t>The Applicant states that t</w:t>
      </w:r>
      <w:r w:rsidR="17D95EC6" w:rsidRPr="78F650E0">
        <w:rPr>
          <w:rFonts w:asciiTheme="minorHAnsi" w:hAnsiTheme="minorHAnsi" w:cstheme="minorBidi"/>
        </w:rPr>
        <w:t xml:space="preserve">hrough </w:t>
      </w:r>
      <w:r w:rsidRPr="78F650E0">
        <w:rPr>
          <w:rFonts w:asciiTheme="minorHAnsi" w:hAnsiTheme="minorHAnsi" w:cstheme="minorBidi"/>
        </w:rPr>
        <w:t xml:space="preserve">its </w:t>
      </w:r>
      <w:r w:rsidR="17D95EC6" w:rsidRPr="78F650E0">
        <w:rPr>
          <w:rFonts w:asciiTheme="minorHAnsi" w:hAnsiTheme="minorHAnsi" w:cstheme="minorBidi"/>
        </w:rPr>
        <w:t xml:space="preserve">PHM strategies that strive to eliminate unnecessary </w:t>
      </w:r>
      <w:r w:rsidR="130FA9A6" w:rsidRPr="78F650E0">
        <w:rPr>
          <w:rFonts w:asciiTheme="minorHAnsi" w:hAnsiTheme="minorHAnsi" w:cstheme="minorBidi"/>
        </w:rPr>
        <w:t>h</w:t>
      </w:r>
      <w:r w:rsidR="17D95EC6" w:rsidRPr="78F650E0">
        <w:rPr>
          <w:rFonts w:asciiTheme="minorHAnsi" w:hAnsiTheme="minorHAnsi" w:cstheme="minorBidi"/>
        </w:rPr>
        <w:t xml:space="preserve">ospitalizations, emergency department visits, and specialty visits, the Applicant is </w:t>
      </w:r>
      <w:r w:rsidR="32C9B0A1" w:rsidRPr="78F650E0">
        <w:rPr>
          <w:rFonts w:asciiTheme="minorHAnsi" w:hAnsiTheme="minorHAnsi" w:cstheme="minorBidi"/>
        </w:rPr>
        <w:t xml:space="preserve">anticipating </w:t>
      </w:r>
      <w:r w:rsidR="17D95EC6" w:rsidRPr="78F650E0">
        <w:rPr>
          <w:rFonts w:asciiTheme="minorHAnsi" w:hAnsiTheme="minorHAnsi" w:cstheme="minorBidi"/>
        </w:rPr>
        <w:t>reducing care costs.</w:t>
      </w:r>
      <w:r w:rsidR="005A5C13" w:rsidRPr="78F650E0">
        <w:rPr>
          <w:rStyle w:val="FootnoteReference"/>
          <w:rFonts w:asciiTheme="minorHAnsi" w:hAnsiTheme="minorHAnsi" w:cstheme="minorBidi"/>
        </w:rPr>
        <w:footnoteReference w:id="23"/>
      </w:r>
      <w:r w:rsidR="17D95EC6" w:rsidRPr="78F650E0">
        <w:rPr>
          <w:rFonts w:asciiTheme="minorHAnsi" w:hAnsiTheme="minorHAnsi" w:cstheme="minorBidi"/>
        </w:rPr>
        <w:t xml:space="preserve"> </w:t>
      </w:r>
      <w:r w:rsidR="4D357741" w:rsidRPr="78F650E0">
        <w:rPr>
          <w:rFonts w:asciiTheme="minorHAnsi" w:hAnsiTheme="minorHAnsi" w:cstheme="minorBidi"/>
        </w:rPr>
        <w:t>The Applicant cites that</w:t>
      </w:r>
      <w:r w:rsidR="13F393CA" w:rsidRPr="78F650E0">
        <w:rPr>
          <w:rFonts w:asciiTheme="minorHAnsi" w:hAnsiTheme="minorHAnsi" w:cstheme="minorBidi"/>
        </w:rPr>
        <w:t xml:space="preserve"> MGH researchers found that</w:t>
      </w:r>
      <w:r w:rsidR="2E6D5D83" w:rsidRPr="78F650E0">
        <w:rPr>
          <w:rFonts w:asciiTheme="minorHAnsi" w:hAnsiTheme="minorHAnsi" w:cstheme="minorBidi"/>
        </w:rPr>
        <w:t xml:space="preserve"> initial</w:t>
      </w:r>
      <w:r w:rsidR="4D357741" w:rsidRPr="78F650E0">
        <w:rPr>
          <w:rFonts w:asciiTheme="minorHAnsi" w:hAnsiTheme="minorHAnsi" w:cstheme="minorBidi"/>
        </w:rPr>
        <w:t xml:space="preserve"> e-consults</w:t>
      </w:r>
      <w:r w:rsidR="2E6D5D83" w:rsidRPr="78F650E0">
        <w:rPr>
          <w:rFonts w:asciiTheme="minorHAnsi" w:hAnsiTheme="minorHAnsi" w:cstheme="minorBidi"/>
        </w:rPr>
        <w:t xml:space="preserve"> can make subsequent in-person visits more efficient for the physician or referring provider</w:t>
      </w:r>
      <w:r w:rsidR="4D357741" w:rsidRPr="78F650E0">
        <w:rPr>
          <w:rFonts w:asciiTheme="minorHAnsi" w:hAnsiTheme="minorHAnsi" w:cstheme="minorBidi"/>
        </w:rPr>
        <w:t xml:space="preserve"> </w:t>
      </w:r>
      <w:r w:rsidR="2E6D5D83" w:rsidRPr="78F650E0">
        <w:rPr>
          <w:rFonts w:asciiTheme="minorHAnsi" w:hAnsiTheme="minorHAnsi" w:cstheme="minorBidi"/>
        </w:rPr>
        <w:t xml:space="preserve">and in some cases </w:t>
      </w:r>
      <w:r w:rsidR="4D357741" w:rsidRPr="78F650E0">
        <w:rPr>
          <w:rFonts w:asciiTheme="minorHAnsi" w:hAnsiTheme="minorHAnsi" w:cstheme="minorBidi"/>
        </w:rPr>
        <w:t xml:space="preserve">may eliminate the need for an in-person </w:t>
      </w:r>
      <w:r w:rsidR="2E6D5D83" w:rsidRPr="78F650E0">
        <w:rPr>
          <w:rFonts w:asciiTheme="minorHAnsi" w:hAnsiTheme="minorHAnsi" w:cstheme="minorBidi"/>
        </w:rPr>
        <w:t>follow up</w:t>
      </w:r>
      <w:r w:rsidR="4D357741" w:rsidRPr="78F650E0">
        <w:rPr>
          <w:rFonts w:asciiTheme="minorHAnsi" w:hAnsiTheme="minorHAnsi" w:cstheme="minorBidi"/>
        </w:rPr>
        <w:t xml:space="preserve">, which </w:t>
      </w:r>
      <w:r w:rsidR="7EFB4C64" w:rsidRPr="78F650E0">
        <w:rPr>
          <w:rFonts w:asciiTheme="minorHAnsi" w:hAnsiTheme="minorHAnsi" w:cstheme="minorBidi"/>
        </w:rPr>
        <w:t xml:space="preserve">they suggest </w:t>
      </w:r>
      <w:r w:rsidR="4D357741" w:rsidRPr="78F650E0">
        <w:rPr>
          <w:rFonts w:asciiTheme="minorHAnsi" w:hAnsiTheme="minorHAnsi" w:cstheme="minorBidi"/>
        </w:rPr>
        <w:t>can reduce costs.</w:t>
      </w:r>
      <w:r w:rsidR="00065A7C" w:rsidRPr="78F650E0">
        <w:rPr>
          <w:rStyle w:val="FootnoteReference"/>
          <w:rFonts w:asciiTheme="minorHAnsi" w:hAnsiTheme="minorHAnsi" w:cstheme="minorBidi"/>
        </w:rPr>
        <w:footnoteReference w:id="24"/>
      </w:r>
      <w:r w:rsidR="4D357741" w:rsidRPr="78F650E0">
        <w:rPr>
          <w:rFonts w:asciiTheme="minorHAnsi" w:hAnsiTheme="minorHAnsi" w:cstheme="minorBidi"/>
        </w:rPr>
        <w:t xml:space="preserve"> </w:t>
      </w:r>
      <w:r w:rsidR="64D48CB1" w:rsidRPr="78F650E0">
        <w:rPr>
          <w:rFonts w:asciiTheme="minorHAnsi" w:hAnsiTheme="minorHAnsi" w:cstheme="minorBidi"/>
        </w:rPr>
        <w:t>Also, MGB’s Integrated Care Management Program (</w:t>
      </w:r>
      <w:proofErr w:type="spellStart"/>
      <w:r w:rsidR="64D48CB1" w:rsidRPr="78F650E0">
        <w:rPr>
          <w:rFonts w:asciiTheme="minorHAnsi" w:hAnsiTheme="minorHAnsi" w:cstheme="minorBidi"/>
        </w:rPr>
        <w:t>iCMP</w:t>
      </w:r>
      <w:proofErr w:type="spellEnd"/>
      <w:r w:rsidR="64D48CB1" w:rsidRPr="78F650E0">
        <w:rPr>
          <w:rFonts w:asciiTheme="minorHAnsi" w:hAnsiTheme="minorHAnsi" w:cstheme="minorBidi"/>
        </w:rPr>
        <w:t xml:space="preserve">) has achieved a significant reduction in TME compared to similar patients not enrolled in </w:t>
      </w:r>
      <w:proofErr w:type="spellStart"/>
      <w:r w:rsidR="64D48CB1" w:rsidRPr="78F650E0">
        <w:rPr>
          <w:rFonts w:asciiTheme="minorHAnsi" w:hAnsiTheme="minorHAnsi" w:cstheme="minorBidi"/>
        </w:rPr>
        <w:t>iCMP</w:t>
      </w:r>
      <w:proofErr w:type="spellEnd"/>
      <w:r w:rsidR="64D48CB1" w:rsidRPr="78F650E0">
        <w:rPr>
          <w:rFonts w:asciiTheme="minorHAnsi" w:hAnsiTheme="minorHAnsi" w:cstheme="minorBidi"/>
        </w:rPr>
        <w:t xml:space="preserve"> over a 12 month period</w:t>
      </w:r>
      <w:r w:rsidR="6F7BC9EB" w:rsidRPr="78F650E0">
        <w:rPr>
          <w:rFonts w:asciiTheme="minorHAnsi" w:hAnsiTheme="minorHAnsi" w:cstheme="minorBidi"/>
        </w:rPr>
        <w:t>; for commercially insured and Medicaid patients enrolled for 7-12 months there was a 45% and 21% reduction in TME, respectively, and 27% reduction for Medicare patients enrolled over 13 months</w:t>
      </w:r>
      <w:r w:rsidR="64D48CB1" w:rsidRPr="78F650E0">
        <w:rPr>
          <w:rFonts w:asciiTheme="minorHAnsi" w:hAnsiTheme="minorHAnsi" w:cstheme="minorBidi"/>
        </w:rPr>
        <w:t xml:space="preserve">. </w:t>
      </w:r>
      <w:r w:rsidR="4ACF2739" w:rsidRPr="78F650E0">
        <w:rPr>
          <w:rFonts w:asciiTheme="minorHAnsi" w:hAnsiTheme="minorHAnsi" w:cstheme="minorBidi"/>
        </w:rPr>
        <w:t xml:space="preserve">BWFH plans to participate in the PHM strategies to the extent they are applicable in the hospital setting. </w:t>
      </w:r>
      <w:r w:rsidR="478345D5" w:rsidRPr="78F650E0">
        <w:rPr>
          <w:rFonts w:asciiTheme="minorHAnsi" w:hAnsiTheme="minorHAnsi" w:cstheme="minorBidi"/>
        </w:rPr>
        <w:t xml:space="preserve">In addition to PHM strategies, BWFH established programs to contain cost such as the same day discharge program for select surgeries. BWFH and BWH also regularly assess availability of secondary services at BWFH to offer lower cost options to patients. </w:t>
      </w:r>
    </w:p>
    <w:p w14:paraId="3C3574EC" w14:textId="69D35175" w:rsidR="00904242" w:rsidRPr="0062487B" w:rsidRDefault="00904242" w:rsidP="005A5C13">
      <w:pPr>
        <w:contextualSpacing/>
        <w:rPr>
          <w:rFonts w:asciiTheme="minorHAnsi" w:hAnsiTheme="minorHAnsi" w:cstheme="minorHAnsi"/>
          <w:bCs/>
          <w:iCs/>
        </w:rPr>
      </w:pPr>
    </w:p>
    <w:p w14:paraId="26F68A39" w14:textId="7FD2CD5C" w:rsidR="00FD425E" w:rsidRPr="00F33394" w:rsidRDefault="7B2450D3" w:rsidP="78F650E0">
      <w:pPr>
        <w:contextualSpacing/>
        <w:rPr>
          <w:rFonts w:asciiTheme="minorHAnsi" w:hAnsiTheme="minorHAnsi" w:cstheme="minorHAnsi"/>
        </w:rPr>
      </w:pPr>
      <w:r w:rsidRPr="0062487B">
        <w:rPr>
          <w:rFonts w:asciiTheme="minorHAnsi" w:hAnsiTheme="minorHAnsi" w:cstheme="minorHAnsi"/>
        </w:rPr>
        <w:lastRenderedPageBreak/>
        <w:t>Applying the Triple Aim framework, t</w:t>
      </w:r>
      <w:r w:rsidR="358BE697" w:rsidRPr="0062487B">
        <w:rPr>
          <w:rFonts w:asciiTheme="minorHAnsi" w:hAnsiTheme="minorHAnsi" w:cstheme="minorHAnsi"/>
        </w:rPr>
        <w:t xml:space="preserve">he Applicant asserts </w:t>
      </w:r>
      <w:r w:rsidRPr="0062487B">
        <w:rPr>
          <w:rFonts w:asciiTheme="minorHAnsi" w:hAnsiTheme="minorHAnsi" w:cstheme="minorHAnsi"/>
        </w:rPr>
        <w:t xml:space="preserve">the </w:t>
      </w:r>
      <w:r w:rsidR="00F33394">
        <w:rPr>
          <w:rFonts w:asciiTheme="minorHAnsi" w:hAnsiTheme="minorHAnsi" w:cstheme="minorHAnsi"/>
        </w:rPr>
        <w:t xml:space="preserve">Proposed </w:t>
      </w:r>
      <w:r w:rsidRPr="0062487B">
        <w:rPr>
          <w:rFonts w:asciiTheme="minorHAnsi" w:hAnsiTheme="minorHAnsi" w:cstheme="minorHAnsi"/>
        </w:rPr>
        <w:t>Project is “designed to address the cost of</w:t>
      </w:r>
      <w:r w:rsidR="49EB1C68" w:rsidRPr="0062487B">
        <w:rPr>
          <w:rFonts w:asciiTheme="minorHAnsi" w:hAnsiTheme="minorHAnsi" w:cstheme="minorHAnsi"/>
        </w:rPr>
        <w:t xml:space="preserve"> </w:t>
      </w:r>
      <w:r w:rsidRPr="0062487B">
        <w:rPr>
          <w:rFonts w:asciiTheme="minorHAnsi" w:hAnsiTheme="minorHAnsi" w:cstheme="minorHAnsi"/>
        </w:rPr>
        <w:t>care by promoting the Applicant’s system-wide population health efforts around providing care in</w:t>
      </w:r>
      <w:r w:rsidR="00F33394">
        <w:rPr>
          <w:rFonts w:asciiTheme="minorHAnsi" w:hAnsiTheme="minorHAnsi" w:cstheme="minorHAnsi"/>
        </w:rPr>
        <w:t xml:space="preserve"> </w:t>
      </w:r>
      <w:r w:rsidR="5311AB7C" w:rsidRPr="78F650E0">
        <w:rPr>
          <w:rFonts w:asciiTheme="minorHAnsi" w:hAnsiTheme="minorHAnsi" w:cstheme="minorBidi"/>
        </w:rPr>
        <w:t>the appropriate setting based on acuity level.”</w:t>
      </w:r>
      <w:r w:rsidR="14056E12" w:rsidRPr="78F650E0">
        <w:rPr>
          <w:rFonts w:asciiTheme="minorHAnsi" w:hAnsiTheme="minorHAnsi" w:cstheme="minorBidi"/>
        </w:rPr>
        <w:t xml:space="preserve"> With the Proposed Project, increasing capacity will enable Brigham Health to leverage its capacity to offer lower-cost care options for appropriate patients and allow for more care in </w:t>
      </w:r>
      <w:r w:rsidR="17204B58" w:rsidRPr="78F650E0">
        <w:rPr>
          <w:rFonts w:asciiTheme="minorHAnsi" w:hAnsiTheme="minorHAnsi" w:cstheme="minorBidi"/>
        </w:rPr>
        <w:t>appropriate settings. I</w:t>
      </w:r>
      <w:r w:rsidR="14056E12" w:rsidRPr="78F650E0">
        <w:rPr>
          <w:rFonts w:asciiTheme="minorHAnsi" w:hAnsiTheme="minorHAnsi" w:cstheme="minorBidi"/>
        </w:rPr>
        <w:t xml:space="preserve">t will increase access to care for secondary cases in lower-cost, community-based hospital setting (BWFH) and shift appropriate cases from an academic medical center (BWH), which is expected to decrease overall costs of care. </w:t>
      </w:r>
    </w:p>
    <w:p w14:paraId="2C432886" w14:textId="77777777" w:rsidR="00FD425E" w:rsidRPr="0062487B" w:rsidRDefault="00FD425E" w:rsidP="00D23BDD">
      <w:pPr>
        <w:contextualSpacing/>
        <w:rPr>
          <w:rFonts w:asciiTheme="minorHAnsi" w:hAnsiTheme="minorHAnsi" w:cstheme="minorHAnsi"/>
          <w:bCs/>
          <w:iCs/>
        </w:rPr>
      </w:pPr>
    </w:p>
    <w:p w14:paraId="04AE10BD" w14:textId="200511A0" w:rsidR="002D535F" w:rsidRPr="0062487B" w:rsidRDefault="002D535F" w:rsidP="007A57C4">
      <w:pPr>
        <w:contextualSpacing/>
        <w:rPr>
          <w:rFonts w:asciiTheme="minorHAnsi" w:hAnsiTheme="minorHAnsi" w:cstheme="minorHAnsi"/>
          <w:b/>
          <w:i/>
        </w:rPr>
      </w:pPr>
      <w:r w:rsidRPr="0062487B">
        <w:rPr>
          <w:rFonts w:asciiTheme="minorHAnsi" w:hAnsiTheme="minorHAnsi" w:cstheme="minorHAnsi"/>
          <w:b/>
          <w:i/>
        </w:rPr>
        <w:t>Analysis</w:t>
      </w:r>
    </w:p>
    <w:p w14:paraId="1CB64A87" w14:textId="11ED507D" w:rsidR="004E1137" w:rsidRPr="0062487B" w:rsidRDefault="006A36B0" w:rsidP="004E1137">
      <w:pPr>
        <w:contextualSpacing/>
        <w:rPr>
          <w:rFonts w:asciiTheme="minorHAnsi" w:hAnsiTheme="minorHAnsi" w:cstheme="minorHAnsi"/>
          <w:bCs/>
          <w:iCs/>
        </w:rPr>
      </w:pPr>
      <w:bookmarkStart w:id="49" w:name="_Hlk17663634"/>
      <w:r w:rsidRPr="0062487B">
        <w:rPr>
          <w:rFonts w:asciiTheme="minorHAnsi" w:hAnsiTheme="minorHAnsi" w:cstheme="minorHAnsi"/>
          <w:bCs/>
          <w:iCs/>
        </w:rPr>
        <w:t>As mentioned previously, i</w:t>
      </w:r>
      <w:r w:rsidR="004E1137" w:rsidRPr="0062487B">
        <w:rPr>
          <w:rFonts w:asciiTheme="minorHAnsi" w:hAnsiTheme="minorHAnsi" w:cstheme="minorHAnsi"/>
          <w:bCs/>
          <w:iCs/>
        </w:rPr>
        <w:t>t has been shown that care in community setting</w:t>
      </w:r>
      <w:r w:rsidR="00F80F6D" w:rsidRPr="0062487B">
        <w:rPr>
          <w:rFonts w:asciiTheme="minorHAnsi" w:hAnsiTheme="minorHAnsi" w:cstheme="minorHAnsi"/>
          <w:bCs/>
          <w:iCs/>
        </w:rPr>
        <w:t>s</w:t>
      </w:r>
      <w:r w:rsidR="004E1137" w:rsidRPr="0062487B">
        <w:rPr>
          <w:rFonts w:asciiTheme="minorHAnsi" w:hAnsiTheme="minorHAnsi" w:cstheme="minorHAnsi"/>
          <w:bCs/>
          <w:iCs/>
        </w:rPr>
        <w:t xml:space="preserve"> is </w:t>
      </w:r>
      <w:r w:rsidR="00F80F6D" w:rsidRPr="0062487B">
        <w:rPr>
          <w:rFonts w:asciiTheme="minorHAnsi" w:hAnsiTheme="minorHAnsi" w:cstheme="minorHAnsi"/>
          <w:bCs/>
          <w:iCs/>
        </w:rPr>
        <w:t xml:space="preserve">typically </w:t>
      </w:r>
      <w:r w:rsidR="004E1137" w:rsidRPr="0062487B">
        <w:rPr>
          <w:rFonts w:asciiTheme="minorHAnsi" w:hAnsiTheme="minorHAnsi" w:cstheme="minorHAnsi"/>
          <w:bCs/>
          <w:iCs/>
        </w:rPr>
        <w:t xml:space="preserve">provided at lower prices than in academic medical centers. </w:t>
      </w:r>
      <w:r w:rsidR="00F50E45" w:rsidRPr="0062487B">
        <w:rPr>
          <w:rFonts w:asciiTheme="minorHAnsi" w:hAnsiTheme="minorHAnsi" w:cstheme="minorHAnsi"/>
          <w:bCs/>
          <w:iCs/>
        </w:rPr>
        <w:t>The Proposed Project has the potential to reduce costs of care</w:t>
      </w:r>
      <w:r w:rsidR="004E1137" w:rsidRPr="0062487B">
        <w:rPr>
          <w:rFonts w:asciiTheme="minorHAnsi" w:hAnsiTheme="minorHAnsi" w:cstheme="minorHAnsi"/>
          <w:bCs/>
          <w:iCs/>
        </w:rPr>
        <w:t xml:space="preserve"> through </w:t>
      </w:r>
      <w:r w:rsidR="007C2202" w:rsidRPr="0062487B">
        <w:rPr>
          <w:rFonts w:asciiTheme="minorHAnsi" w:hAnsiTheme="minorHAnsi" w:cstheme="minorHAnsi"/>
          <w:bCs/>
          <w:iCs/>
        </w:rPr>
        <w:t xml:space="preserve">infrastructural process efforts (e.g., standardizing </w:t>
      </w:r>
      <w:r w:rsidR="0046600E" w:rsidRPr="0062487B">
        <w:rPr>
          <w:rFonts w:asciiTheme="minorHAnsi" w:hAnsiTheme="minorHAnsi" w:cstheme="minorHAnsi"/>
          <w:bCs/>
          <w:iCs/>
        </w:rPr>
        <w:t>EHR</w:t>
      </w:r>
      <w:r w:rsidR="007C2202" w:rsidRPr="0062487B">
        <w:rPr>
          <w:rFonts w:asciiTheme="minorHAnsi" w:hAnsiTheme="minorHAnsi" w:cstheme="minorHAnsi"/>
          <w:bCs/>
          <w:iCs/>
        </w:rPr>
        <w:t xml:space="preserve">) and </w:t>
      </w:r>
      <w:r w:rsidR="004E1137" w:rsidRPr="0062487B">
        <w:rPr>
          <w:rFonts w:asciiTheme="minorHAnsi" w:hAnsiTheme="minorHAnsi" w:cstheme="minorHAnsi"/>
          <w:bCs/>
          <w:iCs/>
        </w:rPr>
        <w:t>PHM strategies, some of which have shown to decrease costs</w:t>
      </w:r>
      <w:r w:rsidR="00F50E45" w:rsidRPr="0062487B">
        <w:rPr>
          <w:rFonts w:asciiTheme="minorHAnsi" w:hAnsiTheme="minorHAnsi" w:cstheme="minorHAnsi"/>
          <w:bCs/>
          <w:iCs/>
        </w:rPr>
        <w:t xml:space="preserve">. </w:t>
      </w:r>
      <w:r w:rsidR="004E1137" w:rsidRPr="0062487B">
        <w:rPr>
          <w:rFonts w:asciiTheme="minorHAnsi" w:hAnsiTheme="minorHAnsi" w:cstheme="minorHAnsi"/>
          <w:bCs/>
          <w:iCs/>
        </w:rPr>
        <w:t xml:space="preserve">Staff finds that the overall Proposed Project will likely compete </w:t>
      </w:r>
      <w:proofErr w:type="gramStart"/>
      <w:r w:rsidR="004E1137" w:rsidRPr="0062487B">
        <w:rPr>
          <w:rFonts w:asciiTheme="minorHAnsi" w:hAnsiTheme="minorHAnsi" w:cstheme="minorHAnsi"/>
          <w:bCs/>
          <w:iCs/>
        </w:rPr>
        <w:t>on the basis of</w:t>
      </w:r>
      <w:proofErr w:type="gramEnd"/>
      <w:r w:rsidR="004E1137" w:rsidRPr="0062487B">
        <w:rPr>
          <w:rFonts w:asciiTheme="minorHAnsi" w:hAnsiTheme="minorHAnsi" w:cstheme="minorHAnsi"/>
          <w:bCs/>
          <w:iCs/>
        </w:rPr>
        <w:t xml:space="preserve"> price, TME provider costs, and other measures of health care spending.</w:t>
      </w:r>
    </w:p>
    <w:p w14:paraId="7542016F" w14:textId="77777777" w:rsidR="008E5DC2" w:rsidRPr="0062487B" w:rsidRDefault="008E5DC2" w:rsidP="004E1137">
      <w:pPr>
        <w:contextualSpacing/>
        <w:rPr>
          <w:rFonts w:asciiTheme="minorHAnsi" w:hAnsiTheme="minorHAnsi" w:cstheme="minorHAnsi"/>
          <w:bCs/>
          <w:iCs/>
        </w:rPr>
      </w:pPr>
    </w:p>
    <w:p w14:paraId="7E649101" w14:textId="77777777" w:rsidR="00672FBD" w:rsidRPr="00842D80" w:rsidRDefault="00672FBD" w:rsidP="00672FBD">
      <w:pPr>
        <w:textAlignment w:val="baseline"/>
        <w:rPr>
          <w:rFonts w:asciiTheme="minorHAnsi" w:hAnsiTheme="minorHAnsi" w:cstheme="minorHAnsi"/>
          <w:b/>
          <w:bCs/>
          <w:color w:val="42558C"/>
        </w:rPr>
      </w:pPr>
      <w:bookmarkStart w:id="50" w:name="_Toc17731330"/>
      <w:bookmarkStart w:id="51" w:name="_Toc17748250"/>
      <w:bookmarkStart w:id="52" w:name="_Toc17748477"/>
      <w:bookmarkStart w:id="53" w:name="_Toc17748721"/>
      <w:bookmarkStart w:id="54" w:name="_Toc18420200"/>
      <w:bookmarkStart w:id="55" w:name="_Toc18922421"/>
      <w:bookmarkEnd w:id="49"/>
      <w:r w:rsidRPr="00842D80">
        <w:rPr>
          <w:rFonts w:asciiTheme="minorHAnsi" w:hAnsiTheme="minorHAnsi" w:cstheme="minorHAnsi"/>
          <w:b/>
          <w:bCs/>
        </w:rPr>
        <w:t>Factor 2: Cost containment, Improved Public Health Outcomes and Delivery System Transformation  </w:t>
      </w:r>
    </w:p>
    <w:p w14:paraId="731BC5A0" w14:textId="77777777" w:rsidR="00672FBD" w:rsidRPr="00842D80" w:rsidRDefault="00672FBD" w:rsidP="00672FBD">
      <w:pPr>
        <w:contextualSpacing/>
        <w:rPr>
          <w:rFonts w:asciiTheme="minorHAnsi" w:hAnsiTheme="minorHAnsi" w:cstheme="minorHAnsi"/>
        </w:rPr>
      </w:pPr>
      <w:r w:rsidRPr="00842D80">
        <w:rPr>
          <w:rFonts w:asciiTheme="minorHAnsi" w:hAnsiTheme="minorHAnsi" w:cstheme="minorHAnsi"/>
        </w:rPr>
        <w:t>For Factor 2, the Applicant must demonstrate that the Proposed Project will meaningfully contribute to the Commonwealth’s goals for cost containment, improved public health outcomes, and delivery system transformation beyond the Patient Panel.</w:t>
      </w:r>
    </w:p>
    <w:p w14:paraId="0B798B7B" w14:textId="77777777" w:rsidR="00672FBD" w:rsidRPr="00842D80" w:rsidRDefault="00672FBD" w:rsidP="00672FBD">
      <w:pPr>
        <w:textAlignment w:val="baseline"/>
        <w:rPr>
          <w:rFonts w:asciiTheme="minorHAnsi" w:hAnsiTheme="minorHAnsi" w:cstheme="minorHAnsi"/>
          <w:bCs/>
        </w:rPr>
      </w:pPr>
    </w:p>
    <w:p w14:paraId="50E8A701" w14:textId="77777777" w:rsidR="00672FBD" w:rsidRPr="00842D80" w:rsidRDefault="00672FBD" w:rsidP="00672FBD">
      <w:pPr>
        <w:rPr>
          <w:rFonts w:asciiTheme="minorHAnsi" w:hAnsiTheme="minorHAnsi" w:cstheme="minorHAnsi"/>
          <w:b/>
        </w:rPr>
      </w:pPr>
      <w:r w:rsidRPr="00842D80">
        <w:rPr>
          <w:rFonts w:asciiTheme="minorHAnsi" w:hAnsiTheme="minorHAnsi" w:cstheme="minorHAnsi"/>
          <w:b/>
        </w:rPr>
        <w:t>Cost Containment</w:t>
      </w:r>
    </w:p>
    <w:p w14:paraId="085BA97C" w14:textId="77777777" w:rsidR="00672FBD" w:rsidRPr="00842D80" w:rsidRDefault="00672FBD" w:rsidP="00672FBD">
      <w:pPr>
        <w:textAlignment w:val="baseline"/>
        <w:rPr>
          <w:rFonts w:asciiTheme="minorHAnsi" w:hAnsiTheme="minorHAnsi" w:cstheme="minorHAnsi"/>
        </w:rPr>
      </w:pPr>
      <w:r w:rsidRPr="00842D80">
        <w:rPr>
          <w:rFonts w:asciiTheme="minorHAnsi" w:hAnsiTheme="minorHAnsi" w:cstheme="minorHAnsi"/>
          <w:bCs/>
        </w:rPr>
        <w:t>Within the Determination of Need regulation 105 CMR 100.000, two factors, in part, require the Department to consider cost containment as it pertains to the Proposed Project: Factor 2 which requires a project meaningfully contribute to the Commonwealth’s cost containment goals and Factor 4 as relates to any independent cost analysis required for a given project to demonstrate whether the project is consistent with the Commonwealth’s cost containment goals. Because both factors require the Department to analyze the Proposed Project’s impact on health care cost containment in the Commonwealth, the Department has considered the cost containment-specific portions of both Factor 2 and Factor 4 in this section.</w:t>
      </w:r>
      <w:r w:rsidRPr="00842D80">
        <w:rPr>
          <w:rFonts w:asciiTheme="minorHAnsi" w:hAnsiTheme="minorHAnsi" w:cstheme="minorHAnsi"/>
        </w:rPr>
        <w:t> </w:t>
      </w:r>
    </w:p>
    <w:p w14:paraId="3F819E8A" w14:textId="77777777" w:rsidR="00672FBD" w:rsidRPr="00842D80" w:rsidRDefault="00672FBD" w:rsidP="00672FBD">
      <w:pPr>
        <w:rPr>
          <w:rFonts w:asciiTheme="minorHAnsi" w:hAnsiTheme="minorHAnsi" w:cstheme="minorHAnsi"/>
          <w:bCs/>
        </w:rPr>
      </w:pPr>
      <w:r w:rsidRPr="00842D80">
        <w:rPr>
          <w:rFonts w:asciiTheme="minorHAnsi" w:hAnsiTheme="minorHAnsi" w:cstheme="minorHAnsi"/>
          <w:bCs/>
        </w:rPr>
        <w:t xml:space="preserve">  </w:t>
      </w:r>
    </w:p>
    <w:p w14:paraId="6AABD937" w14:textId="77777777" w:rsidR="00672FBD" w:rsidRPr="00842D80" w:rsidRDefault="00672FBD" w:rsidP="00672FBD">
      <w:pPr>
        <w:rPr>
          <w:rFonts w:asciiTheme="minorHAnsi" w:hAnsiTheme="minorHAnsi" w:cstheme="minorHAnsi"/>
          <w:u w:val="single"/>
        </w:rPr>
      </w:pPr>
      <w:r w:rsidRPr="00842D80">
        <w:rPr>
          <w:rFonts w:asciiTheme="minorHAnsi" w:hAnsiTheme="minorHAnsi" w:cstheme="minorHAnsi"/>
          <w:u w:val="single"/>
        </w:rPr>
        <w:t>Discussion in the Application</w:t>
      </w:r>
    </w:p>
    <w:p w14:paraId="5DB8FEF3" w14:textId="77777777" w:rsidR="00672FBD" w:rsidRPr="00842D80" w:rsidRDefault="00672FBD" w:rsidP="00672FBD">
      <w:pPr>
        <w:textAlignment w:val="baseline"/>
        <w:rPr>
          <w:rFonts w:asciiTheme="minorHAnsi" w:hAnsiTheme="minorHAnsi" w:cstheme="minorHAnsi"/>
        </w:rPr>
      </w:pPr>
      <w:r w:rsidRPr="00842D80">
        <w:rPr>
          <w:rFonts w:asciiTheme="minorHAnsi" w:hAnsiTheme="minorHAnsi" w:cstheme="minorHAnsi"/>
        </w:rPr>
        <w:t xml:space="preserve">In response to this factor, the Applicant highlights MGB’s system-wide strategic planning efforts, part of which works to ensure patients in need of tertiary and quaternary care are treated in AMCs, such as BWH, while less acute patients receive treatment in community hospitals, like BWFH, and indicates this will generate efficiencies and reduce costs. In support of this effort, MGB notes the BWFH Transfer Program which allows BWH ED clinicians to directly admit appropriate patients to BWFH inpatient units, as well as efficiencies generated through their population health management efforts to help ensure that lower cost care alternatives are available to patients.  </w:t>
      </w:r>
    </w:p>
    <w:p w14:paraId="1D19A6AB" w14:textId="77777777" w:rsidR="00672FBD" w:rsidRPr="00842D80" w:rsidRDefault="00672FBD" w:rsidP="00672FBD">
      <w:pPr>
        <w:textAlignment w:val="baseline"/>
        <w:rPr>
          <w:rFonts w:asciiTheme="minorHAnsi" w:hAnsiTheme="minorHAnsi" w:cstheme="minorHAnsi"/>
        </w:rPr>
      </w:pPr>
    </w:p>
    <w:p w14:paraId="7C1BA14B" w14:textId="77777777" w:rsidR="00672FBD" w:rsidRPr="00842D80" w:rsidRDefault="00672FBD" w:rsidP="00672FBD">
      <w:pPr>
        <w:rPr>
          <w:rFonts w:asciiTheme="minorHAnsi" w:hAnsiTheme="minorHAnsi" w:cstheme="minorHAnsi"/>
          <w:u w:val="single"/>
        </w:rPr>
      </w:pPr>
      <w:r w:rsidRPr="00842D80">
        <w:rPr>
          <w:rFonts w:asciiTheme="minorHAnsi" w:hAnsiTheme="minorHAnsi" w:cstheme="minorHAnsi"/>
          <w:u w:val="single"/>
        </w:rPr>
        <w:t>Independent Cost Analysis (ICA) and Comments in Response to the ICA</w:t>
      </w:r>
    </w:p>
    <w:p w14:paraId="4B07BCC5" w14:textId="1709C1FA" w:rsidR="00672FBD" w:rsidRPr="00842D80" w:rsidRDefault="00672FBD" w:rsidP="00672FBD">
      <w:pPr>
        <w:rPr>
          <w:rFonts w:asciiTheme="minorHAnsi" w:hAnsiTheme="minorHAnsi" w:cstheme="minorHAnsi"/>
        </w:rPr>
      </w:pPr>
      <w:r w:rsidRPr="00842D80">
        <w:rPr>
          <w:rFonts w:asciiTheme="minorHAnsi" w:hAnsiTheme="minorHAnsi" w:cstheme="minorHAnsi"/>
        </w:rPr>
        <w:t>Pursuant to G.L. c. 111 § 25C(h)</w:t>
      </w:r>
      <w:r w:rsidR="00F33394">
        <w:rPr>
          <w:rFonts w:asciiTheme="minorHAnsi" w:hAnsiTheme="minorHAnsi" w:cstheme="minorHAnsi"/>
        </w:rPr>
        <w:t>,</w:t>
      </w:r>
      <w:r w:rsidRPr="00842D80">
        <w:rPr>
          <w:rFonts w:asciiTheme="minorHAnsi" w:hAnsiTheme="minorHAnsi" w:cstheme="minorHAnsi"/>
        </w:rPr>
        <w:t xml:space="preserve"> and to support the Department’s understanding of the Proposed Project’s impact on the Commonwealth’s cost containment goals, an independent cost-analysis (ICA) was required. </w:t>
      </w:r>
    </w:p>
    <w:p w14:paraId="02E1BB98" w14:textId="77777777" w:rsidR="00672FBD" w:rsidRPr="00842D80" w:rsidRDefault="00672FBD" w:rsidP="00672FBD">
      <w:pPr>
        <w:rPr>
          <w:rFonts w:asciiTheme="minorHAnsi" w:hAnsiTheme="minorHAnsi" w:cstheme="minorHAnsi"/>
          <w:u w:val="single"/>
        </w:rPr>
      </w:pPr>
    </w:p>
    <w:p w14:paraId="28E66A85" w14:textId="1169996A" w:rsidR="00672FBD" w:rsidRDefault="00672FBD" w:rsidP="00672FBD">
      <w:pPr>
        <w:rPr>
          <w:rFonts w:asciiTheme="minorHAnsi" w:hAnsiTheme="minorHAnsi" w:cstheme="minorHAnsi"/>
        </w:rPr>
      </w:pPr>
      <w:r w:rsidRPr="00672FBD">
        <w:rPr>
          <w:rFonts w:asciiTheme="minorHAnsi" w:hAnsiTheme="minorHAnsi" w:cstheme="minorHAnsi"/>
        </w:rPr>
        <w:lastRenderedPageBreak/>
        <w:t xml:space="preserve">The ICA was prepared by Charles River Associates (CRA) who concluded that the Proposed Project is consistent with the Commonwealth’s cost containment goals because, despite increased inpatient demand and demand for MRI services, the project will result in a 0.02% spending decrease across the service lines impacted by the Proposed Project, adding that the “economics literature predicts that allowing capacity-constrained providers such as MGH to expand puts downward pressure on health care prices.”   </w:t>
      </w:r>
    </w:p>
    <w:p w14:paraId="1B2F3613" w14:textId="77777777" w:rsidR="00672FBD" w:rsidRPr="00672FBD" w:rsidRDefault="00672FBD" w:rsidP="00672FBD">
      <w:pPr>
        <w:rPr>
          <w:rFonts w:asciiTheme="minorHAnsi" w:hAnsiTheme="minorHAnsi" w:cstheme="minorHAnsi"/>
        </w:rPr>
      </w:pPr>
    </w:p>
    <w:p w14:paraId="2A9141EB" w14:textId="1C62EA91" w:rsidR="00672FBD" w:rsidRPr="00672FBD" w:rsidRDefault="00672FBD" w:rsidP="00672FBD">
      <w:pPr>
        <w:textAlignment w:val="baseline"/>
        <w:rPr>
          <w:rFonts w:asciiTheme="minorHAnsi" w:hAnsiTheme="minorHAnsi" w:cstheme="minorHAnsi"/>
        </w:rPr>
      </w:pPr>
      <w:r w:rsidRPr="00672FBD">
        <w:rPr>
          <w:rFonts w:asciiTheme="minorHAnsi" w:hAnsiTheme="minorHAnsi" w:cstheme="minorHAnsi"/>
        </w:rPr>
        <w:t xml:space="preserve">In its comment submitted in response to the ICA, the Health Policy Commission (HPC) reviews its analysis of the Proposed Project and notes that it is likely to increase yearly commercial health insurance spending in Massachusetts by between $2.9 million to $3.8 million through </w:t>
      </w:r>
      <w:r w:rsidR="00F40FED">
        <w:rPr>
          <w:rFonts w:asciiTheme="minorHAnsi" w:hAnsiTheme="minorHAnsi" w:cstheme="minorHAnsi"/>
        </w:rPr>
        <w:t xml:space="preserve">new </w:t>
      </w:r>
      <w:r w:rsidRPr="00672FBD">
        <w:rPr>
          <w:rFonts w:asciiTheme="minorHAnsi" w:hAnsiTheme="minorHAnsi" w:cstheme="minorHAnsi"/>
        </w:rPr>
        <w:t xml:space="preserve">inpatient capacity. In the HPC comment and a report filed by the Office of the Attorney General (AGO), they note additional costs </w:t>
      </w:r>
      <w:proofErr w:type="gramStart"/>
      <w:r w:rsidRPr="00672FBD">
        <w:rPr>
          <w:rFonts w:asciiTheme="minorHAnsi" w:hAnsiTheme="minorHAnsi" w:cstheme="minorHAnsi"/>
        </w:rPr>
        <w:t>as a result of</w:t>
      </w:r>
      <w:proofErr w:type="gramEnd"/>
      <w:r w:rsidRPr="00672FBD">
        <w:rPr>
          <w:rFonts w:asciiTheme="minorHAnsi" w:hAnsiTheme="minorHAnsi" w:cstheme="minorHAnsi"/>
        </w:rPr>
        <w:t xml:space="preserve"> MGB’s proposed ambulatory expansion. While the Applicant indicates the ambulatory expansion is designed to move MGB ambulatory patients into lower cost community settings, the HPC points out the Applicant has not proposed reducing inpatient or outpatient services at any of its existing facilities. Indeed, this Proposed Project will result in increased inpatient and outpatient capacity. HPC estimates that between the completion of MGB’s proposed ambulatory expansion and the addition of beds at BWFH there will be an annual increase in commercial insurance spending between $6.4 M to 7.9M. While the ICA predicts most patients would transfer from BWH, the HPC expects that most of the patients who receive care in the new inpatient beds at BWFH would have otherwise received care at a non-MGB hospital.   </w:t>
      </w:r>
    </w:p>
    <w:p w14:paraId="42B0469B" w14:textId="77777777" w:rsidR="00672FBD" w:rsidRPr="00842D80" w:rsidRDefault="00672FBD" w:rsidP="00672FBD">
      <w:pPr>
        <w:textAlignment w:val="baseline"/>
        <w:rPr>
          <w:rFonts w:asciiTheme="minorHAnsi" w:hAnsiTheme="minorHAnsi" w:cstheme="minorHAnsi"/>
        </w:rPr>
      </w:pPr>
    </w:p>
    <w:p w14:paraId="7F917482" w14:textId="183BA316" w:rsidR="00672FBD" w:rsidRPr="00842D80" w:rsidRDefault="00672FBD" w:rsidP="00672FBD">
      <w:pPr>
        <w:pStyle w:val="paragraph"/>
        <w:spacing w:before="0" w:beforeAutospacing="0" w:after="0" w:afterAutospacing="0"/>
        <w:rPr>
          <w:rFonts w:asciiTheme="minorHAnsi" w:eastAsiaTheme="minorEastAsia" w:hAnsiTheme="minorHAnsi" w:cstheme="minorHAnsi"/>
        </w:rPr>
      </w:pPr>
      <w:r w:rsidRPr="00842D80">
        <w:rPr>
          <w:rFonts w:asciiTheme="minorHAnsi" w:eastAsia="Calibri" w:hAnsiTheme="minorHAnsi" w:cstheme="minorHAnsi"/>
        </w:rPr>
        <w:t xml:space="preserve">CRA describes the Herfindahl-Hirschman Index (HHI), which is a relied upon measure of hospital market concentration and was used </w:t>
      </w:r>
      <w:r w:rsidR="00AF53B3">
        <w:rPr>
          <w:rFonts w:asciiTheme="minorHAnsi" w:eastAsia="Calibri" w:hAnsiTheme="minorHAnsi" w:cstheme="minorHAnsi"/>
        </w:rPr>
        <w:t>to</w:t>
      </w:r>
      <w:r w:rsidR="00AF53B3" w:rsidRPr="00842D80">
        <w:rPr>
          <w:rFonts w:asciiTheme="minorHAnsi" w:eastAsia="Calibri" w:hAnsiTheme="minorHAnsi" w:cstheme="minorHAnsi"/>
        </w:rPr>
        <w:t xml:space="preserve"> </w:t>
      </w:r>
      <w:r w:rsidRPr="00842D80">
        <w:rPr>
          <w:rFonts w:asciiTheme="minorHAnsi" w:eastAsia="Calibri" w:hAnsiTheme="minorHAnsi" w:cstheme="minorHAnsi"/>
        </w:rPr>
        <w:t>analyz</w:t>
      </w:r>
      <w:r w:rsidR="00AF53B3">
        <w:rPr>
          <w:rFonts w:asciiTheme="minorHAnsi" w:eastAsia="Calibri" w:hAnsiTheme="minorHAnsi" w:cstheme="minorHAnsi"/>
        </w:rPr>
        <w:t>e</w:t>
      </w:r>
      <w:r w:rsidRPr="00842D80">
        <w:rPr>
          <w:rFonts w:asciiTheme="minorHAnsi" w:eastAsia="Calibri" w:hAnsiTheme="minorHAnsi" w:cstheme="minorHAnsi"/>
        </w:rPr>
        <w:t xml:space="preserve"> shifts in market share for the ICA. The ICA indicates the Federal Trade Commission and Department of Justice guidelines (“Guidelines”) define unconcentrated markets as those with an HHI below 1,500, moderately concentrated market as those between 1,500 and 2,500, and highly concentrated markets as those above 2,500. CRA also notes that the Guidelines indicate changes of less than 100 HHI points in concentrated markets are unlikely to lead to adverse competitive effects.</w:t>
      </w:r>
    </w:p>
    <w:p w14:paraId="0A2F9504" w14:textId="77777777" w:rsidR="00672FBD" w:rsidRPr="00842D80" w:rsidRDefault="00672FBD" w:rsidP="00672FBD">
      <w:pPr>
        <w:pStyle w:val="paragraph"/>
        <w:spacing w:before="0" w:beforeAutospacing="0" w:after="0" w:afterAutospacing="0"/>
        <w:rPr>
          <w:rFonts w:asciiTheme="minorHAnsi" w:eastAsia="Calibri" w:hAnsiTheme="minorHAnsi" w:cstheme="minorHAnsi"/>
        </w:rPr>
      </w:pPr>
    </w:p>
    <w:p w14:paraId="5E74829C" w14:textId="40520F5E" w:rsidR="00672FBD" w:rsidRPr="00447691" w:rsidRDefault="00672FBD" w:rsidP="00672FBD">
      <w:pPr>
        <w:textAlignment w:val="baseline"/>
        <w:rPr>
          <w:rFonts w:asciiTheme="minorHAnsi" w:hAnsiTheme="minorHAnsi" w:cstheme="minorHAnsi"/>
        </w:rPr>
      </w:pPr>
      <w:r w:rsidRPr="00447691">
        <w:rPr>
          <w:rFonts w:asciiTheme="minorHAnsi" w:hAnsiTheme="minorHAnsi" w:cstheme="minorHAnsi"/>
        </w:rPr>
        <w:t xml:space="preserve">In its analysis, CRA assigned an HHI score qualifying as “highly concentrated” for inpatient services in the area surrounding BWFH both prior to and after implementation of the Proposed Project. ICA used two scenarios to evaluate market share shifts, and in the scenario that assumes BWFH draws its incremental patients from any hospital, the ICA estimates the HHI score would increase by 412 points after implementation. CRA estimates the additional inpatient capacity proposed at BWFH (which represents a 45.6% increase in beds) will result in an 18% increase in discharges by 2030 and increase BWFH’s market share in the area surrounding BWFH by 7% to 8.1%. CRA predicts that upon project implementation, there would be an overall increase in MGB’s market </w:t>
      </w:r>
      <w:proofErr w:type="gramStart"/>
      <w:r w:rsidRPr="00447691">
        <w:rPr>
          <w:rFonts w:asciiTheme="minorHAnsi" w:hAnsiTheme="minorHAnsi" w:cstheme="minorHAnsi"/>
        </w:rPr>
        <w:t>share</w:t>
      </w:r>
      <w:proofErr w:type="gramEnd"/>
      <w:r w:rsidRPr="00447691">
        <w:rPr>
          <w:rFonts w:asciiTheme="minorHAnsi" w:hAnsiTheme="minorHAnsi" w:cstheme="minorHAnsi"/>
        </w:rPr>
        <w:t xml:space="preserve"> and a loss of market share experienced by the system with the next highest share. This would further solidify MGB as the highest market shareholder.  </w:t>
      </w:r>
    </w:p>
    <w:p w14:paraId="36C37171" w14:textId="77777777" w:rsidR="00672FBD" w:rsidRDefault="00672FBD" w:rsidP="00672FBD">
      <w:pPr>
        <w:textAlignment w:val="baseline"/>
        <w:rPr>
          <w:rFonts w:cstheme="minorHAnsi"/>
        </w:rPr>
      </w:pPr>
    </w:p>
    <w:p w14:paraId="02E3BC91" w14:textId="588996A6" w:rsidR="00672FBD" w:rsidRPr="00447691" w:rsidRDefault="00672FBD" w:rsidP="00672FBD">
      <w:pPr>
        <w:textAlignment w:val="baseline"/>
        <w:rPr>
          <w:rFonts w:asciiTheme="minorHAnsi" w:hAnsiTheme="minorHAnsi" w:cstheme="minorHAnsi"/>
        </w:rPr>
      </w:pPr>
      <w:r w:rsidRPr="00447691">
        <w:rPr>
          <w:rFonts w:asciiTheme="minorHAnsi" w:hAnsiTheme="minorHAnsi" w:cstheme="minorHAnsi"/>
        </w:rPr>
        <w:t>However,</w:t>
      </w:r>
      <w:r w:rsidR="00137011">
        <w:rPr>
          <w:rFonts w:asciiTheme="minorHAnsi" w:hAnsiTheme="minorHAnsi" w:cstheme="minorHAnsi"/>
        </w:rPr>
        <w:t xml:space="preserve"> the</w:t>
      </w:r>
      <w:r w:rsidRPr="00447691">
        <w:rPr>
          <w:rFonts w:asciiTheme="minorHAnsi" w:hAnsiTheme="minorHAnsi" w:cstheme="minorHAnsi"/>
        </w:rPr>
        <w:t xml:space="preserve"> ICA does estimate inpatient cost decreases for each patient transferring to BWFH across all payors except for MassHealth non-managed care which is estimated to experience an increase between 0.2% to 0.6%.  Looking only at patients transferring from BWH, CRA estimates inpatient spending would decrease between -8.7% to -31.7%.  When considering patients transferring from </w:t>
      </w:r>
      <w:r w:rsidRPr="00447691">
        <w:rPr>
          <w:rFonts w:asciiTheme="minorHAnsi" w:hAnsiTheme="minorHAnsi" w:cstheme="minorHAnsi"/>
        </w:rPr>
        <w:lastRenderedPageBreak/>
        <w:t xml:space="preserve">facilities outside of the MGB system, CRA estimates a reduction between -0.4% to -16.7%.  Changes across insurance type are shown in Table 14. </w:t>
      </w:r>
    </w:p>
    <w:p w14:paraId="75C5C936" w14:textId="77777777" w:rsidR="00672FBD" w:rsidRPr="00447691" w:rsidRDefault="00672FBD" w:rsidP="00672FBD">
      <w:pPr>
        <w:textAlignment w:val="baseline"/>
        <w:rPr>
          <w:rFonts w:asciiTheme="minorHAnsi" w:hAnsiTheme="minorHAnsi" w:cstheme="minorHAnsi"/>
        </w:rPr>
      </w:pPr>
    </w:p>
    <w:p w14:paraId="3FC501D9" w14:textId="77777777" w:rsidR="00672FBD" w:rsidRPr="00842D80" w:rsidRDefault="00672FBD" w:rsidP="00672FBD">
      <w:pPr>
        <w:textAlignment w:val="baseline"/>
        <w:rPr>
          <w:rFonts w:asciiTheme="minorHAnsi" w:hAnsiTheme="minorHAnsi" w:cstheme="minorHAnsi"/>
        </w:rPr>
      </w:pPr>
      <w:r w:rsidRPr="00842D80">
        <w:rPr>
          <w:rFonts w:asciiTheme="minorHAnsi" w:hAnsiTheme="minorHAnsi" w:cstheme="minorHAnsi"/>
          <w:b/>
          <w:bCs/>
          <w:u w:val="single"/>
        </w:rPr>
        <w:t>Table 14</w:t>
      </w:r>
      <w:r w:rsidRPr="00842D80">
        <w:rPr>
          <w:rFonts w:asciiTheme="minorHAnsi" w:hAnsiTheme="minorHAnsi" w:cstheme="minorHAnsi"/>
          <w:b/>
          <w:bCs/>
        </w:rPr>
        <w:t>: Predicted Changes in Inpatient Spending by Insurance Category</w:t>
      </w:r>
      <w:r w:rsidRPr="00842D80">
        <w:rPr>
          <w:rFonts w:asciiTheme="minorHAnsi" w:hAnsiTheme="minorHAnsi" w:cstheme="minorHAnsi"/>
        </w:rPr>
        <w:t> </w:t>
      </w:r>
    </w:p>
    <w:tbl>
      <w:tblPr>
        <w:tblW w:w="9344" w:type="dxa"/>
        <w:tblBorders>
          <w:top w:val="single" w:sz="6" w:space="0" w:color="auto"/>
          <w:left w:val="single" w:sz="6" w:space="0" w:color="auto"/>
          <w:bottom w:val="single" w:sz="8"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343"/>
        <w:gridCol w:w="1443"/>
        <w:gridCol w:w="1371"/>
        <w:gridCol w:w="1488"/>
        <w:gridCol w:w="1699"/>
      </w:tblGrid>
      <w:tr w:rsidR="00672FBD" w:rsidRPr="00842D80" w14:paraId="546EA5A1" w14:textId="77777777" w:rsidTr="00BD7E81">
        <w:trPr>
          <w:trHeight w:val="270"/>
        </w:trPr>
        <w:tc>
          <w:tcPr>
            <w:tcW w:w="3343" w:type="dxa"/>
            <w:shd w:val="clear" w:color="auto" w:fill="CFDCF0" w:themeFill="text2" w:themeFillTint="33"/>
          </w:tcPr>
          <w:p w14:paraId="03E4BB86" w14:textId="77777777" w:rsidR="00672FBD" w:rsidRPr="00842D80" w:rsidRDefault="00672FBD" w:rsidP="00CD3069">
            <w:pPr>
              <w:textAlignment w:val="baseline"/>
              <w:rPr>
                <w:rFonts w:asciiTheme="minorHAnsi" w:hAnsiTheme="minorHAnsi" w:cstheme="minorHAnsi"/>
              </w:rPr>
            </w:pPr>
          </w:p>
        </w:tc>
        <w:tc>
          <w:tcPr>
            <w:tcW w:w="2814" w:type="dxa"/>
            <w:gridSpan w:val="2"/>
            <w:shd w:val="clear" w:color="auto" w:fill="CFDCF0" w:themeFill="text2" w:themeFillTint="33"/>
          </w:tcPr>
          <w:p w14:paraId="78FAC769" w14:textId="20740188" w:rsidR="00672FBD" w:rsidRPr="00842D80" w:rsidRDefault="00672FBD" w:rsidP="00CD3069">
            <w:pPr>
              <w:jc w:val="center"/>
              <w:textAlignment w:val="baseline"/>
              <w:rPr>
                <w:rFonts w:asciiTheme="minorHAnsi" w:hAnsiTheme="minorHAnsi" w:cstheme="minorHAnsi"/>
              </w:rPr>
            </w:pPr>
            <w:r w:rsidRPr="00842D80">
              <w:rPr>
                <w:rFonts w:asciiTheme="minorHAnsi" w:hAnsiTheme="minorHAnsi" w:cstheme="minorHAnsi"/>
              </w:rPr>
              <w:t>BWH Transfers Only</w:t>
            </w:r>
            <w:r w:rsidR="00955769">
              <w:rPr>
                <w:rStyle w:val="FootnoteReference"/>
                <w:rFonts w:asciiTheme="minorHAnsi" w:hAnsiTheme="minorHAnsi" w:cstheme="minorHAnsi"/>
              </w:rPr>
              <w:footnoteReference w:id="25"/>
            </w:r>
          </w:p>
        </w:tc>
        <w:tc>
          <w:tcPr>
            <w:tcW w:w="3187" w:type="dxa"/>
            <w:gridSpan w:val="2"/>
            <w:shd w:val="clear" w:color="auto" w:fill="CFDCF0" w:themeFill="text2" w:themeFillTint="33"/>
          </w:tcPr>
          <w:p w14:paraId="47C10F24" w14:textId="77777777" w:rsidR="00672FBD" w:rsidRPr="00842D80" w:rsidRDefault="00672FBD" w:rsidP="00CD3069">
            <w:pPr>
              <w:jc w:val="center"/>
              <w:textAlignment w:val="baseline"/>
              <w:rPr>
                <w:rFonts w:asciiTheme="minorHAnsi" w:hAnsiTheme="minorHAnsi" w:cstheme="minorHAnsi"/>
              </w:rPr>
            </w:pPr>
            <w:r w:rsidRPr="00842D80">
              <w:rPr>
                <w:rFonts w:asciiTheme="minorHAnsi" w:hAnsiTheme="minorHAnsi" w:cstheme="minorHAnsi"/>
              </w:rPr>
              <w:t>Transfers from All Hospitals</w:t>
            </w:r>
          </w:p>
        </w:tc>
      </w:tr>
      <w:tr w:rsidR="00672FBD" w:rsidRPr="00842D80" w14:paraId="34FD55DE" w14:textId="77777777" w:rsidTr="00BD7E81">
        <w:trPr>
          <w:trHeight w:val="270"/>
        </w:trPr>
        <w:tc>
          <w:tcPr>
            <w:tcW w:w="3343" w:type="dxa"/>
            <w:shd w:val="clear" w:color="auto" w:fill="auto"/>
            <w:hideMark/>
          </w:tcPr>
          <w:p w14:paraId="33D4EB41" w14:textId="0EA74990" w:rsidR="00672FBD" w:rsidRPr="00842D80" w:rsidRDefault="00672FBD" w:rsidP="00BD7E81">
            <w:pPr>
              <w:jc w:val="center"/>
              <w:textAlignment w:val="baseline"/>
              <w:rPr>
                <w:rFonts w:asciiTheme="minorHAnsi" w:hAnsiTheme="minorHAnsi" w:cstheme="minorHAnsi"/>
              </w:rPr>
            </w:pPr>
            <w:r w:rsidRPr="00842D80">
              <w:rPr>
                <w:rFonts w:asciiTheme="minorHAnsi" w:hAnsiTheme="minorHAnsi" w:cstheme="minorHAnsi"/>
              </w:rPr>
              <w:t>Insurance Category</w:t>
            </w:r>
          </w:p>
        </w:tc>
        <w:tc>
          <w:tcPr>
            <w:tcW w:w="1443" w:type="dxa"/>
            <w:shd w:val="clear" w:color="auto" w:fill="auto"/>
            <w:hideMark/>
          </w:tcPr>
          <w:p w14:paraId="0A51E752" w14:textId="2A85281C" w:rsidR="00672FBD" w:rsidRPr="00842D80" w:rsidRDefault="00672FBD" w:rsidP="00BD7E81">
            <w:pPr>
              <w:jc w:val="center"/>
              <w:textAlignment w:val="baseline"/>
              <w:rPr>
                <w:rFonts w:asciiTheme="minorHAnsi" w:hAnsiTheme="minorHAnsi" w:cstheme="minorHAnsi"/>
              </w:rPr>
            </w:pPr>
            <w:r w:rsidRPr="00842D80">
              <w:rPr>
                <w:rFonts w:asciiTheme="minorHAnsi" w:hAnsiTheme="minorHAnsi" w:cstheme="minorHAnsi"/>
              </w:rPr>
              <w:t>Expected Change per Patient</w:t>
            </w:r>
          </w:p>
        </w:tc>
        <w:tc>
          <w:tcPr>
            <w:tcW w:w="1371" w:type="dxa"/>
            <w:shd w:val="clear" w:color="auto" w:fill="auto"/>
            <w:hideMark/>
          </w:tcPr>
          <w:p w14:paraId="0323EBF1" w14:textId="51607D02" w:rsidR="00672FBD" w:rsidRPr="00842D80" w:rsidRDefault="00672FBD" w:rsidP="00BD7E81">
            <w:pPr>
              <w:jc w:val="center"/>
              <w:textAlignment w:val="baseline"/>
              <w:rPr>
                <w:rFonts w:asciiTheme="minorHAnsi" w:hAnsiTheme="minorHAnsi" w:cstheme="minorHAnsi"/>
              </w:rPr>
            </w:pPr>
            <w:r w:rsidRPr="00842D80">
              <w:rPr>
                <w:rFonts w:asciiTheme="minorHAnsi" w:hAnsiTheme="minorHAnsi" w:cstheme="minorHAnsi"/>
              </w:rPr>
              <w:t>Expected Change Across All Enrollees</w:t>
            </w:r>
          </w:p>
        </w:tc>
        <w:tc>
          <w:tcPr>
            <w:tcW w:w="1488" w:type="dxa"/>
            <w:shd w:val="clear" w:color="auto" w:fill="auto"/>
            <w:hideMark/>
          </w:tcPr>
          <w:p w14:paraId="141F240A" w14:textId="7DA89076" w:rsidR="00672FBD" w:rsidRPr="00842D80" w:rsidRDefault="00672FBD" w:rsidP="00BD7E81">
            <w:pPr>
              <w:jc w:val="center"/>
              <w:textAlignment w:val="baseline"/>
              <w:rPr>
                <w:rFonts w:asciiTheme="minorHAnsi" w:hAnsiTheme="minorHAnsi" w:cstheme="minorHAnsi"/>
              </w:rPr>
            </w:pPr>
            <w:r w:rsidRPr="00842D80">
              <w:rPr>
                <w:rFonts w:asciiTheme="minorHAnsi" w:hAnsiTheme="minorHAnsi" w:cstheme="minorHAnsi"/>
              </w:rPr>
              <w:t>Expected Change per Patient</w:t>
            </w:r>
          </w:p>
        </w:tc>
        <w:tc>
          <w:tcPr>
            <w:tcW w:w="1699" w:type="dxa"/>
            <w:shd w:val="clear" w:color="auto" w:fill="auto"/>
            <w:hideMark/>
          </w:tcPr>
          <w:p w14:paraId="09B662EA" w14:textId="46BAFDCC" w:rsidR="00672FBD" w:rsidRPr="00842D80" w:rsidRDefault="00672FBD" w:rsidP="00BD7E81">
            <w:pPr>
              <w:jc w:val="center"/>
              <w:textAlignment w:val="baseline"/>
              <w:rPr>
                <w:rFonts w:asciiTheme="minorHAnsi" w:hAnsiTheme="minorHAnsi" w:cstheme="minorHAnsi"/>
              </w:rPr>
            </w:pPr>
            <w:r w:rsidRPr="00842D80">
              <w:rPr>
                <w:rFonts w:asciiTheme="minorHAnsi" w:hAnsiTheme="minorHAnsi" w:cstheme="minorHAnsi"/>
              </w:rPr>
              <w:t>Expected Change Across All Enrollees</w:t>
            </w:r>
          </w:p>
        </w:tc>
      </w:tr>
      <w:tr w:rsidR="00672FBD" w:rsidRPr="00842D80" w14:paraId="580850FF" w14:textId="77777777" w:rsidTr="00BD7E81">
        <w:trPr>
          <w:trHeight w:val="270"/>
        </w:trPr>
        <w:tc>
          <w:tcPr>
            <w:tcW w:w="3343" w:type="dxa"/>
            <w:shd w:val="clear" w:color="auto" w:fill="auto"/>
            <w:hideMark/>
          </w:tcPr>
          <w:p w14:paraId="75D3FB97" w14:textId="77777777" w:rsidR="00672FBD" w:rsidRPr="00842D80" w:rsidRDefault="00672FBD" w:rsidP="00CD3069">
            <w:pPr>
              <w:textAlignment w:val="baseline"/>
              <w:rPr>
                <w:rFonts w:asciiTheme="minorHAnsi" w:hAnsiTheme="minorHAnsi" w:cstheme="minorHAnsi"/>
              </w:rPr>
            </w:pPr>
            <w:r w:rsidRPr="00842D80">
              <w:rPr>
                <w:rFonts w:asciiTheme="minorHAnsi" w:hAnsiTheme="minorHAnsi" w:cstheme="minorHAnsi"/>
              </w:rPr>
              <w:t>Commercial </w:t>
            </w:r>
          </w:p>
        </w:tc>
        <w:tc>
          <w:tcPr>
            <w:tcW w:w="1443" w:type="dxa"/>
            <w:shd w:val="clear" w:color="auto" w:fill="auto"/>
            <w:hideMark/>
          </w:tcPr>
          <w:p w14:paraId="6067B6CE"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-20.3% </w:t>
            </w:r>
          </w:p>
        </w:tc>
        <w:tc>
          <w:tcPr>
            <w:tcW w:w="1371" w:type="dxa"/>
            <w:shd w:val="clear" w:color="auto" w:fill="auto"/>
            <w:hideMark/>
          </w:tcPr>
          <w:p w14:paraId="05DCECDC"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-0.23% </w:t>
            </w:r>
          </w:p>
        </w:tc>
        <w:tc>
          <w:tcPr>
            <w:tcW w:w="1488" w:type="dxa"/>
            <w:shd w:val="clear" w:color="auto" w:fill="auto"/>
            <w:hideMark/>
          </w:tcPr>
          <w:p w14:paraId="0777563E"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-0.4% </w:t>
            </w:r>
          </w:p>
        </w:tc>
        <w:tc>
          <w:tcPr>
            <w:tcW w:w="1699" w:type="dxa"/>
            <w:shd w:val="clear" w:color="auto" w:fill="auto"/>
            <w:hideMark/>
          </w:tcPr>
          <w:p w14:paraId="08344359"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0.00% </w:t>
            </w:r>
          </w:p>
        </w:tc>
      </w:tr>
      <w:tr w:rsidR="00672FBD" w:rsidRPr="00842D80" w14:paraId="60BD4BDE" w14:textId="77777777" w:rsidTr="00BD7E81">
        <w:trPr>
          <w:trHeight w:val="270"/>
        </w:trPr>
        <w:tc>
          <w:tcPr>
            <w:tcW w:w="3343" w:type="dxa"/>
            <w:shd w:val="clear" w:color="auto" w:fill="auto"/>
            <w:hideMark/>
          </w:tcPr>
          <w:p w14:paraId="52183228" w14:textId="77777777" w:rsidR="00672FBD" w:rsidRPr="00842D80" w:rsidRDefault="00672FBD" w:rsidP="00CD3069">
            <w:pPr>
              <w:textAlignment w:val="baseline"/>
              <w:rPr>
                <w:rFonts w:asciiTheme="minorHAnsi" w:hAnsiTheme="minorHAnsi" w:cstheme="minorHAnsi"/>
              </w:rPr>
            </w:pPr>
            <w:r w:rsidRPr="00842D80">
              <w:rPr>
                <w:rFonts w:asciiTheme="minorHAnsi" w:hAnsiTheme="minorHAnsi" w:cstheme="minorHAnsi"/>
              </w:rPr>
              <w:t>Medicare Health Plans </w:t>
            </w:r>
          </w:p>
        </w:tc>
        <w:tc>
          <w:tcPr>
            <w:tcW w:w="1443" w:type="dxa"/>
            <w:shd w:val="clear" w:color="auto" w:fill="auto"/>
            <w:hideMark/>
          </w:tcPr>
          <w:p w14:paraId="05491B7A"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-31.7% </w:t>
            </w:r>
          </w:p>
        </w:tc>
        <w:tc>
          <w:tcPr>
            <w:tcW w:w="1371" w:type="dxa"/>
            <w:shd w:val="clear" w:color="auto" w:fill="auto"/>
            <w:hideMark/>
          </w:tcPr>
          <w:p w14:paraId="60AFBCDC"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-0.23% </w:t>
            </w:r>
          </w:p>
        </w:tc>
        <w:tc>
          <w:tcPr>
            <w:tcW w:w="1488" w:type="dxa"/>
            <w:shd w:val="clear" w:color="auto" w:fill="auto"/>
            <w:hideMark/>
          </w:tcPr>
          <w:p w14:paraId="50ED1DD6"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-16.7% </w:t>
            </w:r>
          </w:p>
        </w:tc>
        <w:tc>
          <w:tcPr>
            <w:tcW w:w="1699" w:type="dxa"/>
            <w:shd w:val="clear" w:color="auto" w:fill="auto"/>
            <w:hideMark/>
          </w:tcPr>
          <w:p w14:paraId="339E7362"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-0.12% </w:t>
            </w:r>
          </w:p>
        </w:tc>
      </w:tr>
      <w:tr w:rsidR="00672FBD" w:rsidRPr="00842D80" w14:paraId="742995F1" w14:textId="77777777" w:rsidTr="00BD7E81">
        <w:trPr>
          <w:trHeight w:val="285"/>
        </w:trPr>
        <w:tc>
          <w:tcPr>
            <w:tcW w:w="3343" w:type="dxa"/>
            <w:shd w:val="clear" w:color="auto" w:fill="auto"/>
            <w:hideMark/>
          </w:tcPr>
          <w:p w14:paraId="5914789C" w14:textId="77777777" w:rsidR="00672FBD" w:rsidRPr="00842D80" w:rsidRDefault="00672FBD" w:rsidP="00CD3069">
            <w:pPr>
              <w:textAlignment w:val="baseline"/>
              <w:rPr>
                <w:rFonts w:asciiTheme="minorHAnsi" w:hAnsiTheme="minorHAnsi" w:cstheme="minorHAnsi"/>
              </w:rPr>
            </w:pPr>
            <w:r w:rsidRPr="00842D80">
              <w:rPr>
                <w:rFonts w:asciiTheme="minorHAnsi" w:hAnsiTheme="minorHAnsi" w:cstheme="minorHAnsi"/>
              </w:rPr>
              <w:t>MassHealth Managed Care </w:t>
            </w:r>
          </w:p>
        </w:tc>
        <w:tc>
          <w:tcPr>
            <w:tcW w:w="1443" w:type="dxa"/>
            <w:shd w:val="clear" w:color="auto" w:fill="auto"/>
            <w:hideMark/>
          </w:tcPr>
          <w:p w14:paraId="0163E745"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-30.3% </w:t>
            </w:r>
          </w:p>
        </w:tc>
        <w:tc>
          <w:tcPr>
            <w:tcW w:w="1371" w:type="dxa"/>
            <w:shd w:val="clear" w:color="auto" w:fill="auto"/>
            <w:hideMark/>
          </w:tcPr>
          <w:p w14:paraId="70ABF970"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-0.16% </w:t>
            </w:r>
          </w:p>
        </w:tc>
        <w:tc>
          <w:tcPr>
            <w:tcW w:w="1488" w:type="dxa"/>
            <w:shd w:val="clear" w:color="auto" w:fill="auto"/>
            <w:hideMark/>
          </w:tcPr>
          <w:p w14:paraId="108D2073"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-13.3% </w:t>
            </w:r>
          </w:p>
        </w:tc>
        <w:tc>
          <w:tcPr>
            <w:tcW w:w="1699" w:type="dxa"/>
            <w:shd w:val="clear" w:color="auto" w:fill="auto"/>
            <w:hideMark/>
          </w:tcPr>
          <w:p w14:paraId="112283DE"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-0.08% </w:t>
            </w:r>
          </w:p>
        </w:tc>
      </w:tr>
      <w:tr w:rsidR="00672FBD" w:rsidRPr="00842D80" w14:paraId="6E197812" w14:textId="77777777" w:rsidTr="00BD7E81">
        <w:trPr>
          <w:trHeight w:val="270"/>
        </w:trPr>
        <w:tc>
          <w:tcPr>
            <w:tcW w:w="3343" w:type="dxa"/>
            <w:shd w:val="clear" w:color="auto" w:fill="auto"/>
            <w:hideMark/>
          </w:tcPr>
          <w:p w14:paraId="7A6A2486" w14:textId="77777777" w:rsidR="00672FBD" w:rsidRPr="00842D80" w:rsidRDefault="00672FBD" w:rsidP="00CD3069">
            <w:pPr>
              <w:textAlignment w:val="baseline"/>
              <w:rPr>
                <w:rFonts w:asciiTheme="minorHAnsi" w:hAnsiTheme="minorHAnsi" w:cstheme="minorHAnsi"/>
              </w:rPr>
            </w:pPr>
            <w:r w:rsidRPr="00842D80">
              <w:rPr>
                <w:rFonts w:asciiTheme="minorHAnsi" w:hAnsiTheme="minorHAnsi" w:cstheme="minorHAnsi"/>
              </w:rPr>
              <w:t>MassHealth Non-Managed Care </w:t>
            </w:r>
          </w:p>
        </w:tc>
        <w:tc>
          <w:tcPr>
            <w:tcW w:w="1443" w:type="dxa"/>
            <w:shd w:val="clear" w:color="auto" w:fill="auto"/>
            <w:hideMark/>
          </w:tcPr>
          <w:p w14:paraId="55083120"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0.2% </w:t>
            </w:r>
          </w:p>
        </w:tc>
        <w:tc>
          <w:tcPr>
            <w:tcW w:w="1371" w:type="dxa"/>
            <w:shd w:val="clear" w:color="auto" w:fill="auto"/>
            <w:hideMark/>
          </w:tcPr>
          <w:p w14:paraId="365169A0"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0.00% </w:t>
            </w:r>
          </w:p>
        </w:tc>
        <w:tc>
          <w:tcPr>
            <w:tcW w:w="1488" w:type="dxa"/>
            <w:shd w:val="clear" w:color="auto" w:fill="auto"/>
            <w:hideMark/>
          </w:tcPr>
          <w:p w14:paraId="6C4DE029"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0.6% </w:t>
            </w:r>
          </w:p>
        </w:tc>
        <w:tc>
          <w:tcPr>
            <w:tcW w:w="1699" w:type="dxa"/>
            <w:shd w:val="clear" w:color="auto" w:fill="auto"/>
            <w:hideMark/>
          </w:tcPr>
          <w:p w14:paraId="029D7837"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0.00% </w:t>
            </w:r>
          </w:p>
        </w:tc>
      </w:tr>
      <w:tr w:rsidR="00672FBD" w:rsidRPr="00842D80" w14:paraId="407E7E7D" w14:textId="77777777" w:rsidTr="00BD7E81">
        <w:trPr>
          <w:trHeight w:val="270"/>
        </w:trPr>
        <w:tc>
          <w:tcPr>
            <w:tcW w:w="3343" w:type="dxa"/>
            <w:shd w:val="clear" w:color="auto" w:fill="auto"/>
            <w:hideMark/>
          </w:tcPr>
          <w:p w14:paraId="62203D2E" w14:textId="77777777" w:rsidR="00672FBD" w:rsidRPr="00842D80" w:rsidRDefault="00672FBD" w:rsidP="00CD3069">
            <w:pPr>
              <w:textAlignment w:val="baseline"/>
              <w:rPr>
                <w:rFonts w:asciiTheme="minorHAnsi" w:hAnsiTheme="minorHAnsi" w:cstheme="minorHAnsi"/>
              </w:rPr>
            </w:pPr>
            <w:r w:rsidRPr="00842D80">
              <w:rPr>
                <w:rFonts w:asciiTheme="minorHAnsi" w:hAnsiTheme="minorHAnsi" w:cstheme="minorHAnsi"/>
              </w:rPr>
              <w:t>Original Medicare </w:t>
            </w:r>
          </w:p>
        </w:tc>
        <w:tc>
          <w:tcPr>
            <w:tcW w:w="1443" w:type="dxa"/>
            <w:shd w:val="clear" w:color="auto" w:fill="auto"/>
            <w:hideMark/>
          </w:tcPr>
          <w:p w14:paraId="09D7FB2F"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-8.7% </w:t>
            </w:r>
          </w:p>
        </w:tc>
        <w:tc>
          <w:tcPr>
            <w:tcW w:w="1371" w:type="dxa"/>
            <w:shd w:val="clear" w:color="auto" w:fill="auto"/>
            <w:hideMark/>
          </w:tcPr>
          <w:p w14:paraId="3DCBFC03"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-0.07% </w:t>
            </w:r>
          </w:p>
        </w:tc>
        <w:tc>
          <w:tcPr>
            <w:tcW w:w="1488" w:type="dxa"/>
            <w:shd w:val="clear" w:color="auto" w:fill="auto"/>
            <w:hideMark/>
          </w:tcPr>
          <w:p w14:paraId="558FD2EF"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-2.8% </w:t>
            </w:r>
          </w:p>
        </w:tc>
        <w:tc>
          <w:tcPr>
            <w:tcW w:w="1699" w:type="dxa"/>
            <w:shd w:val="clear" w:color="auto" w:fill="auto"/>
            <w:hideMark/>
          </w:tcPr>
          <w:p w14:paraId="099BFE7C"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-0.02% </w:t>
            </w:r>
          </w:p>
        </w:tc>
      </w:tr>
      <w:tr w:rsidR="00672FBD" w:rsidRPr="00842D80" w14:paraId="3C441226" w14:textId="77777777" w:rsidTr="00BD7E81">
        <w:trPr>
          <w:trHeight w:val="270"/>
        </w:trPr>
        <w:tc>
          <w:tcPr>
            <w:tcW w:w="3343" w:type="dxa"/>
            <w:shd w:val="clear" w:color="auto" w:fill="auto"/>
            <w:hideMark/>
          </w:tcPr>
          <w:p w14:paraId="4FC75807" w14:textId="77777777" w:rsidR="00672FBD" w:rsidRPr="00842D80" w:rsidRDefault="00672FBD" w:rsidP="00CD3069">
            <w:pPr>
              <w:textAlignment w:val="baseline"/>
              <w:rPr>
                <w:rFonts w:asciiTheme="minorHAnsi" w:hAnsiTheme="minorHAnsi" w:cstheme="minorHAnsi"/>
              </w:rPr>
            </w:pPr>
            <w:r w:rsidRPr="00842D80">
              <w:rPr>
                <w:rFonts w:asciiTheme="minorHAnsi" w:hAnsiTheme="minorHAnsi" w:cstheme="minorHAnsi"/>
              </w:rPr>
              <w:t>Overall </w:t>
            </w:r>
          </w:p>
        </w:tc>
        <w:tc>
          <w:tcPr>
            <w:tcW w:w="1443" w:type="dxa"/>
            <w:shd w:val="clear" w:color="auto" w:fill="auto"/>
            <w:hideMark/>
          </w:tcPr>
          <w:p w14:paraId="2D88DD7C"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-11.3% </w:t>
            </w:r>
          </w:p>
        </w:tc>
        <w:tc>
          <w:tcPr>
            <w:tcW w:w="1371" w:type="dxa"/>
            <w:shd w:val="clear" w:color="auto" w:fill="auto"/>
            <w:hideMark/>
          </w:tcPr>
          <w:p w14:paraId="76A5A8D3"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-0.10% </w:t>
            </w:r>
          </w:p>
        </w:tc>
        <w:tc>
          <w:tcPr>
            <w:tcW w:w="1488" w:type="dxa"/>
            <w:shd w:val="clear" w:color="auto" w:fill="auto"/>
            <w:hideMark/>
          </w:tcPr>
          <w:p w14:paraId="4C4A8B21"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-2.8% </w:t>
            </w:r>
          </w:p>
        </w:tc>
        <w:tc>
          <w:tcPr>
            <w:tcW w:w="1699" w:type="dxa"/>
            <w:shd w:val="clear" w:color="auto" w:fill="auto"/>
            <w:hideMark/>
          </w:tcPr>
          <w:p w14:paraId="62C86127" w14:textId="77777777" w:rsidR="00672FBD" w:rsidRPr="00842D80" w:rsidRDefault="00672FBD" w:rsidP="00BD7E81">
            <w:pPr>
              <w:jc w:val="right"/>
              <w:textAlignment w:val="baseline"/>
              <w:rPr>
                <w:rFonts w:asciiTheme="minorHAnsi" w:hAnsiTheme="minorHAnsi" w:cstheme="minorHAnsi"/>
              </w:rPr>
            </w:pPr>
            <w:r w:rsidRPr="00842D80">
              <w:rPr>
                <w:rFonts w:asciiTheme="minorHAnsi" w:hAnsiTheme="minorHAnsi" w:cstheme="minorHAnsi"/>
              </w:rPr>
              <w:t>-0.02% </w:t>
            </w:r>
          </w:p>
        </w:tc>
      </w:tr>
    </w:tbl>
    <w:p w14:paraId="1A7914BF" w14:textId="77777777" w:rsidR="00672FBD" w:rsidRPr="00842D80" w:rsidRDefault="00672FBD" w:rsidP="00672FBD">
      <w:pPr>
        <w:textAlignment w:val="baseline"/>
        <w:rPr>
          <w:rFonts w:asciiTheme="minorHAnsi" w:hAnsiTheme="minorHAnsi" w:cstheme="minorHAnsi"/>
        </w:rPr>
      </w:pPr>
    </w:p>
    <w:p w14:paraId="3C54A053" w14:textId="625AB07B" w:rsidR="00702716" w:rsidRDefault="00672FBD" w:rsidP="00447691">
      <w:pPr>
        <w:rPr>
          <w:rFonts w:asciiTheme="minorHAnsi" w:hAnsiTheme="minorHAnsi" w:cstheme="minorHAnsi"/>
        </w:rPr>
      </w:pPr>
      <w:r w:rsidRPr="00447691">
        <w:rPr>
          <w:rFonts w:asciiTheme="minorHAnsi" w:hAnsiTheme="minorHAnsi" w:cstheme="minorHAnsi"/>
        </w:rPr>
        <w:t>Conversely, the HPC indicates the Proposed Project</w:t>
      </w:r>
      <w:r w:rsidRPr="00447691" w:rsidDel="00F97940">
        <w:rPr>
          <w:rFonts w:asciiTheme="minorHAnsi" w:hAnsiTheme="minorHAnsi" w:cstheme="minorHAnsi"/>
        </w:rPr>
        <w:t xml:space="preserve"> </w:t>
      </w:r>
      <w:r w:rsidRPr="00447691">
        <w:rPr>
          <w:rFonts w:asciiTheme="minorHAnsi" w:hAnsiTheme="minorHAnsi" w:cstheme="minorHAnsi"/>
        </w:rPr>
        <w:t xml:space="preserve">will contribute 0.36% to 0.4% to a system wide increase in MGB’s inpatient bed prices. </w:t>
      </w:r>
    </w:p>
    <w:p w14:paraId="6C514C60" w14:textId="77777777" w:rsidR="00702716" w:rsidRDefault="00702716" w:rsidP="00447691">
      <w:pPr>
        <w:rPr>
          <w:rFonts w:asciiTheme="minorHAnsi" w:hAnsiTheme="minorHAnsi" w:cstheme="minorHAnsi"/>
        </w:rPr>
      </w:pPr>
    </w:p>
    <w:p w14:paraId="37AF65BD" w14:textId="2E3E1D10" w:rsidR="00672FBD" w:rsidRPr="00447691" w:rsidRDefault="00672FBD" w:rsidP="00447691">
      <w:pPr>
        <w:rPr>
          <w:rFonts w:asciiTheme="minorHAnsi" w:hAnsiTheme="minorHAnsi" w:cstheme="minorHAnsi"/>
        </w:rPr>
      </w:pPr>
      <w:r w:rsidRPr="00447691">
        <w:rPr>
          <w:rFonts w:asciiTheme="minorHAnsi" w:hAnsiTheme="minorHAnsi" w:cstheme="minorHAnsi"/>
        </w:rPr>
        <w:t xml:space="preserve">CRA also analyzed the Proposed Project’s impact on outpatient MRI volume and spending, as well as its impact on MGB’s MRI market share in the area surrounding BWFH. In its analysis, CRA assigned an HHI score qualifying as “moderately concentrated” for MRI services in the area surrounding BWFH both prior to and after implementation of the Proposed Project. The ICA estimates the HHI score would increase by just 25 points after implementation. While it estimates MRI scans at BWFH will increase 15% by 2030 and will result in between 0.5% and 22.8% increase in insurer spending per patient switching to BWFH, CRA’s analysis shows only a 0.4% increase in MGB’s MRI market share with essentially no impact on other provider systems. HPC’s analysis </w:t>
      </w:r>
      <w:r w:rsidR="00702716">
        <w:rPr>
          <w:rFonts w:asciiTheme="minorHAnsi" w:hAnsiTheme="minorHAnsi" w:cstheme="minorHAnsi"/>
        </w:rPr>
        <w:t xml:space="preserve">of the cost impact of the MRI </w:t>
      </w:r>
      <w:r w:rsidRPr="00447691">
        <w:rPr>
          <w:rFonts w:asciiTheme="minorHAnsi" w:hAnsiTheme="minorHAnsi" w:cstheme="minorHAnsi"/>
        </w:rPr>
        <w:t xml:space="preserve">estimates commercial spending would decrease $91,000 annually </w:t>
      </w:r>
      <w:proofErr w:type="gramStart"/>
      <w:r w:rsidRPr="00447691">
        <w:rPr>
          <w:rFonts w:asciiTheme="minorHAnsi" w:hAnsiTheme="minorHAnsi" w:cstheme="minorHAnsi"/>
        </w:rPr>
        <w:t>as a result of</w:t>
      </w:r>
      <w:proofErr w:type="gramEnd"/>
      <w:r w:rsidRPr="00447691">
        <w:rPr>
          <w:rFonts w:asciiTheme="minorHAnsi" w:hAnsiTheme="minorHAnsi" w:cstheme="minorHAnsi"/>
        </w:rPr>
        <w:t xml:space="preserve"> the Proposed Project’s MRI component. </w:t>
      </w:r>
    </w:p>
    <w:p w14:paraId="5EDECD63" w14:textId="77777777" w:rsidR="00672FBD" w:rsidRPr="00447691" w:rsidRDefault="00672FBD" w:rsidP="00672FBD">
      <w:pPr>
        <w:contextualSpacing/>
        <w:rPr>
          <w:rFonts w:asciiTheme="minorHAnsi" w:hAnsiTheme="minorHAnsi" w:cstheme="minorHAnsi"/>
          <w:b/>
        </w:rPr>
      </w:pPr>
    </w:p>
    <w:p w14:paraId="247A44FB" w14:textId="0073DDA1" w:rsidR="00672FBD" w:rsidRPr="007F799D" w:rsidRDefault="00672FBD" w:rsidP="00672FBD">
      <w:pPr>
        <w:contextualSpacing/>
        <w:rPr>
          <w:rFonts w:asciiTheme="minorHAnsi" w:hAnsiTheme="minorHAnsi" w:cstheme="minorHAnsi"/>
          <w:b/>
          <w:i/>
          <w:iCs/>
        </w:rPr>
      </w:pPr>
      <w:r w:rsidRPr="007F799D">
        <w:rPr>
          <w:rFonts w:asciiTheme="minorHAnsi" w:hAnsiTheme="minorHAnsi" w:cstheme="minorHAnsi"/>
          <w:b/>
          <w:i/>
          <w:iCs/>
        </w:rPr>
        <w:t>Analysis</w:t>
      </w:r>
      <w:r w:rsidR="007F799D" w:rsidRPr="007F799D">
        <w:rPr>
          <w:rFonts w:asciiTheme="minorHAnsi" w:hAnsiTheme="minorHAnsi" w:cstheme="minorHAnsi"/>
          <w:b/>
          <w:i/>
          <w:iCs/>
        </w:rPr>
        <w:t xml:space="preserve"> </w:t>
      </w:r>
    </w:p>
    <w:p w14:paraId="01B507E3" w14:textId="77777777" w:rsidR="00672FBD" w:rsidRPr="00842D80" w:rsidRDefault="00672FBD" w:rsidP="00672FBD">
      <w:pPr>
        <w:textAlignment w:val="baseline"/>
        <w:rPr>
          <w:rFonts w:asciiTheme="minorHAnsi" w:hAnsiTheme="minorHAnsi" w:cstheme="minorHAnsi"/>
        </w:rPr>
      </w:pPr>
    </w:p>
    <w:p w14:paraId="18FC3382" w14:textId="7EA8A677" w:rsidR="00672FBD" w:rsidRPr="00447691" w:rsidRDefault="00672FBD" w:rsidP="00672FBD">
      <w:pPr>
        <w:contextualSpacing/>
        <w:rPr>
          <w:rFonts w:asciiTheme="minorHAnsi" w:hAnsiTheme="minorHAnsi" w:cstheme="minorHAnsi"/>
          <w:bCs/>
        </w:rPr>
      </w:pPr>
      <w:r w:rsidRPr="00447691">
        <w:rPr>
          <w:rFonts w:asciiTheme="minorHAnsi" w:hAnsiTheme="minorHAnsi" w:cstheme="minorHAnsi"/>
          <w:bCs/>
        </w:rPr>
        <w:t xml:space="preserve">MGB asserts the Proposed Project will shift appropriate care from BWH to BWFH and </w:t>
      </w:r>
      <w:r w:rsidRPr="00447691">
        <w:rPr>
          <w:rFonts w:asciiTheme="minorHAnsi" w:hAnsiTheme="minorHAnsi" w:cstheme="minorHAnsi"/>
        </w:rPr>
        <w:t>generate efficiencies and reduce costs</w:t>
      </w:r>
      <w:r w:rsidRPr="00447691">
        <w:rPr>
          <w:rFonts w:asciiTheme="minorHAnsi" w:hAnsiTheme="minorHAnsi" w:cstheme="minorHAnsi"/>
          <w:bCs/>
        </w:rPr>
        <w:t xml:space="preserve"> in support of its system-wide </w:t>
      </w:r>
      <w:r w:rsidRPr="00447691">
        <w:rPr>
          <w:rFonts w:asciiTheme="minorHAnsi" w:hAnsiTheme="minorHAnsi" w:cstheme="minorHAnsi"/>
        </w:rPr>
        <w:t xml:space="preserve">efforts to ensure patients in need of tertiary and quaternary care are treated in AMCs, while less acute patients receive treatment in community hospitals. </w:t>
      </w:r>
      <w:r w:rsidRPr="00447691">
        <w:rPr>
          <w:rFonts w:asciiTheme="minorHAnsi" w:hAnsiTheme="minorHAnsi" w:cstheme="minorHAnsi"/>
          <w:bCs/>
        </w:rPr>
        <w:t xml:space="preserve">The ICA’s findings support this, projecting a spending reduction for inpatient care for four out of five insurance types analyzed. For the fifth category (MassHealth non-managed care), the ICA finds less than a 1% change in spending per patient switching to BWFH and no change when </w:t>
      </w:r>
      <w:proofErr w:type="gramStart"/>
      <w:r w:rsidRPr="00447691">
        <w:rPr>
          <w:rFonts w:asciiTheme="minorHAnsi" w:hAnsiTheme="minorHAnsi" w:cstheme="minorHAnsi"/>
          <w:bCs/>
        </w:rPr>
        <w:t>taking into account</w:t>
      </w:r>
      <w:proofErr w:type="gramEnd"/>
      <w:r w:rsidRPr="00447691">
        <w:rPr>
          <w:rFonts w:asciiTheme="minorHAnsi" w:hAnsiTheme="minorHAnsi" w:cstheme="minorHAnsi"/>
          <w:bCs/>
        </w:rPr>
        <w:t xml:space="preserve"> all enrolle</w:t>
      </w:r>
      <w:r w:rsidR="00815488">
        <w:rPr>
          <w:rFonts w:asciiTheme="minorHAnsi" w:hAnsiTheme="minorHAnsi" w:cstheme="minorHAnsi"/>
          <w:bCs/>
        </w:rPr>
        <w:t>es</w:t>
      </w:r>
      <w:r w:rsidRPr="00447691">
        <w:rPr>
          <w:rFonts w:asciiTheme="minorHAnsi" w:hAnsiTheme="minorHAnsi" w:cstheme="minorHAnsi"/>
          <w:bCs/>
        </w:rPr>
        <w:t xml:space="preserve"> in that insurance category. </w:t>
      </w:r>
      <w:r w:rsidR="00815488" w:rsidRPr="00447691">
        <w:rPr>
          <w:rFonts w:asciiTheme="minorHAnsi" w:hAnsiTheme="minorHAnsi" w:cstheme="minorHAnsi"/>
          <w:bCs/>
        </w:rPr>
        <w:t>CRA’s analysis concludes that serving the need of BWH patients, as well as the volume of patients it estimates would switch from BWH, would result in modest cost decrease of 0.02%.</w:t>
      </w:r>
    </w:p>
    <w:p w14:paraId="1E50C3DE" w14:textId="77777777" w:rsidR="00672FBD" w:rsidRPr="00447691" w:rsidRDefault="00672FBD" w:rsidP="00672FBD">
      <w:pPr>
        <w:contextualSpacing/>
        <w:rPr>
          <w:rFonts w:asciiTheme="minorHAnsi" w:hAnsiTheme="minorHAnsi" w:cstheme="minorHAnsi"/>
          <w:bCs/>
        </w:rPr>
      </w:pPr>
    </w:p>
    <w:p w14:paraId="1B76EAA0" w14:textId="763FE5F0" w:rsidR="00672FBD" w:rsidRPr="00447691" w:rsidRDefault="00672FBD" w:rsidP="00672FBD">
      <w:pPr>
        <w:contextualSpacing/>
        <w:rPr>
          <w:rFonts w:asciiTheme="minorHAnsi" w:hAnsiTheme="minorHAnsi" w:cstheme="minorHAnsi"/>
          <w:bCs/>
        </w:rPr>
      </w:pPr>
      <w:r w:rsidRPr="00447691">
        <w:rPr>
          <w:rFonts w:asciiTheme="minorHAnsi" w:hAnsiTheme="minorHAnsi" w:cstheme="minorHAnsi"/>
          <w:bCs/>
        </w:rPr>
        <w:lastRenderedPageBreak/>
        <w:t xml:space="preserve">However, as noted by the HPC, neither MGB nor the ICA has accounted for backfill of previously filled capacity at BWFH prior to implementation of MGB’s ambulatory expansion. In the AGO’s report for the HPC’s annual cost trends hearings, the </w:t>
      </w:r>
      <w:r w:rsidR="004374DE">
        <w:rPr>
          <w:rFonts w:asciiTheme="minorHAnsi" w:hAnsiTheme="minorHAnsi" w:cstheme="minorHAnsi"/>
          <w:bCs/>
        </w:rPr>
        <w:t>O</w:t>
      </w:r>
      <w:r w:rsidRPr="00447691">
        <w:rPr>
          <w:rFonts w:asciiTheme="minorHAnsi" w:hAnsiTheme="minorHAnsi" w:cstheme="minorHAnsi"/>
          <w:bCs/>
        </w:rPr>
        <w:t>ffice notes that despite the shift of patients from MGB hospitals to its proposed ambulatory sites, the margin increase gained due to patients referring to MGB hospitals (which would include BWFH) outweigh the projected losses. HPC estimates the expanded BWFH capacity and backfilling</w:t>
      </w:r>
      <w:r w:rsidR="00541032">
        <w:rPr>
          <w:rFonts w:asciiTheme="minorHAnsi" w:hAnsiTheme="minorHAnsi" w:cstheme="minorHAnsi"/>
          <w:bCs/>
        </w:rPr>
        <w:t xml:space="preserve"> (including the impact on price due to increased market share)</w:t>
      </w:r>
      <w:r w:rsidRPr="00447691">
        <w:rPr>
          <w:rFonts w:asciiTheme="minorHAnsi" w:hAnsiTheme="minorHAnsi" w:cstheme="minorHAnsi"/>
          <w:bCs/>
        </w:rPr>
        <w:t xml:space="preserve"> would add $6.4M to $7.9M to commercial insurance costs annually which offsets the slight decrease in spending </w:t>
      </w:r>
      <w:r w:rsidR="00541032">
        <w:rPr>
          <w:rFonts w:asciiTheme="minorHAnsi" w:hAnsiTheme="minorHAnsi" w:cstheme="minorHAnsi"/>
          <w:bCs/>
        </w:rPr>
        <w:t xml:space="preserve">the HPC found </w:t>
      </w:r>
      <w:r w:rsidRPr="00447691">
        <w:rPr>
          <w:rFonts w:asciiTheme="minorHAnsi" w:hAnsiTheme="minorHAnsi" w:cstheme="minorHAnsi"/>
          <w:bCs/>
        </w:rPr>
        <w:t xml:space="preserve">related to BWFH’s MRI expansion.  </w:t>
      </w:r>
      <w:r w:rsidR="00137011">
        <w:rPr>
          <w:rFonts w:asciiTheme="minorHAnsi" w:hAnsiTheme="minorHAnsi" w:cstheme="minorHAnsi"/>
          <w:bCs/>
        </w:rPr>
        <w:t xml:space="preserve">If MGB’s ambulatory expansion does not occur, this cost increase will be somewhat diminished. </w:t>
      </w:r>
    </w:p>
    <w:p w14:paraId="5CD99ADF" w14:textId="77777777" w:rsidR="00672FBD" w:rsidRPr="00447691" w:rsidRDefault="00672FBD" w:rsidP="00672FBD">
      <w:pPr>
        <w:contextualSpacing/>
        <w:rPr>
          <w:rFonts w:asciiTheme="minorHAnsi" w:hAnsiTheme="minorHAnsi" w:cstheme="minorHAnsi"/>
          <w:bCs/>
        </w:rPr>
      </w:pPr>
    </w:p>
    <w:p w14:paraId="231741A4" w14:textId="17102154" w:rsidR="00672FBD" w:rsidRPr="00447691" w:rsidRDefault="00672FBD" w:rsidP="00672FBD">
      <w:pPr>
        <w:contextualSpacing/>
        <w:rPr>
          <w:rFonts w:asciiTheme="minorHAnsi" w:hAnsiTheme="minorHAnsi" w:cstheme="minorHAnsi"/>
          <w:bCs/>
        </w:rPr>
      </w:pPr>
      <w:r w:rsidRPr="00447691">
        <w:rPr>
          <w:rFonts w:asciiTheme="minorHAnsi" w:hAnsiTheme="minorHAnsi" w:cstheme="minorHAnsi"/>
          <w:bCs/>
        </w:rPr>
        <w:t xml:space="preserve">MGB’s planned inpatient expansion at both MGH and BWFH represents approximately a 7% increase in MGB’s inpatient capacity. </w:t>
      </w:r>
      <w:r w:rsidR="00137011">
        <w:rPr>
          <w:rFonts w:asciiTheme="minorHAnsi" w:hAnsiTheme="minorHAnsi" w:cstheme="minorHAnsi"/>
          <w:bCs/>
        </w:rPr>
        <w:t>According to</w:t>
      </w:r>
      <w:r w:rsidR="00137011" w:rsidRPr="00447691">
        <w:rPr>
          <w:rFonts w:asciiTheme="minorHAnsi" w:hAnsiTheme="minorHAnsi" w:cstheme="minorHAnsi"/>
          <w:bCs/>
        </w:rPr>
        <w:t xml:space="preserve"> </w:t>
      </w:r>
      <w:r w:rsidRPr="00447691">
        <w:rPr>
          <w:rFonts w:asciiTheme="minorHAnsi" w:hAnsiTheme="minorHAnsi" w:cstheme="minorHAnsi"/>
          <w:bCs/>
        </w:rPr>
        <w:t xml:space="preserve">the AGO report that is based, in part, on MGB internal documents, </w:t>
      </w:r>
      <w:r w:rsidRPr="00447691">
        <w:rPr>
          <w:rFonts w:asciiTheme="minorHAnsi" w:hAnsiTheme="minorHAnsi" w:cstheme="minorHAnsi"/>
        </w:rPr>
        <w:t>MGB projected it would gain an additional 1-2% of all secondary inpatient admissions in Eastern Massachusetts and an additional 3-4% of all tertiary inpatient admissions in Eastern Massachusetts.</w:t>
      </w:r>
      <w:r w:rsidRPr="00447691">
        <w:rPr>
          <w:rFonts w:asciiTheme="minorHAnsi" w:hAnsiTheme="minorHAnsi" w:cstheme="minorHAnsi"/>
          <w:bCs/>
        </w:rPr>
        <w:t xml:space="preserve"> In its analysis, the HPC notes that while BWFH’s expansion will contribute to increase</w:t>
      </w:r>
      <w:r w:rsidR="00D50182">
        <w:rPr>
          <w:rFonts w:asciiTheme="minorHAnsi" w:hAnsiTheme="minorHAnsi" w:cstheme="minorHAnsi"/>
          <w:bCs/>
        </w:rPr>
        <w:t>d</w:t>
      </w:r>
      <w:r w:rsidRPr="00447691">
        <w:rPr>
          <w:rFonts w:asciiTheme="minorHAnsi" w:hAnsiTheme="minorHAnsi" w:cstheme="minorHAnsi"/>
          <w:bCs/>
        </w:rPr>
        <w:t xml:space="preserve"> capacity, it will have a minimal impact on MGB inpatient prices overall (0.36% to 0.4%).  </w:t>
      </w:r>
    </w:p>
    <w:p w14:paraId="4E3E083E" w14:textId="77777777" w:rsidR="00672FBD" w:rsidRPr="00447691" w:rsidRDefault="00672FBD" w:rsidP="00672FBD">
      <w:pPr>
        <w:textAlignment w:val="baseline"/>
        <w:rPr>
          <w:rFonts w:asciiTheme="minorHAnsi" w:hAnsiTheme="minorHAnsi" w:cstheme="minorHAnsi"/>
        </w:rPr>
      </w:pPr>
    </w:p>
    <w:p w14:paraId="3CCF204B" w14:textId="016B0CEC" w:rsidR="00672FBD" w:rsidRDefault="00672FBD" w:rsidP="00672FBD">
      <w:pPr>
        <w:contextualSpacing/>
        <w:rPr>
          <w:rFonts w:asciiTheme="minorHAnsi" w:hAnsiTheme="minorHAnsi" w:cstheme="minorHAnsi"/>
        </w:rPr>
      </w:pPr>
      <w:r w:rsidRPr="00447691">
        <w:rPr>
          <w:rFonts w:asciiTheme="minorHAnsi" w:hAnsiTheme="minorHAnsi" w:cstheme="minorHAnsi"/>
        </w:rPr>
        <w:t xml:space="preserve">Staff notes </w:t>
      </w:r>
      <w:proofErr w:type="spellStart"/>
      <w:r w:rsidRPr="00447691">
        <w:rPr>
          <w:rFonts w:asciiTheme="minorHAnsi" w:hAnsiTheme="minorHAnsi" w:cstheme="minorHAnsi"/>
        </w:rPr>
        <w:t>DoN’s</w:t>
      </w:r>
      <w:proofErr w:type="spellEnd"/>
      <w:r w:rsidRPr="00447691">
        <w:rPr>
          <w:rFonts w:asciiTheme="minorHAnsi" w:hAnsiTheme="minorHAnsi" w:cstheme="minorHAnsi"/>
        </w:rPr>
        <w:t xml:space="preserve"> ability to require the Applicant to limit the project to the need described, and in this context has considered projections included in the HPC’s comment on the </w:t>
      </w:r>
      <w:r w:rsidR="00447691" w:rsidRPr="00447691">
        <w:rPr>
          <w:rFonts w:asciiTheme="minorHAnsi" w:hAnsiTheme="minorHAnsi" w:cstheme="minorHAnsi"/>
        </w:rPr>
        <w:t>ICA about</w:t>
      </w:r>
      <w:r w:rsidRPr="00447691">
        <w:rPr>
          <w:rFonts w:asciiTheme="minorHAnsi" w:hAnsiTheme="minorHAnsi" w:cstheme="minorHAnsi"/>
        </w:rPr>
        <w:t xml:space="preserve"> backfill and other issues about what might happen throughout the Applicant system. Conditions recommended in the report are geared accordingly, focused on MGB serving its existing Patient Panel need in these geographies, to which their projected cost savings are tied. </w:t>
      </w:r>
    </w:p>
    <w:p w14:paraId="02DB5AB5" w14:textId="77777777" w:rsidR="00447691" w:rsidRPr="00447691" w:rsidRDefault="00447691" w:rsidP="00672FBD">
      <w:pPr>
        <w:contextualSpacing/>
        <w:rPr>
          <w:rFonts w:asciiTheme="minorHAnsi" w:hAnsiTheme="minorHAnsi" w:cstheme="minorHAnsi"/>
        </w:rPr>
      </w:pPr>
    </w:p>
    <w:p w14:paraId="7116BB0E" w14:textId="0C652120" w:rsidR="00672FBD" w:rsidRPr="00447691" w:rsidRDefault="00672FBD" w:rsidP="00672FBD">
      <w:pPr>
        <w:contextualSpacing/>
        <w:rPr>
          <w:rFonts w:asciiTheme="minorHAnsi" w:hAnsiTheme="minorHAnsi" w:cstheme="minorHAnsi"/>
          <w:bCs/>
        </w:rPr>
      </w:pPr>
      <w:r w:rsidRPr="00447691">
        <w:rPr>
          <w:rFonts w:asciiTheme="minorHAnsi" w:hAnsiTheme="minorHAnsi" w:cstheme="minorHAnsi"/>
          <w:bCs/>
        </w:rPr>
        <w:t>Two of the Applicant’s stated goals for MGB’s system-wide strategy, of which the Proposed Project is part, include “reducing the total cost of health care by developing delivery models that focus on value” and “improving health outcomes across the full continuum of care with an emphasis on the development by Mass General Brigham’s academic medical centers of multidisciplinary centers of excellence for tertiary and quaternary care.” Together, these two goals support patients accessing care in the most cost-effective</w:t>
      </w:r>
      <w:r w:rsidR="00C35E96">
        <w:rPr>
          <w:rFonts w:asciiTheme="minorHAnsi" w:hAnsiTheme="minorHAnsi" w:cstheme="minorHAnsi"/>
          <w:bCs/>
        </w:rPr>
        <w:t>,</w:t>
      </w:r>
      <w:r w:rsidR="00137011">
        <w:rPr>
          <w:rFonts w:asciiTheme="minorHAnsi" w:hAnsiTheme="minorHAnsi" w:cstheme="minorHAnsi"/>
          <w:bCs/>
        </w:rPr>
        <w:t xml:space="preserve"> </w:t>
      </w:r>
      <w:r w:rsidRPr="00447691">
        <w:rPr>
          <w:rFonts w:asciiTheme="minorHAnsi" w:hAnsiTheme="minorHAnsi" w:cstheme="minorHAnsi"/>
          <w:bCs/>
        </w:rPr>
        <w:t xml:space="preserve">appropriate setting. To address concerns that the Proposed Project will enable backfill of newly available capacity either at BWH or BWFH, or with patients who would have otherwise been seen by another provider, the Department recommends a condition that monitors patient transfers to and from BWH, as well as the portion of patients transferring to BWFH from a non-MGB facility, and the percent of patients receiving the services approved in this </w:t>
      </w:r>
      <w:proofErr w:type="spellStart"/>
      <w:r w:rsidRPr="00447691">
        <w:rPr>
          <w:rFonts w:asciiTheme="minorHAnsi" w:hAnsiTheme="minorHAnsi" w:cstheme="minorHAnsi"/>
          <w:bCs/>
        </w:rPr>
        <w:t>DoN</w:t>
      </w:r>
      <w:proofErr w:type="spellEnd"/>
      <w:r w:rsidRPr="00447691">
        <w:rPr>
          <w:rFonts w:asciiTheme="minorHAnsi" w:hAnsiTheme="minorHAnsi" w:cstheme="minorHAnsi"/>
          <w:bCs/>
        </w:rPr>
        <w:t xml:space="preserve"> at BWFH who were not previously part of the MGB Patient Panel.  </w:t>
      </w:r>
    </w:p>
    <w:p w14:paraId="41D3776D" w14:textId="77777777" w:rsidR="00672FBD" w:rsidRPr="00447691" w:rsidRDefault="00672FBD" w:rsidP="00672FBD">
      <w:pPr>
        <w:rPr>
          <w:rFonts w:asciiTheme="minorHAnsi" w:hAnsiTheme="minorHAnsi" w:cstheme="minorHAnsi"/>
        </w:rPr>
      </w:pPr>
    </w:p>
    <w:p w14:paraId="689979A5" w14:textId="7C8C2976" w:rsidR="00672FBD" w:rsidRDefault="00672FBD" w:rsidP="00672FBD">
      <w:pPr>
        <w:rPr>
          <w:rFonts w:asciiTheme="minorHAnsi" w:hAnsiTheme="minorHAnsi" w:cstheme="minorHAnsi"/>
        </w:rPr>
      </w:pPr>
      <w:r w:rsidRPr="00447691">
        <w:rPr>
          <w:rFonts w:asciiTheme="minorHAnsi" w:hAnsiTheme="minorHAnsi" w:cstheme="minorHAnsi"/>
        </w:rPr>
        <w:t>As noted above</w:t>
      </w:r>
      <w:r w:rsidR="00C35E96">
        <w:rPr>
          <w:rFonts w:asciiTheme="minorHAnsi" w:hAnsiTheme="minorHAnsi" w:cstheme="minorHAnsi"/>
        </w:rPr>
        <w:t>,</w:t>
      </w:r>
      <w:r w:rsidRPr="00447691">
        <w:rPr>
          <w:rFonts w:asciiTheme="minorHAnsi" w:hAnsiTheme="minorHAnsi" w:cstheme="minorHAnsi"/>
        </w:rPr>
        <w:t xml:space="preserve"> conditions will be in effect to monitor the impact of the Proposed Project and to ensure that MGB is efficiently serving its existing Patient Panel at BWFH. These conditions will mitigate against the concerns articulated by commenters around both backfill at BWFH and impacts of further increase in MGB market share. It is also worth noting that the HPC is requiring MGB to develop a performance improvement plan (PIP) that must include strategies, action steps, and measurable expected outcomes to improve their spending performance. This is the first PIP the HPC has required and speaks to the significant concerns of the HPC regarding MGB’s costs to the </w:t>
      </w:r>
      <w:r w:rsidR="00736AFA">
        <w:rPr>
          <w:rFonts w:asciiTheme="minorHAnsi" w:hAnsiTheme="minorHAnsi" w:cstheme="minorHAnsi"/>
        </w:rPr>
        <w:t>health care</w:t>
      </w:r>
      <w:r w:rsidRPr="00447691">
        <w:rPr>
          <w:rFonts w:asciiTheme="minorHAnsi" w:hAnsiTheme="minorHAnsi" w:cstheme="minorHAnsi"/>
        </w:rPr>
        <w:t xml:space="preserve"> system. The standard condition set forth at 105 CMR 100.310(A)(18) indicates that should the HPC find that </w:t>
      </w:r>
      <w:r w:rsidR="00C35E96">
        <w:rPr>
          <w:rFonts w:asciiTheme="minorHAnsi" w:hAnsiTheme="minorHAnsi" w:cstheme="minorHAnsi"/>
        </w:rPr>
        <w:t xml:space="preserve">a </w:t>
      </w:r>
      <w:r w:rsidRPr="00447691">
        <w:rPr>
          <w:rFonts w:asciiTheme="minorHAnsi" w:hAnsiTheme="minorHAnsi" w:cstheme="minorHAnsi"/>
        </w:rPr>
        <w:t xml:space="preserve">Holder of a </w:t>
      </w:r>
      <w:r w:rsidR="00C35E96">
        <w:rPr>
          <w:rFonts w:asciiTheme="minorHAnsi" w:hAnsiTheme="minorHAnsi" w:cstheme="minorHAnsi"/>
        </w:rPr>
        <w:t>D</w:t>
      </w:r>
      <w:r w:rsidRPr="00447691">
        <w:rPr>
          <w:rFonts w:asciiTheme="minorHAnsi" w:hAnsiTheme="minorHAnsi" w:cstheme="minorHAnsi"/>
        </w:rPr>
        <w:t xml:space="preserve">etermination of </w:t>
      </w:r>
      <w:r w:rsidR="00C35E96">
        <w:rPr>
          <w:rFonts w:asciiTheme="minorHAnsi" w:hAnsiTheme="minorHAnsi" w:cstheme="minorHAnsi"/>
        </w:rPr>
        <w:t>N</w:t>
      </w:r>
      <w:r w:rsidRPr="00447691">
        <w:rPr>
          <w:rFonts w:asciiTheme="minorHAnsi" w:hAnsiTheme="minorHAnsi" w:cstheme="minorHAnsi"/>
        </w:rPr>
        <w:t xml:space="preserve">eed </w:t>
      </w:r>
      <w:r w:rsidR="00C35E96">
        <w:rPr>
          <w:rFonts w:asciiTheme="minorHAnsi" w:hAnsiTheme="minorHAnsi" w:cstheme="minorHAnsi"/>
        </w:rPr>
        <w:t xml:space="preserve">who is </w:t>
      </w:r>
      <w:r w:rsidRPr="00447691">
        <w:rPr>
          <w:rFonts w:asciiTheme="minorHAnsi" w:hAnsiTheme="minorHAnsi" w:cstheme="minorHAnsi"/>
        </w:rPr>
        <w:t xml:space="preserve">required to develop and file a PIP is not fully complying with </w:t>
      </w:r>
      <w:r w:rsidRPr="00447691">
        <w:rPr>
          <w:rFonts w:asciiTheme="minorHAnsi" w:hAnsiTheme="minorHAnsi" w:cstheme="minorHAnsi"/>
        </w:rPr>
        <w:lastRenderedPageBreak/>
        <w:t xml:space="preserve">the PIP, the Holder must report to the Department as to why the Holder should still be deemed in compliance with the terms and conditions of the </w:t>
      </w:r>
      <w:r w:rsidR="00C35E96">
        <w:rPr>
          <w:rFonts w:asciiTheme="minorHAnsi" w:hAnsiTheme="minorHAnsi" w:cstheme="minorHAnsi"/>
        </w:rPr>
        <w:t>D</w:t>
      </w:r>
      <w:r w:rsidRPr="00447691">
        <w:rPr>
          <w:rFonts w:asciiTheme="minorHAnsi" w:hAnsiTheme="minorHAnsi" w:cstheme="minorHAnsi"/>
        </w:rPr>
        <w:t xml:space="preserve">etermination of </w:t>
      </w:r>
      <w:r w:rsidR="00C35E96">
        <w:rPr>
          <w:rFonts w:asciiTheme="minorHAnsi" w:hAnsiTheme="minorHAnsi" w:cstheme="minorHAnsi"/>
        </w:rPr>
        <w:t>N</w:t>
      </w:r>
      <w:r w:rsidRPr="00447691">
        <w:rPr>
          <w:rFonts w:asciiTheme="minorHAnsi" w:hAnsiTheme="minorHAnsi" w:cstheme="minorHAnsi"/>
        </w:rPr>
        <w:t xml:space="preserve">eed approval.  </w:t>
      </w:r>
    </w:p>
    <w:p w14:paraId="6AFAF37C" w14:textId="77777777" w:rsidR="00447691" w:rsidRPr="00447691" w:rsidRDefault="00447691" w:rsidP="00672FBD">
      <w:pPr>
        <w:rPr>
          <w:rFonts w:asciiTheme="minorHAnsi" w:hAnsiTheme="minorHAnsi" w:cstheme="minorHAnsi"/>
        </w:rPr>
      </w:pPr>
    </w:p>
    <w:p w14:paraId="62DCA21B" w14:textId="77777777" w:rsidR="00672FBD" w:rsidRPr="00447691" w:rsidRDefault="00672FBD" w:rsidP="00672FBD">
      <w:pPr>
        <w:rPr>
          <w:rFonts w:asciiTheme="minorHAnsi" w:hAnsiTheme="minorHAnsi" w:cstheme="minorHAnsi"/>
        </w:rPr>
      </w:pPr>
      <w:r w:rsidRPr="00447691">
        <w:rPr>
          <w:rFonts w:asciiTheme="minorHAnsi" w:hAnsiTheme="minorHAnsi" w:cstheme="minorHAnsi"/>
        </w:rPr>
        <w:t xml:space="preserve">Thus, the cost containment components of Factor 2 and Factor 4 are met with conditions. </w:t>
      </w:r>
    </w:p>
    <w:p w14:paraId="791DA89B" w14:textId="55472AC0" w:rsidR="00DD254C" w:rsidRPr="00447691" w:rsidRDefault="39F010BB" w:rsidP="78F650E0">
      <w:pPr>
        <w:rPr>
          <w:rFonts w:asciiTheme="minorHAnsi" w:hAnsiTheme="minorHAnsi" w:cstheme="minorHAnsi"/>
        </w:rPr>
      </w:pPr>
      <w:r w:rsidRPr="00447691">
        <w:rPr>
          <w:rFonts w:asciiTheme="minorHAnsi" w:hAnsiTheme="minorHAnsi" w:cstheme="minorHAnsi"/>
        </w:rPr>
        <w:t xml:space="preserve"> </w:t>
      </w:r>
    </w:p>
    <w:p w14:paraId="54450B46" w14:textId="2CE229ED" w:rsidR="002D535F" w:rsidRPr="00447691" w:rsidRDefault="002D535F" w:rsidP="00D46510">
      <w:pPr>
        <w:rPr>
          <w:rFonts w:asciiTheme="minorHAnsi" w:hAnsiTheme="minorHAnsi" w:cstheme="minorHAnsi"/>
          <w:b/>
          <w:bCs/>
        </w:rPr>
      </w:pPr>
      <w:r w:rsidRPr="00447691">
        <w:rPr>
          <w:rFonts w:asciiTheme="minorHAnsi" w:hAnsiTheme="minorHAnsi" w:cstheme="minorHAnsi"/>
          <w:b/>
          <w:bCs/>
        </w:rPr>
        <w:t>Improved Public Health Outcomes</w:t>
      </w:r>
      <w:bookmarkEnd w:id="50"/>
      <w:bookmarkEnd w:id="51"/>
      <w:bookmarkEnd w:id="52"/>
      <w:bookmarkEnd w:id="53"/>
      <w:bookmarkEnd w:id="54"/>
      <w:bookmarkEnd w:id="55"/>
      <w:r w:rsidRPr="00447691">
        <w:rPr>
          <w:rFonts w:asciiTheme="minorHAnsi" w:hAnsiTheme="minorHAnsi" w:cstheme="minorHAnsi"/>
          <w:b/>
          <w:bCs/>
        </w:rPr>
        <w:t xml:space="preserve"> </w:t>
      </w:r>
    </w:p>
    <w:p w14:paraId="41F7C16C" w14:textId="017F2BFA" w:rsidR="00246810" w:rsidRPr="00447691" w:rsidRDefault="00D46510" w:rsidP="00C50675">
      <w:pPr>
        <w:rPr>
          <w:rFonts w:asciiTheme="minorHAnsi" w:hAnsiTheme="minorHAnsi" w:cstheme="minorHAnsi"/>
          <w:bCs/>
        </w:rPr>
      </w:pPr>
      <w:r w:rsidRPr="00447691">
        <w:rPr>
          <w:rFonts w:asciiTheme="minorHAnsi" w:hAnsiTheme="minorHAnsi" w:cstheme="minorHAnsi"/>
          <w:bCs/>
        </w:rPr>
        <w:t>The applicant state</w:t>
      </w:r>
      <w:r w:rsidR="00EF3ED1" w:rsidRPr="00447691">
        <w:rPr>
          <w:rFonts w:asciiTheme="minorHAnsi" w:hAnsiTheme="minorHAnsi" w:cstheme="minorHAnsi"/>
          <w:bCs/>
        </w:rPr>
        <w:t>s</w:t>
      </w:r>
      <w:r w:rsidRPr="00447691">
        <w:rPr>
          <w:rFonts w:asciiTheme="minorHAnsi" w:hAnsiTheme="minorHAnsi" w:cstheme="minorHAnsi"/>
          <w:bCs/>
        </w:rPr>
        <w:t xml:space="preserve"> </w:t>
      </w:r>
      <w:r w:rsidR="00CC3F15" w:rsidRPr="00447691">
        <w:rPr>
          <w:rFonts w:asciiTheme="minorHAnsi" w:hAnsiTheme="minorHAnsi" w:cstheme="minorHAnsi"/>
          <w:bCs/>
        </w:rPr>
        <w:t>that improved access to timely and necessary services in appropriate setting</w:t>
      </w:r>
      <w:r w:rsidR="00AB1D46" w:rsidRPr="00447691">
        <w:rPr>
          <w:rFonts w:asciiTheme="minorHAnsi" w:hAnsiTheme="minorHAnsi" w:cstheme="minorHAnsi"/>
          <w:bCs/>
        </w:rPr>
        <w:t>s</w:t>
      </w:r>
      <w:r w:rsidR="00CC3F15" w:rsidRPr="00447691">
        <w:rPr>
          <w:rFonts w:asciiTheme="minorHAnsi" w:hAnsiTheme="minorHAnsi" w:cstheme="minorHAnsi"/>
          <w:bCs/>
        </w:rPr>
        <w:t xml:space="preserve"> will improve public health outcomes. The expansion of </w:t>
      </w:r>
      <w:r w:rsidR="00AB11D8" w:rsidRPr="00447691">
        <w:rPr>
          <w:rFonts w:asciiTheme="minorHAnsi" w:hAnsiTheme="minorHAnsi" w:cstheme="minorHAnsi"/>
          <w:bCs/>
        </w:rPr>
        <w:t>M/S</w:t>
      </w:r>
      <w:r w:rsidR="00CC3F15" w:rsidRPr="00447691">
        <w:rPr>
          <w:rFonts w:asciiTheme="minorHAnsi" w:hAnsiTheme="minorHAnsi" w:cstheme="minorHAnsi"/>
          <w:bCs/>
        </w:rPr>
        <w:t xml:space="preserve"> inpatient beds</w:t>
      </w:r>
      <w:r w:rsidR="00626B6A" w:rsidRPr="00447691">
        <w:rPr>
          <w:rFonts w:asciiTheme="minorHAnsi" w:hAnsiTheme="minorHAnsi" w:cstheme="minorHAnsi"/>
          <w:bCs/>
        </w:rPr>
        <w:t xml:space="preserve"> at BWFH</w:t>
      </w:r>
      <w:r w:rsidR="00CC3F15" w:rsidRPr="00447691">
        <w:rPr>
          <w:rFonts w:asciiTheme="minorHAnsi" w:hAnsiTheme="minorHAnsi" w:cstheme="minorHAnsi"/>
          <w:bCs/>
        </w:rPr>
        <w:t xml:space="preserve"> will allow </w:t>
      </w:r>
      <w:r w:rsidR="0082219C" w:rsidRPr="00447691">
        <w:rPr>
          <w:rFonts w:asciiTheme="minorHAnsi" w:hAnsiTheme="minorHAnsi" w:cstheme="minorHAnsi"/>
          <w:bCs/>
        </w:rPr>
        <w:t>ED board</w:t>
      </w:r>
      <w:r w:rsidR="00A16A10" w:rsidRPr="00447691">
        <w:rPr>
          <w:rFonts w:asciiTheme="minorHAnsi" w:hAnsiTheme="minorHAnsi" w:cstheme="minorHAnsi"/>
          <w:bCs/>
        </w:rPr>
        <w:t>ers</w:t>
      </w:r>
      <w:r w:rsidR="0082219C" w:rsidRPr="00447691">
        <w:rPr>
          <w:rFonts w:asciiTheme="minorHAnsi" w:hAnsiTheme="minorHAnsi" w:cstheme="minorHAnsi"/>
          <w:bCs/>
        </w:rPr>
        <w:t xml:space="preserve"> and transfer </w:t>
      </w:r>
      <w:r w:rsidR="00CC3F15" w:rsidRPr="00447691">
        <w:rPr>
          <w:rFonts w:asciiTheme="minorHAnsi" w:hAnsiTheme="minorHAnsi" w:cstheme="minorHAnsi"/>
          <w:bCs/>
        </w:rPr>
        <w:t xml:space="preserve">patients </w:t>
      </w:r>
      <w:r w:rsidR="0082219C" w:rsidRPr="00447691">
        <w:rPr>
          <w:rFonts w:asciiTheme="minorHAnsi" w:hAnsiTheme="minorHAnsi" w:cstheme="minorHAnsi"/>
          <w:bCs/>
        </w:rPr>
        <w:t xml:space="preserve">who </w:t>
      </w:r>
      <w:r w:rsidR="00CC3F15" w:rsidRPr="00447691">
        <w:rPr>
          <w:rFonts w:asciiTheme="minorHAnsi" w:hAnsiTheme="minorHAnsi" w:cstheme="minorHAnsi"/>
          <w:bCs/>
        </w:rPr>
        <w:t>need secondary care</w:t>
      </w:r>
      <w:r w:rsidR="00992F4E" w:rsidRPr="00447691">
        <w:rPr>
          <w:rFonts w:asciiTheme="minorHAnsi" w:hAnsiTheme="minorHAnsi" w:cstheme="minorHAnsi"/>
          <w:bCs/>
        </w:rPr>
        <w:t xml:space="preserve"> </w:t>
      </w:r>
      <w:r w:rsidR="00CC3F15" w:rsidRPr="00447691">
        <w:rPr>
          <w:rFonts w:asciiTheme="minorHAnsi" w:hAnsiTheme="minorHAnsi" w:cstheme="minorHAnsi"/>
          <w:bCs/>
        </w:rPr>
        <w:t xml:space="preserve">to receive care timely at BWFH that will lead to better patient experience and quality outcomes. The relocation and expansion of endoscopy services will </w:t>
      </w:r>
      <w:r w:rsidR="003C19C4" w:rsidRPr="00447691">
        <w:rPr>
          <w:rFonts w:asciiTheme="minorHAnsi" w:hAnsiTheme="minorHAnsi" w:cstheme="minorHAnsi"/>
          <w:bCs/>
        </w:rPr>
        <w:t xml:space="preserve">improve care delivery and flow as well as </w:t>
      </w:r>
      <w:r w:rsidR="00CC3F15" w:rsidRPr="00447691">
        <w:rPr>
          <w:rFonts w:asciiTheme="minorHAnsi" w:hAnsiTheme="minorHAnsi" w:cstheme="minorHAnsi"/>
          <w:bCs/>
        </w:rPr>
        <w:t xml:space="preserve">provide patients access to </w:t>
      </w:r>
      <w:r w:rsidR="002A4DB8" w:rsidRPr="00447691">
        <w:rPr>
          <w:rFonts w:asciiTheme="minorHAnsi" w:hAnsiTheme="minorHAnsi" w:cstheme="minorHAnsi"/>
          <w:bCs/>
        </w:rPr>
        <w:t xml:space="preserve">more </w:t>
      </w:r>
      <w:r w:rsidR="00CC3F15" w:rsidRPr="00447691">
        <w:rPr>
          <w:rFonts w:asciiTheme="minorHAnsi" w:hAnsiTheme="minorHAnsi" w:cstheme="minorHAnsi"/>
          <w:bCs/>
        </w:rPr>
        <w:t>efficient and more advanced care on-site, in a community setting</w:t>
      </w:r>
      <w:r w:rsidR="0082219C" w:rsidRPr="00447691">
        <w:rPr>
          <w:rFonts w:asciiTheme="minorHAnsi" w:hAnsiTheme="minorHAnsi" w:cstheme="minorHAnsi"/>
          <w:bCs/>
        </w:rPr>
        <w:t>,</w:t>
      </w:r>
      <w:r w:rsidR="00CC3F15" w:rsidRPr="00447691">
        <w:rPr>
          <w:rFonts w:asciiTheme="minorHAnsi" w:hAnsiTheme="minorHAnsi" w:cstheme="minorHAnsi"/>
          <w:bCs/>
        </w:rPr>
        <w:t xml:space="preserve"> eliminat</w:t>
      </w:r>
      <w:r w:rsidR="0082219C" w:rsidRPr="00447691">
        <w:rPr>
          <w:rFonts w:asciiTheme="minorHAnsi" w:hAnsiTheme="minorHAnsi" w:cstheme="minorHAnsi"/>
          <w:bCs/>
        </w:rPr>
        <w:t>ing</w:t>
      </w:r>
      <w:r w:rsidR="00CC3F15" w:rsidRPr="00447691">
        <w:rPr>
          <w:rFonts w:asciiTheme="minorHAnsi" w:hAnsiTheme="minorHAnsi" w:cstheme="minorHAnsi"/>
          <w:bCs/>
        </w:rPr>
        <w:t xml:space="preserve"> the need to transport patients to BWH</w:t>
      </w:r>
      <w:r w:rsidR="003C19C4" w:rsidRPr="00447691">
        <w:rPr>
          <w:rFonts w:asciiTheme="minorHAnsi" w:hAnsiTheme="minorHAnsi" w:cstheme="minorHAnsi"/>
          <w:bCs/>
        </w:rPr>
        <w:t xml:space="preserve">. Similarly, the addition of 3T MRI imaging will enhance access to </w:t>
      </w:r>
      <w:r w:rsidR="002A4DB8" w:rsidRPr="00447691">
        <w:rPr>
          <w:rFonts w:asciiTheme="minorHAnsi" w:hAnsiTheme="minorHAnsi" w:cstheme="minorHAnsi"/>
          <w:bCs/>
        </w:rPr>
        <w:t xml:space="preserve">a </w:t>
      </w:r>
      <w:r w:rsidR="003C19C4" w:rsidRPr="00447691">
        <w:rPr>
          <w:rFonts w:asciiTheme="minorHAnsi" w:hAnsiTheme="minorHAnsi" w:cstheme="minorHAnsi"/>
          <w:bCs/>
        </w:rPr>
        <w:t xml:space="preserve">critical diagnostic and treatment tool and reduce the need for transfers to BWH. Lastly, establishing a dedicated observation unit will improve throughput in care spaces, which will ensure patients receive timely care. </w:t>
      </w:r>
      <w:r w:rsidR="00626B6A" w:rsidRPr="00447691">
        <w:rPr>
          <w:rFonts w:asciiTheme="minorHAnsi" w:hAnsiTheme="minorHAnsi" w:cstheme="minorHAnsi"/>
          <w:bCs/>
        </w:rPr>
        <w:t xml:space="preserve">The Applicant expects that each element of the Proposed Project will not only improve outcomes for BWFH patients, but for those at BWH as well, as increased capacity and services at BWFH </w:t>
      </w:r>
      <w:r w:rsidR="00824370" w:rsidRPr="00447691">
        <w:rPr>
          <w:rFonts w:asciiTheme="minorHAnsi" w:hAnsiTheme="minorHAnsi" w:cstheme="minorHAnsi"/>
          <w:bCs/>
        </w:rPr>
        <w:t>is anticipated to reduce demand at BWH, with subsequent improvement to access and flow there as well, particularly in the ED.</w:t>
      </w:r>
    </w:p>
    <w:p w14:paraId="10E60737" w14:textId="77777777" w:rsidR="00451B29" w:rsidRPr="00447691" w:rsidRDefault="00451B29" w:rsidP="00C50675">
      <w:pPr>
        <w:rPr>
          <w:rFonts w:asciiTheme="minorHAnsi" w:hAnsiTheme="minorHAnsi" w:cstheme="minorHAnsi"/>
          <w:bCs/>
        </w:rPr>
      </w:pPr>
    </w:p>
    <w:p w14:paraId="0A8818A3" w14:textId="0DE266ED" w:rsidR="00192813" w:rsidRPr="00447691" w:rsidRDefault="0067692F" w:rsidP="00C50675">
      <w:pPr>
        <w:rPr>
          <w:rFonts w:asciiTheme="minorHAnsi" w:hAnsiTheme="minorHAnsi" w:cstheme="minorHAnsi"/>
          <w:bCs/>
        </w:rPr>
      </w:pPr>
      <w:r w:rsidRPr="00447691">
        <w:rPr>
          <w:rFonts w:asciiTheme="minorHAnsi" w:hAnsiTheme="minorHAnsi" w:cstheme="minorHAnsi"/>
          <w:bCs/>
        </w:rPr>
        <w:t xml:space="preserve">In addition to </w:t>
      </w:r>
      <w:r w:rsidR="00626B6A" w:rsidRPr="00447691">
        <w:rPr>
          <w:rFonts w:asciiTheme="minorHAnsi" w:hAnsiTheme="minorHAnsi" w:cstheme="minorHAnsi"/>
          <w:bCs/>
        </w:rPr>
        <w:t>the Proposed Project</w:t>
      </w:r>
      <w:r w:rsidR="00192813" w:rsidRPr="00447691">
        <w:rPr>
          <w:rFonts w:asciiTheme="minorHAnsi" w:hAnsiTheme="minorHAnsi" w:cstheme="minorHAnsi"/>
          <w:bCs/>
        </w:rPr>
        <w:t xml:space="preserve">, </w:t>
      </w:r>
      <w:r w:rsidR="00626B6A" w:rsidRPr="00447691">
        <w:rPr>
          <w:rFonts w:asciiTheme="minorHAnsi" w:hAnsiTheme="minorHAnsi" w:cstheme="minorHAnsi"/>
          <w:bCs/>
        </w:rPr>
        <w:t xml:space="preserve">to prevent inpatient admissions, </w:t>
      </w:r>
      <w:r w:rsidR="00192813" w:rsidRPr="00447691">
        <w:rPr>
          <w:rFonts w:asciiTheme="minorHAnsi" w:hAnsiTheme="minorHAnsi" w:cstheme="minorHAnsi"/>
          <w:bCs/>
        </w:rPr>
        <w:t>BWFH</w:t>
      </w:r>
      <w:r w:rsidR="00626B6A" w:rsidRPr="00447691">
        <w:rPr>
          <w:rFonts w:asciiTheme="minorHAnsi" w:hAnsiTheme="minorHAnsi" w:cstheme="minorHAnsi"/>
          <w:bCs/>
        </w:rPr>
        <w:t>,</w:t>
      </w:r>
      <w:r w:rsidR="00192813" w:rsidRPr="00447691">
        <w:rPr>
          <w:rFonts w:asciiTheme="minorHAnsi" w:hAnsiTheme="minorHAnsi" w:cstheme="minorHAnsi"/>
          <w:bCs/>
        </w:rPr>
        <w:t xml:space="preserve"> in partnership with BWH</w:t>
      </w:r>
      <w:r w:rsidR="00626B6A" w:rsidRPr="00447691">
        <w:rPr>
          <w:rFonts w:asciiTheme="minorHAnsi" w:hAnsiTheme="minorHAnsi" w:cstheme="minorHAnsi"/>
          <w:bCs/>
        </w:rPr>
        <w:t>,</w:t>
      </w:r>
      <w:r w:rsidR="00192813" w:rsidRPr="00447691">
        <w:rPr>
          <w:rFonts w:asciiTheme="minorHAnsi" w:hAnsiTheme="minorHAnsi" w:cstheme="minorHAnsi"/>
          <w:bCs/>
        </w:rPr>
        <w:t xml:space="preserve"> offers services focused on reducing morbidity of several chronic conditions that are included in the top 10 diseases for BWFH medical/surgical inpatient admissions</w:t>
      </w:r>
      <w:r w:rsidR="00626B6A" w:rsidRPr="00447691">
        <w:rPr>
          <w:rFonts w:asciiTheme="minorHAnsi" w:hAnsiTheme="minorHAnsi" w:cstheme="minorHAnsi"/>
          <w:bCs/>
        </w:rPr>
        <w:t>. These services focus on issues such as</w:t>
      </w:r>
      <w:r w:rsidR="00192813" w:rsidRPr="00447691">
        <w:rPr>
          <w:rFonts w:asciiTheme="minorHAnsi" w:hAnsiTheme="minorHAnsi" w:cstheme="minorHAnsi"/>
          <w:bCs/>
        </w:rPr>
        <w:t xml:space="preserve"> addiction medicine, </w:t>
      </w:r>
      <w:r w:rsidR="007227F9" w:rsidRPr="00447691">
        <w:rPr>
          <w:rFonts w:asciiTheme="minorHAnsi" w:hAnsiTheme="minorHAnsi" w:cstheme="minorHAnsi"/>
          <w:bCs/>
        </w:rPr>
        <w:t xml:space="preserve">an intensive in-home care and monitoring program for </w:t>
      </w:r>
      <w:r w:rsidR="00192813" w:rsidRPr="00447691">
        <w:rPr>
          <w:rFonts w:asciiTheme="minorHAnsi" w:hAnsiTheme="minorHAnsi" w:cstheme="minorHAnsi"/>
          <w:bCs/>
        </w:rPr>
        <w:t xml:space="preserve">congestive heart </w:t>
      </w:r>
      <w:r w:rsidR="007227F9" w:rsidRPr="00447691">
        <w:rPr>
          <w:rFonts w:asciiTheme="minorHAnsi" w:hAnsiTheme="minorHAnsi" w:cstheme="minorHAnsi"/>
          <w:bCs/>
        </w:rPr>
        <w:t>failure (CHF)</w:t>
      </w:r>
      <w:r w:rsidR="00192813" w:rsidRPr="00447691">
        <w:rPr>
          <w:rFonts w:asciiTheme="minorHAnsi" w:hAnsiTheme="minorHAnsi" w:cstheme="minorHAnsi"/>
          <w:bCs/>
        </w:rPr>
        <w:t xml:space="preserve"> </w:t>
      </w:r>
      <w:r w:rsidR="007227F9" w:rsidRPr="00447691">
        <w:rPr>
          <w:rFonts w:asciiTheme="minorHAnsi" w:hAnsiTheme="minorHAnsi" w:cstheme="minorHAnsi"/>
          <w:bCs/>
        </w:rPr>
        <w:t xml:space="preserve">patients (Integrated Care Management Program, </w:t>
      </w:r>
      <w:proofErr w:type="spellStart"/>
      <w:r w:rsidR="007227F9" w:rsidRPr="00447691">
        <w:rPr>
          <w:rFonts w:asciiTheme="minorHAnsi" w:hAnsiTheme="minorHAnsi" w:cstheme="minorHAnsi"/>
          <w:bCs/>
        </w:rPr>
        <w:t>iCMP</w:t>
      </w:r>
      <w:proofErr w:type="spellEnd"/>
      <w:r w:rsidR="007227F9" w:rsidRPr="00447691">
        <w:rPr>
          <w:rFonts w:asciiTheme="minorHAnsi" w:hAnsiTheme="minorHAnsi" w:cstheme="minorHAnsi"/>
          <w:bCs/>
        </w:rPr>
        <w:t xml:space="preserve">), and the Emergency Department Diabetes Rapid-referral Program. BWFH also implements innovative strategies to reduce morbidity from poorly treated chronic diseases, such as using BWH CHF specialist and BWFH pharmacists to identify inpatients at BWFH with a heart failure diagnosis and assure they receive the best evidenced-based CHF treatment regimen. </w:t>
      </w:r>
    </w:p>
    <w:p w14:paraId="1B20DA1A" w14:textId="77777777" w:rsidR="00A02B72" w:rsidRPr="00447691" w:rsidRDefault="00A02B72" w:rsidP="00A02B72">
      <w:pPr>
        <w:autoSpaceDE w:val="0"/>
        <w:autoSpaceDN w:val="0"/>
        <w:adjustRightInd w:val="0"/>
        <w:rPr>
          <w:rFonts w:asciiTheme="minorHAnsi" w:hAnsiTheme="minorHAnsi" w:cstheme="minorHAnsi"/>
          <w:color w:val="000000"/>
        </w:rPr>
      </w:pPr>
      <w:bookmarkStart w:id="56" w:name="_Toc17731331"/>
      <w:bookmarkStart w:id="57" w:name="_Toc17748251"/>
      <w:bookmarkStart w:id="58" w:name="_Toc17748479"/>
      <w:bookmarkStart w:id="59" w:name="_Toc17748723"/>
      <w:bookmarkStart w:id="60" w:name="_Toc18420202"/>
      <w:bookmarkStart w:id="61" w:name="_Toc18922423"/>
    </w:p>
    <w:p w14:paraId="378B8E21" w14:textId="0D261F9F" w:rsidR="002D535F" w:rsidRPr="00447691" w:rsidRDefault="002D535F" w:rsidP="007A57C4">
      <w:pPr>
        <w:contextualSpacing/>
        <w:rPr>
          <w:rFonts w:asciiTheme="minorHAnsi" w:hAnsiTheme="minorHAnsi" w:cstheme="minorHAnsi"/>
          <w:b/>
          <w:bCs/>
        </w:rPr>
      </w:pPr>
      <w:r w:rsidRPr="00447691">
        <w:rPr>
          <w:rFonts w:asciiTheme="minorHAnsi" w:hAnsiTheme="minorHAnsi" w:cstheme="minorHAnsi"/>
          <w:b/>
          <w:bCs/>
        </w:rPr>
        <w:t>Delivery System Transformation</w:t>
      </w:r>
      <w:bookmarkEnd w:id="56"/>
      <w:bookmarkEnd w:id="57"/>
      <w:bookmarkEnd w:id="58"/>
      <w:bookmarkEnd w:id="59"/>
      <w:bookmarkEnd w:id="60"/>
      <w:bookmarkEnd w:id="61"/>
      <w:r w:rsidRPr="00447691">
        <w:rPr>
          <w:rFonts w:asciiTheme="minorHAnsi" w:hAnsiTheme="minorHAnsi" w:cstheme="minorHAnsi"/>
          <w:b/>
          <w:bCs/>
        </w:rPr>
        <w:t xml:space="preserve"> </w:t>
      </w:r>
    </w:p>
    <w:p w14:paraId="036CA4CC" w14:textId="1D9591FA" w:rsidR="002A0986" w:rsidRPr="00447691" w:rsidRDefault="002A0986" w:rsidP="007A57C4">
      <w:pPr>
        <w:contextualSpacing/>
        <w:rPr>
          <w:rFonts w:asciiTheme="minorHAnsi" w:hAnsiTheme="minorHAnsi" w:cstheme="minorHAnsi"/>
          <w:bCs/>
        </w:rPr>
      </w:pPr>
      <w:r w:rsidRPr="00447691">
        <w:rPr>
          <w:rFonts w:asciiTheme="minorHAnsi" w:hAnsiTheme="minorHAnsi" w:cstheme="minorHAnsi"/>
          <w:bCs/>
        </w:rPr>
        <w:t xml:space="preserve">The Applicant notes that Delivery System Transformation will be addressed through linking patients with social determinant of health needs to necessary services through its </w:t>
      </w:r>
      <w:proofErr w:type="spellStart"/>
      <w:r w:rsidRPr="00447691">
        <w:rPr>
          <w:rFonts w:asciiTheme="minorHAnsi" w:hAnsiTheme="minorHAnsi" w:cstheme="minorHAnsi"/>
          <w:bCs/>
        </w:rPr>
        <w:t>SDoH</w:t>
      </w:r>
      <w:proofErr w:type="spellEnd"/>
      <w:r w:rsidRPr="00447691">
        <w:rPr>
          <w:rFonts w:asciiTheme="minorHAnsi" w:hAnsiTheme="minorHAnsi" w:cstheme="minorHAnsi"/>
          <w:bCs/>
        </w:rPr>
        <w:t xml:space="preserve"> screening and referral and case management/social work support, both described above</w:t>
      </w:r>
      <w:r w:rsidR="00824370" w:rsidRPr="00447691">
        <w:rPr>
          <w:rFonts w:asciiTheme="minorHAnsi" w:hAnsiTheme="minorHAnsi" w:cstheme="minorHAnsi"/>
          <w:bCs/>
        </w:rPr>
        <w:t xml:space="preserve"> in Factor 1b under “</w:t>
      </w:r>
      <w:r w:rsidR="00824370" w:rsidRPr="00447691">
        <w:rPr>
          <w:rFonts w:asciiTheme="minorHAnsi" w:hAnsiTheme="minorHAnsi" w:cstheme="minorHAnsi"/>
        </w:rPr>
        <w:t>Health Equity and Social Determinants of Health (</w:t>
      </w:r>
      <w:proofErr w:type="spellStart"/>
      <w:r w:rsidR="00824370" w:rsidRPr="00447691">
        <w:rPr>
          <w:rFonts w:asciiTheme="minorHAnsi" w:hAnsiTheme="minorHAnsi" w:cstheme="minorHAnsi"/>
        </w:rPr>
        <w:t>SDoH</w:t>
      </w:r>
      <w:proofErr w:type="spellEnd"/>
      <w:r w:rsidR="00824370" w:rsidRPr="00447691">
        <w:rPr>
          <w:rFonts w:asciiTheme="minorHAnsi" w:hAnsiTheme="minorHAnsi" w:cstheme="minorHAnsi"/>
        </w:rPr>
        <w:t>)</w:t>
      </w:r>
      <w:r w:rsidR="00A16A10" w:rsidRPr="00447691">
        <w:rPr>
          <w:rFonts w:asciiTheme="minorHAnsi" w:hAnsiTheme="minorHAnsi" w:cstheme="minorHAnsi"/>
        </w:rPr>
        <w:t>.</w:t>
      </w:r>
      <w:r w:rsidR="00824370" w:rsidRPr="00447691">
        <w:rPr>
          <w:rFonts w:asciiTheme="minorHAnsi" w:hAnsiTheme="minorHAnsi" w:cstheme="minorHAnsi"/>
        </w:rPr>
        <w:t>”</w:t>
      </w:r>
    </w:p>
    <w:p w14:paraId="65BD3247" w14:textId="77777777" w:rsidR="003E2749" w:rsidRPr="0062487B" w:rsidRDefault="003E2749" w:rsidP="007A57C4">
      <w:pPr>
        <w:contextualSpacing/>
        <w:rPr>
          <w:rFonts w:asciiTheme="minorHAnsi" w:hAnsiTheme="minorHAnsi" w:cstheme="minorHAnsi"/>
          <w:bCs/>
        </w:rPr>
      </w:pPr>
    </w:p>
    <w:p w14:paraId="69A60EB8" w14:textId="66526599" w:rsidR="0070171F" w:rsidRPr="0062487B" w:rsidRDefault="1890F46A" w:rsidP="17FA2F59">
      <w:pPr>
        <w:contextualSpacing/>
        <w:rPr>
          <w:rFonts w:asciiTheme="minorHAnsi" w:hAnsiTheme="minorHAnsi" w:cstheme="minorBidi"/>
          <w:b/>
          <w:bCs/>
          <w:i/>
          <w:iCs/>
        </w:rPr>
      </w:pPr>
      <w:r w:rsidRPr="17FA2F59">
        <w:rPr>
          <w:rFonts w:asciiTheme="minorHAnsi" w:hAnsiTheme="minorHAnsi" w:cstheme="minorBidi"/>
          <w:b/>
          <w:bCs/>
          <w:i/>
          <w:iCs/>
        </w:rPr>
        <w:t>Analysis</w:t>
      </w:r>
    </w:p>
    <w:p w14:paraId="228F85FB" w14:textId="512CE7C3" w:rsidR="0070171F" w:rsidRPr="0062487B" w:rsidRDefault="0070171F" w:rsidP="0070171F">
      <w:pPr>
        <w:autoSpaceDE w:val="0"/>
        <w:autoSpaceDN w:val="0"/>
        <w:adjustRightInd w:val="0"/>
        <w:rPr>
          <w:rFonts w:asciiTheme="minorHAnsi" w:hAnsiTheme="minorHAnsi" w:cstheme="minorHAnsi"/>
          <w:color w:val="000000"/>
        </w:rPr>
      </w:pPr>
      <w:r w:rsidRPr="0062487B">
        <w:rPr>
          <w:rFonts w:asciiTheme="minorHAnsi" w:hAnsiTheme="minorHAnsi" w:cstheme="minorHAnsi"/>
          <w:color w:val="000000"/>
        </w:rPr>
        <w:t xml:space="preserve">Improvement in health outcomes will result from patients receiving timely access to </w:t>
      </w:r>
      <w:r w:rsidR="00AD6D15" w:rsidRPr="0062487B">
        <w:rPr>
          <w:rFonts w:asciiTheme="minorHAnsi" w:hAnsiTheme="minorHAnsi" w:cstheme="minorHAnsi"/>
          <w:color w:val="000000"/>
        </w:rPr>
        <w:t>diagnostic tool</w:t>
      </w:r>
      <w:r w:rsidR="00AD6D15">
        <w:rPr>
          <w:rFonts w:asciiTheme="minorHAnsi" w:hAnsiTheme="minorHAnsi" w:cstheme="minorHAnsi"/>
          <w:color w:val="000000"/>
        </w:rPr>
        <w:t xml:space="preserve">s, and </w:t>
      </w:r>
      <w:r w:rsidRPr="0062487B">
        <w:rPr>
          <w:rFonts w:asciiTheme="minorHAnsi" w:hAnsiTheme="minorHAnsi" w:cstheme="minorHAnsi"/>
          <w:color w:val="000000"/>
        </w:rPr>
        <w:t xml:space="preserve">the necessary care and treatment in an appropriate setting. Further, programs and other implemented strategies addressing morbidity of chronic diseases will reduce morbidity and facilitate improvement in public health outcomes. </w:t>
      </w:r>
    </w:p>
    <w:p w14:paraId="7EBE0081" w14:textId="77777777" w:rsidR="0070171F" w:rsidRPr="0062487B" w:rsidRDefault="0070171F" w:rsidP="0070171F">
      <w:pPr>
        <w:autoSpaceDE w:val="0"/>
        <w:autoSpaceDN w:val="0"/>
        <w:adjustRightInd w:val="0"/>
        <w:rPr>
          <w:rFonts w:asciiTheme="minorHAnsi" w:hAnsiTheme="minorHAnsi" w:cstheme="minorHAnsi"/>
        </w:rPr>
      </w:pPr>
    </w:p>
    <w:p w14:paraId="668B4DDB" w14:textId="2DEC3B63" w:rsidR="00CD4602" w:rsidRPr="0062487B" w:rsidRDefault="00936F6C" w:rsidP="007A57C4">
      <w:pPr>
        <w:contextualSpacing/>
        <w:rPr>
          <w:rFonts w:asciiTheme="minorHAnsi" w:hAnsiTheme="minorHAnsi" w:cstheme="minorHAnsi"/>
          <w:bCs/>
        </w:rPr>
      </w:pPr>
      <w:r w:rsidRPr="0062487B">
        <w:rPr>
          <w:rFonts w:asciiTheme="minorHAnsi" w:hAnsiTheme="minorHAnsi" w:cstheme="minorHAnsi"/>
          <w:bCs/>
        </w:rPr>
        <w:t xml:space="preserve">Central to the goal of Delivery System Transformation is the integration of social services and community-based expertise. </w:t>
      </w:r>
      <w:r w:rsidR="003D0133" w:rsidRPr="0062487B">
        <w:rPr>
          <w:rFonts w:asciiTheme="minorHAnsi" w:hAnsiTheme="minorHAnsi" w:cstheme="minorHAnsi"/>
          <w:bCs/>
        </w:rPr>
        <w:t xml:space="preserve">The Applicant </w:t>
      </w:r>
      <w:r w:rsidR="00ED42C8" w:rsidRPr="0062487B">
        <w:rPr>
          <w:rFonts w:asciiTheme="minorHAnsi" w:hAnsiTheme="minorHAnsi" w:cstheme="minorHAnsi"/>
          <w:bCs/>
        </w:rPr>
        <w:t>provided a</w:t>
      </w:r>
      <w:r w:rsidR="00B83BDA" w:rsidRPr="0062487B">
        <w:rPr>
          <w:rFonts w:asciiTheme="minorHAnsi" w:hAnsiTheme="minorHAnsi" w:cstheme="minorHAnsi"/>
          <w:bCs/>
        </w:rPr>
        <w:t xml:space="preserve">n </w:t>
      </w:r>
      <w:r w:rsidR="00ED42C8" w:rsidRPr="0062487B">
        <w:rPr>
          <w:rFonts w:asciiTheme="minorHAnsi" w:hAnsiTheme="minorHAnsi" w:cstheme="minorHAnsi"/>
          <w:bCs/>
        </w:rPr>
        <w:t>overview o</w:t>
      </w:r>
      <w:r w:rsidR="00037BF0" w:rsidRPr="0062487B">
        <w:rPr>
          <w:rFonts w:asciiTheme="minorHAnsi" w:hAnsiTheme="minorHAnsi" w:cstheme="minorHAnsi"/>
          <w:bCs/>
        </w:rPr>
        <w:t>f</w:t>
      </w:r>
      <w:r w:rsidR="003D0133" w:rsidRPr="0062487B">
        <w:rPr>
          <w:rFonts w:asciiTheme="minorHAnsi" w:hAnsiTheme="minorHAnsi" w:cstheme="minorHAnsi"/>
          <w:bCs/>
        </w:rPr>
        <w:t xml:space="preserve"> how </w:t>
      </w:r>
      <w:r w:rsidR="00CD4602" w:rsidRPr="0062487B">
        <w:rPr>
          <w:rFonts w:asciiTheme="minorHAnsi" w:hAnsiTheme="minorHAnsi" w:cstheme="minorHAnsi"/>
          <w:bCs/>
        </w:rPr>
        <w:t>patients</w:t>
      </w:r>
      <w:r w:rsidR="003D0133" w:rsidRPr="0062487B">
        <w:rPr>
          <w:rFonts w:asciiTheme="minorHAnsi" w:hAnsiTheme="minorHAnsi" w:cstheme="minorHAnsi"/>
          <w:bCs/>
        </w:rPr>
        <w:t xml:space="preserve"> </w:t>
      </w:r>
      <w:r w:rsidR="00CD4602" w:rsidRPr="0062487B">
        <w:rPr>
          <w:rFonts w:asciiTheme="minorHAnsi" w:hAnsiTheme="minorHAnsi" w:cstheme="minorHAnsi"/>
          <w:bCs/>
        </w:rPr>
        <w:t>are assessed and</w:t>
      </w:r>
      <w:r w:rsidR="003D0133" w:rsidRPr="0062487B">
        <w:rPr>
          <w:rFonts w:asciiTheme="minorHAnsi" w:hAnsiTheme="minorHAnsi" w:cstheme="minorHAnsi"/>
          <w:bCs/>
        </w:rPr>
        <w:t xml:space="preserve"> linked to </w:t>
      </w:r>
      <w:r w:rsidR="00CD4602" w:rsidRPr="0062487B">
        <w:rPr>
          <w:rFonts w:asciiTheme="minorHAnsi" w:hAnsiTheme="minorHAnsi" w:cstheme="minorHAnsi"/>
          <w:bCs/>
        </w:rPr>
        <w:t>internal support services (e.g., social worker/community health worker) and community-based organizations</w:t>
      </w:r>
      <w:r w:rsidR="00ED42C8" w:rsidRPr="0062487B">
        <w:rPr>
          <w:rFonts w:asciiTheme="minorHAnsi" w:hAnsiTheme="minorHAnsi" w:cstheme="minorHAnsi"/>
          <w:bCs/>
        </w:rPr>
        <w:t xml:space="preserve"> for social services</w:t>
      </w:r>
      <w:r w:rsidR="00CD4602" w:rsidRPr="0062487B">
        <w:rPr>
          <w:rFonts w:asciiTheme="minorHAnsi" w:hAnsiTheme="minorHAnsi" w:cstheme="minorHAnsi"/>
          <w:bCs/>
        </w:rPr>
        <w:t xml:space="preserve">. </w:t>
      </w:r>
      <w:r w:rsidR="00ED42C8" w:rsidRPr="0062487B">
        <w:rPr>
          <w:rFonts w:asciiTheme="minorHAnsi" w:hAnsiTheme="minorHAnsi" w:cstheme="minorHAnsi"/>
          <w:bCs/>
        </w:rPr>
        <w:t xml:space="preserve">BWFH’s integration into MGB’s electronic record system will </w:t>
      </w:r>
      <w:r w:rsidR="00ED42C8" w:rsidRPr="0062487B">
        <w:rPr>
          <w:rFonts w:asciiTheme="minorHAnsi" w:hAnsiTheme="minorHAnsi" w:cstheme="minorHAnsi"/>
          <w:bCs/>
        </w:rPr>
        <w:lastRenderedPageBreak/>
        <w:t xml:space="preserve">support </w:t>
      </w:r>
      <w:r w:rsidR="00AD6D15">
        <w:rPr>
          <w:rFonts w:asciiTheme="minorHAnsi" w:hAnsiTheme="minorHAnsi" w:cstheme="minorHAnsi"/>
          <w:bCs/>
        </w:rPr>
        <w:t>its</w:t>
      </w:r>
      <w:r w:rsidR="00AD6D15" w:rsidRPr="0062487B">
        <w:rPr>
          <w:rFonts w:asciiTheme="minorHAnsi" w:hAnsiTheme="minorHAnsi" w:cstheme="minorHAnsi"/>
          <w:bCs/>
        </w:rPr>
        <w:t xml:space="preserve"> </w:t>
      </w:r>
      <w:r w:rsidR="00ED42C8" w:rsidRPr="0062487B">
        <w:rPr>
          <w:rFonts w:asciiTheme="minorHAnsi" w:hAnsiTheme="minorHAnsi" w:cstheme="minorHAnsi"/>
          <w:bCs/>
        </w:rPr>
        <w:t xml:space="preserve">efforts to ensure there is appropriate patient follow-up regarding their social service needs. Further, </w:t>
      </w:r>
      <w:r w:rsidR="00824370" w:rsidRPr="0062487B">
        <w:rPr>
          <w:rFonts w:asciiTheme="minorHAnsi" w:hAnsiTheme="minorHAnsi" w:cstheme="minorHAnsi"/>
          <w:bCs/>
        </w:rPr>
        <w:t>as</w:t>
      </w:r>
      <w:r w:rsidR="00ED42C8" w:rsidRPr="0062487B">
        <w:rPr>
          <w:rFonts w:asciiTheme="minorHAnsi" w:hAnsiTheme="minorHAnsi" w:cstheme="minorHAnsi"/>
          <w:bCs/>
        </w:rPr>
        <w:t xml:space="preserve"> a</w:t>
      </w:r>
      <w:r w:rsidR="00824370" w:rsidRPr="0062487B">
        <w:rPr>
          <w:rFonts w:asciiTheme="minorHAnsi" w:hAnsiTheme="minorHAnsi" w:cstheme="minorHAnsi"/>
          <w:bCs/>
        </w:rPr>
        <w:t>n</w:t>
      </w:r>
      <w:r w:rsidR="00ED42C8" w:rsidRPr="0062487B">
        <w:rPr>
          <w:rFonts w:asciiTheme="minorHAnsi" w:hAnsiTheme="minorHAnsi" w:cstheme="minorHAnsi"/>
          <w:bCs/>
        </w:rPr>
        <w:t xml:space="preserve"> MassHealth ACO, </w:t>
      </w:r>
      <w:r w:rsidR="00AD6D15">
        <w:rPr>
          <w:rFonts w:asciiTheme="minorHAnsi" w:hAnsiTheme="minorHAnsi" w:cstheme="minorHAnsi"/>
          <w:bCs/>
        </w:rPr>
        <w:t>the Applicant is</w:t>
      </w:r>
      <w:r w:rsidR="00824370" w:rsidRPr="0062487B">
        <w:rPr>
          <w:rFonts w:asciiTheme="minorHAnsi" w:hAnsiTheme="minorHAnsi" w:cstheme="minorHAnsi"/>
          <w:bCs/>
        </w:rPr>
        <w:t xml:space="preserve"> subject to requirements regarding </w:t>
      </w:r>
      <w:proofErr w:type="spellStart"/>
      <w:r w:rsidR="00ED42C8" w:rsidRPr="0062487B">
        <w:rPr>
          <w:rFonts w:asciiTheme="minorHAnsi" w:hAnsiTheme="minorHAnsi" w:cstheme="minorHAnsi"/>
          <w:bCs/>
        </w:rPr>
        <w:t>SDoH</w:t>
      </w:r>
      <w:proofErr w:type="spellEnd"/>
      <w:r w:rsidR="00ED42C8" w:rsidRPr="0062487B">
        <w:rPr>
          <w:rFonts w:asciiTheme="minorHAnsi" w:hAnsiTheme="minorHAnsi" w:cstheme="minorHAnsi"/>
          <w:bCs/>
        </w:rPr>
        <w:t xml:space="preserve"> and patient population needs.  </w:t>
      </w:r>
    </w:p>
    <w:p w14:paraId="4E21F222" w14:textId="0E093FEB" w:rsidR="00CD4602" w:rsidRPr="0062487B" w:rsidRDefault="00CD4602" w:rsidP="007A57C4">
      <w:pPr>
        <w:contextualSpacing/>
        <w:rPr>
          <w:rFonts w:asciiTheme="minorHAnsi" w:hAnsiTheme="minorHAnsi" w:cstheme="minorHAnsi"/>
        </w:rPr>
      </w:pPr>
    </w:p>
    <w:p w14:paraId="76E22F0E" w14:textId="4B80466C" w:rsidR="002D535F" w:rsidRPr="0062487B" w:rsidRDefault="1890F46A" w:rsidP="17FA2F59">
      <w:pPr>
        <w:rPr>
          <w:rFonts w:asciiTheme="minorHAnsi" w:hAnsiTheme="minorHAnsi" w:cstheme="minorBidi"/>
          <w:b/>
          <w:bCs/>
          <w:color w:val="42558C" w:themeColor="accent1" w:themeShade="BF"/>
        </w:rPr>
      </w:pPr>
      <w:bookmarkStart w:id="62" w:name="_Toc17748725"/>
      <w:bookmarkStart w:id="63" w:name="_Toc17748726"/>
      <w:r w:rsidRPr="17FA2F59">
        <w:rPr>
          <w:rFonts w:asciiTheme="minorHAnsi" w:hAnsiTheme="minorHAnsi" w:cstheme="minorBidi"/>
          <w:b/>
          <w:bCs/>
        </w:rPr>
        <w:t xml:space="preserve">Summary, FACTOR 2 </w:t>
      </w:r>
    </w:p>
    <w:p w14:paraId="1DF20619" w14:textId="67EA6377" w:rsidR="00714CB5" w:rsidRPr="0062487B" w:rsidRDefault="4A95892E" w:rsidP="17FA2F59">
      <w:pPr>
        <w:tabs>
          <w:tab w:val="left" w:pos="3240"/>
        </w:tabs>
        <w:rPr>
          <w:rFonts w:asciiTheme="minorHAnsi" w:hAnsiTheme="minorHAnsi" w:cstheme="minorBidi"/>
        </w:rPr>
      </w:pPr>
      <w:r w:rsidRPr="17FA2F59">
        <w:rPr>
          <w:rFonts w:asciiTheme="minorHAnsi" w:hAnsiTheme="minorHAnsi" w:cstheme="minorBidi"/>
        </w:rPr>
        <w:t xml:space="preserve">Staff notes the disparity between the </w:t>
      </w:r>
      <w:r w:rsidR="530CABF9" w:rsidRPr="17FA2F59">
        <w:rPr>
          <w:rFonts w:asciiTheme="minorHAnsi" w:hAnsiTheme="minorHAnsi" w:cstheme="minorBidi"/>
        </w:rPr>
        <w:t>ICA</w:t>
      </w:r>
      <w:r w:rsidRPr="17FA2F59">
        <w:rPr>
          <w:rFonts w:asciiTheme="minorHAnsi" w:hAnsiTheme="minorHAnsi" w:cstheme="minorBidi"/>
        </w:rPr>
        <w:t xml:space="preserve">’s </w:t>
      </w:r>
      <w:r w:rsidR="530CABF9" w:rsidRPr="17FA2F59">
        <w:rPr>
          <w:rFonts w:asciiTheme="minorHAnsi" w:hAnsiTheme="minorHAnsi" w:cstheme="minorBidi"/>
        </w:rPr>
        <w:t>concl</w:t>
      </w:r>
      <w:r w:rsidRPr="17FA2F59">
        <w:rPr>
          <w:rFonts w:asciiTheme="minorHAnsi" w:hAnsiTheme="minorHAnsi" w:cstheme="minorBidi"/>
        </w:rPr>
        <w:t>usions and those of the HPC</w:t>
      </w:r>
      <w:r w:rsidR="00447691">
        <w:rPr>
          <w:rFonts w:asciiTheme="minorHAnsi" w:hAnsiTheme="minorHAnsi" w:cstheme="minorBidi"/>
        </w:rPr>
        <w:t xml:space="preserve"> and the AGO report</w:t>
      </w:r>
      <w:r w:rsidR="00CE564B">
        <w:rPr>
          <w:rFonts w:asciiTheme="minorHAnsi" w:hAnsiTheme="minorHAnsi" w:cstheme="minorBidi"/>
        </w:rPr>
        <w:t xml:space="preserve">, particularly regarding potential impact on cost and market share. Conditions are recommended to mitigate potential increase in either. Additionally, </w:t>
      </w:r>
      <w:r w:rsidR="596A2B9F" w:rsidRPr="17FA2F59">
        <w:rPr>
          <w:rFonts w:asciiTheme="minorHAnsi" w:hAnsiTheme="minorHAnsi" w:cstheme="minorBidi"/>
        </w:rPr>
        <w:t xml:space="preserve">Staff note that while there may be some increased costs with the Proposed Project, its potential to improve public health outcomes and improve delivery system transformation is found to meet the Factor. </w:t>
      </w:r>
      <w:proofErr w:type="gramStart"/>
      <w:r w:rsidR="596A2B9F" w:rsidRPr="17FA2F59">
        <w:rPr>
          <w:rFonts w:asciiTheme="minorHAnsi" w:hAnsiTheme="minorHAnsi" w:cstheme="minorBidi"/>
        </w:rPr>
        <w:t xml:space="preserve">Therefore, </w:t>
      </w:r>
      <w:r w:rsidR="00BE212A">
        <w:rPr>
          <w:rFonts w:asciiTheme="minorHAnsi" w:hAnsiTheme="minorHAnsi" w:cstheme="minorBidi"/>
        </w:rPr>
        <w:t xml:space="preserve"> with</w:t>
      </w:r>
      <w:proofErr w:type="gramEnd"/>
      <w:r w:rsidR="00BE212A">
        <w:rPr>
          <w:rFonts w:asciiTheme="minorHAnsi" w:hAnsiTheme="minorHAnsi" w:cstheme="minorBidi"/>
        </w:rPr>
        <w:t xml:space="preserve"> the recommended conditions,</w:t>
      </w:r>
      <w:r w:rsidR="596A2B9F" w:rsidRPr="17FA2F59">
        <w:rPr>
          <w:rFonts w:asciiTheme="minorHAnsi" w:hAnsiTheme="minorHAnsi" w:cstheme="minorBidi"/>
        </w:rPr>
        <w:t xml:space="preserve"> staff finds that Factor 2 is met.</w:t>
      </w:r>
    </w:p>
    <w:p w14:paraId="0F6F08D8" w14:textId="140E1B3A" w:rsidR="002D535F" w:rsidRPr="0062487B" w:rsidRDefault="002D535F" w:rsidP="17FA2F59">
      <w:pPr>
        <w:tabs>
          <w:tab w:val="left" w:pos="3240"/>
        </w:tabs>
        <w:contextualSpacing/>
      </w:pPr>
    </w:p>
    <w:p w14:paraId="31B30376" w14:textId="77777777" w:rsidR="002D535F" w:rsidRPr="0062487B" w:rsidRDefault="1890F46A" w:rsidP="17FA2F59">
      <w:pPr>
        <w:pStyle w:val="Heading1"/>
        <w:spacing w:before="0" w:line="240" w:lineRule="auto"/>
        <w:contextualSpacing/>
        <w:rPr>
          <w:rFonts w:asciiTheme="minorHAnsi" w:hAnsiTheme="minorHAnsi" w:cstheme="minorBidi"/>
          <w:color w:val="auto"/>
          <w:sz w:val="24"/>
          <w:szCs w:val="24"/>
        </w:rPr>
      </w:pPr>
      <w:bookmarkStart w:id="64" w:name="_Toc99645439"/>
      <w:r w:rsidRPr="17FA2F59">
        <w:rPr>
          <w:rFonts w:asciiTheme="minorHAnsi" w:hAnsiTheme="minorHAnsi" w:cstheme="minorBidi"/>
          <w:color w:val="auto"/>
          <w:sz w:val="24"/>
          <w:szCs w:val="24"/>
        </w:rPr>
        <w:t>Factor 3: Relevant Licensure/Oversight Compliance</w:t>
      </w:r>
      <w:bookmarkEnd w:id="62"/>
      <w:bookmarkEnd w:id="64"/>
    </w:p>
    <w:p w14:paraId="3B989A2A" w14:textId="06A5AAD6" w:rsidR="002D535F" w:rsidRPr="0062487B" w:rsidRDefault="1890F46A" w:rsidP="17FA2F59">
      <w:pPr>
        <w:contextualSpacing/>
        <w:rPr>
          <w:rFonts w:asciiTheme="minorHAnsi" w:hAnsiTheme="minorHAnsi" w:cstheme="minorBidi"/>
        </w:rPr>
      </w:pPr>
      <w:r w:rsidRPr="17FA2F59">
        <w:rPr>
          <w:rFonts w:asciiTheme="minorHAnsi" w:hAnsiTheme="minorHAnsi" w:cstheme="minorBidi"/>
        </w:rPr>
        <w:t xml:space="preserve">The Applicant has provided evidence of compliance and good standing with federal, </w:t>
      </w:r>
      <w:proofErr w:type="gramStart"/>
      <w:r w:rsidRPr="17FA2F59">
        <w:rPr>
          <w:rFonts w:asciiTheme="minorHAnsi" w:hAnsiTheme="minorHAnsi" w:cstheme="minorBidi"/>
        </w:rPr>
        <w:t>state</w:t>
      </w:r>
      <w:proofErr w:type="gramEnd"/>
      <w:r w:rsidRPr="17FA2F59">
        <w:rPr>
          <w:rFonts w:asciiTheme="minorHAnsi" w:hAnsiTheme="minorHAnsi" w:cstheme="minorBidi"/>
        </w:rPr>
        <w:t xml:space="preserve"> and local laws and regulations and will not be addressed further in this report.</w:t>
      </w:r>
    </w:p>
    <w:p w14:paraId="685EFDFE" w14:textId="77777777" w:rsidR="002D535F" w:rsidRPr="0062487B" w:rsidRDefault="002D535F" w:rsidP="17FA2F59">
      <w:pPr>
        <w:pStyle w:val="Heading1"/>
        <w:spacing w:before="0" w:line="240" w:lineRule="auto"/>
        <w:contextualSpacing/>
        <w:rPr>
          <w:rFonts w:asciiTheme="minorHAnsi" w:hAnsiTheme="minorHAnsi" w:cstheme="minorBidi"/>
          <w:color w:val="auto"/>
          <w:sz w:val="24"/>
          <w:szCs w:val="24"/>
        </w:rPr>
      </w:pPr>
    </w:p>
    <w:p w14:paraId="1F42F715" w14:textId="2EE94694" w:rsidR="002D535F" w:rsidRDefault="1890F46A" w:rsidP="17FA2F59">
      <w:pPr>
        <w:pStyle w:val="Heading1"/>
        <w:spacing w:before="0" w:line="240" w:lineRule="auto"/>
        <w:contextualSpacing/>
        <w:rPr>
          <w:rFonts w:asciiTheme="minorHAnsi" w:hAnsiTheme="minorHAnsi" w:cstheme="minorBidi"/>
          <w:color w:val="auto"/>
          <w:sz w:val="24"/>
          <w:szCs w:val="24"/>
        </w:rPr>
      </w:pPr>
      <w:bookmarkStart w:id="65" w:name="_Toc99645440"/>
      <w:r w:rsidRPr="17FA2F59">
        <w:rPr>
          <w:rFonts w:asciiTheme="minorHAnsi" w:hAnsiTheme="minorHAnsi" w:cstheme="minorBidi"/>
          <w:color w:val="auto"/>
          <w:sz w:val="24"/>
          <w:szCs w:val="24"/>
        </w:rPr>
        <w:t>Factor 4: Demonstration of Sufficient Funds as Supported by an Independent CPA Analysis</w:t>
      </w:r>
      <w:bookmarkEnd w:id="63"/>
      <w:r w:rsidR="00AF0AFF">
        <w:rPr>
          <w:rFonts w:asciiTheme="minorHAnsi" w:hAnsiTheme="minorHAnsi" w:cstheme="minorBidi"/>
          <w:color w:val="auto"/>
          <w:sz w:val="24"/>
          <w:szCs w:val="24"/>
        </w:rPr>
        <w:t xml:space="preserve"> and Independent Cost-Analysis</w:t>
      </w:r>
      <w:bookmarkEnd w:id="65"/>
    </w:p>
    <w:p w14:paraId="46456D36" w14:textId="77777777" w:rsidR="00AF0AFF" w:rsidRPr="00AF0AFF" w:rsidRDefault="00AF0AFF" w:rsidP="00AF0AFF"/>
    <w:p w14:paraId="2DE30FD7" w14:textId="7114222A" w:rsidR="00B452DD" w:rsidRPr="0062487B" w:rsidRDefault="00B452DD" w:rsidP="00B452DD">
      <w:pPr>
        <w:rPr>
          <w:rFonts w:asciiTheme="minorHAnsi" w:hAnsiTheme="minorHAnsi" w:cstheme="minorHAnsi"/>
        </w:rPr>
      </w:pPr>
      <w:bookmarkStart w:id="66" w:name="_Hlk96244275"/>
      <w:r w:rsidRPr="0062487B">
        <w:rPr>
          <w:rFonts w:asciiTheme="minorHAnsi" w:hAnsiTheme="minorHAnsi" w:cstheme="minorHAnsi"/>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w:t>
      </w:r>
    </w:p>
    <w:p w14:paraId="7AE380D2" w14:textId="77777777" w:rsidR="00B452DD" w:rsidRPr="0062487B" w:rsidRDefault="00B452DD" w:rsidP="00B452DD">
      <w:pPr>
        <w:rPr>
          <w:rFonts w:asciiTheme="minorHAnsi" w:hAnsiTheme="minorHAnsi" w:cstheme="minorHAnsi"/>
        </w:rPr>
      </w:pPr>
    </w:p>
    <w:p w14:paraId="04D1F0B4" w14:textId="77777777" w:rsidR="00B452DD" w:rsidRPr="0062487B" w:rsidRDefault="00B452DD" w:rsidP="00B452DD">
      <w:pPr>
        <w:rPr>
          <w:rFonts w:asciiTheme="minorHAnsi" w:hAnsiTheme="minorHAnsi" w:cstheme="minorHAnsi"/>
        </w:rPr>
      </w:pPr>
      <w:r w:rsidRPr="0062487B">
        <w:rPr>
          <w:rFonts w:asciiTheme="minorHAnsi" w:hAnsiTheme="minorHAnsi" w:cstheme="minorHAnsi"/>
        </w:rPr>
        <w:t>The scope of the analysis included review of the ten-year consolidated financial projections prepared by Mass General Brigham, the actual operating results for Mass General Brigham for the fiscal years ended 2019 and 2020, the relevant background information, and supporting documents.</w:t>
      </w:r>
      <w:r w:rsidRPr="0062487B">
        <w:rPr>
          <w:rFonts w:asciiTheme="minorHAnsi" w:hAnsiTheme="minorHAnsi" w:cstheme="minorHAnsi"/>
          <w:vertAlign w:val="superscript"/>
        </w:rPr>
        <w:footnoteReference w:id="26"/>
      </w:r>
      <w:r w:rsidRPr="0062487B">
        <w:rPr>
          <w:rFonts w:asciiTheme="minorHAnsi" w:hAnsiTheme="minorHAnsi" w:cstheme="minorHAnsi"/>
        </w:rPr>
        <w:t xml:space="preserve"> It performed an analysis of the financial projections prepared by Mass General Brigham Incorporated detailing the projected operations of MGB impact of capital projects involving and ancillary to the Brigham and Women’s Faulkner Hospital in Boston, MA. The review included analysis of key metrics that fall into three categories: liquidity, operating and solvency.</w:t>
      </w:r>
      <w:r w:rsidRPr="0062487B">
        <w:rPr>
          <w:rFonts w:asciiTheme="minorHAnsi" w:hAnsiTheme="minorHAnsi" w:cstheme="minorHAnsi"/>
          <w:vertAlign w:val="superscript"/>
        </w:rPr>
        <w:footnoteReference w:id="27"/>
      </w:r>
      <w:r w:rsidRPr="0062487B">
        <w:rPr>
          <w:rFonts w:asciiTheme="minorHAnsi" w:hAnsiTheme="minorHAnsi" w:cstheme="minorHAnsi"/>
        </w:rPr>
        <w:t xml:space="preserve"> The CPA states that in its opinion, the </w:t>
      </w:r>
      <w:r w:rsidRPr="0062487B">
        <w:rPr>
          <w:rFonts w:asciiTheme="minorHAnsi" w:hAnsiTheme="minorHAnsi" w:cstheme="minorHAnsi"/>
        </w:rPr>
        <w:lastRenderedPageBreak/>
        <w:t>analysis of key financial metrics is reasonable in relation to the company's past performance and peer group based on comparison to market information.</w:t>
      </w:r>
    </w:p>
    <w:p w14:paraId="050BD8F9" w14:textId="77777777" w:rsidR="00B452DD" w:rsidRPr="0062487B" w:rsidRDefault="00B452DD" w:rsidP="00B452DD">
      <w:pPr>
        <w:rPr>
          <w:rFonts w:asciiTheme="minorHAnsi" w:hAnsiTheme="minorHAnsi" w:cstheme="minorHAnsi"/>
          <w:b/>
        </w:rPr>
      </w:pPr>
    </w:p>
    <w:p w14:paraId="328F890C" w14:textId="77777777" w:rsidR="00B452DD" w:rsidRPr="0062487B" w:rsidRDefault="00B452DD" w:rsidP="00B452DD">
      <w:pPr>
        <w:rPr>
          <w:rFonts w:asciiTheme="minorHAnsi" w:hAnsiTheme="minorHAnsi" w:cstheme="minorHAnsi"/>
          <w:b/>
        </w:rPr>
      </w:pPr>
      <w:r w:rsidRPr="0062487B">
        <w:rPr>
          <w:rFonts w:asciiTheme="minorHAnsi" w:hAnsiTheme="minorHAnsi" w:cstheme="minorHAnsi"/>
          <w:b/>
        </w:rPr>
        <w:t>Revenues</w:t>
      </w:r>
    </w:p>
    <w:p w14:paraId="47895ADD" w14:textId="5AAF0E05" w:rsidR="00B452DD" w:rsidRPr="0062487B" w:rsidRDefault="00B452DD" w:rsidP="00B452DD">
      <w:pPr>
        <w:rPr>
          <w:rFonts w:asciiTheme="minorHAnsi" w:hAnsiTheme="minorHAnsi" w:cstheme="minorHAnsi"/>
        </w:rPr>
      </w:pPr>
      <w:r w:rsidRPr="0062487B">
        <w:rPr>
          <w:rFonts w:asciiTheme="minorHAnsi" w:hAnsiTheme="minorHAnsi" w:cstheme="minorHAnsi"/>
        </w:rPr>
        <w:t>The revenue category on which the proposed capital projects would have an impact is net patient service revenue (NPSR). The CPA reports the first year in which revenue is present for the proposed capital projects is FY 2024, and that beginning in that year the proposed capital projects would represent approximately</w:t>
      </w:r>
      <w:r w:rsidRPr="0062487B">
        <w:rPr>
          <w:rFonts w:asciiTheme="minorHAnsi" w:hAnsiTheme="minorHAnsi" w:cstheme="minorHAnsi"/>
          <w:b/>
          <w:bCs/>
        </w:rPr>
        <w:t xml:space="preserve"> </w:t>
      </w:r>
      <w:r w:rsidRPr="0062487B">
        <w:rPr>
          <w:rFonts w:asciiTheme="minorHAnsi" w:hAnsiTheme="minorHAnsi" w:cstheme="minorHAnsi"/>
        </w:rPr>
        <w:t>0.135% (less than 2 tenths of 1%)</w:t>
      </w:r>
      <w:r w:rsidRPr="0062487B">
        <w:rPr>
          <w:rFonts w:asciiTheme="minorHAnsi" w:hAnsiTheme="minorHAnsi" w:cstheme="minorHAnsi"/>
          <w:b/>
          <w:bCs/>
        </w:rPr>
        <w:t xml:space="preserve"> </w:t>
      </w:r>
      <w:r w:rsidRPr="0062487B">
        <w:rPr>
          <w:rFonts w:asciiTheme="minorHAnsi" w:hAnsiTheme="minorHAnsi" w:cstheme="minorHAnsi"/>
        </w:rPr>
        <w:t>of total operating revenues and increase to 0.29% (Less than 3 tenths of 1%)</w:t>
      </w:r>
      <w:r w:rsidRPr="0062487B">
        <w:rPr>
          <w:rFonts w:asciiTheme="minorHAnsi" w:hAnsiTheme="minorHAnsi" w:cstheme="minorHAnsi"/>
          <w:b/>
          <w:bCs/>
        </w:rPr>
        <w:t xml:space="preserve"> </w:t>
      </w:r>
      <w:r w:rsidRPr="0062487B">
        <w:rPr>
          <w:rFonts w:asciiTheme="minorHAnsi" w:hAnsiTheme="minorHAnsi" w:cstheme="minorHAnsi"/>
        </w:rPr>
        <w:t xml:space="preserve">in FY 2025. As a result of its review, based primarily upon the Applicant’s historical operations before </w:t>
      </w:r>
      <w:proofErr w:type="gramStart"/>
      <w:r w:rsidRPr="0062487B">
        <w:rPr>
          <w:rFonts w:asciiTheme="minorHAnsi" w:hAnsiTheme="minorHAnsi" w:cstheme="minorHAnsi"/>
        </w:rPr>
        <w:t>taking into account</w:t>
      </w:r>
      <w:proofErr w:type="gramEnd"/>
      <w:r w:rsidRPr="0062487B">
        <w:rPr>
          <w:rFonts w:asciiTheme="minorHAnsi" w:hAnsiTheme="minorHAnsi" w:cstheme="minorHAnsi"/>
        </w:rPr>
        <w:t xml:space="preserve"> the financial impact of the COVID-19 pandemic in Fiscal Year 2020, the CPA concluded that the revenue growth projected by Management is a reasonable estimation. </w:t>
      </w:r>
    </w:p>
    <w:p w14:paraId="7B6FB164" w14:textId="77777777" w:rsidR="00B452DD" w:rsidRPr="0062487B" w:rsidRDefault="00B452DD" w:rsidP="00B452DD">
      <w:pPr>
        <w:rPr>
          <w:rFonts w:asciiTheme="minorHAnsi" w:hAnsiTheme="minorHAnsi" w:cstheme="minorHAnsi"/>
          <w:b/>
        </w:rPr>
      </w:pPr>
    </w:p>
    <w:p w14:paraId="06F532C2" w14:textId="77777777" w:rsidR="00B452DD" w:rsidRPr="0062487B" w:rsidRDefault="00B452DD" w:rsidP="00B452DD">
      <w:pPr>
        <w:rPr>
          <w:rFonts w:asciiTheme="minorHAnsi" w:hAnsiTheme="minorHAnsi" w:cstheme="minorHAnsi"/>
          <w:b/>
        </w:rPr>
      </w:pPr>
      <w:r w:rsidRPr="0062487B">
        <w:rPr>
          <w:rFonts w:asciiTheme="minorHAnsi" w:hAnsiTheme="minorHAnsi" w:cstheme="minorHAnsi"/>
          <w:b/>
        </w:rPr>
        <w:t>Operating Expenses</w:t>
      </w:r>
    </w:p>
    <w:p w14:paraId="07A8DF79" w14:textId="77777777" w:rsidR="00B452DD" w:rsidRPr="0062487B" w:rsidRDefault="00B452DD" w:rsidP="00B452DD">
      <w:pPr>
        <w:tabs>
          <w:tab w:val="left" w:pos="3060"/>
        </w:tabs>
        <w:rPr>
          <w:rFonts w:asciiTheme="minorHAnsi" w:hAnsiTheme="minorHAnsi" w:cstheme="minorHAnsi"/>
        </w:rPr>
      </w:pPr>
      <w:r w:rsidRPr="0062487B">
        <w:rPr>
          <w:rFonts w:asciiTheme="minorHAnsi" w:hAnsiTheme="minorHAnsi" w:cstheme="minorHAnsi"/>
        </w:rPr>
        <w:t>The CPA analyzed each category of historical (FY 2019 and 2020) and projected operating expenses to determine the impact of the proposed capital projects on the consolidated entity and to determine the reasonableness of the Projections for the fiscal years 2021 through 2025. The analysis of the projected results from Fiscal Year 2021 through Fiscal Year 2025 indicated that in FY 2024, the proposed capital projects would represent approximately 0.178% (less than 2 tenths of 1%) of Mass General Brigham operating expenses and increase to 0.270% (less than 3 tenths of 1%)</w:t>
      </w:r>
      <w:r w:rsidRPr="0062487B">
        <w:rPr>
          <w:rFonts w:asciiTheme="minorHAnsi" w:hAnsiTheme="minorHAnsi" w:cstheme="minorHAnsi"/>
          <w:b/>
          <w:bCs/>
        </w:rPr>
        <w:t xml:space="preserve"> </w:t>
      </w:r>
      <w:r w:rsidRPr="0062487B">
        <w:rPr>
          <w:rFonts w:asciiTheme="minorHAnsi" w:hAnsiTheme="minorHAnsi" w:cstheme="minorHAnsi"/>
        </w:rPr>
        <w:t>in FY 2025.  Accordingly, in the CPA’s opinion, the growth in operating expenses projected by Management reflects a reasonable estimation.</w:t>
      </w:r>
    </w:p>
    <w:p w14:paraId="7491D1C3" w14:textId="77777777" w:rsidR="00B452DD" w:rsidRPr="0062487B" w:rsidRDefault="00B452DD" w:rsidP="00B452DD">
      <w:pPr>
        <w:rPr>
          <w:rFonts w:asciiTheme="minorHAnsi" w:hAnsiTheme="minorHAnsi" w:cstheme="minorHAnsi"/>
          <w:b/>
        </w:rPr>
      </w:pPr>
    </w:p>
    <w:p w14:paraId="19291782" w14:textId="77777777" w:rsidR="00B452DD" w:rsidRPr="0062487B" w:rsidRDefault="00B452DD" w:rsidP="00B452DD">
      <w:pPr>
        <w:rPr>
          <w:rFonts w:asciiTheme="minorHAnsi" w:hAnsiTheme="minorHAnsi" w:cstheme="minorHAnsi"/>
          <w:b/>
        </w:rPr>
      </w:pPr>
      <w:r w:rsidRPr="0062487B">
        <w:rPr>
          <w:rFonts w:asciiTheme="minorHAnsi" w:hAnsiTheme="minorHAnsi" w:cstheme="minorHAnsi"/>
          <w:b/>
        </w:rPr>
        <w:t>Non-operating Gains/Expenses and Other Changes in Net Assets</w:t>
      </w:r>
    </w:p>
    <w:p w14:paraId="58779ED5" w14:textId="77777777" w:rsidR="00B452DD" w:rsidRPr="0062487B" w:rsidRDefault="00B452DD" w:rsidP="00B452DD">
      <w:pPr>
        <w:rPr>
          <w:rFonts w:asciiTheme="minorHAnsi" w:hAnsiTheme="minorHAnsi" w:cstheme="minorHAnsi"/>
        </w:rPr>
      </w:pPr>
      <w:r w:rsidRPr="0062487B">
        <w:rPr>
          <w:rFonts w:asciiTheme="minorHAnsi" w:hAnsiTheme="minorHAnsi" w:cstheme="minorHAnsi"/>
        </w:rPr>
        <w:t>The various non-operating gains/expenses and other changes in net assets items</w:t>
      </w:r>
      <w:r w:rsidRPr="0062487B">
        <w:rPr>
          <w:rFonts w:asciiTheme="minorHAnsi" w:hAnsiTheme="minorHAnsi" w:cstheme="minorHAnsi"/>
          <w:vertAlign w:val="superscript"/>
        </w:rPr>
        <w:footnoteReference w:id="28"/>
      </w:r>
      <w:r w:rsidRPr="0062487B">
        <w:rPr>
          <w:rFonts w:asciiTheme="minorHAnsi" w:hAnsiTheme="minorHAnsi" w:cstheme="minorHAnsi"/>
        </w:rPr>
        <w:t xml:space="preserve"> were analyzed in aggregate, as they are non-operating activity. The analysis showed there were no non-operating expenses projected for the proposed capital projects. Accordingly, the CPA found that the pro-forma non-operating gains/expenses and other changes in net assets are reasonable.</w:t>
      </w:r>
    </w:p>
    <w:p w14:paraId="00152B99" w14:textId="77777777" w:rsidR="00B452DD" w:rsidRPr="0062487B" w:rsidRDefault="00B452DD" w:rsidP="00B452DD">
      <w:pPr>
        <w:rPr>
          <w:rFonts w:asciiTheme="minorHAnsi" w:hAnsiTheme="minorHAnsi" w:cstheme="minorHAnsi"/>
          <w:b/>
        </w:rPr>
      </w:pPr>
    </w:p>
    <w:p w14:paraId="4736345E" w14:textId="77777777" w:rsidR="00B452DD" w:rsidRPr="0062487B" w:rsidRDefault="00B452DD" w:rsidP="00B452DD">
      <w:pPr>
        <w:rPr>
          <w:rFonts w:asciiTheme="minorHAnsi" w:hAnsiTheme="minorHAnsi" w:cstheme="minorHAnsi"/>
          <w:b/>
        </w:rPr>
      </w:pPr>
      <w:r w:rsidRPr="0062487B">
        <w:rPr>
          <w:rFonts w:asciiTheme="minorHAnsi" w:hAnsiTheme="minorHAnsi" w:cstheme="minorHAnsi"/>
          <w:b/>
        </w:rPr>
        <w:t>Capital Expenditures and Cash Flows</w:t>
      </w:r>
    </w:p>
    <w:p w14:paraId="0583E54D" w14:textId="77777777" w:rsidR="00B452DD" w:rsidRPr="0062487B" w:rsidRDefault="00B452DD" w:rsidP="00B452DD">
      <w:pPr>
        <w:rPr>
          <w:rFonts w:asciiTheme="minorHAnsi" w:hAnsiTheme="minorHAnsi" w:cstheme="minorHAnsi"/>
        </w:rPr>
      </w:pPr>
      <w:r w:rsidRPr="0062487B">
        <w:rPr>
          <w:rFonts w:asciiTheme="minorHAnsi" w:hAnsiTheme="minorHAnsi" w:cstheme="minorHAnsi"/>
        </w:rPr>
        <w:t xml:space="preserve">The CPA then reviewed the Applicant’s capital expenditures and cash flows to determine whether </w:t>
      </w:r>
      <w:proofErr w:type="gramStart"/>
      <w:r w:rsidRPr="0062487B">
        <w:rPr>
          <w:rFonts w:asciiTheme="minorHAnsi" w:hAnsiTheme="minorHAnsi" w:cstheme="minorHAnsi"/>
        </w:rPr>
        <w:t>as a result of</w:t>
      </w:r>
      <w:proofErr w:type="gramEnd"/>
      <w:r w:rsidRPr="0062487B">
        <w:rPr>
          <w:rFonts w:asciiTheme="minorHAnsi" w:hAnsiTheme="minorHAnsi" w:cstheme="minorHAnsi"/>
        </w:rPr>
        <w:t xml:space="preserve"> this Proposed Project, the cash flow would be able to support reinvesting sufficient funds for necessary technological upgrades and reinvestment in property, plant and equipment. The CPA considered the current and projected capital projects and loan financing obligations included within the Projections and the impact of those projected expenditures on the Applicant’s cash flow and concluded that the resulting impact of pro-forma capital expenditures on Mass General Brigham cash flows are reasonable.</w:t>
      </w:r>
    </w:p>
    <w:p w14:paraId="30007259" w14:textId="77777777" w:rsidR="00B452DD" w:rsidRPr="0062487B" w:rsidRDefault="00B452DD" w:rsidP="00B452DD">
      <w:pPr>
        <w:rPr>
          <w:rFonts w:asciiTheme="minorHAnsi" w:hAnsiTheme="minorHAnsi" w:cstheme="minorHAnsi"/>
        </w:rPr>
      </w:pPr>
    </w:p>
    <w:p w14:paraId="1C2F7CBA" w14:textId="29D4C33D" w:rsidR="00B452DD" w:rsidRPr="0062487B" w:rsidRDefault="00B452DD" w:rsidP="00B452DD">
      <w:pPr>
        <w:rPr>
          <w:rFonts w:asciiTheme="minorHAnsi" w:hAnsiTheme="minorHAnsi" w:cstheme="minorHAnsi"/>
        </w:rPr>
      </w:pPr>
      <w:r w:rsidRPr="0062487B">
        <w:rPr>
          <w:rFonts w:asciiTheme="minorHAnsi" w:hAnsiTheme="minorHAnsi" w:cstheme="minorHAnsi"/>
        </w:rPr>
        <w:t>After considering multiple sources of information including historical and projected financial information for the Applicant, the CPA concluded that “</w:t>
      </w:r>
      <w:r w:rsidRPr="0062487B">
        <w:rPr>
          <w:rFonts w:asciiTheme="minorHAnsi" w:hAnsiTheme="minorHAnsi" w:cstheme="minorHAnsi"/>
          <w:i/>
        </w:rPr>
        <w:t>Because the impact of the proposed capital projects at BWFH represents a relatively insignificant portion of the operations and financial position of Mass General Brigham, I determined that the Projections are not likely to result in insufficient funds available for capital and ongoing operating costs necessary to support the proposed projects</w:t>
      </w:r>
      <w:r w:rsidRPr="0062487B">
        <w:rPr>
          <w:rFonts w:asciiTheme="minorHAnsi" w:hAnsiTheme="minorHAnsi" w:cstheme="minorHAnsi"/>
        </w:rPr>
        <w:t xml:space="preserve">,” and that </w:t>
      </w:r>
      <w:r w:rsidRPr="0062487B">
        <w:rPr>
          <w:rFonts w:asciiTheme="minorHAnsi" w:hAnsiTheme="minorHAnsi" w:cstheme="minorHAnsi"/>
        </w:rPr>
        <w:lastRenderedPageBreak/>
        <w:t>the Proposed Project is financially feasible. Accordingly, it determined that the Projections are reasonable and feasible, and not likely to have a negative impact on the patient panel or result in a liquidation of assets of MGB.</w:t>
      </w:r>
    </w:p>
    <w:p w14:paraId="64D0AE7B" w14:textId="77777777" w:rsidR="00B452DD" w:rsidRPr="0062487B" w:rsidRDefault="00B452DD" w:rsidP="00B452DD">
      <w:pPr>
        <w:rPr>
          <w:rFonts w:asciiTheme="minorHAnsi" w:hAnsiTheme="minorHAnsi" w:cstheme="minorHAnsi"/>
          <w:bCs/>
          <w:iCs/>
        </w:rPr>
      </w:pPr>
    </w:p>
    <w:p w14:paraId="34C28664" w14:textId="77777777" w:rsidR="00B452DD" w:rsidRPr="0062487B" w:rsidRDefault="00B452DD" w:rsidP="00B452DD">
      <w:pPr>
        <w:rPr>
          <w:rFonts w:asciiTheme="minorHAnsi" w:hAnsiTheme="minorHAnsi" w:cstheme="minorHAnsi"/>
          <w:b/>
          <w:i/>
        </w:rPr>
      </w:pPr>
      <w:r w:rsidRPr="0062487B">
        <w:rPr>
          <w:rFonts w:asciiTheme="minorHAnsi" w:hAnsiTheme="minorHAnsi" w:cstheme="minorHAnsi"/>
          <w:b/>
          <w:i/>
        </w:rPr>
        <w:t>Analysis</w:t>
      </w:r>
    </w:p>
    <w:p w14:paraId="25AA7EC6" w14:textId="77777777" w:rsidR="00B452DD" w:rsidRPr="0062487B" w:rsidRDefault="00B452DD" w:rsidP="00B452DD">
      <w:pPr>
        <w:rPr>
          <w:rFonts w:asciiTheme="minorHAnsi" w:hAnsiTheme="minorHAnsi" w:cstheme="minorBidi"/>
        </w:rPr>
      </w:pPr>
      <w:r w:rsidRPr="17FA2F59">
        <w:rPr>
          <w:rFonts w:asciiTheme="minorHAnsi" w:hAnsiTheme="minorHAnsi" w:cstheme="minorBidi"/>
        </w:rPr>
        <w:t xml:space="preserve">Staff is satisfied with the CPA’s analysis of Applicant’s decision to proceed with the Proposed Project. </w:t>
      </w:r>
    </w:p>
    <w:p w14:paraId="6B045FA9" w14:textId="2A5C2B6B" w:rsidR="00B07B74" w:rsidRDefault="00B07B74" w:rsidP="17FA2F59">
      <w:pPr>
        <w:rPr>
          <w:rFonts w:asciiTheme="minorHAnsi" w:hAnsiTheme="minorHAnsi" w:cstheme="minorBidi"/>
          <w:highlight w:val="yellow"/>
        </w:rPr>
      </w:pPr>
    </w:p>
    <w:p w14:paraId="242F21BB" w14:textId="3897B594" w:rsidR="007F799D" w:rsidRPr="00AF0AFF" w:rsidRDefault="007F799D" w:rsidP="007F799D">
      <w:pPr>
        <w:spacing w:after="200"/>
        <w:rPr>
          <w:rFonts w:asciiTheme="minorHAnsi" w:eastAsia="Calibri" w:hAnsiTheme="minorHAnsi" w:cstheme="minorHAnsi"/>
          <w:b/>
          <w:bCs/>
        </w:rPr>
      </w:pPr>
      <w:r w:rsidRPr="00AF0AFF">
        <w:rPr>
          <w:rFonts w:asciiTheme="minorHAnsi" w:eastAsia="Calibri" w:hAnsiTheme="minorHAnsi" w:cstheme="minorHAnsi"/>
          <w:b/>
          <w:bCs/>
        </w:rPr>
        <w:t>Independent Cost</w:t>
      </w:r>
      <w:r w:rsidR="00AF0AFF" w:rsidRPr="00AF0AFF">
        <w:rPr>
          <w:rFonts w:asciiTheme="minorHAnsi" w:eastAsia="Calibri" w:hAnsiTheme="minorHAnsi" w:cstheme="minorHAnsi"/>
          <w:b/>
          <w:bCs/>
        </w:rPr>
        <w:t>-</w:t>
      </w:r>
      <w:r w:rsidRPr="00AF0AFF">
        <w:rPr>
          <w:rFonts w:asciiTheme="minorHAnsi" w:eastAsia="Calibri" w:hAnsiTheme="minorHAnsi" w:cstheme="minorHAnsi"/>
          <w:b/>
          <w:bCs/>
        </w:rPr>
        <w:t xml:space="preserve">Analysis </w:t>
      </w:r>
    </w:p>
    <w:p w14:paraId="3F2DC8C4" w14:textId="77777777" w:rsidR="007F799D" w:rsidRPr="00AF0AFF" w:rsidRDefault="007F799D" w:rsidP="007F799D">
      <w:pPr>
        <w:textAlignment w:val="baseline"/>
        <w:rPr>
          <w:rFonts w:asciiTheme="minorHAnsi" w:eastAsiaTheme="minorEastAsia" w:hAnsiTheme="minorHAnsi" w:cstheme="minorHAnsi"/>
        </w:rPr>
      </w:pPr>
      <w:r w:rsidRPr="00AF0AFF">
        <w:rPr>
          <w:rFonts w:asciiTheme="minorHAnsi" w:hAnsiTheme="minorHAnsi" w:cstheme="minorHAnsi"/>
        </w:rPr>
        <w:t>As noted in Factor 2, the Massachusetts Department of Public Health (DPH) required an Independent Cost-Analysis (ICA) for the Proposed Project to evaluate whether the Proposed Project would be consistent with the health care cost containment goals of Massachusetts. Please see the cost section of Factor 2 for discussion and analysis of the ICA.</w:t>
      </w:r>
    </w:p>
    <w:p w14:paraId="2352833E" w14:textId="77777777" w:rsidR="00AF0AFF" w:rsidRPr="00AF0AFF" w:rsidRDefault="00AF0AFF" w:rsidP="007F799D">
      <w:pPr>
        <w:pStyle w:val="NormalWeb"/>
        <w:rPr>
          <w:rFonts w:asciiTheme="minorHAnsi" w:hAnsiTheme="minorHAnsi" w:cstheme="minorHAnsi"/>
          <w:b/>
          <w:bCs/>
        </w:rPr>
      </w:pPr>
    </w:p>
    <w:p w14:paraId="5A7BEC21" w14:textId="2F1DBFC4" w:rsidR="007F799D" w:rsidRPr="00C5576C" w:rsidRDefault="007F799D" w:rsidP="007F799D">
      <w:pPr>
        <w:pStyle w:val="NormalWeb"/>
        <w:rPr>
          <w:rFonts w:asciiTheme="minorHAnsi" w:hAnsiTheme="minorHAnsi" w:cstheme="minorHAnsi"/>
          <w:b/>
          <w:bCs/>
        </w:rPr>
      </w:pPr>
      <w:r w:rsidRPr="00C5576C">
        <w:rPr>
          <w:rFonts w:asciiTheme="minorHAnsi" w:hAnsiTheme="minorHAnsi" w:cstheme="minorHAnsi"/>
          <w:b/>
          <w:bCs/>
        </w:rPr>
        <w:t xml:space="preserve">Factor 4 </w:t>
      </w:r>
      <w:r>
        <w:rPr>
          <w:rFonts w:asciiTheme="minorHAnsi" w:hAnsiTheme="minorHAnsi" w:cstheme="minorHAnsi"/>
          <w:b/>
          <w:bCs/>
        </w:rPr>
        <w:t>Analysis</w:t>
      </w:r>
      <w:r w:rsidRPr="00C5576C">
        <w:rPr>
          <w:rFonts w:asciiTheme="minorHAnsi" w:hAnsiTheme="minorHAnsi" w:cstheme="minorHAnsi"/>
          <w:b/>
          <w:bCs/>
        </w:rPr>
        <w:t xml:space="preserve"> </w:t>
      </w:r>
    </w:p>
    <w:p w14:paraId="5F1EA187" w14:textId="77777777" w:rsidR="007F799D" w:rsidRPr="00AF0AFF" w:rsidRDefault="007F799D" w:rsidP="007F799D">
      <w:pPr>
        <w:rPr>
          <w:rFonts w:asciiTheme="minorHAnsi" w:hAnsiTheme="minorHAnsi" w:cstheme="minorHAnsi"/>
        </w:rPr>
      </w:pPr>
      <w:r w:rsidRPr="00AF0AFF">
        <w:rPr>
          <w:rFonts w:asciiTheme="minorHAnsi" w:hAnsiTheme="minorHAnsi" w:cstheme="minorHAnsi"/>
        </w:rPr>
        <w:t>Staff finds that the CPA analysis to be acceptable and with conditions, the cost containment element of Factor 4 is met. Thus, with conditions, Factor 4 is met.</w:t>
      </w:r>
    </w:p>
    <w:p w14:paraId="2CFA7439" w14:textId="77777777" w:rsidR="007F799D" w:rsidRPr="0062487B" w:rsidRDefault="007F799D" w:rsidP="17FA2F59">
      <w:pPr>
        <w:rPr>
          <w:rFonts w:asciiTheme="minorHAnsi" w:hAnsiTheme="minorHAnsi" w:cstheme="minorBidi"/>
          <w:highlight w:val="yellow"/>
        </w:rPr>
      </w:pPr>
    </w:p>
    <w:p w14:paraId="21EFEEA8" w14:textId="0D3329EF" w:rsidR="002D535F" w:rsidRPr="0062487B" w:rsidRDefault="1890F46A" w:rsidP="17FA2F59">
      <w:pPr>
        <w:pStyle w:val="Heading1"/>
        <w:spacing w:before="0" w:line="240" w:lineRule="auto"/>
        <w:contextualSpacing/>
        <w:rPr>
          <w:rFonts w:asciiTheme="minorHAnsi" w:hAnsiTheme="minorHAnsi" w:cstheme="minorBidi"/>
          <w:color w:val="auto"/>
          <w:sz w:val="24"/>
          <w:szCs w:val="24"/>
        </w:rPr>
      </w:pPr>
      <w:bookmarkStart w:id="67" w:name="_Toc99645441"/>
      <w:bookmarkEnd w:id="66"/>
      <w:r w:rsidRPr="17FA2F59">
        <w:rPr>
          <w:rFonts w:asciiTheme="minorHAnsi" w:hAnsiTheme="minorHAnsi" w:cstheme="minorBidi"/>
          <w:color w:val="auto"/>
          <w:sz w:val="24"/>
          <w:szCs w:val="24"/>
        </w:rPr>
        <w:t>Factor 5: Assessment of the Proposed Project’s Relative Merit</w:t>
      </w:r>
      <w:bookmarkEnd w:id="67"/>
    </w:p>
    <w:p w14:paraId="6902E8C6" w14:textId="6252B72D" w:rsidR="00F86FC8" w:rsidRPr="0062487B" w:rsidRDefault="7F1C3260" w:rsidP="17FA2F59">
      <w:pPr>
        <w:autoSpaceDE w:val="0"/>
        <w:autoSpaceDN w:val="0"/>
        <w:adjustRightInd w:val="0"/>
        <w:rPr>
          <w:rFonts w:asciiTheme="minorHAnsi" w:hAnsiTheme="minorHAnsi" w:cstheme="minorBidi"/>
          <w:color w:val="000000"/>
        </w:rPr>
      </w:pPr>
      <w:bookmarkStart w:id="68" w:name="_Toc17151192"/>
      <w:bookmarkStart w:id="69" w:name="_Toc17322410"/>
      <w:r w:rsidRPr="17FA2F59">
        <w:rPr>
          <w:rFonts w:asciiTheme="minorHAnsi" w:hAnsiTheme="minorHAnsi" w:cstheme="minorBidi"/>
          <w:color w:val="000000" w:themeColor="text1"/>
        </w:rPr>
        <w:t xml:space="preserve">The Applicant considered </w:t>
      </w:r>
      <w:r w:rsidR="2094F54D" w:rsidRPr="17FA2F59">
        <w:rPr>
          <w:rFonts w:asciiTheme="minorHAnsi" w:hAnsiTheme="minorHAnsi" w:cstheme="minorBidi"/>
        </w:rPr>
        <w:t>an</w:t>
      </w:r>
      <w:r w:rsidRPr="17FA2F59">
        <w:rPr>
          <w:rFonts w:asciiTheme="minorHAnsi" w:hAnsiTheme="minorHAnsi" w:cstheme="minorBidi"/>
          <w:color w:val="000000" w:themeColor="text1"/>
        </w:rPr>
        <w:t xml:space="preserve">d rejected </w:t>
      </w:r>
      <w:r w:rsidR="1B88640D" w:rsidRPr="17FA2F59">
        <w:rPr>
          <w:rFonts w:asciiTheme="minorHAnsi" w:hAnsiTheme="minorHAnsi" w:cstheme="minorBidi"/>
          <w:color w:val="000000" w:themeColor="text1"/>
        </w:rPr>
        <w:t>two</w:t>
      </w:r>
      <w:r w:rsidRPr="17FA2F59">
        <w:rPr>
          <w:rFonts w:asciiTheme="minorHAnsi" w:hAnsiTheme="minorHAnsi" w:cstheme="minorBidi"/>
          <w:color w:val="000000" w:themeColor="text1"/>
        </w:rPr>
        <w:t xml:space="preserve"> alternatives to the Proposed Project</w:t>
      </w:r>
      <w:r w:rsidR="6D507DE0" w:rsidRPr="17FA2F59">
        <w:rPr>
          <w:rFonts w:asciiTheme="minorHAnsi" w:hAnsiTheme="minorHAnsi" w:cstheme="minorBidi"/>
          <w:color w:val="000000" w:themeColor="text1"/>
        </w:rPr>
        <w:t>.</w:t>
      </w:r>
      <w:r w:rsidRPr="17FA2F59">
        <w:rPr>
          <w:rFonts w:asciiTheme="minorHAnsi" w:hAnsiTheme="minorHAnsi" w:cstheme="minorBidi"/>
          <w:color w:val="000000" w:themeColor="text1"/>
        </w:rPr>
        <w:t xml:space="preserve"> The first option </w:t>
      </w:r>
      <w:r w:rsidR="33C99469" w:rsidRPr="17FA2F59">
        <w:rPr>
          <w:rFonts w:asciiTheme="minorHAnsi" w:hAnsiTheme="minorHAnsi" w:cstheme="minorBidi"/>
          <w:color w:val="000000" w:themeColor="text1"/>
        </w:rPr>
        <w:t xml:space="preserve">explored was </w:t>
      </w:r>
      <w:r w:rsidRPr="17FA2F59">
        <w:rPr>
          <w:rFonts w:asciiTheme="minorHAnsi" w:hAnsiTheme="minorHAnsi" w:cstheme="minorBidi"/>
          <w:color w:val="000000" w:themeColor="text1"/>
        </w:rPr>
        <w:t>maintaining the status quo</w:t>
      </w:r>
      <w:r w:rsidR="33C99469" w:rsidRPr="17FA2F59">
        <w:rPr>
          <w:rFonts w:asciiTheme="minorHAnsi" w:hAnsiTheme="minorHAnsi" w:cstheme="minorBidi"/>
          <w:color w:val="000000" w:themeColor="text1"/>
        </w:rPr>
        <w:t xml:space="preserve"> and the second alternative was </w:t>
      </w:r>
      <w:r w:rsidR="736107F1" w:rsidRPr="17FA2F59">
        <w:rPr>
          <w:rFonts w:asciiTheme="minorHAnsi" w:hAnsiTheme="minorHAnsi" w:cstheme="minorBidi"/>
          <w:color w:val="000000" w:themeColor="text1"/>
        </w:rPr>
        <w:t xml:space="preserve">related to the renovation of existing or underutilized space. However, the </w:t>
      </w:r>
      <w:r w:rsidR="736107F1" w:rsidRPr="17FA2F59">
        <w:rPr>
          <w:rFonts w:asciiTheme="minorHAnsi" w:hAnsiTheme="minorHAnsi" w:cstheme="minorBidi"/>
        </w:rPr>
        <w:t>quality, efficiency, and costs</w:t>
      </w:r>
      <w:r w:rsidR="736107F1" w:rsidRPr="17FA2F59">
        <w:rPr>
          <w:rFonts w:asciiTheme="minorHAnsi" w:hAnsiTheme="minorHAnsi" w:cstheme="minorBidi"/>
          <w:color w:val="000000" w:themeColor="text1"/>
        </w:rPr>
        <w:t xml:space="preserve"> of those options were dismissed because they would not provide sufficient space to meet the Proposed Project’s needs. </w:t>
      </w:r>
    </w:p>
    <w:p w14:paraId="612592B8" w14:textId="77777777" w:rsidR="00F20BDD" w:rsidRPr="0062487B" w:rsidRDefault="00F20BDD" w:rsidP="00F86FC8">
      <w:pPr>
        <w:autoSpaceDE w:val="0"/>
        <w:autoSpaceDN w:val="0"/>
        <w:adjustRightInd w:val="0"/>
        <w:rPr>
          <w:rFonts w:asciiTheme="minorHAnsi" w:hAnsiTheme="minorHAnsi" w:cstheme="minorHAnsi"/>
          <w:color w:val="000000"/>
        </w:rPr>
      </w:pPr>
    </w:p>
    <w:p w14:paraId="3FC6FB0A" w14:textId="62D8E76C" w:rsidR="00A54512" w:rsidRPr="0062487B" w:rsidRDefault="00F86FC8" w:rsidP="00F86FC8">
      <w:pPr>
        <w:autoSpaceDE w:val="0"/>
        <w:autoSpaceDN w:val="0"/>
        <w:adjustRightInd w:val="0"/>
        <w:rPr>
          <w:rFonts w:asciiTheme="minorHAnsi" w:hAnsiTheme="minorHAnsi" w:cstheme="minorHAnsi"/>
          <w:color w:val="000000"/>
        </w:rPr>
      </w:pPr>
      <w:r w:rsidRPr="0062487B">
        <w:rPr>
          <w:rFonts w:asciiTheme="minorHAnsi" w:hAnsiTheme="minorHAnsi" w:cstheme="minorHAnsi"/>
          <w:color w:val="000000"/>
        </w:rPr>
        <w:t>Maintaining the status quo</w:t>
      </w:r>
      <w:r w:rsidR="000665C3">
        <w:rPr>
          <w:rFonts w:asciiTheme="minorHAnsi" w:hAnsiTheme="minorHAnsi" w:cstheme="minorHAnsi"/>
          <w:color w:val="000000"/>
        </w:rPr>
        <w:t xml:space="preserve"> </w:t>
      </w:r>
      <w:r w:rsidR="00A54512" w:rsidRPr="0062487B">
        <w:rPr>
          <w:rFonts w:asciiTheme="minorHAnsi" w:hAnsiTheme="minorHAnsi" w:cstheme="minorHAnsi"/>
          <w:color w:val="000000"/>
        </w:rPr>
        <w:t xml:space="preserve">would not provide the needed services at the hospital, causing delays in care that may impact quality. </w:t>
      </w:r>
      <w:r w:rsidR="00AA60ED" w:rsidRPr="0062487B">
        <w:rPr>
          <w:rFonts w:asciiTheme="minorHAnsi" w:hAnsiTheme="minorHAnsi" w:cstheme="minorHAnsi"/>
          <w:color w:val="000000"/>
        </w:rPr>
        <w:t>The inefficiencies of the status quo w</w:t>
      </w:r>
      <w:r w:rsidR="002A3C1B">
        <w:rPr>
          <w:rFonts w:asciiTheme="minorHAnsi" w:hAnsiTheme="minorHAnsi" w:cstheme="minorHAnsi"/>
          <w:color w:val="000000"/>
        </w:rPr>
        <w:t>ould</w:t>
      </w:r>
      <w:r w:rsidR="00AA60ED" w:rsidRPr="0062487B">
        <w:rPr>
          <w:rFonts w:asciiTheme="minorHAnsi" w:hAnsiTheme="minorHAnsi" w:cstheme="minorHAnsi"/>
          <w:color w:val="000000"/>
        </w:rPr>
        <w:t xml:space="preserve"> not address BWFH’s capacity constraints and throughput challenges,</w:t>
      </w:r>
      <w:r w:rsidR="00217AC8" w:rsidRPr="0062487B">
        <w:rPr>
          <w:rFonts w:asciiTheme="minorHAnsi" w:hAnsiTheme="minorHAnsi" w:cstheme="minorHAnsi"/>
          <w:color w:val="000000"/>
        </w:rPr>
        <w:t xml:space="preserve"> demand for secondary care in the community,</w:t>
      </w:r>
      <w:r w:rsidR="00AA60ED" w:rsidRPr="0062487B">
        <w:rPr>
          <w:rFonts w:asciiTheme="minorHAnsi" w:hAnsiTheme="minorHAnsi" w:cstheme="minorHAnsi"/>
          <w:color w:val="000000"/>
        </w:rPr>
        <w:t xml:space="preserve"> patient wait time and need for patients to be transferred to other facilities for diagnosis and treatment of conditions. This option would also not allow the space needed for expanded services, new technologies or improved workflow and operations. </w:t>
      </w:r>
    </w:p>
    <w:p w14:paraId="6EEAB269" w14:textId="77777777" w:rsidR="00F20BDD" w:rsidRPr="0062487B" w:rsidRDefault="00F20BDD" w:rsidP="00F86FC8">
      <w:pPr>
        <w:autoSpaceDE w:val="0"/>
        <w:autoSpaceDN w:val="0"/>
        <w:adjustRightInd w:val="0"/>
        <w:rPr>
          <w:rFonts w:asciiTheme="minorHAnsi" w:hAnsiTheme="minorHAnsi" w:cstheme="minorHAnsi"/>
          <w:color w:val="000000"/>
        </w:rPr>
      </w:pPr>
    </w:p>
    <w:p w14:paraId="017C8F97" w14:textId="638369FC" w:rsidR="00F86FC8" w:rsidRPr="0062487B" w:rsidRDefault="300F6CA0" w:rsidP="17FA2F59">
      <w:pPr>
        <w:autoSpaceDE w:val="0"/>
        <w:autoSpaceDN w:val="0"/>
        <w:adjustRightInd w:val="0"/>
        <w:rPr>
          <w:rFonts w:asciiTheme="minorHAnsi" w:hAnsiTheme="minorHAnsi" w:cstheme="minorBidi"/>
          <w:color w:val="000000"/>
        </w:rPr>
      </w:pPr>
      <w:r w:rsidRPr="17FA2F59">
        <w:rPr>
          <w:rFonts w:asciiTheme="minorHAnsi" w:hAnsiTheme="minorHAnsi" w:cstheme="minorBidi"/>
          <w:color w:val="000000" w:themeColor="text1"/>
        </w:rPr>
        <w:t>A second a</w:t>
      </w:r>
      <w:r w:rsidR="337CCCB1" w:rsidRPr="17FA2F59">
        <w:rPr>
          <w:rFonts w:asciiTheme="minorHAnsi" w:hAnsiTheme="minorHAnsi" w:cstheme="minorBidi"/>
          <w:color w:val="000000" w:themeColor="text1"/>
        </w:rPr>
        <w:t>lternative</w:t>
      </w:r>
      <w:r w:rsidRPr="17FA2F59">
        <w:rPr>
          <w:rFonts w:asciiTheme="minorHAnsi" w:hAnsiTheme="minorHAnsi" w:cstheme="minorBidi"/>
          <w:color w:val="000000" w:themeColor="text1"/>
        </w:rPr>
        <w:t xml:space="preserve"> examined was constructing a smaller North Wing Addition for the additional inpatient capacity. This option would </w:t>
      </w:r>
      <w:r w:rsidR="32BDF3EF" w:rsidRPr="17FA2F59">
        <w:rPr>
          <w:rFonts w:asciiTheme="minorHAnsi" w:hAnsiTheme="minorHAnsi" w:cstheme="minorBidi"/>
          <w:color w:val="000000" w:themeColor="text1"/>
        </w:rPr>
        <w:t>not meet</w:t>
      </w:r>
      <w:r w:rsidR="000665C3">
        <w:rPr>
          <w:rFonts w:asciiTheme="minorHAnsi" w:hAnsiTheme="minorHAnsi" w:cstheme="minorBidi"/>
          <w:color w:val="000000" w:themeColor="text1"/>
        </w:rPr>
        <w:t xml:space="preserve"> MGB’s</w:t>
      </w:r>
      <w:r w:rsidR="32BDF3EF" w:rsidRPr="17FA2F59">
        <w:rPr>
          <w:rFonts w:asciiTheme="minorHAnsi" w:hAnsiTheme="minorHAnsi" w:cstheme="minorBidi"/>
          <w:color w:val="000000" w:themeColor="text1"/>
        </w:rPr>
        <w:t xml:space="preserve"> Patient Panel clinical needs and would </w:t>
      </w:r>
      <w:r w:rsidRPr="17FA2F59">
        <w:rPr>
          <w:rFonts w:asciiTheme="minorHAnsi" w:hAnsiTheme="minorHAnsi" w:cstheme="minorBidi"/>
          <w:color w:val="000000" w:themeColor="text1"/>
        </w:rPr>
        <w:t xml:space="preserve">have resulted in fewer inpatient beds, which would not meet the current and future demand of the Patient Panel. This option would also not provide enough clinical space for the endoscopy, </w:t>
      </w:r>
      <w:proofErr w:type="gramStart"/>
      <w:r w:rsidRPr="17FA2F59">
        <w:rPr>
          <w:rFonts w:asciiTheme="minorHAnsi" w:hAnsiTheme="minorHAnsi" w:cstheme="minorBidi"/>
          <w:color w:val="000000" w:themeColor="text1"/>
        </w:rPr>
        <w:t>imaging</w:t>
      </w:r>
      <w:proofErr w:type="gramEnd"/>
      <w:r w:rsidRPr="17FA2F59">
        <w:rPr>
          <w:rFonts w:asciiTheme="minorHAnsi" w:hAnsiTheme="minorHAnsi" w:cstheme="minorBidi"/>
          <w:color w:val="000000" w:themeColor="text1"/>
        </w:rPr>
        <w:t xml:space="preserve"> or observation unit. Further, it would not address BWFH’s capacity constraints related to the PACU, endoscopy rooms, </w:t>
      </w:r>
      <w:proofErr w:type="gramStart"/>
      <w:r w:rsidRPr="17FA2F59">
        <w:rPr>
          <w:rFonts w:asciiTheme="minorHAnsi" w:hAnsiTheme="minorHAnsi" w:cstheme="minorBidi"/>
          <w:color w:val="000000" w:themeColor="text1"/>
        </w:rPr>
        <w:t>imaging</w:t>
      </w:r>
      <w:proofErr w:type="gramEnd"/>
      <w:r w:rsidRPr="17FA2F59">
        <w:rPr>
          <w:rFonts w:asciiTheme="minorHAnsi" w:hAnsiTheme="minorHAnsi" w:cstheme="minorBidi"/>
          <w:color w:val="000000" w:themeColor="text1"/>
        </w:rPr>
        <w:t xml:space="preserve"> and ED boarding, nor would it allow for appropriate patient transfers from BWH. While the capital ($116,331,000) and operating costs ($6,959,255) would be less than the Proposed Project</w:t>
      </w:r>
      <w:r w:rsidR="32BDF3EF" w:rsidRPr="17FA2F59">
        <w:rPr>
          <w:rFonts w:asciiTheme="minorHAnsi" w:hAnsiTheme="minorHAnsi" w:cstheme="minorBidi"/>
          <w:color w:val="000000" w:themeColor="text1"/>
        </w:rPr>
        <w:t>, the second option does not allow for accommodation of the Proposed Project and would require future construction to build enough space for the Proposed Project’s components.</w:t>
      </w:r>
    </w:p>
    <w:p w14:paraId="72814A33" w14:textId="77777777" w:rsidR="00B43F8C" w:rsidRPr="0062487B" w:rsidRDefault="00B43F8C" w:rsidP="00F86FC8">
      <w:pPr>
        <w:pStyle w:val="NormalWeb"/>
        <w:rPr>
          <w:rFonts w:asciiTheme="minorHAnsi" w:hAnsiTheme="minorHAnsi" w:cstheme="minorHAnsi"/>
          <w:b/>
          <w:bCs/>
        </w:rPr>
      </w:pPr>
    </w:p>
    <w:p w14:paraId="726C938B" w14:textId="0F740F72" w:rsidR="00F86FC8" w:rsidRPr="0062487B" w:rsidRDefault="00F86FC8" w:rsidP="00F86FC8">
      <w:pPr>
        <w:pStyle w:val="NormalWeb"/>
        <w:rPr>
          <w:rFonts w:asciiTheme="minorHAnsi" w:hAnsiTheme="minorHAnsi" w:cstheme="minorHAnsi"/>
          <w:b/>
          <w:bCs/>
        </w:rPr>
      </w:pPr>
      <w:r w:rsidRPr="0062487B">
        <w:rPr>
          <w:rFonts w:asciiTheme="minorHAnsi" w:hAnsiTheme="minorHAnsi" w:cstheme="minorHAnsi"/>
          <w:b/>
          <w:bCs/>
        </w:rPr>
        <w:t xml:space="preserve">Factor 5 Summary </w:t>
      </w:r>
    </w:p>
    <w:p w14:paraId="4A65394D" w14:textId="2D9391A8" w:rsidR="00F86FC8" w:rsidRPr="0062487B" w:rsidRDefault="00F86FC8" w:rsidP="00F86FC8">
      <w:pPr>
        <w:pStyle w:val="NormalWeb"/>
        <w:rPr>
          <w:rFonts w:asciiTheme="minorHAnsi" w:hAnsiTheme="minorHAnsi" w:cstheme="minorHAnsi"/>
          <w:b/>
          <w:bCs/>
        </w:rPr>
      </w:pPr>
      <w:r w:rsidRPr="0062487B">
        <w:rPr>
          <w:rFonts w:asciiTheme="minorHAnsi" w:hAnsiTheme="minorHAnsi" w:cstheme="minorHAnsi"/>
        </w:rPr>
        <w:t xml:space="preserve">Staff finds that the Applicant has appropriately considered the quality, efficiency and capital and operating costs of the Proposed Project relative to potential alternatives. As a result of information provided by the Applicant, staff finds the Applicant has reasonably met the requirements of Factor 5. </w:t>
      </w:r>
    </w:p>
    <w:p w14:paraId="1AB25283" w14:textId="77777777" w:rsidR="00923527" w:rsidRPr="0062487B" w:rsidRDefault="00923527" w:rsidP="00155601">
      <w:pPr>
        <w:pStyle w:val="Heading1"/>
        <w:spacing w:before="0" w:line="240" w:lineRule="auto"/>
        <w:rPr>
          <w:rFonts w:asciiTheme="minorHAnsi" w:eastAsia="Times New Roman" w:hAnsiTheme="minorHAnsi" w:cstheme="minorHAnsi"/>
          <w:sz w:val="24"/>
          <w:szCs w:val="24"/>
        </w:rPr>
      </w:pPr>
    </w:p>
    <w:p w14:paraId="0D81F87A" w14:textId="2D11C556" w:rsidR="00FC68C0" w:rsidRPr="0062487B" w:rsidRDefault="1890F46A" w:rsidP="17FA2F59">
      <w:pPr>
        <w:pStyle w:val="Heading1"/>
        <w:spacing w:before="0" w:line="240" w:lineRule="auto"/>
        <w:rPr>
          <w:rFonts w:asciiTheme="minorHAnsi" w:eastAsia="Times New Roman" w:hAnsiTheme="minorHAnsi" w:cstheme="minorBidi"/>
          <w:color w:val="auto"/>
          <w:sz w:val="24"/>
          <w:szCs w:val="24"/>
        </w:rPr>
      </w:pPr>
      <w:bookmarkStart w:id="70" w:name="_Toc99645442"/>
      <w:r w:rsidRPr="17FA2F59">
        <w:rPr>
          <w:rFonts w:asciiTheme="minorHAnsi" w:eastAsia="Times New Roman" w:hAnsiTheme="minorHAnsi" w:cstheme="minorBidi"/>
          <w:color w:val="auto"/>
          <w:sz w:val="24"/>
          <w:szCs w:val="24"/>
        </w:rPr>
        <w:t>Factor 6: Fulfillment of DPH Community-based Health Initiatives Guideline</w:t>
      </w:r>
      <w:r w:rsidR="4167F2BF" w:rsidRPr="17FA2F59">
        <w:rPr>
          <w:rFonts w:asciiTheme="minorHAnsi" w:eastAsia="Times New Roman" w:hAnsiTheme="minorHAnsi" w:cstheme="minorBidi"/>
          <w:color w:val="auto"/>
          <w:sz w:val="24"/>
          <w:szCs w:val="24"/>
        </w:rPr>
        <w:t>—</w:t>
      </w:r>
      <w:r w:rsidR="4167F2BF" w:rsidRPr="17FA2F59">
        <w:rPr>
          <w:rFonts w:asciiTheme="minorHAnsi" w:hAnsiTheme="minorHAnsi" w:cstheme="minorBidi"/>
          <w:color w:val="auto"/>
          <w:sz w:val="24"/>
          <w:szCs w:val="24"/>
        </w:rPr>
        <w:t xml:space="preserve"> </w:t>
      </w:r>
      <w:r w:rsidR="4167F2BF" w:rsidRPr="17FA2F59">
        <w:rPr>
          <w:rFonts w:asciiTheme="minorHAnsi" w:eastAsia="Times New Roman" w:hAnsiTheme="minorHAnsi" w:cstheme="minorBidi"/>
          <w:color w:val="auto"/>
          <w:sz w:val="24"/>
          <w:szCs w:val="24"/>
        </w:rPr>
        <w:t>Overall Application</w:t>
      </w:r>
      <w:bookmarkEnd w:id="70"/>
      <w:r w:rsidR="4167F2BF" w:rsidRPr="17FA2F59">
        <w:rPr>
          <w:rFonts w:asciiTheme="minorHAnsi" w:eastAsia="Times New Roman" w:hAnsiTheme="minorHAnsi" w:cstheme="minorBidi"/>
          <w:color w:val="auto"/>
          <w:sz w:val="24"/>
          <w:szCs w:val="24"/>
        </w:rPr>
        <w:t xml:space="preserve">  </w:t>
      </w:r>
    </w:p>
    <w:bookmarkEnd w:id="68"/>
    <w:bookmarkEnd w:id="69"/>
    <w:p w14:paraId="164742CB" w14:textId="77777777" w:rsidR="003B0B5B" w:rsidRPr="0062487B" w:rsidRDefault="003B0B5B" w:rsidP="003B0B5B">
      <w:pPr>
        <w:ind w:right="540"/>
        <w:contextualSpacing/>
        <w:rPr>
          <w:rFonts w:asciiTheme="minorHAnsi" w:eastAsia="Calibri" w:hAnsiTheme="minorHAnsi" w:cstheme="minorHAnsi"/>
        </w:rPr>
      </w:pPr>
      <w:r w:rsidRPr="0062487B">
        <w:rPr>
          <w:rFonts w:asciiTheme="minorHAnsi" w:eastAsia="Calibri" w:hAnsiTheme="minorHAnsi" w:cstheme="minorHAnsi"/>
        </w:rPr>
        <w:t xml:space="preserve">Summary and relevant background and context for this application: </w:t>
      </w:r>
    </w:p>
    <w:p w14:paraId="0025831F" w14:textId="77777777" w:rsidR="000665C3" w:rsidRDefault="000665C3" w:rsidP="17FA2F59">
      <w:pPr>
        <w:ind w:right="540"/>
        <w:contextualSpacing/>
        <w:rPr>
          <w:rFonts w:asciiTheme="minorHAnsi" w:hAnsiTheme="minorHAnsi" w:cstheme="minorBidi"/>
        </w:rPr>
      </w:pPr>
    </w:p>
    <w:p w14:paraId="46DA35B2" w14:textId="6E152DC2" w:rsidR="003B0B5B" w:rsidRPr="0062487B" w:rsidRDefault="4167F2BF" w:rsidP="17FA2F59">
      <w:pPr>
        <w:ind w:right="540"/>
        <w:contextualSpacing/>
        <w:rPr>
          <w:rFonts w:asciiTheme="minorHAnsi" w:eastAsia="Calibri" w:hAnsiTheme="minorHAnsi" w:cstheme="minorBidi"/>
        </w:rPr>
      </w:pPr>
      <w:r w:rsidRPr="17FA2F59">
        <w:rPr>
          <w:rFonts w:asciiTheme="minorHAnsi" w:hAnsiTheme="minorHAnsi" w:cstheme="minorBidi"/>
        </w:rPr>
        <w:t xml:space="preserve">The Applicant engaged in a new collaborative process in fulfilling its CHI requirement. It participated in the Boston city-wide collaborative CHNA/CHIP </w:t>
      </w:r>
      <w:r w:rsidR="29D48B1C" w:rsidRPr="17FA2F59">
        <w:rPr>
          <w:rFonts w:asciiTheme="minorHAnsi" w:hAnsiTheme="minorHAnsi" w:cstheme="minorBidi"/>
        </w:rPr>
        <w:t>process and</w:t>
      </w:r>
      <w:r w:rsidRPr="17FA2F59">
        <w:rPr>
          <w:rFonts w:asciiTheme="minorHAnsi" w:hAnsiTheme="minorHAnsi" w:cstheme="minorBidi"/>
        </w:rPr>
        <w:t xml:space="preserve"> supplemented with additional community-specific activities. In coordinating with the larger CHNA/CHIP processes for Boston, the Applicant utilized community-wide surveys, focus groups, and in-person convenings to obtain community input, and further analyzed data from institution-specific priority Boston communities – Hyde Park, Jamaica Plain, Roslindale, and West Roxbury. Fo</w:t>
      </w:r>
      <w:r w:rsidR="002A3C1B">
        <w:rPr>
          <w:rFonts w:asciiTheme="minorHAnsi" w:hAnsiTheme="minorHAnsi" w:cstheme="minorBidi"/>
        </w:rPr>
        <w:t>r</w:t>
      </w:r>
      <w:r w:rsidRPr="17FA2F59">
        <w:rPr>
          <w:rFonts w:asciiTheme="minorHAnsi" w:hAnsiTheme="minorHAnsi" w:cstheme="minorBidi"/>
        </w:rPr>
        <w:t xml:space="preserve"> this Proposed Project, the Applicant submitted a CHI Narrative, Self-Assessment with an addendum, Stakeholder Assessments, a Community Engagement Plan with an addendum, and the Community Health Needs Assessment and Community Health Improvement Plan from the regional collaborative.  </w:t>
      </w:r>
    </w:p>
    <w:p w14:paraId="1ABD9E15" w14:textId="77777777" w:rsidR="003B0B5B" w:rsidRPr="0062487B" w:rsidRDefault="003B0B5B" w:rsidP="003B0B5B">
      <w:pPr>
        <w:ind w:right="540"/>
        <w:contextualSpacing/>
        <w:rPr>
          <w:rFonts w:asciiTheme="minorHAnsi" w:eastAsia="Calibri" w:hAnsiTheme="minorHAnsi" w:cstheme="minorHAnsi"/>
        </w:rPr>
      </w:pPr>
    </w:p>
    <w:p w14:paraId="77664EC3" w14:textId="1DFEBBB4" w:rsidR="003B0B5B" w:rsidRPr="0062487B" w:rsidRDefault="4167F2BF" w:rsidP="00EB5776">
      <w:pPr>
        <w:numPr>
          <w:ilvl w:val="0"/>
          <w:numId w:val="13"/>
        </w:numPr>
        <w:contextualSpacing/>
        <w:rPr>
          <w:rFonts w:asciiTheme="minorHAnsi" w:eastAsia="Calibri" w:hAnsiTheme="minorHAnsi" w:cstheme="minorBidi"/>
        </w:rPr>
      </w:pPr>
      <w:r w:rsidRPr="17FA2F59">
        <w:rPr>
          <w:rFonts w:asciiTheme="minorHAnsi" w:eastAsia="Calibri" w:hAnsiTheme="minorHAnsi" w:cstheme="minorBidi"/>
          <w:b/>
          <w:bCs/>
        </w:rPr>
        <w:t>In the Community Health Needs Assessment (CHNA) and Community Health Improvement Plan (CHIP)</w:t>
      </w:r>
      <w:r w:rsidRPr="17FA2F59">
        <w:rPr>
          <w:rFonts w:asciiTheme="minorHAnsi" w:eastAsia="Calibri" w:hAnsiTheme="minorHAnsi" w:cstheme="minorBidi"/>
        </w:rPr>
        <w:t>, the Applicant provided a summary of socio-demographic data, community assets, and highlights of health outcome information related to these topics. Through a collaborative, city-wide process of data collection, analysis, gatherings, and strategic planning, the Applicant identified Housing Affordability and Access, Economic Mobility, Mental and Behavioral Health, and Accessing Services as key priorities. Multisectoral partnerships contributed to the CHIP, identifying efforts and action steps to address the four priorities. The reports and supporting documentation focused on the community health needs for Boston neighborhoods, and the Applicant worked with its Community Advisory Board (CAB) to conduct additional data collection and analysis in priority neighborhoods (Hyde Park, Jamaica Plain, Roslindale, and West Roxbury) to ensure a focus on population geographies prioritized by the Applicant.</w:t>
      </w:r>
    </w:p>
    <w:p w14:paraId="2AE88574" w14:textId="77777777" w:rsidR="003B0B5B" w:rsidRPr="0062487B" w:rsidRDefault="003B0B5B" w:rsidP="003B0B5B">
      <w:pPr>
        <w:ind w:left="360"/>
        <w:contextualSpacing/>
        <w:rPr>
          <w:rFonts w:asciiTheme="minorHAnsi" w:eastAsia="Calibri" w:hAnsiTheme="minorHAnsi" w:cstheme="minorHAnsi"/>
        </w:rPr>
      </w:pPr>
    </w:p>
    <w:p w14:paraId="35547B4C" w14:textId="42E40832" w:rsidR="003B0B5B" w:rsidRPr="0062487B" w:rsidRDefault="003B0B5B" w:rsidP="00EB5776">
      <w:pPr>
        <w:numPr>
          <w:ilvl w:val="0"/>
          <w:numId w:val="13"/>
        </w:numPr>
        <w:contextualSpacing/>
        <w:rPr>
          <w:rFonts w:asciiTheme="minorHAnsi" w:eastAsia="Calibri" w:hAnsiTheme="minorHAnsi" w:cstheme="minorHAnsi"/>
        </w:rPr>
      </w:pPr>
      <w:r w:rsidRPr="0062487B">
        <w:rPr>
          <w:rFonts w:asciiTheme="minorHAnsi" w:eastAsia="Calibri" w:hAnsiTheme="minorHAnsi" w:cstheme="minorHAnsi"/>
          <w:b/>
        </w:rPr>
        <w:t xml:space="preserve">The Self-Assessment and Addendum </w:t>
      </w:r>
      <w:r w:rsidRPr="0062487B">
        <w:rPr>
          <w:rFonts w:asciiTheme="minorHAnsi" w:eastAsia="Calibri" w:hAnsiTheme="minorHAnsi" w:cstheme="minorHAnsi"/>
        </w:rPr>
        <w:t xml:space="preserve">provided a summary of community engagement processes and socio-demographic information, data and highlights related to topics and themes of community needs. Through data analysis, surveys, and key informant gatherings, the Applicant and other partners participating in the city-wide collaborative </w:t>
      </w:r>
      <w:proofErr w:type="gramStart"/>
      <w:r w:rsidRPr="0062487B">
        <w:rPr>
          <w:rFonts w:asciiTheme="minorHAnsi" w:eastAsia="Calibri" w:hAnsiTheme="minorHAnsi" w:cstheme="minorHAnsi"/>
        </w:rPr>
        <w:t>CHNA</w:t>
      </w:r>
      <w:proofErr w:type="gramEnd"/>
      <w:r w:rsidRPr="0062487B">
        <w:rPr>
          <w:rFonts w:asciiTheme="minorHAnsi" w:eastAsia="Calibri" w:hAnsiTheme="minorHAnsi" w:cstheme="minorHAnsi"/>
        </w:rPr>
        <w:t xml:space="preserve"> and CHIP identified the key priorities and strategies. Additionally, the Applicant worked with its CAB to conduct supplementary analysis in its priority neighborhoods.</w:t>
      </w:r>
    </w:p>
    <w:p w14:paraId="050AE961" w14:textId="77777777" w:rsidR="003B0B5B" w:rsidRPr="0062487B" w:rsidRDefault="003B0B5B" w:rsidP="003B0B5B">
      <w:pPr>
        <w:contextualSpacing/>
        <w:rPr>
          <w:rFonts w:asciiTheme="minorHAnsi" w:eastAsia="Calibri" w:hAnsiTheme="minorHAnsi" w:cstheme="minorHAnsi"/>
        </w:rPr>
      </w:pPr>
    </w:p>
    <w:p w14:paraId="0EA7EEC1" w14:textId="18DF445D" w:rsidR="003B0B5B" w:rsidRPr="0062487B" w:rsidRDefault="4167F2BF" w:rsidP="00EB5776">
      <w:pPr>
        <w:numPr>
          <w:ilvl w:val="0"/>
          <w:numId w:val="13"/>
        </w:numPr>
        <w:contextualSpacing/>
        <w:rPr>
          <w:rFonts w:asciiTheme="minorHAnsi" w:eastAsia="Calibri" w:hAnsiTheme="minorHAnsi" w:cstheme="minorBidi"/>
        </w:rPr>
      </w:pPr>
      <w:r w:rsidRPr="17FA2F59">
        <w:rPr>
          <w:rFonts w:asciiTheme="minorHAnsi" w:hAnsiTheme="minorHAnsi" w:cstheme="minorBidi"/>
          <w:b/>
          <w:bCs/>
        </w:rPr>
        <w:t>Stakeholder Assessments</w:t>
      </w:r>
      <w:r w:rsidRPr="17FA2F59">
        <w:rPr>
          <w:rFonts w:asciiTheme="minorHAnsi" w:hAnsiTheme="minorHAnsi" w:cstheme="minorBidi"/>
        </w:rPr>
        <w:t xml:space="preserve"> submitted provided information on the individuals’ engagement levels (e.g., their personal participation and role) and their analysis of how the Applicant engaged the community in community health improvement planning processes. The information provided in these forms was largely consistent with the self-assessment conducted by the Applicant.</w:t>
      </w:r>
    </w:p>
    <w:p w14:paraId="5B7F24A6" w14:textId="77777777" w:rsidR="003B0B5B" w:rsidRPr="0062487B" w:rsidRDefault="003B0B5B" w:rsidP="003B0B5B">
      <w:pPr>
        <w:contextualSpacing/>
        <w:rPr>
          <w:rFonts w:asciiTheme="minorHAnsi" w:eastAsia="Calibri" w:hAnsiTheme="minorHAnsi" w:cstheme="minorHAnsi"/>
        </w:rPr>
      </w:pPr>
    </w:p>
    <w:p w14:paraId="37ADD989" w14:textId="4C22E72A" w:rsidR="003B0B5B" w:rsidRPr="0062487B" w:rsidRDefault="4167F2BF" w:rsidP="00EB5776">
      <w:pPr>
        <w:numPr>
          <w:ilvl w:val="0"/>
          <w:numId w:val="13"/>
        </w:numPr>
        <w:contextualSpacing/>
        <w:rPr>
          <w:rFonts w:asciiTheme="minorHAnsi" w:eastAsia="Calibri" w:hAnsiTheme="minorHAnsi" w:cstheme="minorBidi"/>
        </w:rPr>
      </w:pPr>
      <w:r w:rsidRPr="17FA2F59">
        <w:rPr>
          <w:rFonts w:asciiTheme="minorHAnsi" w:eastAsia="Calibri" w:hAnsiTheme="minorHAnsi" w:cstheme="minorBidi"/>
          <w:b/>
          <w:bCs/>
        </w:rPr>
        <w:t xml:space="preserve">The CHI Narrative </w:t>
      </w:r>
      <w:r w:rsidRPr="17FA2F59">
        <w:rPr>
          <w:rFonts w:asciiTheme="minorHAnsi" w:eastAsia="Calibri" w:hAnsiTheme="minorHAnsi" w:cstheme="minorBidi"/>
        </w:rPr>
        <w:t>provided background and overview information for the CHI processes. The narrative also outlines advisory duties for the advisory and allocation committees, and planned use of funding for evaluation and administrative activities. Additionally, the narrative outlines the CHI funds breakdown and the anticipated timeline for CHI activities</w:t>
      </w:r>
      <w:r w:rsidR="00C7099F">
        <w:rPr>
          <w:rFonts w:asciiTheme="minorHAnsi" w:eastAsia="Calibri" w:hAnsiTheme="minorHAnsi" w:cstheme="minorBidi"/>
        </w:rPr>
        <w:t>.</w:t>
      </w:r>
    </w:p>
    <w:p w14:paraId="237F1F75" w14:textId="77777777" w:rsidR="003B0B5B" w:rsidRPr="0062487B" w:rsidRDefault="003B0B5B" w:rsidP="003B0B5B">
      <w:pPr>
        <w:pStyle w:val="ListParagraph"/>
        <w:rPr>
          <w:rFonts w:asciiTheme="minorHAnsi" w:eastAsia="Calibri" w:hAnsiTheme="minorHAnsi" w:cstheme="minorHAnsi"/>
          <w:b/>
        </w:rPr>
      </w:pPr>
    </w:p>
    <w:p w14:paraId="41CA5DFE" w14:textId="57E2AA5D" w:rsidR="003B0B5B" w:rsidRPr="0062487B" w:rsidRDefault="4167F2BF" w:rsidP="00EB5776">
      <w:pPr>
        <w:numPr>
          <w:ilvl w:val="0"/>
          <w:numId w:val="13"/>
        </w:numPr>
        <w:contextualSpacing/>
        <w:rPr>
          <w:rFonts w:asciiTheme="minorHAnsi" w:eastAsia="Calibri" w:hAnsiTheme="minorHAnsi" w:cstheme="minorBidi"/>
        </w:rPr>
      </w:pPr>
      <w:r w:rsidRPr="17FA2F59">
        <w:rPr>
          <w:rFonts w:asciiTheme="minorHAnsi" w:eastAsia="Calibri" w:hAnsiTheme="minorHAnsi" w:cstheme="minorBidi"/>
          <w:b/>
          <w:bCs/>
        </w:rPr>
        <w:lastRenderedPageBreak/>
        <w:t xml:space="preserve">The Community Engagement Plan and Addendum </w:t>
      </w:r>
      <w:r w:rsidRPr="17FA2F59">
        <w:rPr>
          <w:rFonts w:asciiTheme="minorHAnsi" w:eastAsia="Calibri" w:hAnsiTheme="minorHAnsi" w:cstheme="minorBidi"/>
        </w:rPr>
        <w:t xml:space="preserve">provided background information for, and explanation of existing CHNA/CHIP planning processes. These elements focused on the 2019 Community Health Needs Assessment for Boston as well as the supplementary engagement in the priority neighborhoods and identified the level of engagement in all activity areas.   </w:t>
      </w:r>
    </w:p>
    <w:p w14:paraId="4B0DF072" w14:textId="77777777" w:rsidR="008E0BAC" w:rsidRPr="0062487B" w:rsidRDefault="008E0BAC" w:rsidP="008E0BAC">
      <w:pPr>
        <w:ind w:left="-360"/>
        <w:rPr>
          <w:rFonts w:asciiTheme="minorHAnsi" w:hAnsiTheme="minorHAnsi" w:cstheme="minorHAnsi"/>
          <w:b/>
          <w:bCs/>
        </w:rPr>
      </w:pPr>
      <w:r w:rsidRPr="0062487B">
        <w:rPr>
          <w:rFonts w:asciiTheme="minorHAnsi" w:eastAsia="Calibri" w:hAnsiTheme="minorHAnsi" w:cstheme="minorHAnsi"/>
        </w:rPr>
        <w:br/>
      </w:r>
      <w:r w:rsidRPr="0062487B">
        <w:rPr>
          <w:rFonts w:asciiTheme="minorHAnsi" w:hAnsiTheme="minorHAnsi" w:cstheme="minorHAnsi"/>
          <w:b/>
          <w:bCs/>
          <w:i/>
        </w:rPr>
        <w:t>Summary Analysis</w:t>
      </w:r>
    </w:p>
    <w:p w14:paraId="3B184528" w14:textId="752983A2" w:rsidR="008E0BAC" w:rsidRPr="0062487B" w:rsidRDefault="00885453" w:rsidP="17FA2F59">
      <w:pPr>
        <w:ind w:left="-360"/>
        <w:rPr>
          <w:rFonts w:asciiTheme="minorHAnsi" w:hAnsiTheme="minorHAnsi" w:cstheme="minorBidi"/>
        </w:rPr>
      </w:pPr>
      <w:r w:rsidRPr="17FA2F59">
        <w:rPr>
          <w:rFonts w:asciiTheme="minorHAnsi" w:hAnsiTheme="minorHAnsi" w:cstheme="minorBidi"/>
        </w:rPr>
        <w:t xml:space="preserve">As a result of information provided by the Applicant and additional analysis, Staff finds that with the conditions outlined below, and with their ongoing commitment to meaningful community engagement and based on planning timeline, the Applicant has demonstrated that the Proposed Project has met Factor 6.   </w:t>
      </w:r>
    </w:p>
    <w:p w14:paraId="3B3D4F9E" w14:textId="2CEA26C9" w:rsidR="17FA2F59" w:rsidRPr="008F447F" w:rsidRDefault="17FA2F59" w:rsidP="008F447F">
      <w:pPr>
        <w:pStyle w:val="Heading1"/>
        <w:ind w:left="-360"/>
        <w:rPr>
          <w:rFonts w:ascii="Calibri Light" w:eastAsia="Calibri Light" w:hAnsi="Calibri Light" w:cs="Calibri Light"/>
          <w:b w:val="0"/>
          <w:bCs w:val="0"/>
          <w:color w:val="auto"/>
          <w:sz w:val="32"/>
          <w:szCs w:val="32"/>
        </w:rPr>
      </w:pPr>
      <w:bookmarkStart w:id="71" w:name="_Toc99645443"/>
      <w:r w:rsidRPr="008F447F">
        <w:rPr>
          <w:rFonts w:ascii="Calibri Light" w:eastAsia="Calibri Light" w:hAnsi="Calibri Light" w:cs="Calibri Light"/>
          <w:color w:val="auto"/>
          <w:sz w:val="32"/>
          <w:szCs w:val="32"/>
        </w:rPr>
        <w:t>Public Comments on the Application</w:t>
      </w:r>
      <w:bookmarkEnd w:id="71"/>
    </w:p>
    <w:p w14:paraId="3F2B4774" w14:textId="6F2B5643" w:rsidR="17FA2F59" w:rsidRDefault="17FA2F59" w:rsidP="004E555C">
      <w:pPr>
        <w:ind w:left="-360"/>
        <w:rPr>
          <w:rFonts w:ascii="Calibri" w:eastAsia="Calibri" w:hAnsi="Calibri" w:cs="Calibri"/>
          <w:u w:val="single"/>
        </w:rPr>
      </w:pPr>
      <w:r w:rsidRPr="17FA2F59">
        <w:rPr>
          <w:rFonts w:ascii="Calibri" w:eastAsia="Calibri" w:hAnsi="Calibri" w:cs="Calibri"/>
        </w:rPr>
        <w:t xml:space="preserve">Any person, and any Ten Taxpayer group, may provide written or oral comment at any time during the first 30 days following the Filing Date of an Application, or during the first ten days after a public hearing. </w:t>
      </w:r>
    </w:p>
    <w:p w14:paraId="4E4A3082" w14:textId="77777777" w:rsidR="004E555C" w:rsidRDefault="004E555C" w:rsidP="004E555C">
      <w:pPr>
        <w:ind w:left="-360"/>
        <w:rPr>
          <w:rFonts w:ascii="Calibri" w:eastAsia="Calibri" w:hAnsi="Calibri" w:cs="Calibri"/>
          <w:u w:val="single"/>
        </w:rPr>
      </w:pPr>
    </w:p>
    <w:p w14:paraId="58A8C4BA" w14:textId="32C51883" w:rsidR="17FA2F59" w:rsidRDefault="17FA2F59" w:rsidP="004E555C">
      <w:pPr>
        <w:ind w:left="-360"/>
        <w:rPr>
          <w:rFonts w:ascii="Calibri" w:eastAsia="Calibri" w:hAnsi="Calibri" w:cs="Calibri"/>
          <w:u w:val="single"/>
        </w:rPr>
      </w:pPr>
      <w:r w:rsidRPr="17FA2F59">
        <w:rPr>
          <w:rFonts w:ascii="Calibri" w:eastAsia="Calibri" w:hAnsi="Calibri" w:cs="Calibri"/>
          <w:u w:val="single"/>
        </w:rPr>
        <w:t>Public Hearing</w:t>
      </w:r>
    </w:p>
    <w:p w14:paraId="1BE10224" w14:textId="3A23E1CD" w:rsidR="17FA2F59" w:rsidRDefault="17FA2F59" w:rsidP="004E555C">
      <w:pPr>
        <w:ind w:left="-360"/>
        <w:rPr>
          <w:rFonts w:ascii="Calibri" w:eastAsia="Calibri" w:hAnsi="Calibri" w:cs="Calibri"/>
          <w:u w:val="single"/>
        </w:rPr>
      </w:pPr>
      <w:r w:rsidRPr="17FA2F59">
        <w:rPr>
          <w:rFonts w:ascii="Calibri" w:eastAsia="Calibri" w:hAnsi="Calibri" w:cs="Calibri"/>
        </w:rPr>
        <w:t xml:space="preserve">The Department held a virtual public hearing in connection with the Proposed Project on March 30, 2021. A total of </w:t>
      </w:r>
      <w:r w:rsidR="008F447F">
        <w:rPr>
          <w:rFonts w:ascii="Calibri" w:eastAsia="Calibri" w:hAnsi="Calibri" w:cs="Calibri"/>
        </w:rPr>
        <w:t>50</w:t>
      </w:r>
      <w:r w:rsidRPr="17FA2F59">
        <w:rPr>
          <w:rFonts w:ascii="Calibri" w:eastAsia="Calibri" w:hAnsi="Calibri" w:cs="Calibri"/>
        </w:rPr>
        <w:t xml:space="preserve"> people provided oral comments at the public hearing. None of the oral comments received were in opposition to the Proposed project. Oral comments provided at the public hearing for consideration in </w:t>
      </w:r>
      <w:proofErr w:type="spellStart"/>
      <w:r w:rsidRPr="17FA2F59">
        <w:rPr>
          <w:rFonts w:ascii="Calibri" w:eastAsia="Calibri" w:hAnsi="Calibri" w:cs="Calibri"/>
        </w:rPr>
        <w:t>DoN’s</w:t>
      </w:r>
      <w:proofErr w:type="spellEnd"/>
      <w:r w:rsidRPr="17FA2F59">
        <w:rPr>
          <w:rFonts w:ascii="Calibri" w:eastAsia="Calibri" w:hAnsi="Calibri" w:cs="Calibri"/>
        </w:rPr>
        <w:t xml:space="preserve"> review and analysis would be ones that address the Applicant’s ability to meet the requirements of each of the relevant factors. </w:t>
      </w:r>
      <w:proofErr w:type="gramStart"/>
      <w:r w:rsidRPr="008F447F">
        <w:rPr>
          <w:rFonts w:ascii="Calibri" w:eastAsia="Calibri" w:hAnsi="Calibri" w:cs="Calibri"/>
        </w:rPr>
        <w:t>All of</w:t>
      </w:r>
      <w:proofErr w:type="gramEnd"/>
      <w:r w:rsidRPr="008F447F">
        <w:rPr>
          <w:rFonts w:ascii="Calibri" w:eastAsia="Calibri" w:hAnsi="Calibri" w:cs="Calibri"/>
        </w:rPr>
        <w:t xml:space="preserve"> the oral comments at the public hearing were in support of the Proposed Project</w:t>
      </w:r>
      <w:r w:rsidRPr="008F447F">
        <w:rPr>
          <w:rFonts w:ascii="Calibri" w:eastAsia="Calibri" w:hAnsi="Calibri" w:cs="Calibri"/>
          <w:sz w:val="22"/>
          <w:szCs w:val="22"/>
        </w:rPr>
        <w:t>.</w:t>
      </w:r>
      <w:r w:rsidRPr="17FA2F59">
        <w:rPr>
          <w:rFonts w:ascii="Calibri" w:eastAsia="Calibri" w:hAnsi="Calibri" w:cs="Calibri"/>
        </w:rPr>
        <w:t xml:space="preserve"> The transcript of the public hearing is available online on the </w:t>
      </w:r>
      <w:proofErr w:type="spellStart"/>
      <w:r w:rsidRPr="17FA2F59">
        <w:rPr>
          <w:rFonts w:ascii="Calibri" w:eastAsia="Calibri" w:hAnsi="Calibri" w:cs="Calibri"/>
        </w:rPr>
        <w:t>DoN</w:t>
      </w:r>
      <w:proofErr w:type="spellEnd"/>
      <w:r w:rsidRPr="17FA2F59">
        <w:rPr>
          <w:rFonts w:ascii="Calibri" w:eastAsia="Calibri" w:hAnsi="Calibri" w:cs="Calibri"/>
        </w:rPr>
        <w:t xml:space="preserve"> website. </w:t>
      </w:r>
    </w:p>
    <w:p w14:paraId="4E670281" w14:textId="77777777" w:rsidR="004E555C" w:rsidRDefault="004E555C" w:rsidP="004E555C">
      <w:pPr>
        <w:ind w:left="-360"/>
        <w:rPr>
          <w:rFonts w:ascii="Calibri" w:eastAsia="Calibri" w:hAnsi="Calibri" w:cs="Calibri"/>
          <w:u w:val="single"/>
        </w:rPr>
      </w:pPr>
    </w:p>
    <w:p w14:paraId="4BEFE34A" w14:textId="0F33B9AE" w:rsidR="17FA2F59" w:rsidRDefault="17FA2F59" w:rsidP="004E555C">
      <w:pPr>
        <w:ind w:left="-360"/>
        <w:rPr>
          <w:rFonts w:ascii="Calibri" w:eastAsia="Calibri" w:hAnsi="Calibri" w:cs="Calibri"/>
        </w:rPr>
      </w:pPr>
      <w:r w:rsidRPr="17FA2F59">
        <w:rPr>
          <w:rFonts w:ascii="Calibri" w:eastAsia="Calibri" w:hAnsi="Calibri" w:cs="Calibri"/>
          <w:u w:val="single"/>
        </w:rPr>
        <w:t>Written Comment</w:t>
      </w:r>
    </w:p>
    <w:p w14:paraId="297886C4" w14:textId="5C47D567" w:rsidR="17FA2F59" w:rsidRDefault="17FA2F59" w:rsidP="004E555C">
      <w:pPr>
        <w:ind w:left="-360"/>
        <w:rPr>
          <w:rFonts w:ascii="Calibri" w:eastAsia="Calibri" w:hAnsi="Calibri" w:cs="Calibri"/>
          <w:u w:val="single"/>
        </w:rPr>
      </w:pPr>
      <w:r w:rsidRPr="17FA2F59">
        <w:rPr>
          <w:rFonts w:ascii="Calibri" w:eastAsia="Calibri" w:hAnsi="Calibri" w:cs="Calibri"/>
        </w:rPr>
        <w:t xml:space="preserve">The Department received a </w:t>
      </w:r>
      <w:r w:rsidRPr="005B7B4A">
        <w:rPr>
          <w:rFonts w:ascii="Calibri" w:eastAsia="Calibri" w:hAnsi="Calibri" w:cs="Calibri"/>
        </w:rPr>
        <w:t xml:space="preserve">total of </w:t>
      </w:r>
      <w:r w:rsidR="003572A2">
        <w:rPr>
          <w:rFonts w:ascii="Calibri" w:eastAsia="Calibri" w:hAnsi="Calibri" w:cs="Calibri"/>
        </w:rPr>
        <w:t>9</w:t>
      </w:r>
      <w:r w:rsidRPr="005B7B4A">
        <w:rPr>
          <w:rFonts w:ascii="Calibri" w:eastAsia="Calibri" w:hAnsi="Calibri" w:cs="Calibri"/>
        </w:rPr>
        <w:t xml:space="preserve"> written comments: </w:t>
      </w:r>
      <w:r w:rsidR="003572A2">
        <w:rPr>
          <w:rFonts w:ascii="Calibri" w:eastAsia="Calibri" w:hAnsi="Calibri" w:cs="Calibri"/>
        </w:rPr>
        <w:t>8</w:t>
      </w:r>
      <w:r w:rsidRPr="005B7B4A">
        <w:rPr>
          <w:rFonts w:ascii="Calibri" w:eastAsia="Calibri" w:hAnsi="Calibri" w:cs="Calibri"/>
        </w:rPr>
        <w:t xml:space="preserve"> written comments were in favor of the Proposed Project</w:t>
      </w:r>
      <w:r w:rsidR="003572A2">
        <w:rPr>
          <w:rFonts w:ascii="Calibri" w:eastAsia="Calibri" w:hAnsi="Calibri" w:cs="Calibri"/>
        </w:rPr>
        <w:t xml:space="preserve"> and one written comment submitted as part of their TTG was opposed to the Proposed Project</w:t>
      </w:r>
      <w:r w:rsidRPr="17FA2F59">
        <w:rPr>
          <w:rFonts w:ascii="Calibri" w:eastAsia="Calibri" w:hAnsi="Calibri" w:cs="Calibri"/>
        </w:rPr>
        <w:t xml:space="preserve">. Comments for consideration in </w:t>
      </w:r>
      <w:proofErr w:type="spellStart"/>
      <w:r w:rsidR="000665C3">
        <w:rPr>
          <w:rFonts w:ascii="Calibri" w:eastAsia="Calibri" w:hAnsi="Calibri" w:cs="Calibri"/>
        </w:rPr>
        <w:t>DoN’s</w:t>
      </w:r>
      <w:proofErr w:type="spellEnd"/>
      <w:r w:rsidRPr="17FA2F59">
        <w:rPr>
          <w:rFonts w:ascii="Calibri" w:eastAsia="Calibri" w:hAnsi="Calibri" w:cs="Calibri"/>
        </w:rPr>
        <w:t xml:space="preserve"> review and analysis would be ones that address the Applicant’s ability to meet the requirements of each of the relevant factors. </w:t>
      </w:r>
      <w:r w:rsidRPr="00B54B9F">
        <w:rPr>
          <w:rFonts w:ascii="Calibri" w:eastAsia="Calibri" w:hAnsi="Calibri" w:cs="Calibri"/>
        </w:rPr>
        <w:t>The names of those submitting written comments are listed</w:t>
      </w:r>
      <w:r w:rsidRPr="003572A2">
        <w:rPr>
          <w:rFonts w:ascii="Calibri" w:eastAsia="Calibri" w:hAnsi="Calibri" w:cs="Calibri"/>
        </w:rPr>
        <w:t xml:space="preserve"> in Appendix </w:t>
      </w:r>
      <w:r w:rsidR="00B54B9F" w:rsidRPr="003572A2">
        <w:rPr>
          <w:rFonts w:ascii="Calibri" w:eastAsia="Calibri" w:hAnsi="Calibri" w:cs="Calibri"/>
        </w:rPr>
        <w:t>B</w:t>
      </w:r>
      <w:r w:rsidRPr="003572A2">
        <w:rPr>
          <w:rFonts w:ascii="Calibri" w:eastAsia="Calibri" w:hAnsi="Calibri" w:cs="Calibri"/>
        </w:rPr>
        <w:t xml:space="preserve"> and a summary of the written comments is provided in Appendix </w:t>
      </w:r>
      <w:r w:rsidR="00B54B9F" w:rsidRPr="003572A2">
        <w:rPr>
          <w:rFonts w:ascii="Calibri" w:eastAsia="Calibri" w:hAnsi="Calibri" w:cs="Calibri"/>
        </w:rPr>
        <w:t>C</w:t>
      </w:r>
      <w:r w:rsidRPr="003572A2">
        <w:rPr>
          <w:rFonts w:ascii="Calibri" w:eastAsia="Calibri" w:hAnsi="Calibri" w:cs="Calibri"/>
        </w:rPr>
        <w:t xml:space="preserve">. </w:t>
      </w:r>
      <w:r w:rsidR="003572A2" w:rsidRPr="003572A2">
        <w:rPr>
          <w:rFonts w:ascii="Calibri" w:eastAsia="Calibri" w:hAnsi="Calibri" w:cs="Calibri"/>
        </w:rPr>
        <w:t xml:space="preserve">The comments are separated into two categories: comments that were in favor of the Proposed Project and comments that were opposed to the Proposed Project. </w:t>
      </w:r>
      <w:r w:rsidRPr="003572A2">
        <w:rPr>
          <w:rFonts w:ascii="Calibri" w:eastAsia="Calibri" w:hAnsi="Calibri" w:cs="Calibri"/>
        </w:rPr>
        <w:t>The</w:t>
      </w:r>
      <w:r w:rsidRPr="17FA2F59">
        <w:rPr>
          <w:rFonts w:ascii="Calibri" w:eastAsia="Calibri" w:hAnsi="Calibri" w:cs="Calibri"/>
        </w:rPr>
        <w:t xml:space="preserve"> full text of written comments is available online on the </w:t>
      </w:r>
      <w:proofErr w:type="spellStart"/>
      <w:r w:rsidRPr="17FA2F59">
        <w:rPr>
          <w:rFonts w:ascii="Calibri" w:eastAsia="Calibri" w:hAnsi="Calibri" w:cs="Calibri"/>
        </w:rPr>
        <w:t>DoN</w:t>
      </w:r>
      <w:proofErr w:type="spellEnd"/>
      <w:r w:rsidRPr="17FA2F59">
        <w:rPr>
          <w:rFonts w:ascii="Calibri" w:eastAsia="Calibri" w:hAnsi="Calibri" w:cs="Calibri"/>
        </w:rPr>
        <w:t xml:space="preserve"> website.</w:t>
      </w:r>
    </w:p>
    <w:p w14:paraId="57D8BE1C" w14:textId="77777777" w:rsidR="004E555C" w:rsidRDefault="004E555C" w:rsidP="004E555C">
      <w:pPr>
        <w:rPr>
          <w:rFonts w:ascii="Calibri" w:eastAsia="Calibri" w:hAnsi="Calibri" w:cs="Calibri"/>
          <w:u w:val="single"/>
        </w:rPr>
      </w:pPr>
    </w:p>
    <w:p w14:paraId="4B275248" w14:textId="60D7F4D7" w:rsidR="17FA2F59" w:rsidRDefault="17FA2F59" w:rsidP="004E555C">
      <w:pPr>
        <w:ind w:left="-360"/>
        <w:rPr>
          <w:rFonts w:ascii="Calibri" w:eastAsia="Calibri" w:hAnsi="Calibri" w:cs="Calibri"/>
          <w:u w:val="single"/>
        </w:rPr>
      </w:pPr>
      <w:r w:rsidRPr="17FA2F59">
        <w:rPr>
          <w:rFonts w:ascii="Calibri" w:eastAsia="Calibri" w:hAnsi="Calibri" w:cs="Calibri"/>
          <w:u w:val="single"/>
        </w:rPr>
        <w:t>Ten Taxpayer Groups (TTGs)</w:t>
      </w:r>
    </w:p>
    <w:p w14:paraId="2C8797AB" w14:textId="6623BB78" w:rsidR="17FA2F59" w:rsidRDefault="17FA2F59" w:rsidP="004E555C">
      <w:pPr>
        <w:ind w:left="-360"/>
        <w:rPr>
          <w:rFonts w:ascii="Calibri" w:eastAsia="Calibri" w:hAnsi="Calibri" w:cs="Calibri"/>
          <w:b/>
          <w:bCs/>
        </w:rPr>
      </w:pPr>
      <w:r w:rsidRPr="17FA2F59">
        <w:rPr>
          <w:rFonts w:ascii="Calibri" w:eastAsia="Calibri" w:hAnsi="Calibri" w:cs="Calibri"/>
        </w:rPr>
        <w:t xml:space="preserve">Per the </w:t>
      </w:r>
      <w:proofErr w:type="spellStart"/>
      <w:r w:rsidRPr="17FA2F59">
        <w:rPr>
          <w:rFonts w:ascii="Calibri" w:eastAsia="Calibri" w:hAnsi="Calibri" w:cs="Calibri"/>
        </w:rPr>
        <w:t>DoN</w:t>
      </w:r>
      <w:proofErr w:type="spellEnd"/>
      <w:r w:rsidRPr="17FA2F59">
        <w:rPr>
          <w:rFonts w:ascii="Calibri" w:eastAsia="Calibri" w:hAnsi="Calibri" w:cs="Calibri"/>
        </w:rPr>
        <w:t xml:space="preserve"> Regulation, any ten taxpayers, organized as a group, may participate in the review of an Application for Determination of Need or request to amend a previously issued Notice of Determination of Need. Said group must register with the Department at any time during the first 30 days following the Filing Date of an Application, or during the first ten days after a public hearing held pursuant to 105 CMR 100.445. </w:t>
      </w:r>
    </w:p>
    <w:p w14:paraId="54EF82C1" w14:textId="1D600479" w:rsidR="17FA2F59" w:rsidRDefault="17FA2F59" w:rsidP="004E555C">
      <w:pPr>
        <w:rPr>
          <w:rFonts w:ascii="Calibri" w:eastAsia="Calibri" w:hAnsi="Calibri" w:cs="Calibri"/>
        </w:rPr>
      </w:pPr>
      <w:r w:rsidRPr="17FA2F59">
        <w:rPr>
          <w:rFonts w:ascii="Calibri" w:eastAsia="Calibri" w:hAnsi="Calibri" w:cs="Calibri"/>
        </w:rPr>
        <w:t xml:space="preserve"> </w:t>
      </w:r>
    </w:p>
    <w:p w14:paraId="150BEB10" w14:textId="0BECE12F" w:rsidR="17FA2F59" w:rsidRDefault="00B54B9F" w:rsidP="00B54B9F">
      <w:pPr>
        <w:ind w:left="-360"/>
      </w:pPr>
      <w:r>
        <w:rPr>
          <w:rFonts w:ascii="Calibri" w:eastAsia="Calibri" w:hAnsi="Calibri" w:cs="Calibri"/>
        </w:rPr>
        <w:t>Seven</w:t>
      </w:r>
      <w:r w:rsidR="17FA2F59" w:rsidRPr="17FA2F59">
        <w:rPr>
          <w:rFonts w:ascii="Calibri" w:eastAsia="Calibri" w:hAnsi="Calibri" w:cs="Calibri"/>
        </w:rPr>
        <w:t xml:space="preserve"> ten taxpayer groups (TTGs) registered in connection with the Proposed Project. Registration information for each TTG is available on the </w:t>
      </w:r>
      <w:proofErr w:type="spellStart"/>
      <w:r w:rsidR="17FA2F59" w:rsidRPr="17FA2F59">
        <w:rPr>
          <w:rFonts w:ascii="Calibri" w:eastAsia="Calibri" w:hAnsi="Calibri" w:cs="Calibri"/>
        </w:rPr>
        <w:t>DoN</w:t>
      </w:r>
      <w:proofErr w:type="spellEnd"/>
      <w:r w:rsidR="17FA2F59" w:rsidRPr="17FA2F59">
        <w:rPr>
          <w:rFonts w:ascii="Calibri" w:eastAsia="Calibri" w:hAnsi="Calibri" w:cs="Calibri"/>
        </w:rPr>
        <w:t xml:space="preserve"> website</w:t>
      </w:r>
      <w:r w:rsidR="17FA2F59" w:rsidRPr="00B54B9F">
        <w:rPr>
          <w:rFonts w:ascii="Calibri" w:eastAsia="Calibri" w:hAnsi="Calibri" w:cs="Calibri"/>
        </w:rPr>
        <w:t xml:space="preserve">. Table </w:t>
      </w:r>
      <w:r w:rsidRPr="00B54B9F">
        <w:rPr>
          <w:rFonts w:ascii="Calibri" w:eastAsia="Calibri" w:hAnsi="Calibri" w:cs="Calibri"/>
        </w:rPr>
        <w:t>1</w:t>
      </w:r>
      <w:r w:rsidR="0033076A">
        <w:rPr>
          <w:rFonts w:ascii="Calibri" w:eastAsia="Calibri" w:hAnsi="Calibri" w:cs="Calibri"/>
        </w:rPr>
        <w:t>5</w:t>
      </w:r>
      <w:r w:rsidR="17FA2F59" w:rsidRPr="17FA2F59">
        <w:rPr>
          <w:rFonts w:ascii="Calibri" w:eastAsia="Calibri" w:hAnsi="Calibri" w:cs="Calibri"/>
        </w:rPr>
        <w:t xml:space="preserve"> below provides a brief overview of each registered TTG and their participation in the application review process.</w:t>
      </w:r>
    </w:p>
    <w:p w14:paraId="418724EA" w14:textId="77777777" w:rsidR="00B54B9F" w:rsidRDefault="00B54B9F" w:rsidP="17FA2F59">
      <w:pPr>
        <w:spacing w:line="257" w:lineRule="auto"/>
        <w:jc w:val="center"/>
        <w:rPr>
          <w:rFonts w:ascii="Calibri" w:eastAsia="Calibri" w:hAnsi="Calibri" w:cs="Calibri"/>
          <w:color w:val="44546A"/>
          <w:highlight w:val="yellow"/>
        </w:rPr>
      </w:pPr>
    </w:p>
    <w:p w14:paraId="49B453C4" w14:textId="7D34268C" w:rsidR="17FA2F59" w:rsidRPr="00526C8A" w:rsidRDefault="17FA2F59" w:rsidP="00526C8A">
      <w:pPr>
        <w:spacing w:line="257" w:lineRule="auto"/>
        <w:rPr>
          <w:rFonts w:ascii="Calibri" w:eastAsia="Calibri" w:hAnsi="Calibri" w:cs="Calibri"/>
          <w:b/>
          <w:bCs/>
        </w:rPr>
      </w:pPr>
      <w:r w:rsidRPr="00526C8A">
        <w:rPr>
          <w:rFonts w:ascii="Calibri" w:eastAsia="Calibri" w:hAnsi="Calibri" w:cs="Calibri"/>
          <w:b/>
          <w:bCs/>
          <w:u w:val="single"/>
        </w:rPr>
        <w:t xml:space="preserve">Table </w:t>
      </w:r>
      <w:r w:rsidR="00B54B9F" w:rsidRPr="00526C8A">
        <w:rPr>
          <w:rFonts w:ascii="Calibri" w:eastAsia="Calibri" w:hAnsi="Calibri" w:cs="Calibri"/>
          <w:b/>
          <w:bCs/>
          <w:u w:val="single"/>
        </w:rPr>
        <w:t>1</w:t>
      </w:r>
      <w:r w:rsidR="0033076A">
        <w:rPr>
          <w:rFonts w:ascii="Calibri" w:eastAsia="Calibri" w:hAnsi="Calibri" w:cs="Calibri"/>
          <w:b/>
          <w:bCs/>
          <w:u w:val="single"/>
        </w:rPr>
        <w:t>5</w:t>
      </w:r>
      <w:r w:rsidRPr="00526C8A">
        <w:rPr>
          <w:rFonts w:ascii="Calibri" w:eastAsia="Calibri" w:hAnsi="Calibri" w:cs="Calibri"/>
          <w:b/>
          <w:bCs/>
        </w:rPr>
        <w:t>: TTGs Overview</w:t>
      </w:r>
    </w:p>
    <w:tbl>
      <w:tblPr>
        <w:tblW w:w="0" w:type="auto"/>
        <w:tblLayout w:type="fixed"/>
        <w:tblLook w:val="0400" w:firstRow="0" w:lastRow="0" w:firstColumn="0" w:lastColumn="0" w:noHBand="0" w:noVBand="1"/>
      </w:tblPr>
      <w:tblGrid>
        <w:gridCol w:w="1425"/>
        <w:gridCol w:w="1185"/>
        <w:gridCol w:w="1635"/>
        <w:gridCol w:w="1185"/>
        <w:gridCol w:w="1395"/>
        <w:gridCol w:w="1395"/>
        <w:gridCol w:w="1395"/>
      </w:tblGrid>
      <w:tr w:rsidR="004F014D" w14:paraId="406B7D90" w14:textId="13741081" w:rsidTr="00430727">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74EC3EB7" w14:textId="6A783FFC" w:rsidR="004F014D" w:rsidRDefault="004F014D" w:rsidP="004F014D">
            <w:pPr>
              <w:spacing w:line="257" w:lineRule="auto"/>
              <w:jc w:val="center"/>
            </w:pPr>
            <w:r w:rsidRPr="17FA2F59">
              <w:rPr>
                <w:rFonts w:ascii="Calibri" w:eastAsia="Calibri" w:hAnsi="Calibri" w:cs="Calibri"/>
                <w:b/>
                <w:bCs/>
                <w:sz w:val="22"/>
                <w:szCs w:val="22"/>
              </w:rPr>
              <w:t>TTG Name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279B7569" w14:textId="4B29C24A" w:rsidR="004F014D" w:rsidRDefault="004F014D" w:rsidP="004F014D">
            <w:pPr>
              <w:spacing w:line="257" w:lineRule="auto"/>
              <w:jc w:val="center"/>
            </w:pPr>
            <w:r w:rsidRPr="17FA2F59">
              <w:rPr>
                <w:rFonts w:ascii="Calibri" w:eastAsia="Calibri" w:hAnsi="Calibri" w:cs="Calibri"/>
                <w:b/>
                <w:bCs/>
                <w:color w:val="000000" w:themeColor="text1"/>
                <w:sz w:val="22"/>
                <w:szCs w:val="22"/>
              </w:rPr>
              <w:t>Date Formed</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1C7DC7EC" w14:textId="5AB8D2E3" w:rsidR="004F014D" w:rsidRDefault="004F014D" w:rsidP="004F014D">
            <w:pPr>
              <w:spacing w:line="257" w:lineRule="auto"/>
              <w:jc w:val="center"/>
            </w:pPr>
            <w:r w:rsidRPr="17FA2F59">
              <w:rPr>
                <w:rFonts w:ascii="Calibri" w:eastAsia="Calibri" w:hAnsi="Calibri" w:cs="Calibri"/>
                <w:b/>
                <w:bCs/>
                <w:color w:val="000000" w:themeColor="text1"/>
                <w:sz w:val="22"/>
                <w:szCs w:val="22"/>
              </w:rPr>
              <w:t>Representative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5701E680" w14:textId="54496CEA" w:rsidR="004F014D" w:rsidRDefault="004F014D" w:rsidP="004F014D">
            <w:pPr>
              <w:spacing w:line="257" w:lineRule="auto"/>
              <w:jc w:val="center"/>
            </w:pPr>
            <w:r w:rsidRPr="00F26978">
              <w:rPr>
                <w:rFonts w:ascii="Calibri" w:eastAsia="Calibri" w:hAnsi="Calibri" w:cs="Calibri"/>
                <w:b/>
                <w:bCs/>
                <w:color w:val="000000" w:themeColor="text1"/>
                <w:sz w:val="21"/>
                <w:szCs w:val="21"/>
              </w:rPr>
              <w:t>Requested Public Hearing</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5174407B" w14:textId="0887B10A" w:rsidR="004F014D" w:rsidRDefault="004F014D" w:rsidP="004F014D">
            <w:pPr>
              <w:spacing w:line="257" w:lineRule="auto"/>
              <w:jc w:val="center"/>
            </w:pPr>
            <w:r w:rsidRPr="17FA2F59">
              <w:rPr>
                <w:rFonts w:ascii="Calibri" w:eastAsia="Calibri" w:hAnsi="Calibri" w:cs="Calibri"/>
                <w:b/>
                <w:bCs/>
                <w:color w:val="000000" w:themeColor="text1"/>
                <w:sz w:val="22"/>
                <w:szCs w:val="22"/>
              </w:rPr>
              <w:t>Requested Independent Cost Analysis (ICA)</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66A9DDBB" w14:textId="5C25DE75" w:rsidR="004F014D" w:rsidRPr="17FA2F59" w:rsidRDefault="004F014D" w:rsidP="004F014D">
            <w:pPr>
              <w:spacing w:line="257" w:lineRule="auto"/>
              <w:jc w:val="center"/>
              <w:rPr>
                <w:rFonts w:ascii="Calibri" w:eastAsia="Calibri" w:hAnsi="Calibri" w:cs="Calibri"/>
                <w:b/>
                <w:bCs/>
                <w:color w:val="000000" w:themeColor="text1"/>
                <w:sz w:val="22"/>
                <w:szCs w:val="22"/>
              </w:rPr>
            </w:pPr>
            <w:r w:rsidRPr="17FA2F59">
              <w:rPr>
                <w:rFonts w:ascii="Calibri" w:eastAsia="Calibri" w:hAnsi="Calibri" w:cs="Calibri"/>
                <w:b/>
                <w:bCs/>
                <w:color w:val="000000" w:themeColor="text1"/>
                <w:sz w:val="22"/>
                <w:szCs w:val="22"/>
              </w:rPr>
              <w:t>Oral Comments Provided at Public Hearing</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1DAC49F8" w14:textId="33D4050C" w:rsidR="004F014D" w:rsidRPr="17FA2F59" w:rsidRDefault="004F014D" w:rsidP="004F014D">
            <w:pPr>
              <w:spacing w:line="257" w:lineRule="auto"/>
              <w:jc w:val="center"/>
              <w:rPr>
                <w:rFonts w:ascii="Calibri" w:eastAsia="Calibri" w:hAnsi="Calibri" w:cs="Calibri"/>
                <w:b/>
                <w:bCs/>
                <w:color w:val="000000" w:themeColor="text1"/>
                <w:sz w:val="22"/>
                <w:szCs w:val="22"/>
              </w:rPr>
            </w:pPr>
            <w:r w:rsidRPr="00F26978">
              <w:rPr>
                <w:rFonts w:ascii="Calibri" w:eastAsia="Calibri" w:hAnsi="Calibri" w:cs="Calibri"/>
                <w:b/>
                <w:bCs/>
                <w:color w:val="000000" w:themeColor="text1"/>
                <w:sz w:val="21"/>
                <w:szCs w:val="21"/>
              </w:rPr>
              <w:t>Written Comments Provided</w:t>
            </w:r>
          </w:p>
        </w:tc>
      </w:tr>
      <w:tr w:rsidR="004F014D" w14:paraId="4063713A" w14:textId="759E6C4F" w:rsidTr="00430727">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354B15" w14:textId="0F3C3235" w:rsidR="004F014D" w:rsidRDefault="004F014D" w:rsidP="004F014D">
            <w:pPr>
              <w:spacing w:line="257" w:lineRule="auto"/>
            </w:pPr>
            <w:r>
              <w:rPr>
                <w:rFonts w:ascii="Calibri" w:eastAsia="Calibri" w:hAnsi="Calibri" w:cs="Calibri"/>
                <w:sz w:val="22"/>
                <w:szCs w:val="22"/>
              </w:rPr>
              <w:t>Ten Taxpayers Alliance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4CC826" w14:textId="0260B861" w:rsidR="004F014D" w:rsidRPr="005C756A" w:rsidRDefault="004F014D" w:rsidP="004F014D">
            <w:pPr>
              <w:spacing w:line="257" w:lineRule="auto"/>
            </w:pPr>
            <w:r w:rsidRPr="005C756A">
              <w:rPr>
                <w:rFonts w:ascii="Calibri" w:eastAsia="Calibri" w:hAnsi="Calibri" w:cs="Calibri"/>
                <w:sz w:val="22"/>
                <w:szCs w:val="22"/>
              </w:rPr>
              <w:t>March 29, 2021</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65752A" w14:textId="12323939" w:rsidR="004F014D" w:rsidRPr="005C756A" w:rsidRDefault="004F014D" w:rsidP="004F014D">
            <w:pPr>
              <w:spacing w:line="257" w:lineRule="auto"/>
            </w:pPr>
            <w:r w:rsidRPr="005C756A">
              <w:rPr>
                <w:rFonts w:ascii="Calibri" w:eastAsia="Calibri" w:hAnsi="Calibri" w:cs="Calibri"/>
                <w:sz w:val="22"/>
                <w:szCs w:val="22"/>
              </w:rPr>
              <w:t>Elmer Freeman</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AA4E04" w14:textId="03396B8E" w:rsidR="004F014D" w:rsidRDefault="004F014D" w:rsidP="004F014D">
            <w:pPr>
              <w:spacing w:line="257" w:lineRule="auto"/>
              <w:jc w:val="cente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6B16AC" w14:textId="226531AE" w:rsidR="004F014D" w:rsidRDefault="004F014D" w:rsidP="004F014D">
            <w:pPr>
              <w:spacing w:line="257" w:lineRule="auto"/>
              <w:jc w:val="cente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ADFBE6" w14:textId="67D26F54" w:rsidR="004F014D" w:rsidRPr="17FA2F59" w:rsidRDefault="004F014D" w:rsidP="004F014D">
            <w:pPr>
              <w:spacing w:line="257" w:lineRule="auto"/>
              <w:jc w:val="center"/>
              <w:rPr>
                <w:rFonts w:ascii="Calibri" w:eastAsia="Calibri" w:hAnsi="Calibri" w:cs="Calibri"/>
                <w:sz w:val="22"/>
                <w:szCs w:val="22"/>
              </w:rP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A5814C" w14:textId="77777777" w:rsidR="004F014D" w:rsidRPr="17FA2F59" w:rsidRDefault="004F014D" w:rsidP="004F014D">
            <w:pPr>
              <w:spacing w:line="257" w:lineRule="auto"/>
              <w:jc w:val="center"/>
              <w:rPr>
                <w:rFonts w:ascii="Calibri" w:eastAsia="Calibri" w:hAnsi="Calibri" w:cs="Calibri"/>
                <w:sz w:val="22"/>
                <w:szCs w:val="22"/>
              </w:rPr>
            </w:pPr>
          </w:p>
        </w:tc>
      </w:tr>
      <w:tr w:rsidR="004F014D" w14:paraId="042FC509" w14:textId="225DF2D0" w:rsidTr="00430727">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FBA32B" w14:textId="16B7D08A" w:rsidR="004F014D" w:rsidRDefault="004F014D" w:rsidP="004F014D">
            <w:pPr>
              <w:spacing w:line="257" w:lineRule="auto"/>
            </w:pPr>
            <w:r>
              <w:rPr>
                <w:rFonts w:ascii="Calibri" w:eastAsia="Calibri" w:hAnsi="Calibri" w:cs="Calibri"/>
                <w:sz w:val="22"/>
                <w:szCs w:val="22"/>
              </w:rPr>
              <w:t>Shields Health Care Group</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5996A2" w14:textId="5AAFF158" w:rsidR="004F014D" w:rsidRPr="005C756A" w:rsidRDefault="004F014D" w:rsidP="004F014D">
            <w:pPr>
              <w:spacing w:line="257" w:lineRule="auto"/>
            </w:pPr>
            <w:r w:rsidRPr="005C756A">
              <w:rPr>
                <w:rFonts w:ascii="Calibri" w:eastAsia="Calibri" w:hAnsi="Calibri" w:cs="Calibri"/>
                <w:sz w:val="22"/>
                <w:szCs w:val="22"/>
              </w:rPr>
              <w:t>February 25, 2021</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A27588" w14:textId="2338150A" w:rsidR="004F014D" w:rsidRPr="005C756A" w:rsidRDefault="004F014D" w:rsidP="004F014D">
            <w:pPr>
              <w:spacing w:line="257" w:lineRule="auto"/>
            </w:pPr>
            <w:r w:rsidRPr="005C756A">
              <w:rPr>
                <w:rFonts w:ascii="Calibri" w:eastAsia="Calibri" w:hAnsi="Calibri" w:cs="Calibri"/>
                <w:sz w:val="22"/>
                <w:szCs w:val="22"/>
              </w:rPr>
              <w:t>Kerry Whelan</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80C1A8" w14:textId="224F74E0" w:rsidR="004F014D" w:rsidRDefault="004F014D" w:rsidP="004F014D">
            <w:pPr>
              <w:spacing w:line="257" w:lineRule="auto"/>
              <w:jc w:val="cente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AB83CE" w14:textId="5D437477" w:rsidR="004F014D" w:rsidRDefault="004F014D" w:rsidP="004F014D">
            <w:pPr>
              <w:spacing w:line="257" w:lineRule="auto"/>
              <w:jc w:val="cente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38E3DE" w14:textId="0F05DEC8" w:rsidR="004F014D" w:rsidRPr="17FA2F59" w:rsidRDefault="004F014D" w:rsidP="004F014D">
            <w:pPr>
              <w:spacing w:line="257" w:lineRule="auto"/>
              <w:jc w:val="center"/>
              <w:rPr>
                <w:rFonts w:ascii="Calibri" w:eastAsia="Calibri" w:hAnsi="Calibri" w:cs="Calibri"/>
                <w:sz w:val="22"/>
                <w:szCs w:val="22"/>
              </w:rP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8A7F02" w14:textId="77777777" w:rsidR="004F014D" w:rsidRPr="17FA2F59" w:rsidRDefault="004F014D" w:rsidP="004F014D">
            <w:pPr>
              <w:spacing w:line="257" w:lineRule="auto"/>
              <w:jc w:val="center"/>
              <w:rPr>
                <w:rFonts w:ascii="Calibri" w:eastAsia="Calibri" w:hAnsi="Calibri" w:cs="Calibri"/>
                <w:sz w:val="22"/>
                <w:szCs w:val="22"/>
              </w:rPr>
            </w:pPr>
          </w:p>
        </w:tc>
      </w:tr>
      <w:tr w:rsidR="004F014D" w14:paraId="65DD0643" w14:textId="6A3754E1" w:rsidTr="00430727">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A422D6" w14:textId="5FFB88C6" w:rsidR="004F014D" w:rsidRDefault="004F014D" w:rsidP="004F014D">
            <w:pPr>
              <w:spacing w:line="257" w:lineRule="auto"/>
            </w:pPr>
            <w:proofErr w:type="spellStart"/>
            <w:r>
              <w:rPr>
                <w:rFonts w:ascii="Calibri" w:eastAsia="Calibri" w:hAnsi="Calibri" w:cs="Calibri"/>
                <w:sz w:val="22"/>
                <w:szCs w:val="22"/>
              </w:rPr>
              <w:t>Wellforce</w:t>
            </w:r>
            <w:proofErr w:type="spellEnd"/>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F7C4D3" w14:textId="5DFE4815" w:rsidR="004F014D" w:rsidRDefault="004F014D" w:rsidP="004F014D">
            <w:pPr>
              <w:spacing w:line="257" w:lineRule="auto"/>
            </w:pPr>
            <w:r>
              <w:rPr>
                <w:rFonts w:ascii="Calibri" w:eastAsia="Calibri" w:hAnsi="Calibri" w:cs="Calibri"/>
                <w:sz w:val="22"/>
                <w:szCs w:val="22"/>
              </w:rPr>
              <w:t>March 12</w:t>
            </w:r>
            <w:r w:rsidRPr="17FA2F59">
              <w:rPr>
                <w:rFonts w:ascii="Calibri" w:eastAsia="Calibri" w:hAnsi="Calibri" w:cs="Calibri"/>
                <w:sz w:val="22"/>
                <w:szCs w:val="22"/>
              </w:rPr>
              <w:t>, 2021</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919CAB" w14:textId="17BDF007" w:rsidR="004F014D" w:rsidRDefault="004F014D" w:rsidP="004F014D">
            <w:pPr>
              <w:spacing w:line="257" w:lineRule="auto"/>
            </w:pPr>
            <w:r w:rsidRPr="17FA2F59">
              <w:rPr>
                <w:rFonts w:ascii="Calibri" w:eastAsia="Calibri" w:hAnsi="Calibri" w:cs="Calibri"/>
                <w:sz w:val="22"/>
                <w:szCs w:val="22"/>
              </w:rPr>
              <w:t xml:space="preserve">Rebecca </w:t>
            </w:r>
            <w:proofErr w:type="spellStart"/>
            <w:r w:rsidRPr="17FA2F59">
              <w:rPr>
                <w:rFonts w:ascii="Calibri" w:eastAsia="Calibri" w:hAnsi="Calibri" w:cs="Calibri"/>
                <w:sz w:val="22"/>
                <w:szCs w:val="22"/>
              </w:rPr>
              <w:t>Deusser</w:t>
            </w:r>
            <w:proofErr w:type="spellEnd"/>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12E123" w14:textId="54EF3CAF" w:rsidR="004F014D" w:rsidRDefault="004F014D" w:rsidP="004F014D">
            <w:pPr>
              <w:spacing w:line="257" w:lineRule="auto"/>
              <w:jc w:val="cente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50AAF9" w14:textId="586DD53D" w:rsidR="004F014D" w:rsidRDefault="004F014D" w:rsidP="004F014D">
            <w:pPr>
              <w:spacing w:line="257" w:lineRule="auto"/>
              <w:jc w:val="cente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01DD1" w14:textId="6F405C65" w:rsidR="004F014D" w:rsidRPr="17FA2F59" w:rsidRDefault="004F014D" w:rsidP="004F014D">
            <w:pPr>
              <w:spacing w:line="257" w:lineRule="auto"/>
              <w:jc w:val="center"/>
              <w:rPr>
                <w:rFonts w:ascii="Calibri" w:eastAsia="Calibri" w:hAnsi="Calibri" w:cs="Calibri"/>
                <w:sz w:val="22"/>
                <w:szCs w:val="22"/>
              </w:rP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44D236" w14:textId="77777777" w:rsidR="004F014D" w:rsidRPr="17FA2F59" w:rsidRDefault="004F014D" w:rsidP="004F014D">
            <w:pPr>
              <w:spacing w:line="257" w:lineRule="auto"/>
              <w:jc w:val="center"/>
              <w:rPr>
                <w:rFonts w:ascii="Calibri" w:eastAsia="Calibri" w:hAnsi="Calibri" w:cs="Calibri"/>
                <w:sz w:val="22"/>
                <w:szCs w:val="22"/>
              </w:rPr>
            </w:pPr>
          </w:p>
        </w:tc>
      </w:tr>
      <w:tr w:rsidR="004F014D" w14:paraId="43C7E044" w14:textId="7B41420C" w:rsidTr="00430727">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F1B7E5" w14:textId="67B53907" w:rsidR="004F014D" w:rsidRDefault="004F014D" w:rsidP="004F014D">
            <w:pPr>
              <w:spacing w:line="257" w:lineRule="auto"/>
            </w:pPr>
            <w:r w:rsidRPr="000E091B">
              <w:rPr>
                <w:rFonts w:ascii="Calibri" w:eastAsia="Calibri" w:hAnsi="Calibri" w:cs="Calibri"/>
                <w:sz w:val="22"/>
                <w:szCs w:val="22"/>
              </w:rPr>
              <w:t xml:space="preserve">North Atlantic States Regional Council of Carpenters TTG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512DDF" w14:textId="2DE86B20" w:rsidR="004F014D" w:rsidRPr="005C756A" w:rsidRDefault="004F014D" w:rsidP="004F014D">
            <w:pPr>
              <w:spacing w:line="257" w:lineRule="auto"/>
            </w:pPr>
            <w:r w:rsidRPr="005C756A">
              <w:rPr>
                <w:rFonts w:ascii="Calibri" w:eastAsia="Calibri" w:hAnsi="Calibri" w:cs="Calibri"/>
                <w:sz w:val="22"/>
                <w:szCs w:val="22"/>
              </w:rPr>
              <w:t xml:space="preserve">March 9, </w:t>
            </w:r>
            <w:proofErr w:type="gramStart"/>
            <w:r w:rsidRPr="005C756A">
              <w:rPr>
                <w:rFonts w:ascii="Calibri" w:eastAsia="Calibri" w:hAnsi="Calibri" w:cs="Calibri"/>
                <w:sz w:val="22"/>
                <w:szCs w:val="22"/>
              </w:rPr>
              <w:t>2021</w:t>
            </w:r>
            <w:proofErr w:type="gramEnd"/>
            <w:r w:rsidRPr="005C756A">
              <w:rPr>
                <w:rFonts w:ascii="Calibri" w:eastAsia="Calibri" w:hAnsi="Calibri" w:cs="Calibri"/>
                <w:sz w:val="22"/>
                <w:szCs w:val="22"/>
              </w:rPr>
              <w:t xml:space="preserve">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990BCA" w14:textId="34A46881" w:rsidR="004F014D" w:rsidRPr="005C756A" w:rsidRDefault="004F014D" w:rsidP="004F014D">
            <w:pPr>
              <w:spacing w:line="257" w:lineRule="auto"/>
            </w:pPr>
            <w:r w:rsidRPr="005C756A">
              <w:rPr>
                <w:rFonts w:ascii="Calibri" w:eastAsia="Calibri" w:hAnsi="Calibri" w:cs="Calibri"/>
                <w:sz w:val="22"/>
                <w:szCs w:val="22"/>
              </w:rPr>
              <w:t>Joe O’Brien</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06CA6A" w14:textId="10B4B6B7" w:rsidR="004F014D" w:rsidRDefault="004F014D" w:rsidP="004F014D">
            <w:pPr>
              <w:spacing w:line="257" w:lineRule="auto"/>
              <w:jc w:val="cente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BE2426" w14:textId="7261E467" w:rsidR="004F014D" w:rsidRDefault="004F014D" w:rsidP="004F014D">
            <w:pPr>
              <w:spacing w:line="257" w:lineRule="auto"/>
              <w:jc w:val="cente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8FBDCC" w14:textId="1325824F" w:rsidR="004F014D" w:rsidRPr="17FA2F59" w:rsidRDefault="004F014D" w:rsidP="004F014D">
            <w:pPr>
              <w:spacing w:line="257" w:lineRule="auto"/>
              <w:jc w:val="center"/>
              <w:rPr>
                <w:rFonts w:ascii="Calibri" w:eastAsia="Calibri" w:hAnsi="Calibri" w:cs="Calibri"/>
                <w:sz w:val="22"/>
                <w:szCs w:val="22"/>
              </w:rP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710344" w14:textId="77777777" w:rsidR="004F014D" w:rsidRPr="17FA2F59" w:rsidRDefault="004F014D" w:rsidP="004F014D">
            <w:pPr>
              <w:spacing w:line="257" w:lineRule="auto"/>
              <w:jc w:val="center"/>
              <w:rPr>
                <w:rFonts w:ascii="Calibri" w:eastAsia="Calibri" w:hAnsi="Calibri" w:cs="Calibri"/>
                <w:sz w:val="22"/>
                <w:szCs w:val="22"/>
              </w:rPr>
            </w:pPr>
          </w:p>
        </w:tc>
      </w:tr>
      <w:tr w:rsidR="004F014D" w14:paraId="2A016C18" w14:textId="54971E78" w:rsidTr="00430727">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41F391" w14:textId="75F893AE" w:rsidR="004F014D" w:rsidRDefault="004F014D" w:rsidP="004F014D">
            <w:pPr>
              <w:spacing w:line="257" w:lineRule="auto"/>
            </w:pPr>
            <w:r w:rsidRPr="000E091B">
              <w:rPr>
                <w:rFonts w:ascii="Calibri" w:eastAsia="Calibri" w:hAnsi="Calibri" w:cs="Calibri"/>
                <w:sz w:val="22"/>
                <w:szCs w:val="22"/>
              </w:rPr>
              <w:t>1199SEIU Ten Taxpayer Group</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000B0" w14:textId="7061BD09" w:rsidR="004F014D" w:rsidRPr="000E091B" w:rsidRDefault="004F014D" w:rsidP="004F014D">
            <w:pPr>
              <w:spacing w:line="257" w:lineRule="auto"/>
              <w:rPr>
                <w:highlight w:val="yellow"/>
              </w:rPr>
            </w:pPr>
            <w:r w:rsidRPr="00A116E5">
              <w:rPr>
                <w:rFonts w:ascii="Calibri" w:eastAsia="Calibri" w:hAnsi="Calibri" w:cs="Calibri"/>
                <w:sz w:val="22"/>
                <w:szCs w:val="22"/>
              </w:rPr>
              <w:t>March 15, 2021</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B2CC99" w14:textId="6264560B" w:rsidR="004F014D" w:rsidRPr="000E091B" w:rsidRDefault="004F014D" w:rsidP="004F014D">
            <w:pPr>
              <w:spacing w:line="257" w:lineRule="auto"/>
              <w:rPr>
                <w:highlight w:val="yellow"/>
              </w:rPr>
            </w:pPr>
            <w:r w:rsidRPr="17FA2F59">
              <w:rPr>
                <w:rFonts w:ascii="Calibri" w:eastAsia="Calibri" w:hAnsi="Calibri" w:cs="Calibri"/>
                <w:sz w:val="22"/>
                <w:szCs w:val="22"/>
              </w:rPr>
              <w:t>Elisabeth Daley</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B35DF5" w14:textId="6F972015" w:rsidR="004F014D" w:rsidRDefault="004F014D" w:rsidP="004F014D">
            <w:pPr>
              <w:spacing w:line="257" w:lineRule="auto"/>
              <w:jc w:val="cente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C454AA" w14:textId="2249F98D" w:rsidR="004F014D" w:rsidRDefault="004F014D" w:rsidP="004F014D">
            <w:pPr>
              <w:spacing w:line="257" w:lineRule="auto"/>
              <w:jc w:val="cente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78C878" w14:textId="2104CEAB" w:rsidR="004F014D" w:rsidRDefault="004F014D" w:rsidP="004F014D">
            <w:pPr>
              <w:spacing w:line="257" w:lineRule="auto"/>
              <w:jc w:val="cente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AF8C7E" w14:textId="77777777" w:rsidR="004F014D" w:rsidRDefault="004F014D" w:rsidP="004F014D">
            <w:pPr>
              <w:spacing w:line="257" w:lineRule="auto"/>
              <w:jc w:val="center"/>
            </w:pPr>
          </w:p>
        </w:tc>
      </w:tr>
      <w:tr w:rsidR="004F014D" w14:paraId="4D5F4780" w14:textId="31ADA301" w:rsidTr="00430727">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C72194" w14:textId="456A08B4" w:rsidR="004F014D" w:rsidRDefault="004F014D" w:rsidP="004F014D">
            <w:pPr>
              <w:spacing w:line="257" w:lineRule="auto"/>
            </w:pPr>
            <w:r w:rsidRPr="000E091B">
              <w:rPr>
                <w:rFonts w:ascii="Calibri" w:eastAsia="Calibri" w:hAnsi="Calibri" w:cs="Calibri"/>
                <w:sz w:val="22"/>
                <w:szCs w:val="22"/>
              </w:rPr>
              <w:t xml:space="preserve">Vincent </w:t>
            </w:r>
            <w:proofErr w:type="spellStart"/>
            <w:r w:rsidRPr="000E091B">
              <w:rPr>
                <w:rFonts w:ascii="Calibri" w:eastAsia="Calibri" w:hAnsi="Calibri" w:cs="Calibri"/>
                <w:sz w:val="22"/>
                <w:szCs w:val="22"/>
              </w:rPr>
              <w:t>Santosuosso</w:t>
            </w:r>
            <w:proofErr w:type="spellEnd"/>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3832CD" w14:textId="1AB8B5B0" w:rsidR="004F014D" w:rsidRPr="000E091B" w:rsidRDefault="004F014D" w:rsidP="004F014D">
            <w:pPr>
              <w:spacing w:line="257" w:lineRule="auto"/>
              <w:rPr>
                <w:highlight w:val="yellow"/>
              </w:rPr>
            </w:pPr>
            <w:r w:rsidRPr="00A116E5">
              <w:rPr>
                <w:rFonts w:ascii="Calibri" w:eastAsia="Calibri" w:hAnsi="Calibri" w:cs="Calibri"/>
                <w:sz w:val="22"/>
                <w:szCs w:val="22"/>
              </w:rPr>
              <w:t>March 8, 2021</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51CA1F" w14:textId="5C567D0B" w:rsidR="004F014D" w:rsidRPr="000E091B" w:rsidRDefault="004F014D" w:rsidP="004F014D">
            <w:pPr>
              <w:spacing w:line="257" w:lineRule="auto"/>
              <w:rPr>
                <w:highlight w:val="yellow"/>
              </w:rPr>
            </w:pPr>
            <w:r w:rsidRPr="000E091B">
              <w:rPr>
                <w:rFonts w:ascii="Calibri" w:eastAsia="Calibri" w:hAnsi="Calibri" w:cs="Calibri"/>
                <w:sz w:val="22"/>
                <w:szCs w:val="22"/>
              </w:rPr>
              <w:t xml:space="preserve">Vincent </w:t>
            </w:r>
            <w:proofErr w:type="spellStart"/>
            <w:r w:rsidRPr="000E091B">
              <w:rPr>
                <w:rFonts w:ascii="Calibri" w:eastAsia="Calibri" w:hAnsi="Calibri" w:cs="Calibri"/>
                <w:sz w:val="22"/>
                <w:szCs w:val="22"/>
              </w:rPr>
              <w:t>Santosuosso</w:t>
            </w:r>
            <w:proofErr w:type="spellEnd"/>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B8C163" w14:textId="1BF15479" w:rsidR="004F014D" w:rsidRDefault="004F014D" w:rsidP="004F014D">
            <w:pPr>
              <w:spacing w:line="257" w:lineRule="auto"/>
              <w:jc w:val="center"/>
            </w:pPr>
            <w:r w:rsidRPr="17FA2F59">
              <w:rPr>
                <w:rFonts w:ascii="Calibri" w:eastAsia="Calibri" w:hAnsi="Calibri" w:cs="Calibri"/>
                <w:sz w:val="22"/>
                <w:szCs w:val="22"/>
              </w:rPr>
              <w:t>✔</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EB417B" w14:textId="709E0458" w:rsidR="004F014D" w:rsidRDefault="004F014D" w:rsidP="004F014D">
            <w:pPr>
              <w:spacing w:line="257" w:lineRule="auto"/>
              <w:jc w:val="cente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53200C" w14:textId="507931EA" w:rsidR="004F014D" w:rsidRDefault="004F014D" w:rsidP="004F014D">
            <w:pPr>
              <w:spacing w:line="257" w:lineRule="auto"/>
              <w:jc w:val="cente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015F87" w14:textId="77777777" w:rsidR="004F014D" w:rsidRDefault="004F014D" w:rsidP="004F014D">
            <w:pPr>
              <w:spacing w:line="257" w:lineRule="auto"/>
              <w:jc w:val="center"/>
            </w:pPr>
          </w:p>
        </w:tc>
      </w:tr>
      <w:tr w:rsidR="004F014D" w14:paraId="2A097FC4" w14:textId="34BA7890" w:rsidTr="00430727">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A0B30C" w14:textId="52527BA1" w:rsidR="004F014D" w:rsidRDefault="004F014D" w:rsidP="004F014D">
            <w:pPr>
              <w:spacing w:line="257" w:lineRule="auto"/>
            </w:pPr>
            <w:r w:rsidRPr="17FA2F59">
              <w:rPr>
                <w:rFonts w:ascii="Calibri" w:eastAsia="Calibri" w:hAnsi="Calibri" w:cs="Calibri"/>
                <w:sz w:val="22"/>
                <w:szCs w:val="22"/>
              </w:rPr>
              <w:t>Center Diagnostic Imaging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94E986" w14:textId="365EB936" w:rsidR="004F014D" w:rsidRDefault="004F014D" w:rsidP="004F014D">
            <w:pPr>
              <w:spacing w:line="257" w:lineRule="auto"/>
            </w:pPr>
            <w:r>
              <w:rPr>
                <w:rFonts w:ascii="Calibri" w:eastAsia="Calibri" w:hAnsi="Calibri" w:cs="Calibri"/>
                <w:sz w:val="22"/>
                <w:szCs w:val="22"/>
              </w:rPr>
              <w:t>March 29</w:t>
            </w:r>
            <w:r w:rsidRPr="17FA2F59">
              <w:rPr>
                <w:rFonts w:ascii="Calibri" w:eastAsia="Calibri" w:hAnsi="Calibri" w:cs="Calibri"/>
                <w:sz w:val="22"/>
                <w:szCs w:val="22"/>
              </w:rPr>
              <w:t xml:space="preserve">, </w:t>
            </w:r>
            <w:proofErr w:type="gramStart"/>
            <w:r w:rsidRPr="17FA2F59">
              <w:rPr>
                <w:rFonts w:ascii="Calibri" w:eastAsia="Calibri" w:hAnsi="Calibri" w:cs="Calibri"/>
                <w:sz w:val="22"/>
                <w:szCs w:val="22"/>
              </w:rPr>
              <w:t>2021</w:t>
            </w:r>
            <w:proofErr w:type="gramEnd"/>
            <w:r w:rsidRPr="17FA2F59">
              <w:rPr>
                <w:rFonts w:ascii="Calibri" w:eastAsia="Calibri" w:hAnsi="Calibri" w:cs="Calibri"/>
                <w:sz w:val="22"/>
                <w:szCs w:val="22"/>
              </w:rPr>
              <w:t xml:space="preserve">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051FD8" w14:textId="48334CD2" w:rsidR="004F014D" w:rsidRDefault="004F014D" w:rsidP="004F014D">
            <w:pPr>
              <w:spacing w:line="257" w:lineRule="auto"/>
            </w:pPr>
            <w:r w:rsidRPr="17FA2F59">
              <w:rPr>
                <w:rFonts w:ascii="Calibri" w:eastAsia="Calibri" w:hAnsi="Calibri" w:cs="Calibri"/>
                <w:sz w:val="22"/>
                <w:szCs w:val="22"/>
              </w:rPr>
              <w:t>Bethany Allen</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E48DFF" w14:textId="7BE14CC2" w:rsidR="004F014D" w:rsidRDefault="004F014D" w:rsidP="004F014D">
            <w:pPr>
              <w:spacing w:line="257" w:lineRule="auto"/>
              <w:jc w:val="cente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28D66B" w14:textId="01986384" w:rsidR="004F014D" w:rsidRDefault="004F014D" w:rsidP="004F014D">
            <w:pPr>
              <w:spacing w:line="257" w:lineRule="auto"/>
              <w:jc w:val="cente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000D4" w14:textId="547CB5E6" w:rsidR="004F014D" w:rsidRPr="17FA2F59" w:rsidRDefault="004F014D" w:rsidP="004F014D">
            <w:pPr>
              <w:spacing w:line="257" w:lineRule="auto"/>
              <w:jc w:val="center"/>
              <w:rPr>
                <w:rFonts w:ascii="Calibri" w:eastAsia="Calibri" w:hAnsi="Calibri" w:cs="Calibri"/>
                <w:sz w:val="22"/>
                <w:szCs w:val="22"/>
              </w:rPr>
            </w:pPr>
            <w:r w:rsidRPr="17FA2F59">
              <w:rPr>
                <w:rFonts w:ascii="Calibri" w:eastAsia="Calibri" w:hAnsi="Calibri" w:cs="Calibri"/>
                <w:sz w:val="22"/>
                <w:szCs w:val="22"/>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1CC106" w14:textId="77777777" w:rsidR="004F014D" w:rsidRPr="17FA2F59" w:rsidRDefault="004F014D" w:rsidP="004F014D">
            <w:pPr>
              <w:spacing w:line="257" w:lineRule="auto"/>
              <w:jc w:val="center"/>
              <w:rPr>
                <w:rFonts w:ascii="Calibri" w:eastAsia="Calibri" w:hAnsi="Calibri" w:cs="Calibri"/>
                <w:sz w:val="22"/>
                <w:szCs w:val="22"/>
              </w:rPr>
            </w:pPr>
          </w:p>
        </w:tc>
      </w:tr>
    </w:tbl>
    <w:p w14:paraId="48B797AA" w14:textId="2E6F7676" w:rsidR="17FA2F59" w:rsidRDefault="17FA2F59" w:rsidP="17FA2F59">
      <w:pPr>
        <w:ind w:left="-360"/>
      </w:pPr>
    </w:p>
    <w:p w14:paraId="0BF78398" w14:textId="7C2A7E65" w:rsidR="00C97F3C" w:rsidRPr="0033076A" w:rsidRDefault="00E74490" w:rsidP="0033076A">
      <w:pPr>
        <w:ind w:left="-360"/>
        <w:rPr>
          <w:rFonts w:asciiTheme="minorHAnsi" w:hAnsiTheme="minorHAnsi" w:cstheme="minorHAnsi"/>
        </w:rPr>
      </w:pPr>
      <w:r>
        <w:rPr>
          <w:rFonts w:asciiTheme="minorHAnsi" w:hAnsiTheme="minorHAnsi" w:cstheme="minorHAnsi"/>
        </w:rPr>
        <w:t xml:space="preserve"> </w:t>
      </w:r>
    </w:p>
    <w:p w14:paraId="19C08500" w14:textId="77DD6DEE" w:rsidR="00C97F3C" w:rsidRPr="00AF0AFF" w:rsidRDefault="00C97F3C" w:rsidP="00C97F3C">
      <w:pPr>
        <w:ind w:left="-360"/>
        <w:contextualSpacing/>
        <w:rPr>
          <w:rFonts w:asciiTheme="minorHAnsi" w:hAnsiTheme="minorHAnsi" w:cstheme="minorBidi"/>
          <w:u w:val="single"/>
        </w:rPr>
      </w:pPr>
      <w:r w:rsidRPr="00AF0AFF">
        <w:rPr>
          <w:rFonts w:asciiTheme="minorHAnsi" w:hAnsiTheme="minorHAnsi" w:cstheme="minorHAnsi"/>
          <w:u w:val="single"/>
        </w:rPr>
        <w:t>Summary of Public Comments on the ICA</w:t>
      </w:r>
    </w:p>
    <w:p w14:paraId="4BFC9E4C" w14:textId="3180155E" w:rsidR="00CE564B" w:rsidRPr="00C97F3C" w:rsidRDefault="00CE564B" w:rsidP="00C97F3C">
      <w:pPr>
        <w:ind w:left="-360"/>
        <w:contextualSpacing/>
        <w:rPr>
          <w:rFonts w:asciiTheme="minorHAnsi" w:hAnsiTheme="minorHAnsi" w:cstheme="minorBidi"/>
        </w:rPr>
      </w:pPr>
      <w:r w:rsidRPr="0062487B">
        <w:rPr>
          <w:rFonts w:asciiTheme="minorHAnsi" w:hAnsiTheme="minorHAnsi" w:cstheme="minorHAnsi"/>
          <w:color w:val="141414"/>
        </w:rPr>
        <w:t>Pursuant to 105 CMR 100.405(D), upon acceptance of the ICA, a 30-day comment period was opened and written comments from Parties of Record in response to the ICA report were accepted.</w:t>
      </w:r>
      <w:r w:rsidRPr="0062487B">
        <w:rPr>
          <w:rFonts w:asciiTheme="minorHAnsi" w:hAnsiTheme="minorHAnsi" w:cstheme="minorHAnsi"/>
        </w:rPr>
        <w:t xml:space="preserve"> Four comments were submitted by Parties of Record. </w:t>
      </w:r>
      <w:proofErr w:type="gramStart"/>
      <w:r w:rsidRPr="0062487B">
        <w:rPr>
          <w:rFonts w:asciiTheme="minorHAnsi" w:hAnsiTheme="minorHAnsi" w:cstheme="minorHAnsi"/>
        </w:rPr>
        <w:t>A majority of</w:t>
      </w:r>
      <w:proofErr w:type="gramEnd"/>
      <w:r w:rsidRPr="0062487B">
        <w:rPr>
          <w:rFonts w:asciiTheme="minorHAnsi" w:hAnsiTheme="minorHAnsi" w:cstheme="minorHAnsi"/>
        </w:rPr>
        <w:t xml:space="preserve"> the comments were in support of the Independent Cost Analysis (ICA) findings. Two TTGs reiterated that the ICA showed that the Proposed Project aligns with the state’s cost containment goals and “reaffirms the demands being placed on BWFH.” The President of BWFH, David O. McCready, responded to HPC’s analysis that the Proposed Project has met </w:t>
      </w:r>
      <w:proofErr w:type="spellStart"/>
      <w:r w:rsidRPr="0062487B">
        <w:rPr>
          <w:rFonts w:asciiTheme="minorHAnsi" w:hAnsiTheme="minorHAnsi" w:cstheme="minorHAnsi"/>
        </w:rPr>
        <w:t>DoN</w:t>
      </w:r>
      <w:proofErr w:type="spellEnd"/>
      <w:r w:rsidRPr="0062487B">
        <w:rPr>
          <w:rFonts w:asciiTheme="minorHAnsi" w:hAnsiTheme="minorHAnsi" w:cstheme="minorHAnsi"/>
        </w:rPr>
        <w:t xml:space="preserve"> factors and is necessary to meet the Patient Panel’s need, and states that the ICA supports this conclusion.</w:t>
      </w:r>
    </w:p>
    <w:p w14:paraId="3551A6E5" w14:textId="77777777" w:rsidR="00CE564B" w:rsidRPr="0062487B" w:rsidRDefault="00CE564B" w:rsidP="00CE564B">
      <w:pPr>
        <w:rPr>
          <w:rFonts w:asciiTheme="minorHAnsi" w:hAnsiTheme="minorHAnsi" w:cstheme="minorHAnsi"/>
        </w:rPr>
      </w:pPr>
    </w:p>
    <w:p w14:paraId="004246B4" w14:textId="00C9694A" w:rsidR="00CE564B" w:rsidRDefault="00CE564B" w:rsidP="00CE564B">
      <w:pPr>
        <w:ind w:left="-360"/>
        <w:contextualSpacing/>
        <w:rPr>
          <w:rFonts w:asciiTheme="minorHAnsi" w:hAnsiTheme="minorHAnsi" w:cstheme="minorBidi"/>
        </w:rPr>
      </w:pPr>
      <w:r w:rsidRPr="17FA2F59">
        <w:rPr>
          <w:rFonts w:asciiTheme="minorHAnsi" w:hAnsiTheme="minorHAnsi" w:cstheme="minorBidi"/>
        </w:rPr>
        <w:t xml:space="preserve">The Health Policy Commission (HPC) submitted </w:t>
      </w:r>
      <w:r w:rsidR="00AF0AFF">
        <w:rPr>
          <w:rFonts w:asciiTheme="minorHAnsi" w:hAnsiTheme="minorHAnsi" w:cstheme="minorBidi"/>
        </w:rPr>
        <w:t xml:space="preserve">a </w:t>
      </w:r>
      <w:r w:rsidRPr="17FA2F59">
        <w:rPr>
          <w:rFonts w:asciiTheme="minorHAnsi" w:hAnsiTheme="minorHAnsi" w:cstheme="minorBidi"/>
        </w:rPr>
        <w:t>comment</w:t>
      </w:r>
      <w:r w:rsidR="00AF0AFF">
        <w:rPr>
          <w:rFonts w:asciiTheme="minorHAnsi" w:hAnsiTheme="minorHAnsi" w:cstheme="minorBidi"/>
        </w:rPr>
        <w:t xml:space="preserve"> </w:t>
      </w:r>
      <w:r w:rsidRPr="17FA2F59">
        <w:rPr>
          <w:rFonts w:asciiTheme="minorHAnsi" w:hAnsiTheme="minorHAnsi" w:cstheme="minorBidi"/>
        </w:rPr>
        <w:t>on the ICA for the Proposed Project</w:t>
      </w:r>
      <w:r>
        <w:rPr>
          <w:rFonts w:asciiTheme="minorHAnsi" w:hAnsiTheme="minorHAnsi" w:cstheme="minorBidi"/>
        </w:rPr>
        <w:t xml:space="preserve"> which were discussed in Factor 2</w:t>
      </w:r>
      <w:r w:rsidRPr="17FA2F59">
        <w:rPr>
          <w:rFonts w:asciiTheme="minorHAnsi" w:hAnsiTheme="minorHAnsi" w:cstheme="minorBidi"/>
        </w:rPr>
        <w:t>. This entity was the only Party of Record who commented to counter ICA findings</w:t>
      </w:r>
      <w:r w:rsidR="00C97F3C">
        <w:rPr>
          <w:rFonts w:asciiTheme="minorHAnsi" w:hAnsiTheme="minorHAnsi" w:cstheme="minorBidi"/>
        </w:rPr>
        <w:t>.</w:t>
      </w:r>
    </w:p>
    <w:p w14:paraId="7D2E1176" w14:textId="6B60CBE2" w:rsidR="00C97F3C" w:rsidRDefault="00C97F3C" w:rsidP="00CE564B">
      <w:pPr>
        <w:ind w:left="-360"/>
        <w:contextualSpacing/>
        <w:rPr>
          <w:rFonts w:asciiTheme="minorHAnsi" w:hAnsiTheme="minorHAnsi" w:cstheme="minorBidi"/>
        </w:rPr>
      </w:pPr>
    </w:p>
    <w:p w14:paraId="581319A7" w14:textId="77777777" w:rsidR="00C97F3C" w:rsidRPr="0062487B" w:rsidRDefault="00C97F3C" w:rsidP="00C97F3C">
      <w:pPr>
        <w:ind w:left="-360"/>
        <w:contextualSpacing/>
        <w:rPr>
          <w:rFonts w:asciiTheme="minorHAnsi" w:hAnsiTheme="minorHAnsi" w:cstheme="minorBidi"/>
        </w:rPr>
      </w:pPr>
      <w:r w:rsidRPr="17FA2F59">
        <w:rPr>
          <w:rFonts w:asciiTheme="minorHAnsi" w:hAnsiTheme="minorHAnsi" w:cstheme="minorBidi"/>
          <w:b/>
          <w:bCs/>
        </w:rPr>
        <w:lastRenderedPageBreak/>
        <w:t>Findings and Recommendations</w:t>
      </w:r>
    </w:p>
    <w:p w14:paraId="7B7A8C38" w14:textId="6FCC077D" w:rsidR="00C97F3C" w:rsidRPr="0062487B" w:rsidRDefault="00C97F3C" w:rsidP="00C97F3C">
      <w:pPr>
        <w:ind w:left="-360"/>
        <w:contextualSpacing/>
        <w:rPr>
          <w:rFonts w:asciiTheme="minorHAnsi" w:hAnsiTheme="minorHAnsi" w:cstheme="minorBidi"/>
        </w:rPr>
      </w:pPr>
      <w:r w:rsidRPr="6442A453">
        <w:rPr>
          <w:rFonts w:asciiTheme="minorHAnsi" w:hAnsiTheme="minorHAnsi" w:cstheme="minorBidi"/>
        </w:rPr>
        <w:t xml:space="preserve">Based upon a review of the materials submitted and with the addition of certain conditions, set out below and imposed pursuant to 105 CMR 100.360(A), the Department finds that the Applicant has met each </w:t>
      </w:r>
      <w:proofErr w:type="spellStart"/>
      <w:r w:rsidRPr="6442A453">
        <w:rPr>
          <w:rFonts w:asciiTheme="minorHAnsi" w:hAnsiTheme="minorHAnsi" w:cstheme="minorBidi"/>
        </w:rPr>
        <w:t>DoN</w:t>
      </w:r>
      <w:proofErr w:type="spellEnd"/>
      <w:r w:rsidRPr="6442A453">
        <w:rPr>
          <w:rFonts w:asciiTheme="minorHAnsi" w:hAnsiTheme="minorHAnsi" w:cstheme="minorBidi"/>
        </w:rPr>
        <w:t xml:space="preserve"> factor and recommends approval of this Application for Determination of Need.</w:t>
      </w:r>
    </w:p>
    <w:p w14:paraId="7CD55155" w14:textId="2651CC35" w:rsidR="003B0B5B" w:rsidRPr="0062487B" w:rsidRDefault="4167F2BF" w:rsidP="00AB7E4D">
      <w:pPr>
        <w:keepNext/>
        <w:keepLines/>
        <w:spacing w:before="480" w:line="259" w:lineRule="auto"/>
        <w:ind w:left="-360"/>
        <w:outlineLvl w:val="0"/>
        <w:rPr>
          <w:rFonts w:asciiTheme="minorHAnsi" w:hAnsiTheme="minorHAnsi" w:cstheme="minorBidi"/>
          <w:b/>
          <w:bCs/>
        </w:rPr>
      </w:pPr>
      <w:bookmarkStart w:id="72" w:name="_Toc85229317"/>
      <w:bookmarkStart w:id="73" w:name="_Toc99645444"/>
      <w:r w:rsidRPr="17FA2F59">
        <w:rPr>
          <w:rFonts w:asciiTheme="minorHAnsi" w:hAnsiTheme="minorHAnsi" w:cstheme="minorBidi"/>
          <w:b/>
          <w:bCs/>
        </w:rPr>
        <w:t xml:space="preserve">Conditions to the </w:t>
      </w:r>
      <w:proofErr w:type="spellStart"/>
      <w:r w:rsidRPr="17FA2F59">
        <w:rPr>
          <w:rFonts w:asciiTheme="minorHAnsi" w:hAnsiTheme="minorHAnsi" w:cstheme="minorBidi"/>
          <w:b/>
          <w:bCs/>
        </w:rPr>
        <w:t>DoN</w:t>
      </w:r>
      <w:bookmarkEnd w:id="72"/>
      <w:bookmarkEnd w:id="73"/>
      <w:proofErr w:type="spellEnd"/>
    </w:p>
    <w:p w14:paraId="66097809" w14:textId="77777777" w:rsidR="00AB7E4D" w:rsidRPr="00E31723" w:rsidRDefault="00AB7E4D" w:rsidP="00AB7E4D">
      <w:pPr>
        <w:rPr>
          <w:rFonts w:asciiTheme="minorHAnsi" w:hAnsiTheme="minorHAnsi" w:cstheme="minorHAnsi"/>
        </w:rPr>
      </w:pPr>
    </w:p>
    <w:p w14:paraId="2B13E632" w14:textId="07FCC28D" w:rsidR="008E0BAC" w:rsidRPr="00E31723" w:rsidRDefault="008E0BAC" w:rsidP="00AB7E4D">
      <w:pPr>
        <w:rPr>
          <w:rFonts w:asciiTheme="minorHAnsi" w:hAnsiTheme="minorHAnsi" w:cstheme="minorHAnsi"/>
          <w:b/>
          <w:bCs/>
          <w:color w:val="2F5496"/>
        </w:rPr>
      </w:pPr>
      <w:r w:rsidRPr="00E31723">
        <w:rPr>
          <w:rFonts w:asciiTheme="minorHAnsi" w:hAnsiTheme="minorHAnsi" w:cstheme="minorHAnsi"/>
        </w:rPr>
        <w:t>Condition 1</w:t>
      </w:r>
      <w:r w:rsidR="00E31723">
        <w:rPr>
          <w:rFonts w:asciiTheme="minorHAnsi" w:hAnsiTheme="minorHAnsi" w:cstheme="minorHAnsi"/>
        </w:rPr>
        <w:t xml:space="preserve"> </w:t>
      </w:r>
      <w:r w:rsidR="00E31723" w:rsidRPr="00E31723">
        <w:rPr>
          <w:rFonts w:asciiTheme="minorHAnsi" w:hAnsiTheme="minorHAnsi" w:cstheme="minorHAnsi"/>
        </w:rPr>
        <w:t>–</w:t>
      </w:r>
      <w:r w:rsidRPr="00E31723">
        <w:rPr>
          <w:rFonts w:asciiTheme="minorHAnsi" w:hAnsiTheme="minorHAnsi" w:cstheme="minorHAnsi"/>
        </w:rPr>
        <w:t xml:space="preserve"> CHI Contribution </w:t>
      </w:r>
    </w:p>
    <w:p w14:paraId="1E9E2DC1" w14:textId="77777777" w:rsidR="003B0B5B" w:rsidRPr="00E31723" w:rsidRDefault="003B0B5B" w:rsidP="003B0B5B">
      <w:pPr>
        <w:ind w:left="360" w:right="540"/>
        <w:contextualSpacing/>
        <w:rPr>
          <w:rFonts w:asciiTheme="minorHAnsi" w:eastAsia="Calibri" w:hAnsiTheme="minorHAnsi" w:cstheme="minorHAnsi"/>
        </w:rPr>
      </w:pPr>
    </w:p>
    <w:p w14:paraId="354E12F7" w14:textId="77777777" w:rsidR="003B0B5B" w:rsidRPr="00E31723" w:rsidRDefault="003B0B5B" w:rsidP="00EB5776">
      <w:pPr>
        <w:pStyle w:val="ListParagraph"/>
        <w:numPr>
          <w:ilvl w:val="0"/>
          <w:numId w:val="14"/>
        </w:numPr>
        <w:ind w:right="540"/>
        <w:rPr>
          <w:rFonts w:asciiTheme="minorHAnsi" w:eastAsia="Calibri" w:hAnsiTheme="minorHAnsi" w:cstheme="minorHAnsi"/>
        </w:rPr>
      </w:pPr>
      <w:r w:rsidRPr="00E31723">
        <w:rPr>
          <w:rFonts w:asciiTheme="minorHAnsi" w:eastAsia="Calibri" w:hAnsiTheme="minorHAnsi" w:cstheme="minorHAnsi"/>
        </w:rPr>
        <w:t>Of the total required CHI contribution of $7,504,929.10</w:t>
      </w:r>
    </w:p>
    <w:p w14:paraId="0F3A5D02" w14:textId="77777777" w:rsidR="003B0B5B" w:rsidRPr="00E31723" w:rsidRDefault="003B0B5B" w:rsidP="00EB5776">
      <w:pPr>
        <w:numPr>
          <w:ilvl w:val="1"/>
          <w:numId w:val="14"/>
        </w:numPr>
        <w:ind w:left="1440" w:right="540"/>
        <w:contextualSpacing/>
        <w:rPr>
          <w:rFonts w:asciiTheme="minorHAnsi" w:eastAsia="Calibri" w:hAnsiTheme="minorHAnsi" w:cstheme="minorHAnsi"/>
        </w:rPr>
      </w:pPr>
      <w:r w:rsidRPr="00E31723">
        <w:rPr>
          <w:rFonts w:asciiTheme="minorHAnsi" w:eastAsia="Calibri" w:hAnsiTheme="minorHAnsi" w:cstheme="minorHAnsi"/>
        </w:rPr>
        <w:t xml:space="preserve">$1,838,707.63 will be directed to the CHI Statewide Initiative </w:t>
      </w:r>
    </w:p>
    <w:p w14:paraId="4D0ECFF2" w14:textId="77777777" w:rsidR="003B0B5B" w:rsidRPr="00E31723" w:rsidRDefault="003B0B5B" w:rsidP="00EB5776">
      <w:pPr>
        <w:numPr>
          <w:ilvl w:val="1"/>
          <w:numId w:val="14"/>
        </w:numPr>
        <w:ind w:left="1440" w:right="540"/>
        <w:contextualSpacing/>
        <w:rPr>
          <w:rFonts w:asciiTheme="minorHAnsi" w:eastAsia="Calibri" w:hAnsiTheme="minorHAnsi" w:cstheme="minorHAnsi"/>
        </w:rPr>
      </w:pPr>
      <w:r w:rsidRPr="00E31723">
        <w:rPr>
          <w:rFonts w:asciiTheme="minorHAnsi" w:eastAsia="Calibri" w:hAnsiTheme="minorHAnsi" w:cstheme="minorHAnsi"/>
        </w:rPr>
        <w:t xml:space="preserve">$5,516,122.89 will be dedicated to local approaches to the </w:t>
      </w:r>
      <w:proofErr w:type="spellStart"/>
      <w:r w:rsidRPr="00E31723">
        <w:rPr>
          <w:rFonts w:asciiTheme="minorHAnsi" w:eastAsia="Calibri" w:hAnsiTheme="minorHAnsi" w:cstheme="minorHAnsi"/>
        </w:rPr>
        <w:t>DoN</w:t>
      </w:r>
      <w:proofErr w:type="spellEnd"/>
      <w:r w:rsidRPr="00E31723">
        <w:rPr>
          <w:rFonts w:asciiTheme="minorHAnsi" w:eastAsia="Calibri" w:hAnsiTheme="minorHAnsi" w:cstheme="minorHAnsi"/>
        </w:rPr>
        <w:t xml:space="preserve"> Health Priorities </w:t>
      </w:r>
    </w:p>
    <w:p w14:paraId="4C4C55EC" w14:textId="77777777" w:rsidR="003B0B5B" w:rsidRPr="00E31723" w:rsidRDefault="003B0B5B" w:rsidP="00EB5776">
      <w:pPr>
        <w:numPr>
          <w:ilvl w:val="1"/>
          <w:numId w:val="14"/>
        </w:numPr>
        <w:ind w:left="1440" w:right="540"/>
        <w:contextualSpacing/>
        <w:rPr>
          <w:rFonts w:asciiTheme="minorHAnsi" w:eastAsia="Calibri" w:hAnsiTheme="minorHAnsi" w:cstheme="minorHAnsi"/>
        </w:rPr>
      </w:pPr>
      <w:r w:rsidRPr="00E31723">
        <w:rPr>
          <w:rFonts w:asciiTheme="minorHAnsi" w:eastAsia="Calibri" w:hAnsiTheme="minorHAnsi" w:cstheme="minorHAnsi"/>
        </w:rPr>
        <w:t>$150,098.58 will be designated as the administrative allowance</w:t>
      </w:r>
    </w:p>
    <w:p w14:paraId="278924DD" w14:textId="77777777" w:rsidR="003B0B5B" w:rsidRPr="00E31723" w:rsidRDefault="003B0B5B" w:rsidP="00EB5776">
      <w:pPr>
        <w:pStyle w:val="ListParagraph"/>
        <w:numPr>
          <w:ilvl w:val="0"/>
          <w:numId w:val="14"/>
        </w:numPr>
        <w:ind w:right="540"/>
        <w:rPr>
          <w:rFonts w:asciiTheme="minorHAnsi" w:eastAsia="Calibri" w:hAnsiTheme="minorHAnsi" w:cstheme="minorHAnsi"/>
        </w:rPr>
      </w:pPr>
      <w:r w:rsidRPr="00E31723">
        <w:rPr>
          <w:rFonts w:asciiTheme="minorHAnsi" w:eastAsia="Calibri" w:hAnsiTheme="minorHAnsi" w:cstheme="minorHAnsi"/>
        </w:rPr>
        <w:t xml:space="preserve">To comply with the Holder’s obligation to contribute to the Statewide CHI Initiative, the Holder must submit a check for $1,838,707.63 to Health Resources in Action (the fiscal agent for the CHI Statewide Initiative). </w:t>
      </w:r>
    </w:p>
    <w:p w14:paraId="5357FBDD" w14:textId="77777777" w:rsidR="003B0B5B" w:rsidRPr="00E31723" w:rsidRDefault="003B0B5B" w:rsidP="00EB5776">
      <w:pPr>
        <w:numPr>
          <w:ilvl w:val="2"/>
          <w:numId w:val="14"/>
        </w:numPr>
        <w:ind w:right="540"/>
        <w:contextualSpacing/>
        <w:rPr>
          <w:rFonts w:asciiTheme="minorHAnsi" w:eastAsia="Calibri" w:hAnsiTheme="minorHAnsi" w:cstheme="minorHAnsi"/>
        </w:rPr>
      </w:pPr>
      <w:r w:rsidRPr="00E31723">
        <w:rPr>
          <w:rFonts w:asciiTheme="minorHAnsi" w:eastAsia="Calibri" w:hAnsiTheme="minorHAnsi" w:cstheme="minorHAnsi"/>
        </w:rPr>
        <w:t xml:space="preserve">The Holder must submit the funds to </w:t>
      </w:r>
      <w:proofErr w:type="spellStart"/>
      <w:r w:rsidRPr="00E31723">
        <w:rPr>
          <w:rFonts w:asciiTheme="minorHAnsi" w:eastAsia="Calibri" w:hAnsiTheme="minorHAnsi" w:cstheme="minorHAnsi"/>
        </w:rPr>
        <w:t>HRiA</w:t>
      </w:r>
      <w:proofErr w:type="spellEnd"/>
      <w:r w:rsidRPr="00E31723">
        <w:rPr>
          <w:rFonts w:asciiTheme="minorHAnsi" w:eastAsia="Calibri" w:hAnsiTheme="minorHAnsi" w:cstheme="minorHAnsi"/>
        </w:rPr>
        <w:t xml:space="preserve"> within 30 days from the date of the Notice of Approval. </w:t>
      </w:r>
    </w:p>
    <w:p w14:paraId="7166355C" w14:textId="77777777" w:rsidR="003B0B5B" w:rsidRPr="00E31723" w:rsidRDefault="003B0B5B" w:rsidP="00EB5776">
      <w:pPr>
        <w:numPr>
          <w:ilvl w:val="2"/>
          <w:numId w:val="14"/>
        </w:numPr>
        <w:ind w:right="540"/>
        <w:contextualSpacing/>
        <w:rPr>
          <w:rFonts w:asciiTheme="minorHAnsi" w:eastAsia="Calibri" w:hAnsiTheme="minorHAnsi" w:cstheme="minorHAnsi"/>
        </w:rPr>
      </w:pPr>
      <w:r w:rsidRPr="00E31723">
        <w:rPr>
          <w:rFonts w:asciiTheme="minorHAnsi" w:eastAsia="Calibri" w:hAnsiTheme="minorHAnsi" w:cstheme="minorHAnsi"/>
        </w:rPr>
        <w:t>The Holder must promptly notify DPH (CHI contact staff) when the payment has been made.</w:t>
      </w:r>
    </w:p>
    <w:p w14:paraId="21406692" w14:textId="0D30700C" w:rsidR="00687989" w:rsidRPr="00E31723" w:rsidRDefault="00687989" w:rsidP="00F471C1">
      <w:pPr>
        <w:rPr>
          <w:rFonts w:asciiTheme="minorHAnsi" w:hAnsiTheme="minorHAnsi" w:cstheme="minorHAnsi"/>
          <w:color w:val="000000"/>
        </w:rPr>
      </w:pPr>
    </w:p>
    <w:p w14:paraId="4B37627E" w14:textId="77777777" w:rsidR="00E31723" w:rsidRPr="00E31723" w:rsidRDefault="00E31723" w:rsidP="00E31723">
      <w:pPr>
        <w:rPr>
          <w:rFonts w:asciiTheme="minorHAnsi" w:hAnsiTheme="minorHAnsi" w:cstheme="minorHAnsi"/>
          <w:color w:val="000000"/>
        </w:rPr>
      </w:pPr>
      <w:bookmarkStart w:id="74" w:name="_Hlk96774129"/>
      <w:bookmarkStart w:id="75" w:name="_Hlk96247128"/>
    </w:p>
    <w:p w14:paraId="26CA6427" w14:textId="77777777" w:rsidR="00E31723" w:rsidRPr="00E31723" w:rsidRDefault="00E31723" w:rsidP="00E31723">
      <w:pPr>
        <w:spacing w:line="257" w:lineRule="auto"/>
        <w:contextualSpacing/>
        <w:rPr>
          <w:rFonts w:asciiTheme="minorHAnsi" w:hAnsiTheme="minorHAnsi" w:cstheme="minorHAnsi"/>
        </w:rPr>
      </w:pPr>
      <w:r w:rsidRPr="00E31723">
        <w:rPr>
          <w:rFonts w:asciiTheme="minorHAnsi" w:hAnsiTheme="minorHAnsi" w:cstheme="minorHAnsi"/>
        </w:rPr>
        <w:t xml:space="preserve">Condition 2 – The Holder shall, on an annual basis, commencing with the approval of this </w:t>
      </w:r>
      <w:proofErr w:type="spellStart"/>
      <w:r w:rsidRPr="00E31723">
        <w:rPr>
          <w:rFonts w:asciiTheme="minorHAnsi" w:hAnsiTheme="minorHAnsi" w:cstheme="minorHAnsi"/>
        </w:rPr>
        <w:t>DoN</w:t>
      </w:r>
      <w:proofErr w:type="spellEnd"/>
      <w:r w:rsidRPr="00E31723">
        <w:rPr>
          <w:rFonts w:asciiTheme="minorHAnsi" w:hAnsiTheme="minorHAnsi" w:cstheme="minorHAnsi"/>
        </w:rPr>
        <w:t xml:space="preserve">, and continuing for a period of five years after the Proposed Project is complete, provide the following information as part of the annual report required by 105 CMR 100.310(A)(12): </w:t>
      </w:r>
    </w:p>
    <w:p w14:paraId="3D70E09E" w14:textId="77777777" w:rsidR="00E31723" w:rsidRPr="00E31723" w:rsidRDefault="00E31723" w:rsidP="00E31723">
      <w:pPr>
        <w:pStyle w:val="ListParagraph"/>
        <w:numPr>
          <w:ilvl w:val="0"/>
          <w:numId w:val="37"/>
        </w:numPr>
        <w:spacing w:line="257" w:lineRule="auto"/>
        <w:rPr>
          <w:rFonts w:asciiTheme="minorHAnsi" w:hAnsiTheme="minorHAnsi" w:cstheme="minorHAnsi"/>
        </w:rPr>
      </w:pPr>
      <w:r w:rsidRPr="00E31723">
        <w:rPr>
          <w:rFonts w:asciiTheme="minorHAnsi" w:hAnsiTheme="minorHAnsi" w:cstheme="minorHAnsi"/>
        </w:rPr>
        <w:t xml:space="preserve">Transfer of patients from BWH to BWFH inpatient care </w:t>
      </w:r>
    </w:p>
    <w:p w14:paraId="2E65ECEF" w14:textId="77777777" w:rsidR="00E31723" w:rsidRPr="00E31723" w:rsidRDefault="00E31723" w:rsidP="00E31723">
      <w:pPr>
        <w:pStyle w:val="ListParagraph"/>
        <w:numPr>
          <w:ilvl w:val="0"/>
          <w:numId w:val="38"/>
        </w:numPr>
        <w:spacing w:line="257" w:lineRule="auto"/>
        <w:rPr>
          <w:rFonts w:asciiTheme="minorHAnsi" w:hAnsiTheme="minorHAnsi" w:cstheme="minorHAnsi"/>
        </w:rPr>
      </w:pPr>
      <w:r w:rsidRPr="00E31723">
        <w:rPr>
          <w:rFonts w:asciiTheme="minorHAnsi" w:hAnsiTheme="minorHAnsi" w:cstheme="minorHAnsi"/>
        </w:rPr>
        <w:t>The number of patients who transfer from BWH to BWFH.</w:t>
      </w:r>
    </w:p>
    <w:p w14:paraId="173F5702" w14:textId="77777777" w:rsidR="00E31723" w:rsidRPr="00E31723" w:rsidRDefault="00E31723" w:rsidP="00E31723">
      <w:pPr>
        <w:pStyle w:val="ListParagraph"/>
        <w:numPr>
          <w:ilvl w:val="0"/>
          <w:numId w:val="38"/>
        </w:numPr>
        <w:spacing w:line="257" w:lineRule="auto"/>
        <w:rPr>
          <w:rFonts w:asciiTheme="minorHAnsi" w:hAnsiTheme="minorHAnsi" w:cstheme="minorHAnsi"/>
        </w:rPr>
      </w:pPr>
      <w:r w:rsidRPr="00E31723">
        <w:rPr>
          <w:rFonts w:asciiTheme="minorHAnsi" w:hAnsiTheme="minorHAnsi" w:cstheme="minorHAnsi"/>
        </w:rPr>
        <w:t xml:space="preserve">The number and percent of patients clinically eligible to transfer from BWH who do transfer to BWFH (measured by # of patients who transfer from BWH to BWFH/total # of patients clinically eligible for transfer). </w:t>
      </w:r>
    </w:p>
    <w:p w14:paraId="73F99475" w14:textId="77777777" w:rsidR="00E31723" w:rsidRPr="00E31723" w:rsidRDefault="00E31723" w:rsidP="00E31723">
      <w:pPr>
        <w:pStyle w:val="ListParagraph"/>
        <w:numPr>
          <w:ilvl w:val="0"/>
          <w:numId w:val="38"/>
        </w:numPr>
        <w:spacing w:line="257" w:lineRule="auto"/>
        <w:rPr>
          <w:rFonts w:asciiTheme="minorHAnsi" w:hAnsiTheme="minorHAnsi" w:cstheme="minorHAnsi"/>
        </w:rPr>
      </w:pPr>
      <w:r w:rsidRPr="00E31723">
        <w:rPr>
          <w:rFonts w:asciiTheme="minorHAnsi" w:hAnsiTheme="minorHAnsi" w:cstheme="minorHAnsi"/>
        </w:rPr>
        <w:t>The acuity level by case mix index of the transferred patients.</w:t>
      </w:r>
    </w:p>
    <w:p w14:paraId="48C13734" w14:textId="77777777" w:rsidR="00E31723" w:rsidRPr="00E31723" w:rsidRDefault="00E31723" w:rsidP="00E31723">
      <w:pPr>
        <w:pStyle w:val="ListParagraph"/>
        <w:numPr>
          <w:ilvl w:val="0"/>
          <w:numId w:val="38"/>
        </w:numPr>
        <w:spacing w:line="257" w:lineRule="auto"/>
        <w:rPr>
          <w:rFonts w:asciiTheme="minorHAnsi" w:hAnsiTheme="minorHAnsi" w:cstheme="minorHAnsi"/>
        </w:rPr>
      </w:pPr>
      <w:r w:rsidRPr="00E31723">
        <w:rPr>
          <w:rFonts w:asciiTheme="minorHAnsi" w:hAnsiTheme="minorHAnsi" w:cstheme="minorHAnsi"/>
        </w:rPr>
        <w:t xml:space="preserve">The acuity level by case mix index for medical/surgical (M/S) patients at BWH. </w:t>
      </w:r>
    </w:p>
    <w:p w14:paraId="376F928B" w14:textId="77777777" w:rsidR="00E31723" w:rsidRPr="00E31723" w:rsidRDefault="00E31723" w:rsidP="00E31723">
      <w:pPr>
        <w:pStyle w:val="ListParagraph"/>
        <w:numPr>
          <w:ilvl w:val="0"/>
          <w:numId w:val="38"/>
        </w:numPr>
        <w:spacing w:line="257" w:lineRule="auto"/>
        <w:rPr>
          <w:rFonts w:asciiTheme="minorHAnsi" w:hAnsiTheme="minorHAnsi" w:cstheme="minorHAnsi"/>
        </w:rPr>
      </w:pPr>
      <w:r w:rsidRPr="00E31723">
        <w:rPr>
          <w:rFonts w:asciiTheme="minorHAnsi" w:hAnsiTheme="minorHAnsi" w:cstheme="minorHAnsi"/>
        </w:rPr>
        <w:t xml:space="preserve">The acuity level by case mix index for medical/surgical (M/S) patients at BWFH. </w:t>
      </w:r>
    </w:p>
    <w:p w14:paraId="4E55B15E" w14:textId="77777777" w:rsidR="00E31723" w:rsidRPr="00E31723" w:rsidRDefault="00E31723" w:rsidP="00E31723">
      <w:pPr>
        <w:pStyle w:val="ListParagraph"/>
        <w:numPr>
          <w:ilvl w:val="0"/>
          <w:numId w:val="38"/>
        </w:numPr>
        <w:spacing w:line="257" w:lineRule="auto"/>
        <w:rPr>
          <w:rFonts w:asciiTheme="minorHAnsi" w:hAnsiTheme="minorHAnsi" w:cstheme="minorHAnsi"/>
        </w:rPr>
      </w:pPr>
      <w:r w:rsidRPr="00E31723">
        <w:rPr>
          <w:rFonts w:asciiTheme="minorHAnsi" w:hAnsiTheme="minorHAnsi" w:cstheme="minorHAnsi"/>
        </w:rPr>
        <w:t>The number of patients transferred from BWFH to BWH including the acuity level of these patients.</w:t>
      </w:r>
    </w:p>
    <w:p w14:paraId="2A381825" w14:textId="77777777" w:rsidR="002271A9" w:rsidRPr="002271A9" w:rsidRDefault="002271A9" w:rsidP="002271A9">
      <w:pPr>
        <w:pStyle w:val="ListParagraph"/>
        <w:numPr>
          <w:ilvl w:val="0"/>
          <w:numId w:val="38"/>
        </w:numPr>
        <w:spacing w:line="257" w:lineRule="auto"/>
        <w:rPr>
          <w:rFonts w:asciiTheme="minorHAnsi" w:hAnsiTheme="minorHAnsi" w:cstheme="minorHAnsi"/>
        </w:rPr>
      </w:pPr>
      <w:r w:rsidRPr="002271A9">
        <w:rPr>
          <w:rFonts w:asciiTheme="minorHAnsi" w:hAnsiTheme="minorHAnsi" w:cstheme="minorHAnsi"/>
        </w:rPr>
        <w:t xml:space="preserve">Separately for the BWH and BFWH EDs: </w:t>
      </w:r>
    </w:p>
    <w:p w14:paraId="46DF7427" w14:textId="77777777" w:rsidR="002271A9" w:rsidRDefault="002271A9" w:rsidP="002271A9">
      <w:pPr>
        <w:pStyle w:val="ListParagraph"/>
        <w:numPr>
          <w:ilvl w:val="2"/>
          <w:numId w:val="38"/>
        </w:numPr>
        <w:spacing w:line="257" w:lineRule="auto"/>
        <w:rPr>
          <w:rFonts w:asciiTheme="minorHAnsi" w:hAnsiTheme="minorHAnsi" w:cstheme="minorHAnsi"/>
        </w:rPr>
      </w:pPr>
      <w:r w:rsidRPr="002271A9">
        <w:rPr>
          <w:rFonts w:asciiTheme="minorHAnsi" w:hAnsiTheme="minorHAnsi" w:cstheme="minorHAnsi"/>
        </w:rPr>
        <w:t xml:space="preserve">the number of ED boarders awaiting a med/surg bed (with boarding defined as 2 hours from the request for a bed). </w:t>
      </w:r>
    </w:p>
    <w:p w14:paraId="488238F1" w14:textId="7499AF1A" w:rsidR="00E31723" w:rsidRPr="002271A9" w:rsidRDefault="002271A9" w:rsidP="002271A9">
      <w:pPr>
        <w:pStyle w:val="ListParagraph"/>
        <w:numPr>
          <w:ilvl w:val="2"/>
          <w:numId w:val="38"/>
        </w:numPr>
        <w:spacing w:line="257" w:lineRule="auto"/>
        <w:rPr>
          <w:rFonts w:asciiTheme="minorHAnsi" w:hAnsiTheme="minorHAnsi" w:cstheme="minorHAnsi"/>
        </w:rPr>
      </w:pPr>
      <w:r w:rsidRPr="002271A9">
        <w:rPr>
          <w:rFonts w:asciiTheme="minorHAnsi" w:hAnsiTheme="minorHAnsi" w:cstheme="minorHAnsi"/>
        </w:rPr>
        <w:t>Total hours of med/surg boarding and the average hours of boarding per patient.</w:t>
      </w:r>
    </w:p>
    <w:p w14:paraId="46CF4E91" w14:textId="77777777" w:rsidR="00E31723" w:rsidRPr="00E31723" w:rsidRDefault="00E31723" w:rsidP="00E31723">
      <w:pPr>
        <w:pStyle w:val="ListParagraph"/>
        <w:numPr>
          <w:ilvl w:val="0"/>
          <w:numId w:val="38"/>
        </w:numPr>
        <w:spacing w:after="160" w:line="257" w:lineRule="auto"/>
        <w:rPr>
          <w:rFonts w:asciiTheme="minorHAnsi" w:hAnsiTheme="minorHAnsi" w:cstheme="minorHAnsi"/>
        </w:rPr>
      </w:pPr>
      <w:r w:rsidRPr="00E31723">
        <w:rPr>
          <w:rFonts w:asciiTheme="minorHAnsi" w:hAnsiTheme="minorHAnsi" w:cstheme="minorHAnsi"/>
        </w:rPr>
        <w:t xml:space="preserve">Percentage (with numerator and denominator) of BWFH </w:t>
      </w:r>
      <w:proofErr w:type="spellStart"/>
      <w:r w:rsidRPr="00E31723">
        <w:rPr>
          <w:rFonts w:asciiTheme="minorHAnsi" w:hAnsiTheme="minorHAnsi" w:cstheme="minorHAnsi"/>
        </w:rPr>
        <w:t>inpatients</w:t>
      </w:r>
      <w:proofErr w:type="spellEnd"/>
      <w:r w:rsidRPr="00E31723">
        <w:rPr>
          <w:rFonts w:asciiTheme="minorHAnsi" w:hAnsiTheme="minorHAnsi" w:cstheme="minorHAnsi"/>
        </w:rPr>
        <w:t xml:space="preserve"> who were part of MGB’s Patient Panel prior to the BWFH admission. </w:t>
      </w:r>
    </w:p>
    <w:p w14:paraId="1A05E26D" w14:textId="77777777" w:rsidR="00E31723" w:rsidRPr="0010719C" w:rsidRDefault="00E31723" w:rsidP="00E31723">
      <w:pPr>
        <w:spacing w:line="257" w:lineRule="auto"/>
        <w:jc w:val="center"/>
        <w:rPr>
          <w:sz w:val="20"/>
          <w:szCs w:val="20"/>
          <w:u w:val="single"/>
        </w:rPr>
      </w:pPr>
      <w:r>
        <w:rPr>
          <w:sz w:val="20"/>
          <w:szCs w:val="20"/>
          <w:u w:val="single"/>
        </w:rPr>
        <w:t>T</w:t>
      </w:r>
      <w:r w:rsidRPr="0010719C">
        <w:rPr>
          <w:sz w:val="20"/>
          <w:szCs w:val="20"/>
          <w:u w:val="single"/>
        </w:rPr>
        <w:t xml:space="preserve">he number of </w:t>
      </w:r>
      <w:r>
        <w:rPr>
          <w:sz w:val="20"/>
          <w:szCs w:val="20"/>
          <w:u w:val="single"/>
        </w:rPr>
        <w:t xml:space="preserve">BWFH </w:t>
      </w:r>
      <w:proofErr w:type="spellStart"/>
      <w:r>
        <w:rPr>
          <w:sz w:val="20"/>
          <w:szCs w:val="20"/>
          <w:u w:val="single"/>
        </w:rPr>
        <w:t>in</w:t>
      </w:r>
      <w:r w:rsidRPr="0010719C">
        <w:rPr>
          <w:sz w:val="20"/>
          <w:szCs w:val="20"/>
          <w:u w:val="single"/>
        </w:rPr>
        <w:t>patients</w:t>
      </w:r>
      <w:proofErr w:type="spellEnd"/>
      <w:r>
        <w:rPr>
          <w:sz w:val="20"/>
          <w:szCs w:val="20"/>
          <w:u w:val="single"/>
        </w:rPr>
        <w:t xml:space="preserve"> who were part of MGB’s Patient Panel prior to the BWFH admission</w:t>
      </w:r>
      <w:r w:rsidRPr="0010719C">
        <w:rPr>
          <w:sz w:val="20"/>
          <w:szCs w:val="20"/>
          <w:u w:val="single"/>
        </w:rPr>
        <w:t xml:space="preserve"> </w:t>
      </w:r>
    </w:p>
    <w:p w14:paraId="6ECC2997" w14:textId="77777777" w:rsidR="00E31723" w:rsidRDefault="00E31723" w:rsidP="00E31723">
      <w:pPr>
        <w:pStyle w:val="ListParagraph"/>
        <w:spacing w:line="257" w:lineRule="auto"/>
        <w:ind w:left="1440"/>
        <w:jc w:val="center"/>
        <w:rPr>
          <w:sz w:val="20"/>
          <w:szCs w:val="20"/>
        </w:rPr>
      </w:pPr>
      <w:r>
        <w:rPr>
          <w:sz w:val="20"/>
          <w:szCs w:val="20"/>
        </w:rPr>
        <w:t>Total patients</w:t>
      </w:r>
      <w:r w:rsidRPr="0010719C">
        <w:rPr>
          <w:sz w:val="20"/>
          <w:szCs w:val="20"/>
        </w:rPr>
        <w:t xml:space="preserve"> </w:t>
      </w:r>
      <w:r>
        <w:rPr>
          <w:sz w:val="20"/>
          <w:szCs w:val="20"/>
        </w:rPr>
        <w:t>admitted</w:t>
      </w:r>
    </w:p>
    <w:p w14:paraId="29647653" w14:textId="77777777" w:rsidR="00E31723" w:rsidRDefault="00E31723" w:rsidP="00E31723">
      <w:pPr>
        <w:pStyle w:val="ListParagraph"/>
        <w:spacing w:line="257" w:lineRule="auto"/>
        <w:ind w:left="1440"/>
        <w:jc w:val="center"/>
        <w:rPr>
          <w:sz w:val="20"/>
          <w:szCs w:val="20"/>
        </w:rPr>
      </w:pPr>
    </w:p>
    <w:p w14:paraId="0E1C1A5C" w14:textId="77777777" w:rsidR="00E31723" w:rsidRDefault="00E31723" w:rsidP="00E31723">
      <w:pPr>
        <w:pStyle w:val="ListParagraph"/>
        <w:spacing w:line="257" w:lineRule="auto"/>
        <w:ind w:left="1440"/>
        <w:jc w:val="center"/>
        <w:rPr>
          <w:sz w:val="20"/>
          <w:szCs w:val="20"/>
        </w:rPr>
      </w:pPr>
    </w:p>
    <w:p w14:paraId="672BE47B" w14:textId="77777777" w:rsidR="00E31723" w:rsidRPr="0010719C" w:rsidRDefault="00E31723" w:rsidP="00E31723">
      <w:pPr>
        <w:pStyle w:val="ListParagraph"/>
        <w:spacing w:line="257" w:lineRule="auto"/>
        <w:ind w:left="1440"/>
        <w:rPr>
          <w:rFonts w:asciiTheme="minorHAnsi" w:hAnsiTheme="minorHAnsi" w:cstheme="minorHAnsi"/>
        </w:rPr>
      </w:pPr>
    </w:p>
    <w:p w14:paraId="19E93135" w14:textId="77777777" w:rsidR="00E31723" w:rsidRPr="00AF3D77" w:rsidRDefault="00E31723" w:rsidP="00E31723">
      <w:pPr>
        <w:pStyle w:val="ListParagraph"/>
        <w:numPr>
          <w:ilvl w:val="0"/>
          <w:numId w:val="38"/>
        </w:numPr>
        <w:spacing w:line="257" w:lineRule="auto"/>
        <w:rPr>
          <w:rFonts w:asciiTheme="minorHAnsi" w:hAnsiTheme="minorHAnsi" w:cstheme="minorHAnsi"/>
        </w:rPr>
      </w:pPr>
      <w:r w:rsidRPr="00AF3D77">
        <w:rPr>
          <w:rFonts w:asciiTheme="minorHAnsi" w:hAnsiTheme="minorHAnsi" w:cstheme="minorBidi"/>
        </w:rPr>
        <w:t xml:space="preserve">Provide data included in this table MGB provided in responses to </w:t>
      </w:r>
      <w:proofErr w:type="spellStart"/>
      <w:r w:rsidRPr="00AF3D77">
        <w:rPr>
          <w:rFonts w:asciiTheme="minorHAnsi" w:hAnsiTheme="minorHAnsi" w:cstheme="minorBidi"/>
        </w:rPr>
        <w:t>DoN</w:t>
      </w:r>
      <w:proofErr w:type="spellEnd"/>
      <w:r w:rsidRPr="00AF3D77">
        <w:rPr>
          <w:rFonts w:asciiTheme="minorHAnsi" w:hAnsiTheme="minorHAnsi" w:cstheme="minorBidi"/>
        </w:rPr>
        <w:t xml:space="preserve"> questions (</w:t>
      </w:r>
      <w:hyperlink r:id="rId11" w:history="1">
        <w:r w:rsidRPr="00AF3D77">
          <w:rPr>
            <w:rStyle w:val="Hyperlink"/>
            <w:rFonts w:asciiTheme="minorHAnsi" w:hAnsiTheme="minorHAnsi" w:cstheme="minorBidi"/>
          </w:rPr>
          <w:t>https://www.mass.gov/doc/mass-general-brigham-incorporated-bwfh-responses-to-don-questions-1/download</w:t>
        </w:r>
      </w:hyperlink>
      <w:r w:rsidRPr="00AF3D77">
        <w:rPr>
          <w:rFonts w:asciiTheme="minorHAnsi" w:hAnsiTheme="minorHAnsi" w:cstheme="minorBidi"/>
        </w:rPr>
        <w:t>) Question 5e.</w:t>
      </w:r>
    </w:p>
    <w:p w14:paraId="22116EA9" w14:textId="77777777" w:rsidR="00E31723" w:rsidRDefault="00E31723" w:rsidP="00E31723">
      <w:pPr>
        <w:pStyle w:val="ListParagraph"/>
        <w:spacing w:line="257" w:lineRule="auto"/>
        <w:ind w:left="1440"/>
        <w:rPr>
          <w:rFonts w:asciiTheme="minorHAnsi" w:hAnsiTheme="minorHAnsi" w:cstheme="minorHAnsi"/>
        </w:rPr>
      </w:pPr>
      <w:r w:rsidRPr="006A7CCC">
        <w:rPr>
          <w:rFonts w:asciiTheme="minorHAnsi" w:hAnsiTheme="minorHAnsi" w:cstheme="minorHAnsi"/>
          <w:noProof/>
        </w:rPr>
        <w:drawing>
          <wp:inline distT="0" distB="0" distL="0" distR="0" wp14:anchorId="0A6ECBA5" wp14:editId="7252BF9C">
            <wp:extent cx="5177247" cy="1957388"/>
            <wp:effectExtent l="0" t="0" r="4445" b="5080"/>
            <wp:docPr id="6" name="Picture 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10;&#10;Description automatically generated"/>
                    <pic:cNvPicPr/>
                  </pic:nvPicPr>
                  <pic:blipFill>
                    <a:blip r:embed="rId12"/>
                    <a:stretch>
                      <a:fillRect/>
                    </a:stretch>
                  </pic:blipFill>
                  <pic:spPr>
                    <a:xfrm>
                      <a:off x="0" y="0"/>
                      <a:ext cx="5229031" cy="1976966"/>
                    </a:xfrm>
                    <a:prstGeom prst="rect">
                      <a:avLst/>
                    </a:prstGeom>
                  </pic:spPr>
                </pic:pic>
              </a:graphicData>
            </a:graphic>
          </wp:inline>
        </w:drawing>
      </w:r>
    </w:p>
    <w:p w14:paraId="11CF09E9" w14:textId="77777777" w:rsidR="00E31723" w:rsidRDefault="00E31723" w:rsidP="00E31723">
      <w:pPr>
        <w:pStyle w:val="ListParagraph"/>
        <w:spacing w:line="257" w:lineRule="auto"/>
        <w:ind w:left="1440"/>
        <w:rPr>
          <w:rFonts w:asciiTheme="minorHAnsi" w:hAnsiTheme="minorHAnsi" w:cstheme="minorBidi"/>
        </w:rPr>
      </w:pPr>
    </w:p>
    <w:p w14:paraId="4EBBF22E" w14:textId="77777777" w:rsidR="00E31723" w:rsidRPr="0062487B" w:rsidRDefault="00E31723" w:rsidP="00E31723">
      <w:pPr>
        <w:pStyle w:val="ListParagraph"/>
        <w:spacing w:line="257" w:lineRule="auto"/>
        <w:ind w:left="1440"/>
        <w:rPr>
          <w:rFonts w:asciiTheme="minorHAnsi" w:hAnsiTheme="minorHAnsi" w:cstheme="minorBidi"/>
        </w:rPr>
      </w:pPr>
    </w:p>
    <w:p w14:paraId="1B46B3F1" w14:textId="77777777" w:rsidR="00E31723" w:rsidRPr="00E31723" w:rsidRDefault="00E31723" w:rsidP="00E31723">
      <w:pPr>
        <w:pStyle w:val="ListParagraph"/>
        <w:numPr>
          <w:ilvl w:val="0"/>
          <w:numId w:val="37"/>
        </w:numPr>
        <w:spacing w:line="257" w:lineRule="auto"/>
        <w:rPr>
          <w:rFonts w:asciiTheme="minorHAnsi" w:hAnsiTheme="minorHAnsi" w:cstheme="minorHAnsi"/>
        </w:rPr>
      </w:pPr>
      <w:r w:rsidRPr="00E31723">
        <w:rPr>
          <w:rFonts w:asciiTheme="minorHAnsi" w:hAnsiTheme="minorHAnsi" w:cstheme="minorHAnsi"/>
        </w:rPr>
        <w:t xml:space="preserve">Endoscopy  </w:t>
      </w:r>
    </w:p>
    <w:p w14:paraId="0271E73E" w14:textId="782A54B0" w:rsidR="00E31723" w:rsidRPr="00E31723" w:rsidRDefault="00E31723" w:rsidP="00E31723">
      <w:pPr>
        <w:pStyle w:val="ListParagraph"/>
        <w:numPr>
          <w:ilvl w:val="0"/>
          <w:numId w:val="40"/>
        </w:numPr>
        <w:spacing w:line="257" w:lineRule="auto"/>
        <w:rPr>
          <w:rFonts w:asciiTheme="minorHAnsi" w:hAnsiTheme="minorHAnsi" w:cstheme="minorHAnsi"/>
        </w:rPr>
      </w:pPr>
      <w:r w:rsidRPr="00E31723">
        <w:rPr>
          <w:rFonts w:asciiTheme="minorHAnsi" w:hAnsiTheme="minorHAnsi" w:cstheme="minorHAnsi"/>
        </w:rPr>
        <w:t>The total number of advanced endoscopy procedures performed at BWFH (advanced endoscopy procedures defined as Endoscopic Retrograde Cholangiopancreatography (ERCP) and Endoscopic ultrasound (EUS)).</w:t>
      </w:r>
    </w:p>
    <w:p w14:paraId="66C0DBF6" w14:textId="77777777" w:rsidR="00E31723" w:rsidRPr="00E31723" w:rsidRDefault="00E31723" w:rsidP="00E31723">
      <w:pPr>
        <w:pStyle w:val="ListParagraph"/>
        <w:numPr>
          <w:ilvl w:val="0"/>
          <w:numId w:val="40"/>
        </w:numPr>
        <w:spacing w:line="257" w:lineRule="auto"/>
        <w:rPr>
          <w:rFonts w:asciiTheme="minorHAnsi" w:hAnsiTheme="minorHAnsi" w:cstheme="minorHAnsi"/>
        </w:rPr>
      </w:pPr>
      <w:r w:rsidRPr="00E31723">
        <w:rPr>
          <w:rFonts w:asciiTheme="minorHAnsi" w:hAnsiTheme="minorHAnsi" w:cstheme="minorHAnsi"/>
        </w:rPr>
        <w:t>The number of patients transferred to BWH from BWFH for advanced endoscopy procedures and top reasons for transfer.</w:t>
      </w:r>
    </w:p>
    <w:p w14:paraId="5E8DBD9D" w14:textId="77777777" w:rsidR="00E31723" w:rsidRPr="00E31723" w:rsidRDefault="00E31723" w:rsidP="00E31723">
      <w:pPr>
        <w:pStyle w:val="ListParagraph"/>
        <w:spacing w:line="257" w:lineRule="auto"/>
        <w:rPr>
          <w:rFonts w:asciiTheme="minorHAnsi" w:hAnsiTheme="minorHAnsi" w:cstheme="minorHAnsi"/>
        </w:rPr>
      </w:pPr>
    </w:p>
    <w:p w14:paraId="7EB021EC" w14:textId="77777777" w:rsidR="00E31723" w:rsidRPr="00E31723" w:rsidRDefault="00E31723" w:rsidP="00E31723">
      <w:pPr>
        <w:pStyle w:val="ListParagraph"/>
        <w:numPr>
          <w:ilvl w:val="0"/>
          <w:numId w:val="37"/>
        </w:numPr>
        <w:spacing w:line="257" w:lineRule="auto"/>
        <w:rPr>
          <w:rFonts w:asciiTheme="minorHAnsi" w:hAnsiTheme="minorHAnsi" w:cstheme="minorHAnsi"/>
        </w:rPr>
      </w:pPr>
      <w:r w:rsidRPr="00E31723">
        <w:rPr>
          <w:rFonts w:asciiTheme="minorHAnsi" w:hAnsiTheme="minorHAnsi" w:cstheme="minorHAnsi"/>
        </w:rPr>
        <w:t>Observation Units</w:t>
      </w:r>
    </w:p>
    <w:p w14:paraId="46125E88" w14:textId="2EDF6CE6" w:rsidR="00E31723" w:rsidRPr="00E94C54" w:rsidRDefault="00BC4829" w:rsidP="00E31723">
      <w:pPr>
        <w:pStyle w:val="ListParagraph"/>
        <w:numPr>
          <w:ilvl w:val="0"/>
          <w:numId w:val="41"/>
        </w:numPr>
        <w:spacing w:line="257" w:lineRule="auto"/>
        <w:rPr>
          <w:rFonts w:asciiTheme="minorHAnsi" w:hAnsiTheme="minorHAnsi" w:cstheme="minorHAnsi"/>
        </w:rPr>
      </w:pPr>
      <w:r w:rsidRPr="00E94C54">
        <w:rPr>
          <w:rFonts w:asciiTheme="minorHAnsi" w:hAnsiTheme="minorHAnsi" w:cstheme="minorHAnsi"/>
        </w:rPr>
        <w:t>The total of post-procedure patients receiving services in the observation unit.</w:t>
      </w:r>
    </w:p>
    <w:p w14:paraId="49C174BA" w14:textId="69D99BB5" w:rsidR="00E31723" w:rsidRPr="00E31723" w:rsidRDefault="00E31723" w:rsidP="00E31723">
      <w:pPr>
        <w:pStyle w:val="ListParagraph"/>
        <w:numPr>
          <w:ilvl w:val="0"/>
          <w:numId w:val="41"/>
        </w:numPr>
        <w:spacing w:line="257" w:lineRule="auto"/>
        <w:rPr>
          <w:rFonts w:asciiTheme="minorHAnsi" w:hAnsiTheme="minorHAnsi" w:cstheme="minorHAnsi"/>
        </w:rPr>
      </w:pPr>
      <w:r w:rsidRPr="00E31723">
        <w:rPr>
          <w:rFonts w:asciiTheme="minorHAnsi" w:hAnsiTheme="minorHAnsi" w:cstheme="minorHAnsi"/>
        </w:rPr>
        <w:t>The occupancy rates of the</w:t>
      </w:r>
      <w:r w:rsidR="00BC4829">
        <w:rPr>
          <w:rFonts w:asciiTheme="minorHAnsi" w:hAnsiTheme="minorHAnsi" w:cstheme="minorHAnsi"/>
        </w:rPr>
        <w:t>se</w:t>
      </w:r>
      <w:r w:rsidRPr="00E31723">
        <w:rPr>
          <w:rFonts w:asciiTheme="minorHAnsi" w:hAnsiTheme="minorHAnsi" w:cstheme="minorHAnsi"/>
        </w:rPr>
        <w:t xml:space="preserve"> observation beds at BWFH (occupancy rates calculated as number of patients observed over a given </w:t>
      </w:r>
      <w:proofErr w:type="gramStart"/>
      <w:r w:rsidRPr="00E31723">
        <w:rPr>
          <w:rFonts w:asciiTheme="minorHAnsi" w:hAnsiTheme="minorHAnsi" w:cstheme="minorHAnsi"/>
        </w:rPr>
        <w:t>period of time</w:t>
      </w:r>
      <w:proofErr w:type="gramEnd"/>
      <w:r w:rsidRPr="00E31723">
        <w:rPr>
          <w:rFonts w:asciiTheme="minorHAnsi" w:hAnsiTheme="minorHAnsi" w:cstheme="minorHAnsi"/>
        </w:rPr>
        <w:t xml:space="preserve"> to the total number of beds available for that same period of time).</w:t>
      </w:r>
    </w:p>
    <w:p w14:paraId="1DA7DDF0" w14:textId="77777777" w:rsidR="00E31723" w:rsidRPr="00E31723" w:rsidRDefault="00E31723" w:rsidP="00E31723">
      <w:pPr>
        <w:pStyle w:val="ListParagraph"/>
        <w:numPr>
          <w:ilvl w:val="0"/>
          <w:numId w:val="37"/>
        </w:numPr>
        <w:spacing w:line="257" w:lineRule="auto"/>
        <w:rPr>
          <w:rFonts w:asciiTheme="minorHAnsi" w:hAnsiTheme="minorHAnsi" w:cstheme="minorHAnsi"/>
        </w:rPr>
      </w:pPr>
      <w:r w:rsidRPr="00E31723">
        <w:rPr>
          <w:rFonts w:asciiTheme="minorHAnsi" w:hAnsiTheme="minorHAnsi" w:cstheme="minorHAnsi"/>
        </w:rPr>
        <w:t>Imaging</w:t>
      </w:r>
    </w:p>
    <w:p w14:paraId="4BF9F5E9" w14:textId="77777777" w:rsidR="00E31723" w:rsidRPr="00E31723" w:rsidRDefault="00E31723" w:rsidP="00E31723">
      <w:pPr>
        <w:pStyle w:val="ListParagraph"/>
        <w:numPr>
          <w:ilvl w:val="0"/>
          <w:numId w:val="42"/>
        </w:numPr>
        <w:spacing w:line="257" w:lineRule="auto"/>
        <w:rPr>
          <w:rFonts w:asciiTheme="minorHAnsi" w:hAnsiTheme="minorHAnsi" w:cstheme="minorHAnsi"/>
        </w:rPr>
      </w:pPr>
      <w:r w:rsidRPr="00E31723">
        <w:rPr>
          <w:rFonts w:asciiTheme="minorHAnsi" w:hAnsiTheme="minorHAnsi" w:cstheme="minorHAnsi"/>
        </w:rPr>
        <w:t>Upon implementation of the MRI, provide baseline data on capacity (scan volume) and inpatient and outpatient wait times (for the proposed measures in Attachment 1).</w:t>
      </w:r>
    </w:p>
    <w:p w14:paraId="4F5BCE8D" w14:textId="0AFFD635" w:rsidR="00E31723" w:rsidRPr="00E31723" w:rsidRDefault="00E31723" w:rsidP="00E31723">
      <w:pPr>
        <w:pStyle w:val="ListParagraph"/>
        <w:numPr>
          <w:ilvl w:val="0"/>
          <w:numId w:val="42"/>
        </w:numPr>
        <w:spacing w:line="257" w:lineRule="auto"/>
        <w:rPr>
          <w:rFonts w:asciiTheme="minorHAnsi" w:hAnsiTheme="minorHAnsi" w:cstheme="minorHAnsi"/>
        </w:rPr>
      </w:pPr>
      <w:r w:rsidRPr="00E31723">
        <w:rPr>
          <w:rFonts w:asciiTheme="minorHAnsi" w:hAnsiTheme="minorHAnsi" w:cstheme="minorHAnsi"/>
        </w:rPr>
        <w:t xml:space="preserve">The MRI </w:t>
      </w:r>
      <w:r w:rsidR="00BC4829">
        <w:rPr>
          <w:rFonts w:asciiTheme="minorHAnsi" w:hAnsiTheme="minorHAnsi" w:cstheme="minorHAnsi"/>
        </w:rPr>
        <w:t>utilization</w:t>
      </w:r>
      <w:r w:rsidR="00BC4829" w:rsidRPr="00E31723">
        <w:rPr>
          <w:rFonts w:asciiTheme="minorHAnsi" w:hAnsiTheme="minorHAnsi" w:cstheme="minorHAnsi"/>
        </w:rPr>
        <w:t xml:space="preserve"> </w:t>
      </w:r>
    </w:p>
    <w:p w14:paraId="100FC813" w14:textId="77777777" w:rsidR="00E31723" w:rsidRPr="00E31723" w:rsidRDefault="00E31723" w:rsidP="00E31723">
      <w:pPr>
        <w:pStyle w:val="ListParagraph"/>
        <w:numPr>
          <w:ilvl w:val="2"/>
          <w:numId w:val="42"/>
        </w:numPr>
        <w:spacing w:line="257" w:lineRule="auto"/>
        <w:rPr>
          <w:rFonts w:asciiTheme="minorHAnsi" w:hAnsiTheme="minorHAnsi" w:cstheme="minorHAnsi"/>
        </w:rPr>
      </w:pPr>
      <w:r w:rsidRPr="00E31723">
        <w:rPr>
          <w:rFonts w:asciiTheme="minorHAnsi" w:hAnsiTheme="minorHAnsi" w:cstheme="minorHAnsi"/>
        </w:rPr>
        <w:t>for ED</w:t>
      </w:r>
    </w:p>
    <w:p w14:paraId="487B3401" w14:textId="77777777" w:rsidR="00E31723" w:rsidRPr="00E31723" w:rsidRDefault="00E31723" w:rsidP="00E31723">
      <w:pPr>
        <w:pStyle w:val="ListParagraph"/>
        <w:numPr>
          <w:ilvl w:val="2"/>
          <w:numId w:val="42"/>
        </w:numPr>
        <w:spacing w:line="257" w:lineRule="auto"/>
        <w:rPr>
          <w:rFonts w:asciiTheme="minorHAnsi" w:hAnsiTheme="minorHAnsi" w:cstheme="minorHAnsi"/>
        </w:rPr>
      </w:pPr>
      <w:r w:rsidRPr="00E31723">
        <w:rPr>
          <w:rFonts w:asciiTheme="minorHAnsi" w:hAnsiTheme="minorHAnsi" w:cstheme="minorHAnsi"/>
        </w:rPr>
        <w:t xml:space="preserve">inpatient </w:t>
      </w:r>
    </w:p>
    <w:p w14:paraId="3986DF8F" w14:textId="77777777" w:rsidR="00E31723" w:rsidRPr="00E31723" w:rsidRDefault="00E31723" w:rsidP="00E31723">
      <w:pPr>
        <w:pStyle w:val="ListParagraph"/>
        <w:numPr>
          <w:ilvl w:val="2"/>
          <w:numId w:val="42"/>
        </w:numPr>
        <w:spacing w:line="257" w:lineRule="auto"/>
        <w:rPr>
          <w:rFonts w:asciiTheme="minorHAnsi" w:hAnsiTheme="minorHAnsi" w:cstheme="minorHAnsi"/>
        </w:rPr>
      </w:pPr>
      <w:r w:rsidRPr="00E31723">
        <w:rPr>
          <w:rFonts w:asciiTheme="minorHAnsi" w:hAnsiTheme="minorHAnsi" w:cstheme="minorHAnsi"/>
        </w:rPr>
        <w:t xml:space="preserve">outpatient </w:t>
      </w:r>
    </w:p>
    <w:p w14:paraId="28F6787C" w14:textId="77777777" w:rsidR="00E31723" w:rsidRPr="00E31723" w:rsidRDefault="00E31723" w:rsidP="00E31723">
      <w:pPr>
        <w:pStyle w:val="ListParagraph"/>
        <w:numPr>
          <w:ilvl w:val="0"/>
          <w:numId w:val="43"/>
        </w:numPr>
        <w:spacing w:line="257" w:lineRule="auto"/>
        <w:rPr>
          <w:rFonts w:asciiTheme="minorHAnsi" w:hAnsiTheme="minorHAnsi" w:cstheme="minorHAnsi"/>
        </w:rPr>
      </w:pPr>
      <w:r w:rsidRPr="00E31723">
        <w:rPr>
          <w:rFonts w:asciiTheme="minorHAnsi" w:hAnsiTheme="minorHAnsi" w:cstheme="minorHAnsi"/>
        </w:rPr>
        <w:t>wait times (average and median)</w:t>
      </w:r>
    </w:p>
    <w:p w14:paraId="1278E40C" w14:textId="77777777" w:rsidR="00E31723" w:rsidRPr="00E31723" w:rsidRDefault="00E31723" w:rsidP="00E31723">
      <w:pPr>
        <w:pStyle w:val="ListParagraph"/>
        <w:numPr>
          <w:ilvl w:val="2"/>
          <w:numId w:val="43"/>
        </w:numPr>
        <w:spacing w:line="257" w:lineRule="auto"/>
        <w:rPr>
          <w:rFonts w:asciiTheme="minorHAnsi" w:hAnsiTheme="minorHAnsi" w:cstheme="minorHAnsi"/>
        </w:rPr>
      </w:pPr>
      <w:r w:rsidRPr="00E31723">
        <w:rPr>
          <w:rFonts w:asciiTheme="minorHAnsi" w:hAnsiTheme="minorHAnsi" w:cstheme="minorHAnsi"/>
        </w:rPr>
        <w:t>for ED</w:t>
      </w:r>
    </w:p>
    <w:p w14:paraId="42D16046" w14:textId="77777777" w:rsidR="00E31723" w:rsidRPr="00E31723" w:rsidRDefault="00E31723" w:rsidP="00E31723">
      <w:pPr>
        <w:pStyle w:val="ListParagraph"/>
        <w:numPr>
          <w:ilvl w:val="2"/>
          <w:numId w:val="43"/>
        </w:numPr>
        <w:spacing w:line="257" w:lineRule="auto"/>
        <w:rPr>
          <w:rFonts w:asciiTheme="minorHAnsi" w:hAnsiTheme="minorHAnsi" w:cstheme="minorHAnsi"/>
        </w:rPr>
      </w:pPr>
      <w:r w:rsidRPr="00E31723">
        <w:rPr>
          <w:rFonts w:asciiTheme="minorHAnsi" w:hAnsiTheme="minorHAnsi" w:cstheme="minorHAnsi"/>
        </w:rPr>
        <w:t xml:space="preserve">inpatient </w:t>
      </w:r>
    </w:p>
    <w:p w14:paraId="756734F1" w14:textId="77777777" w:rsidR="00E31723" w:rsidRPr="00E31723" w:rsidRDefault="00E31723" w:rsidP="00E31723">
      <w:pPr>
        <w:pStyle w:val="ListParagraph"/>
        <w:numPr>
          <w:ilvl w:val="2"/>
          <w:numId w:val="43"/>
        </w:numPr>
        <w:spacing w:line="257" w:lineRule="auto"/>
        <w:rPr>
          <w:rFonts w:asciiTheme="minorHAnsi" w:hAnsiTheme="minorHAnsi" w:cstheme="minorHAnsi"/>
        </w:rPr>
      </w:pPr>
      <w:r w:rsidRPr="00E31723">
        <w:rPr>
          <w:rFonts w:asciiTheme="minorHAnsi" w:hAnsiTheme="minorHAnsi" w:cstheme="minorHAnsi"/>
        </w:rPr>
        <w:t xml:space="preserve">outpatient </w:t>
      </w:r>
    </w:p>
    <w:p w14:paraId="136707C0" w14:textId="39E8F47B" w:rsidR="00E31723" w:rsidRPr="00E31723" w:rsidRDefault="00E31723" w:rsidP="0042133D">
      <w:pPr>
        <w:pStyle w:val="ListParagraph"/>
        <w:spacing w:line="257" w:lineRule="auto"/>
        <w:ind w:left="2160"/>
        <w:rPr>
          <w:rFonts w:asciiTheme="minorHAnsi" w:hAnsiTheme="minorHAnsi" w:cstheme="minorHAnsi"/>
        </w:rPr>
      </w:pPr>
    </w:p>
    <w:p w14:paraId="2E52E459" w14:textId="550CD2AA" w:rsidR="00E31723" w:rsidRPr="00E31723" w:rsidRDefault="00E31723" w:rsidP="00E31723">
      <w:pPr>
        <w:spacing w:line="257" w:lineRule="auto"/>
        <w:ind w:left="360"/>
        <w:rPr>
          <w:rFonts w:asciiTheme="minorHAnsi" w:hAnsiTheme="minorHAnsi" w:cstheme="minorHAnsi"/>
        </w:rPr>
      </w:pPr>
      <w:r w:rsidRPr="00E31723">
        <w:rPr>
          <w:rFonts w:asciiTheme="minorHAnsi" w:hAnsiTheme="minorHAnsi" w:cstheme="minorHAnsi"/>
        </w:rPr>
        <w:t>Any of the following will be</w:t>
      </w:r>
      <w:r>
        <w:rPr>
          <w:rFonts w:asciiTheme="minorHAnsi" w:hAnsiTheme="minorHAnsi" w:cstheme="minorHAnsi"/>
        </w:rPr>
        <w:t xml:space="preserve"> </w:t>
      </w:r>
      <w:r w:rsidRPr="00E31723">
        <w:rPr>
          <w:rFonts w:asciiTheme="minorHAnsi" w:hAnsiTheme="minorHAnsi" w:cstheme="minorHAnsi"/>
        </w:rPr>
        <w:t>Referral Indicators</w:t>
      </w:r>
      <w:r w:rsidR="00FB40D0">
        <w:rPr>
          <w:rFonts w:asciiTheme="minorHAnsi" w:hAnsiTheme="minorHAnsi" w:cstheme="minorHAnsi"/>
        </w:rPr>
        <w:t xml:space="preserve"> related to Condition 2</w:t>
      </w:r>
      <w:r w:rsidRPr="00E31723">
        <w:rPr>
          <w:rFonts w:asciiTheme="minorHAnsi" w:hAnsiTheme="minorHAnsi" w:cstheme="minorHAnsi"/>
        </w:rPr>
        <w:t>:</w:t>
      </w:r>
    </w:p>
    <w:p w14:paraId="3D0EF3C3" w14:textId="77721F8F" w:rsidR="00E31723" w:rsidRPr="00E31723" w:rsidRDefault="00E31723" w:rsidP="00E31723">
      <w:pPr>
        <w:pStyle w:val="ListParagraph"/>
        <w:numPr>
          <w:ilvl w:val="0"/>
          <w:numId w:val="39"/>
        </w:numPr>
        <w:spacing w:after="160" w:line="257" w:lineRule="auto"/>
        <w:rPr>
          <w:rFonts w:asciiTheme="minorHAnsi" w:hAnsiTheme="minorHAnsi" w:cstheme="minorHAnsi"/>
        </w:rPr>
      </w:pPr>
      <w:r w:rsidRPr="00E31723">
        <w:rPr>
          <w:rFonts w:asciiTheme="minorHAnsi" w:hAnsiTheme="minorHAnsi" w:cstheme="minorHAnsi"/>
        </w:rPr>
        <w:lastRenderedPageBreak/>
        <w:t xml:space="preserve">A material </w:t>
      </w:r>
      <w:proofErr w:type="gramStart"/>
      <w:r w:rsidRPr="00E31723">
        <w:rPr>
          <w:rFonts w:asciiTheme="minorHAnsi" w:hAnsiTheme="minorHAnsi" w:cstheme="minorHAnsi"/>
        </w:rPr>
        <w:t>increase</w:t>
      </w:r>
      <w:proofErr w:type="gramEnd"/>
      <w:r w:rsidRPr="00E31723">
        <w:rPr>
          <w:rFonts w:asciiTheme="minorHAnsi" w:hAnsiTheme="minorHAnsi" w:cstheme="minorHAnsi"/>
        </w:rPr>
        <w:t xml:space="preserve"> in 1f, 1g, </w:t>
      </w:r>
      <w:r w:rsidR="00B14C4B">
        <w:rPr>
          <w:rFonts w:asciiTheme="minorHAnsi" w:hAnsiTheme="minorHAnsi" w:cstheme="minorHAnsi"/>
        </w:rPr>
        <w:t>2b, 4c</w:t>
      </w:r>
    </w:p>
    <w:p w14:paraId="01AA59FC" w14:textId="3591C356" w:rsidR="00E31723" w:rsidRPr="00E31723" w:rsidRDefault="00E31723" w:rsidP="00E31723">
      <w:pPr>
        <w:pStyle w:val="ListParagraph"/>
        <w:numPr>
          <w:ilvl w:val="0"/>
          <w:numId w:val="39"/>
        </w:numPr>
        <w:spacing w:after="160" w:line="257" w:lineRule="auto"/>
        <w:rPr>
          <w:rFonts w:asciiTheme="minorHAnsi" w:hAnsiTheme="minorHAnsi" w:cstheme="minorHAnsi"/>
        </w:rPr>
      </w:pPr>
      <w:r w:rsidRPr="00E31723">
        <w:rPr>
          <w:rFonts w:asciiTheme="minorHAnsi" w:hAnsiTheme="minorHAnsi" w:cstheme="minorHAnsi"/>
        </w:rPr>
        <w:t xml:space="preserve">A material </w:t>
      </w:r>
      <w:proofErr w:type="gramStart"/>
      <w:r w:rsidRPr="00E31723">
        <w:rPr>
          <w:rFonts w:asciiTheme="minorHAnsi" w:hAnsiTheme="minorHAnsi" w:cstheme="minorHAnsi"/>
        </w:rPr>
        <w:t>decrease</w:t>
      </w:r>
      <w:proofErr w:type="gramEnd"/>
      <w:r w:rsidRPr="00E31723">
        <w:rPr>
          <w:rFonts w:asciiTheme="minorHAnsi" w:hAnsiTheme="minorHAnsi" w:cstheme="minorHAnsi"/>
        </w:rPr>
        <w:t xml:space="preserve"> in 1a, 1b, 1c, 1d, 1e, 1h, </w:t>
      </w:r>
      <w:r w:rsidR="00B14C4B">
        <w:rPr>
          <w:rFonts w:asciiTheme="minorHAnsi" w:hAnsiTheme="minorHAnsi" w:cstheme="minorHAnsi"/>
        </w:rPr>
        <w:t>2a, 3a, 3b</w:t>
      </w:r>
    </w:p>
    <w:p w14:paraId="7F4AB95D" w14:textId="77777777" w:rsidR="00E31723" w:rsidRPr="00E31723" w:rsidRDefault="00E31723" w:rsidP="00E31723">
      <w:pPr>
        <w:pStyle w:val="ListParagraph"/>
        <w:spacing w:line="257" w:lineRule="auto"/>
        <w:ind w:left="1440"/>
        <w:rPr>
          <w:rFonts w:asciiTheme="minorHAnsi" w:hAnsiTheme="minorHAnsi" w:cstheme="minorHAnsi"/>
        </w:rPr>
      </w:pPr>
    </w:p>
    <w:p w14:paraId="70B6140D" w14:textId="77777777" w:rsidR="00E31723" w:rsidRPr="00E31723" w:rsidRDefault="00E31723" w:rsidP="00E31723">
      <w:pPr>
        <w:spacing w:line="257" w:lineRule="auto"/>
        <w:contextualSpacing/>
        <w:rPr>
          <w:rFonts w:asciiTheme="minorHAnsi" w:hAnsiTheme="minorHAnsi" w:cstheme="minorHAnsi"/>
        </w:rPr>
      </w:pPr>
      <w:r w:rsidRPr="00E31723">
        <w:rPr>
          <w:rFonts w:asciiTheme="minorHAnsi" w:hAnsiTheme="minorHAnsi" w:cstheme="minorHAnsi"/>
        </w:rPr>
        <w:t xml:space="preserve">If the </w:t>
      </w:r>
      <w:proofErr w:type="spellStart"/>
      <w:r w:rsidRPr="00E31723">
        <w:rPr>
          <w:rFonts w:asciiTheme="minorHAnsi" w:hAnsiTheme="minorHAnsi" w:cstheme="minorHAnsi"/>
        </w:rPr>
        <w:t>DoN</w:t>
      </w:r>
      <w:proofErr w:type="spellEnd"/>
      <w:r w:rsidRPr="00E31723">
        <w:rPr>
          <w:rFonts w:asciiTheme="minorHAnsi" w:hAnsiTheme="minorHAnsi" w:cstheme="minorHAnsi"/>
        </w:rPr>
        <w:t xml:space="preserve"> Program finds any one or more of the Referral Indicators, the matter shall be referred to the Public Health Council (PHC) for review to determine whether MGB is in violation of one or more of the conditions and thus out of compliance with the terms of this Notice of </w:t>
      </w:r>
      <w:proofErr w:type="spellStart"/>
      <w:r w:rsidRPr="00E31723">
        <w:rPr>
          <w:rFonts w:asciiTheme="minorHAnsi" w:hAnsiTheme="minorHAnsi" w:cstheme="minorHAnsi"/>
        </w:rPr>
        <w:t>DoN</w:t>
      </w:r>
      <w:proofErr w:type="spellEnd"/>
      <w:r w:rsidRPr="00E31723">
        <w:rPr>
          <w:rFonts w:asciiTheme="minorHAnsi" w:hAnsiTheme="minorHAnsi" w:cstheme="minorHAnsi"/>
        </w:rPr>
        <w:t xml:space="preserve">.  </w:t>
      </w:r>
    </w:p>
    <w:p w14:paraId="142C386D" w14:textId="77777777" w:rsidR="00E31723" w:rsidRPr="00E31723" w:rsidRDefault="00E31723" w:rsidP="00E31723">
      <w:pPr>
        <w:spacing w:line="257" w:lineRule="auto"/>
        <w:contextualSpacing/>
        <w:rPr>
          <w:rFonts w:asciiTheme="minorHAnsi" w:hAnsiTheme="minorHAnsi" w:cstheme="minorHAnsi"/>
        </w:rPr>
      </w:pPr>
    </w:p>
    <w:p w14:paraId="06E7F97E" w14:textId="7F7D7141" w:rsidR="000E4B6A" w:rsidRPr="00E31723" w:rsidRDefault="00E31723" w:rsidP="00E31723">
      <w:pPr>
        <w:spacing w:line="257" w:lineRule="auto"/>
        <w:contextualSpacing/>
        <w:rPr>
          <w:rFonts w:asciiTheme="minorHAnsi" w:hAnsiTheme="minorHAnsi" w:cstheme="minorHAnsi"/>
        </w:rPr>
      </w:pPr>
      <w:r w:rsidRPr="00E31723">
        <w:rPr>
          <w:rFonts w:asciiTheme="minorHAnsi" w:hAnsiTheme="minorHAnsi" w:cstheme="minorHAnsi"/>
        </w:rPr>
        <w:t>Upon referral to the PHC based upon any one or more of the Referral Indicators, MGB shall have an opportunity to show cause why the PHC shall not find one or more of the Referral</w:t>
      </w:r>
      <w:r w:rsidR="00F8794C" w:rsidRPr="00E31723">
        <w:rPr>
          <w:rFonts w:asciiTheme="minorHAnsi" w:hAnsiTheme="minorHAnsi" w:cstheme="minorHAnsi"/>
        </w:rPr>
        <w:t xml:space="preserve"> </w:t>
      </w:r>
      <w:bookmarkEnd w:id="74"/>
    </w:p>
    <w:bookmarkEnd w:id="75"/>
    <w:p w14:paraId="25B65322" w14:textId="77777777" w:rsidR="00C11F8F" w:rsidRDefault="00C11F8F" w:rsidP="17FA2F59">
      <w:pPr>
        <w:pStyle w:val="Heading1"/>
        <w:spacing w:before="0" w:line="240" w:lineRule="auto"/>
        <w:rPr>
          <w:rFonts w:asciiTheme="minorHAnsi" w:eastAsia="Times New Roman" w:hAnsiTheme="minorHAnsi" w:cstheme="minorBidi"/>
          <w:color w:val="auto"/>
          <w:sz w:val="24"/>
          <w:szCs w:val="24"/>
        </w:rPr>
      </w:pPr>
    </w:p>
    <w:p w14:paraId="3B9D84E2" w14:textId="77777777" w:rsidR="00C11F8F" w:rsidRDefault="00C11F8F" w:rsidP="17FA2F59">
      <w:pPr>
        <w:pStyle w:val="Heading1"/>
        <w:spacing w:before="0" w:line="240" w:lineRule="auto"/>
        <w:rPr>
          <w:rFonts w:asciiTheme="minorHAnsi" w:eastAsia="Times New Roman" w:hAnsiTheme="minorHAnsi" w:cstheme="minorBidi"/>
          <w:color w:val="auto"/>
          <w:sz w:val="24"/>
          <w:szCs w:val="24"/>
        </w:rPr>
      </w:pPr>
    </w:p>
    <w:p w14:paraId="7ED5F555" w14:textId="77777777" w:rsidR="00C11F8F" w:rsidRDefault="00C11F8F">
      <w:pPr>
        <w:spacing w:after="200" w:line="276" w:lineRule="auto"/>
        <w:rPr>
          <w:rFonts w:asciiTheme="minorHAnsi" w:hAnsiTheme="minorHAnsi" w:cstheme="minorBidi"/>
          <w:b/>
          <w:bCs/>
        </w:rPr>
      </w:pPr>
      <w:r>
        <w:rPr>
          <w:rFonts w:asciiTheme="minorHAnsi" w:hAnsiTheme="minorHAnsi" w:cstheme="minorBidi"/>
        </w:rPr>
        <w:br w:type="page"/>
      </w:r>
    </w:p>
    <w:p w14:paraId="3D81A5E2" w14:textId="24FFA7D2" w:rsidR="000E4B6A" w:rsidRPr="0062487B" w:rsidRDefault="430594C8" w:rsidP="17FA2F59">
      <w:pPr>
        <w:pStyle w:val="Heading1"/>
        <w:spacing w:before="0" w:line="240" w:lineRule="auto"/>
        <w:rPr>
          <w:rFonts w:asciiTheme="minorHAnsi" w:eastAsia="Times New Roman" w:hAnsiTheme="minorHAnsi" w:cstheme="minorBidi"/>
          <w:color w:val="auto"/>
          <w:sz w:val="24"/>
          <w:szCs w:val="24"/>
        </w:rPr>
      </w:pPr>
      <w:bookmarkStart w:id="76" w:name="_Toc99645445"/>
      <w:r w:rsidRPr="17FA2F59">
        <w:rPr>
          <w:rFonts w:asciiTheme="minorHAnsi" w:eastAsia="Times New Roman" w:hAnsiTheme="minorHAnsi" w:cstheme="minorBidi"/>
          <w:color w:val="auto"/>
          <w:sz w:val="24"/>
          <w:szCs w:val="24"/>
        </w:rPr>
        <w:lastRenderedPageBreak/>
        <w:t>Attachment 1: Measures for Annual Reporting</w:t>
      </w:r>
      <w:bookmarkEnd w:id="76"/>
    </w:p>
    <w:p w14:paraId="2C97B674" w14:textId="3DCE03C1" w:rsidR="000E4B6A" w:rsidRPr="0062487B" w:rsidRDefault="000E4B6A" w:rsidP="000E4B6A">
      <w:pPr>
        <w:rPr>
          <w:rFonts w:asciiTheme="minorHAnsi" w:hAnsiTheme="minorHAnsi" w:cstheme="minorHAnsi"/>
        </w:rPr>
      </w:pPr>
      <w:r w:rsidRPr="0062487B">
        <w:rPr>
          <w:rFonts w:asciiTheme="minorHAnsi" w:hAnsiTheme="minorHAnsi" w:cstheme="minorHAnsi"/>
        </w:rPr>
        <w:t>The following measures were suggested by the Applicant.</w:t>
      </w:r>
      <w:r w:rsidR="00CB28A1" w:rsidRPr="0062487B">
        <w:rPr>
          <w:rFonts w:asciiTheme="minorHAnsi" w:hAnsiTheme="minorHAnsi" w:cstheme="minorHAnsi"/>
        </w:rPr>
        <w:t xml:space="preserve"> </w:t>
      </w:r>
      <w:r w:rsidR="00DA62D8" w:rsidRPr="0062487B">
        <w:rPr>
          <w:rFonts w:asciiTheme="minorHAnsi" w:hAnsiTheme="minorHAnsi" w:cstheme="minorHAnsi"/>
        </w:rPr>
        <w:t xml:space="preserve">These will be provided </w:t>
      </w:r>
      <w:r w:rsidR="000F2E72" w:rsidRPr="0062487B">
        <w:rPr>
          <w:rFonts w:asciiTheme="minorHAnsi" w:hAnsiTheme="minorHAnsi" w:cstheme="minorHAnsi"/>
        </w:rPr>
        <w:t xml:space="preserve">to </w:t>
      </w:r>
      <w:proofErr w:type="spellStart"/>
      <w:r w:rsidR="000F2E72" w:rsidRPr="0062487B">
        <w:rPr>
          <w:rFonts w:asciiTheme="minorHAnsi" w:hAnsiTheme="minorHAnsi" w:cstheme="minorHAnsi"/>
        </w:rPr>
        <w:t>DoN</w:t>
      </w:r>
      <w:proofErr w:type="spellEnd"/>
      <w:r w:rsidR="000F2E72" w:rsidRPr="0062487B">
        <w:rPr>
          <w:rFonts w:asciiTheme="minorHAnsi" w:hAnsiTheme="minorHAnsi" w:cstheme="minorHAnsi"/>
        </w:rPr>
        <w:t xml:space="preserve"> program staff in its annual report required by 105 CMR 100.310(A)(12) </w:t>
      </w:r>
      <w:r w:rsidR="00DA62D8" w:rsidRPr="0062487B">
        <w:rPr>
          <w:rFonts w:asciiTheme="minorHAnsi" w:hAnsiTheme="minorHAnsi" w:cstheme="minorHAnsi"/>
        </w:rPr>
        <w:t xml:space="preserve">in addition to the program metrics related to conditions above. </w:t>
      </w:r>
      <w:r w:rsidR="00CB28A1" w:rsidRPr="0062487B">
        <w:rPr>
          <w:rFonts w:asciiTheme="minorHAnsi" w:hAnsiTheme="minorHAnsi" w:cstheme="minorHAnsi"/>
        </w:rPr>
        <w:t>For all measures, the Applicant will provide to the program a baseline upon implementation of each project component, along with updated projections, which the program will use for comparison with the annual data submitted.</w:t>
      </w:r>
    </w:p>
    <w:p w14:paraId="3813516F" w14:textId="5827D5D5" w:rsidR="000E4B6A" w:rsidRPr="0062487B" w:rsidRDefault="000E4B6A" w:rsidP="000E4B6A">
      <w:pPr>
        <w:rPr>
          <w:rFonts w:asciiTheme="minorHAnsi" w:hAnsiTheme="minorHAnsi" w:cstheme="minorHAnsi"/>
        </w:rPr>
      </w:pPr>
    </w:p>
    <w:p w14:paraId="0B43234D" w14:textId="6FAF5133" w:rsidR="000E4B6A" w:rsidRPr="0062487B" w:rsidRDefault="000E4B6A" w:rsidP="000E4B6A">
      <w:pPr>
        <w:rPr>
          <w:rFonts w:asciiTheme="minorHAnsi" w:hAnsiTheme="minorHAnsi" w:cstheme="minorHAnsi"/>
          <w:u w:val="single"/>
        </w:rPr>
      </w:pPr>
      <w:r w:rsidRPr="0062487B">
        <w:rPr>
          <w:rFonts w:asciiTheme="minorHAnsi" w:hAnsiTheme="minorHAnsi" w:cstheme="minorHAnsi"/>
          <w:u w:val="single"/>
        </w:rPr>
        <w:t>Expansion of Medical/Surgical Inpatient Beds</w:t>
      </w:r>
    </w:p>
    <w:p w14:paraId="2882D5CC" w14:textId="77777777" w:rsidR="00AB1BC5" w:rsidRPr="0062487B" w:rsidRDefault="000E4B6A" w:rsidP="00EB5776">
      <w:pPr>
        <w:pStyle w:val="ListParagraph"/>
        <w:numPr>
          <w:ilvl w:val="0"/>
          <w:numId w:val="5"/>
        </w:numPr>
        <w:rPr>
          <w:rFonts w:asciiTheme="minorHAnsi" w:hAnsiTheme="minorHAnsi" w:cstheme="minorHAnsi"/>
        </w:rPr>
      </w:pPr>
      <w:r w:rsidRPr="0062487B">
        <w:rPr>
          <w:rFonts w:asciiTheme="minorHAnsi" w:hAnsiTheme="minorHAnsi" w:cstheme="minorHAnsi"/>
          <w:b/>
          <w:bCs/>
        </w:rPr>
        <w:t>ALOS in the ED:</w:t>
      </w:r>
      <w:r w:rsidRPr="0062487B">
        <w:rPr>
          <w:rFonts w:asciiTheme="minorHAnsi" w:hAnsiTheme="minorHAnsi" w:cstheme="minorHAnsi"/>
        </w:rPr>
        <w:t xml:space="preserve"> This measure reviews the amount of time a patient </w:t>
      </w:r>
      <w:proofErr w:type="gramStart"/>
      <w:r w:rsidRPr="0062487B">
        <w:rPr>
          <w:rFonts w:asciiTheme="minorHAnsi" w:hAnsiTheme="minorHAnsi" w:cstheme="minorHAnsi"/>
        </w:rPr>
        <w:t>has to</w:t>
      </w:r>
      <w:proofErr w:type="gramEnd"/>
      <w:r w:rsidRPr="0062487B">
        <w:rPr>
          <w:rFonts w:asciiTheme="minorHAnsi" w:hAnsiTheme="minorHAnsi" w:cstheme="minorHAnsi"/>
        </w:rPr>
        <w:t xml:space="preserve"> wait in the ED</w:t>
      </w:r>
      <w:r w:rsidR="00AB1BC5" w:rsidRPr="0062487B">
        <w:rPr>
          <w:rFonts w:asciiTheme="minorHAnsi" w:hAnsiTheme="minorHAnsi" w:cstheme="minorHAnsi"/>
        </w:rPr>
        <w:t xml:space="preserve"> </w:t>
      </w:r>
      <w:r w:rsidRPr="0062487B">
        <w:rPr>
          <w:rFonts w:asciiTheme="minorHAnsi" w:hAnsiTheme="minorHAnsi" w:cstheme="minorHAnsi"/>
        </w:rPr>
        <w:t>for a medical/surgical inpatient bed prior to being admitted to BWFH. Due to increased</w:t>
      </w:r>
      <w:r w:rsidR="00AB1BC5" w:rsidRPr="0062487B">
        <w:rPr>
          <w:rFonts w:asciiTheme="minorHAnsi" w:hAnsiTheme="minorHAnsi" w:cstheme="minorHAnsi"/>
        </w:rPr>
        <w:t xml:space="preserve"> </w:t>
      </w:r>
      <w:r w:rsidRPr="0062487B">
        <w:rPr>
          <w:rFonts w:asciiTheme="minorHAnsi" w:hAnsiTheme="minorHAnsi" w:cstheme="minorHAnsi"/>
        </w:rPr>
        <w:t>inpatient bed capacity, ED ALOS will be reduced.</w:t>
      </w:r>
      <w:r w:rsidR="00AB1BC5" w:rsidRPr="0062487B">
        <w:rPr>
          <w:rFonts w:asciiTheme="minorHAnsi" w:hAnsiTheme="minorHAnsi" w:cstheme="minorHAnsi"/>
        </w:rPr>
        <w:t xml:space="preserve"> </w:t>
      </w:r>
    </w:p>
    <w:p w14:paraId="43258474" w14:textId="13BAA05F" w:rsidR="000E4B6A" w:rsidRPr="0062487B" w:rsidRDefault="000E4B6A" w:rsidP="00A22B11">
      <w:pPr>
        <w:pStyle w:val="ListParagraph"/>
        <w:ind w:left="360"/>
        <w:rPr>
          <w:rFonts w:asciiTheme="minorHAnsi" w:hAnsiTheme="minorHAnsi" w:cstheme="minorHAnsi"/>
        </w:rPr>
      </w:pPr>
      <w:r w:rsidRPr="0062487B">
        <w:rPr>
          <w:rFonts w:asciiTheme="minorHAnsi" w:hAnsiTheme="minorHAnsi" w:cstheme="minorHAnsi"/>
          <w:u w:val="single"/>
        </w:rPr>
        <w:t>Measure:</w:t>
      </w:r>
      <w:r w:rsidRPr="0062487B">
        <w:rPr>
          <w:rFonts w:asciiTheme="minorHAnsi" w:hAnsiTheme="minorHAnsi" w:cstheme="minorHAnsi"/>
        </w:rPr>
        <w:t xml:space="preserve"> </w:t>
      </w:r>
      <w:r w:rsidR="00A22B11" w:rsidRPr="0062487B">
        <w:rPr>
          <w:rFonts w:asciiTheme="minorHAnsi" w:hAnsiTheme="minorHAnsi" w:cstheme="minorHAnsi"/>
        </w:rPr>
        <w:t>This measure will calculate the average length of stay time based on the difference between the Arrival Date/Time and the ED Departure Date/Time for all ED patients that were admitted to an inpatient medical/surgical unit.</w:t>
      </w:r>
    </w:p>
    <w:p w14:paraId="2F60C595" w14:textId="77777777" w:rsidR="00A22B11" w:rsidRPr="0062487B" w:rsidRDefault="00A22B11" w:rsidP="00A22B11">
      <w:pPr>
        <w:pStyle w:val="ListParagraph"/>
        <w:ind w:left="360"/>
        <w:rPr>
          <w:rFonts w:asciiTheme="minorHAnsi" w:hAnsiTheme="minorHAnsi" w:cstheme="minorHAnsi"/>
        </w:rPr>
      </w:pPr>
    </w:p>
    <w:p w14:paraId="7E3E8F03" w14:textId="53D8027D" w:rsidR="000E4B6A" w:rsidRPr="0062487B" w:rsidRDefault="430594C8" w:rsidP="00EB5776">
      <w:pPr>
        <w:pStyle w:val="ListParagraph"/>
        <w:numPr>
          <w:ilvl w:val="0"/>
          <w:numId w:val="5"/>
        </w:numPr>
        <w:rPr>
          <w:rFonts w:asciiTheme="minorHAnsi" w:hAnsiTheme="minorHAnsi" w:cstheme="minorBidi"/>
        </w:rPr>
      </w:pPr>
      <w:r w:rsidRPr="17FA2F59">
        <w:rPr>
          <w:rFonts w:asciiTheme="minorHAnsi" w:hAnsiTheme="minorHAnsi" w:cstheme="minorBidi"/>
          <w:b/>
          <w:bCs/>
        </w:rPr>
        <w:t xml:space="preserve">Bed Request </w:t>
      </w:r>
      <w:r w:rsidR="31287913" w:rsidRPr="17FA2F59">
        <w:rPr>
          <w:rFonts w:asciiTheme="minorHAnsi" w:hAnsiTheme="minorHAnsi" w:cstheme="minorBidi"/>
          <w:b/>
          <w:bCs/>
        </w:rPr>
        <w:t xml:space="preserve">from ED </w:t>
      </w:r>
      <w:r w:rsidRPr="17FA2F59">
        <w:rPr>
          <w:rFonts w:asciiTheme="minorHAnsi" w:hAnsiTheme="minorHAnsi" w:cstheme="minorBidi"/>
          <w:b/>
          <w:bCs/>
        </w:rPr>
        <w:t>to Patient Departure</w:t>
      </w:r>
      <w:r w:rsidR="31287913" w:rsidRPr="17FA2F59">
        <w:rPr>
          <w:rFonts w:asciiTheme="minorHAnsi" w:hAnsiTheme="minorHAnsi" w:cstheme="minorBidi"/>
          <w:b/>
          <w:bCs/>
        </w:rPr>
        <w:t xml:space="preserve"> from the ED</w:t>
      </w:r>
      <w:r w:rsidRPr="17FA2F59">
        <w:rPr>
          <w:rFonts w:asciiTheme="minorHAnsi" w:hAnsiTheme="minorHAnsi" w:cstheme="minorBidi"/>
          <w:b/>
          <w:bCs/>
        </w:rPr>
        <w:t>:</w:t>
      </w:r>
      <w:r w:rsidRPr="17FA2F59">
        <w:rPr>
          <w:rFonts w:asciiTheme="minorHAnsi" w:hAnsiTheme="minorHAnsi" w:cstheme="minorBidi"/>
        </w:rPr>
        <w:t xml:space="preserve"> This measure demonstrates when a patient has</w:t>
      </w:r>
      <w:r w:rsidR="5918E040" w:rsidRPr="17FA2F59">
        <w:rPr>
          <w:rFonts w:asciiTheme="minorHAnsi" w:hAnsiTheme="minorHAnsi" w:cstheme="minorBidi"/>
        </w:rPr>
        <w:t xml:space="preserve"> </w:t>
      </w:r>
      <w:r w:rsidRPr="17FA2F59">
        <w:rPr>
          <w:rFonts w:asciiTheme="minorHAnsi" w:hAnsiTheme="minorHAnsi" w:cstheme="minorBidi"/>
        </w:rPr>
        <w:t xml:space="preserve">been identified by the provider and when the patient </w:t>
      </w:r>
      <w:proofErr w:type="gramStart"/>
      <w:r w:rsidRPr="17FA2F59">
        <w:rPr>
          <w:rFonts w:asciiTheme="minorHAnsi" w:hAnsiTheme="minorHAnsi" w:cstheme="minorBidi"/>
        </w:rPr>
        <w:t>actually leaves</w:t>
      </w:r>
      <w:proofErr w:type="gramEnd"/>
      <w:r w:rsidRPr="17FA2F59">
        <w:rPr>
          <w:rFonts w:asciiTheme="minorHAnsi" w:hAnsiTheme="minorHAnsi" w:cstheme="minorBidi"/>
        </w:rPr>
        <w:t xml:space="preserve"> the ED. This is an</w:t>
      </w:r>
      <w:r w:rsidR="5918E040" w:rsidRPr="17FA2F59">
        <w:rPr>
          <w:rFonts w:asciiTheme="minorHAnsi" w:hAnsiTheme="minorHAnsi" w:cstheme="minorBidi"/>
        </w:rPr>
        <w:t xml:space="preserve"> </w:t>
      </w:r>
      <w:r w:rsidRPr="17FA2F59">
        <w:rPr>
          <w:rFonts w:asciiTheme="minorHAnsi" w:hAnsiTheme="minorHAnsi" w:cstheme="minorBidi"/>
        </w:rPr>
        <w:t>even more sensitive indicator than ALOS. Factors that affect this measure include the</w:t>
      </w:r>
      <w:r w:rsidR="5918E040" w:rsidRPr="17FA2F59">
        <w:rPr>
          <w:rFonts w:asciiTheme="minorHAnsi" w:hAnsiTheme="minorHAnsi" w:cstheme="minorBidi"/>
        </w:rPr>
        <w:t xml:space="preserve"> </w:t>
      </w:r>
      <w:r w:rsidRPr="17FA2F59">
        <w:rPr>
          <w:rFonts w:asciiTheme="minorHAnsi" w:hAnsiTheme="minorHAnsi" w:cstheme="minorBidi"/>
        </w:rPr>
        <w:t>following: inpatient bed is still occupied; bed assigned to bed ready time (i.e., inpatient bed</w:t>
      </w:r>
      <w:r w:rsidR="5918E040" w:rsidRPr="17FA2F59">
        <w:rPr>
          <w:rFonts w:asciiTheme="minorHAnsi" w:hAnsiTheme="minorHAnsi" w:cstheme="minorBidi"/>
        </w:rPr>
        <w:t xml:space="preserve"> </w:t>
      </w:r>
      <w:r w:rsidRPr="17FA2F59">
        <w:rPr>
          <w:rFonts w:asciiTheme="minorHAnsi" w:hAnsiTheme="minorHAnsi" w:cstheme="minorBidi"/>
        </w:rPr>
        <w:t>needs to be cleaned); and bed ready to ED departure time (i.e., work that occurs between</w:t>
      </w:r>
      <w:r w:rsidR="5918E040" w:rsidRPr="17FA2F59">
        <w:rPr>
          <w:rFonts w:asciiTheme="minorHAnsi" w:hAnsiTheme="minorHAnsi" w:cstheme="minorBidi"/>
        </w:rPr>
        <w:t xml:space="preserve"> </w:t>
      </w:r>
      <w:r w:rsidRPr="17FA2F59">
        <w:rPr>
          <w:rFonts w:asciiTheme="minorHAnsi" w:hAnsiTheme="minorHAnsi" w:cstheme="minorBidi"/>
        </w:rPr>
        <w:t>ED to inpatient clinicians). With increased inpatient bed capacity, there will be additional</w:t>
      </w:r>
      <w:r w:rsidR="5918E040" w:rsidRPr="17FA2F59">
        <w:rPr>
          <w:rFonts w:asciiTheme="minorHAnsi" w:hAnsiTheme="minorHAnsi" w:cstheme="minorBidi"/>
        </w:rPr>
        <w:t xml:space="preserve"> </w:t>
      </w:r>
      <w:r w:rsidRPr="17FA2F59">
        <w:rPr>
          <w:rFonts w:asciiTheme="minorHAnsi" w:hAnsiTheme="minorHAnsi" w:cstheme="minorBidi"/>
        </w:rPr>
        <w:t xml:space="preserve">ready, </w:t>
      </w:r>
      <w:proofErr w:type="gramStart"/>
      <w:r w:rsidRPr="17FA2F59">
        <w:rPr>
          <w:rFonts w:asciiTheme="minorHAnsi" w:hAnsiTheme="minorHAnsi" w:cstheme="minorBidi"/>
        </w:rPr>
        <w:t>clean</w:t>
      </w:r>
      <w:proofErr w:type="gramEnd"/>
      <w:r w:rsidRPr="17FA2F59">
        <w:rPr>
          <w:rFonts w:asciiTheme="minorHAnsi" w:hAnsiTheme="minorHAnsi" w:cstheme="minorBidi"/>
        </w:rPr>
        <w:t xml:space="preserve"> and available inpatient medical/surgical beds, and therefore bed request to</w:t>
      </w:r>
      <w:r w:rsidR="655010E6" w:rsidRPr="17FA2F59">
        <w:rPr>
          <w:rFonts w:asciiTheme="minorHAnsi" w:hAnsiTheme="minorHAnsi" w:cstheme="minorBidi"/>
        </w:rPr>
        <w:t xml:space="preserve"> </w:t>
      </w:r>
      <w:r w:rsidRPr="17FA2F59">
        <w:rPr>
          <w:rFonts w:asciiTheme="minorHAnsi" w:hAnsiTheme="minorHAnsi" w:cstheme="minorBidi"/>
        </w:rPr>
        <w:t>patient departure time will be reduced.</w:t>
      </w:r>
    </w:p>
    <w:p w14:paraId="4B338DA1" w14:textId="01F432FF" w:rsidR="000E4B6A" w:rsidRPr="0062487B" w:rsidRDefault="000E4B6A" w:rsidP="00A22B11">
      <w:pPr>
        <w:ind w:left="360"/>
        <w:rPr>
          <w:rFonts w:asciiTheme="minorHAnsi" w:hAnsiTheme="minorHAnsi" w:cstheme="minorHAnsi"/>
        </w:rPr>
      </w:pPr>
      <w:r w:rsidRPr="0062487B">
        <w:rPr>
          <w:rFonts w:asciiTheme="minorHAnsi" w:hAnsiTheme="minorHAnsi" w:cstheme="minorHAnsi"/>
          <w:u w:val="single"/>
        </w:rPr>
        <w:t>Measure:</w:t>
      </w:r>
      <w:r w:rsidRPr="0062487B">
        <w:rPr>
          <w:rFonts w:asciiTheme="minorHAnsi" w:hAnsiTheme="minorHAnsi" w:cstheme="minorHAnsi"/>
        </w:rPr>
        <w:t xml:space="preserve"> </w:t>
      </w:r>
      <w:r w:rsidR="00A22B11" w:rsidRPr="0062487B">
        <w:rPr>
          <w:rFonts w:asciiTheme="minorHAnsi" w:hAnsiTheme="minorHAnsi" w:cstheme="minorHAnsi"/>
        </w:rPr>
        <w:t>This measure will calculate the average time based on the difference between the IP Bed Request Date/Time and ED Departure Date/Time for all ED patients that were admitted to an inpatient medical/surgical unit.</w:t>
      </w:r>
    </w:p>
    <w:p w14:paraId="6DEF82A2" w14:textId="77777777" w:rsidR="00A22B11" w:rsidRPr="0062487B" w:rsidRDefault="00A22B11" w:rsidP="00A22B11">
      <w:pPr>
        <w:ind w:firstLine="360"/>
        <w:rPr>
          <w:rFonts w:asciiTheme="minorHAnsi" w:hAnsiTheme="minorHAnsi" w:cstheme="minorHAnsi"/>
        </w:rPr>
      </w:pPr>
    </w:p>
    <w:p w14:paraId="4FCF5006" w14:textId="291689D4" w:rsidR="00AB1BC5" w:rsidRPr="0062487B" w:rsidRDefault="430594C8" w:rsidP="00EB5776">
      <w:pPr>
        <w:pStyle w:val="ListParagraph"/>
        <w:numPr>
          <w:ilvl w:val="0"/>
          <w:numId w:val="5"/>
        </w:numPr>
        <w:rPr>
          <w:rFonts w:asciiTheme="minorHAnsi" w:hAnsiTheme="minorHAnsi" w:cstheme="minorBidi"/>
        </w:rPr>
      </w:pPr>
      <w:r w:rsidRPr="17FA2F59">
        <w:rPr>
          <w:rFonts w:asciiTheme="minorHAnsi" w:hAnsiTheme="minorHAnsi" w:cstheme="minorBidi"/>
          <w:b/>
          <w:bCs/>
        </w:rPr>
        <w:t>Hospital Acquired Pressure Injuries (HAPI):</w:t>
      </w:r>
      <w:r w:rsidRPr="17FA2F59">
        <w:rPr>
          <w:rFonts w:asciiTheme="minorHAnsi" w:hAnsiTheme="minorHAnsi" w:cstheme="minorBidi"/>
        </w:rPr>
        <w:t xml:space="preserve"> BW</w:t>
      </w:r>
      <w:r w:rsidR="00A54A02">
        <w:rPr>
          <w:rFonts w:asciiTheme="minorHAnsi" w:hAnsiTheme="minorHAnsi" w:cstheme="minorBidi"/>
        </w:rPr>
        <w:t xml:space="preserve">FH </w:t>
      </w:r>
      <w:r w:rsidRPr="17FA2F59">
        <w:rPr>
          <w:rFonts w:asciiTheme="minorHAnsi" w:hAnsiTheme="minorHAnsi" w:cstheme="minorBidi"/>
        </w:rPr>
        <w:t>will review the incidence of HAPI</w:t>
      </w:r>
      <w:r w:rsidR="5918E040" w:rsidRPr="17FA2F59">
        <w:rPr>
          <w:rFonts w:asciiTheme="minorHAnsi" w:hAnsiTheme="minorHAnsi" w:cstheme="minorBidi"/>
        </w:rPr>
        <w:t xml:space="preserve"> </w:t>
      </w:r>
      <w:r w:rsidRPr="17FA2F59">
        <w:rPr>
          <w:rFonts w:asciiTheme="minorHAnsi" w:hAnsiTheme="minorHAnsi" w:cstheme="minorBidi"/>
        </w:rPr>
        <w:t>across its medical/surgical patients. Due to increased medical/surgical inpatient beds,</w:t>
      </w:r>
      <w:r w:rsidR="5918E040" w:rsidRPr="17FA2F59">
        <w:rPr>
          <w:rFonts w:asciiTheme="minorHAnsi" w:hAnsiTheme="minorHAnsi" w:cstheme="minorBidi"/>
        </w:rPr>
        <w:t xml:space="preserve"> </w:t>
      </w:r>
      <w:r w:rsidRPr="17FA2F59">
        <w:rPr>
          <w:rFonts w:asciiTheme="minorHAnsi" w:hAnsiTheme="minorHAnsi" w:cstheme="minorBidi"/>
        </w:rPr>
        <w:t>resulting in timelier care in the appropriate setting, patient outcomes will improve</w:t>
      </w:r>
      <w:r w:rsidR="31287913" w:rsidRPr="17FA2F59">
        <w:rPr>
          <w:rFonts w:asciiTheme="minorHAnsi" w:hAnsiTheme="minorHAnsi" w:cstheme="minorBidi"/>
        </w:rPr>
        <w:t xml:space="preserve"> and the incidence of HAPI should decrease.</w:t>
      </w:r>
      <w:r w:rsidR="5918E040" w:rsidRPr="17FA2F59">
        <w:rPr>
          <w:rFonts w:asciiTheme="minorHAnsi" w:hAnsiTheme="minorHAnsi" w:cstheme="minorBidi"/>
        </w:rPr>
        <w:t xml:space="preserve"> </w:t>
      </w:r>
    </w:p>
    <w:p w14:paraId="5BFE7518" w14:textId="0EC609A2" w:rsidR="000E4B6A" w:rsidRPr="0062487B" w:rsidRDefault="430594C8" w:rsidP="17FA2F59">
      <w:pPr>
        <w:pStyle w:val="ListParagraph"/>
        <w:ind w:left="360"/>
        <w:rPr>
          <w:rFonts w:asciiTheme="minorHAnsi" w:hAnsiTheme="minorHAnsi" w:cstheme="minorBidi"/>
          <w:color w:val="000000" w:themeColor="text1"/>
        </w:rPr>
      </w:pPr>
      <w:r w:rsidRPr="17FA2F59">
        <w:rPr>
          <w:rFonts w:asciiTheme="minorHAnsi" w:hAnsiTheme="minorHAnsi" w:cstheme="minorBidi"/>
          <w:u w:val="single"/>
        </w:rPr>
        <w:t>Measure:</w:t>
      </w:r>
      <w:r w:rsidRPr="17FA2F59">
        <w:rPr>
          <w:rFonts w:asciiTheme="minorHAnsi" w:hAnsiTheme="minorHAnsi" w:cstheme="minorBidi"/>
        </w:rPr>
        <w:t xml:space="preserve"> The Applicant will collect and provide data for BWFH using the NDNQI measure on</w:t>
      </w:r>
      <w:r w:rsidR="5918E040" w:rsidRPr="17FA2F59">
        <w:rPr>
          <w:rFonts w:asciiTheme="minorHAnsi" w:hAnsiTheme="minorHAnsi" w:cstheme="minorBidi"/>
        </w:rPr>
        <w:t xml:space="preserve"> </w:t>
      </w:r>
      <w:r w:rsidRPr="17FA2F59">
        <w:rPr>
          <w:rFonts w:asciiTheme="minorHAnsi" w:hAnsiTheme="minorHAnsi" w:cstheme="minorBidi"/>
        </w:rPr>
        <w:t>pressure injuries as follows: percent of surveyed patients with HAPI Stage 2 and above.</w:t>
      </w:r>
      <w:r w:rsidR="655010E6" w:rsidRPr="17FA2F59">
        <w:rPr>
          <w:rFonts w:asciiTheme="minorHAnsi" w:hAnsiTheme="minorHAnsi" w:cstheme="minorBidi"/>
        </w:rPr>
        <w:t xml:space="preserve"> </w:t>
      </w:r>
      <w:r w:rsidR="655010E6" w:rsidRPr="17FA2F59">
        <w:rPr>
          <w:rFonts w:asciiTheme="minorHAnsi" w:hAnsiTheme="minorHAnsi" w:cstheme="minorBidi"/>
          <w:color w:val="000000" w:themeColor="text1"/>
          <w:kern w:val="2"/>
        </w:rPr>
        <w:t xml:space="preserve">This measure is collected in a random surveillance </w:t>
      </w:r>
      <w:proofErr w:type="gramStart"/>
      <w:r w:rsidR="655010E6" w:rsidRPr="17FA2F59">
        <w:rPr>
          <w:rFonts w:asciiTheme="minorHAnsi" w:hAnsiTheme="minorHAnsi" w:cstheme="minorBidi"/>
          <w:color w:val="000000" w:themeColor="text1"/>
          <w:kern w:val="2"/>
        </w:rPr>
        <w:t>survey,</w:t>
      </w:r>
      <w:proofErr w:type="gramEnd"/>
      <w:r w:rsidR="655010E6" w:rsidRPr="17FA2F59">
        <w:rPr>
          <w:rFonts w:asciiTheme="minorHAnsi" w:hAnsiTheme="minorHAnsi" w:cstheme="minorBidi"/>
          <w:color w:val="000000" w:themeColor="text1"/>
          <w:kern w:val="2"/>
        </w:rPr>
        <w:t xml:space="preserve"> therefore census reflects the census on the surveillance day.</w:t>
      </w:r>
      <w:r w:rsidR="655010E6" w:rsidRPr="17FA2F59">
        <w:rPr>
          <w:rFonts w:asciiTheme="minorHAnsi" w:hAnsiTheme="minorHAnsi" w:cstheme="minorBidi"/>
          <w:b/>
          <w:bCs/>
          <w:color w:val="000000" w:themeColor="text1"/>
          <w:kern w:val="2"/>
        </w:rPr>
        <w:t xml:space="preserve"> </w:t>
      </w:r>
      <w:r w:rsidR="655010E6" w:rsidRPr="17FA2F59">
        <w:rPr>
          <w:rFonts w:asciiTheme="minorHAnsi" w:hAnsiTheme="minorHAnsi" w:cstheme="minorBidi"/>
          <w:color w:val="000000" w:themeColor="text1"/>
          <w:kern w:val="2"/>
        </w:rPr>
        <w:t>Numerator = number HAPI; denominator = total med/surg census. This measure will be reported annually showing data by month.</w:t>
      </w:r>
    </w:p>
    <w:p w14:paraId="7E93C628" w14:textId="0625E9E4" w:rsidR="000E4B6A" w:rsidRPr="0062487B" w:rsidRDefault="000E4B6A" w:rsidP="000E4B6A">
      <w:pPr>
        <w:rPr>
          <w:rFonts w:asciiTheme="minorHAnsi" w:hAnsiTheme="minorHAnsi" w:cstheme="minorHAnsi"/>
        </w:rPr>
      </w:pPr>
    </w:p>
    <w:p w14:paraId="778A7EF4" w14:textId="10DD77AC" w:rsidR="000E4B6A" w:rsidRPr="0062487B" w:rsidRDefault="000E4B6A" w:rsidP="000E4B6A">
      <w:pPr>
        <w:rPr>
          <w:rFonts w:asciiTheme="minorHAnsi" w:hAnsiTheme="minorHAnsi" w:cstheme="minorHAnsi"/>
          <w:u w:val="single"/>
        </w:rPr>
      </w:pPr>
      <w:r w:rsidRPr="0062487B">
        <w:rPr>
          <w:rFonts w:asciiTheme="minorHAnsi" w:hAnsiTheme="minorHAnsi" w:cstheme="minorHAnsi"/>
          <w:u w:val="single"/>
        </w:rPr>
        <w:t>Establishment of Observation Unit</w:t>
      </w:r>
    </w:p>
    <w:p w14:paraId="5D9F5D84" w14:textId="68EFC330" w:rsidR="000E4B6A" w:rsidRPr="0062487B" w:rsidRDefault="000E4B6A" w:rsidP="00EB5776">
      <w:pPr>
        <w:pStyle w:val="ListParagraph"/>
        <w:numPr>
          <w:ilvl w:val="0"/>
          <w:numId w:val="6"/>
        </w:numPr>
        <w:rPr>
          <w:rFonts w:asciiTheme="minorHAnsi" w:hAnsiTheme="minorHAnsi" w:cstheme="minorHAnsi"/>
        </w:rPr>
      </w:pPr>
      <w:r w:rsidRPr="0062487B">
        <w:rPr>
          <w:rFonts w:asciiTheme="minorHAnsi" w:hAnsiTheme="minorHAnsi" w:cstheme="minorHAnsi"/>
          <w:b/>
          <w:bCs/>
        </w:rPr>
        <w:t>OR Holds:</w:t>
      </w:r>
      <w:r w:rsidRPr="0062487B">
        <w:rPr>
          <w:rFonts w:asciiTheme="minorHAnsi" w:hAnsiTheme="minorHAnsi" w:cstheme="minorHAnsi"/>
        </w:rPr>
        <w:t xml:space="preserve"> The Proposed Project seeks to ensure timely patient movement across the</w:t>
      </w:r>
      <w:r w:rsidR="00AB1BC5" w:rsidRPr="0062487B">
        <w:rPr>
          <w:rFonts w:asciiTheme="minorHAnsi" w:hAnsiTheme="minorHAnsi" w:cstheme="minorHAnsi"/>
        </w:rPr>
        <w:t xml:space="preserve"> </w:t>
      </w:r>
      <w:r w:rsidRPr="0062487B">
        <w:rPr>
          <w:rFonts w:asciiTheme="minorHAnsi" w:hAnsiTheme="minorHAnsi" w:cstheme="minorHAnsi"/>
        </w:rPr>
        <w:t>peri-procedural areas to maximize patient flow for BWFH patients. Patients moving to the</w:t>
      </w:r>
      <w:r w:rsidR="00AB1BC5" w:rsidRPr="0062487B">
        <w:rPr>
          <w:rFonts w:asciiTheme="minorHAnsi" w:hAnsiTheme="minorHAnsi" w:cstheme="minorHAnsi"/>
        </w:rPr>
        <w:t xml:space="preserve"> </w:t>
      </w:r>
      <w:r w:rsidR="00CB788E">
        <w:rPr>
          <w:rFonts w:asciiTheme="minorHAnsi" w:hAnsiTheme="minorHAnsi" w:cstheme="minorHAnsi"/>
        </w:rPr>
        <w:t>o</w:t>
      </w:r>
      <w:r w:rsidRPr="0062487B">
        <w:rPr>
          <w:rFonts w:asciiTheme="minorHAnsi" w:hAnsiTheme="minorHAnsi" w:cstheme="minorHAnsi"/>
        </w:rPr>
        <w:t xml:space="preserve">bservation </w:t>
      </w:r>
      <w:r w:rsidR="00CB788E">
        <w:rPr>
          <w:rFonts w:asciiTheme="minorHAnsi" w:hAnsiTheme="minorHAnsi" w:cstheme="minorHAnsi"/>
        </w:rPr>
        <w:t>u</w:t>
      </w:r>
      <w:r w:rsidRPr="0062487B">
        <w:rPr>
          <w:rFonts w:asciiTheme="minorHAnsi" w:hAnsiTheme="minorHAnsi" w:cstheme="minorHAnsi"/>
        </w:rPr>
        <w:t>nit will allow a more rapid turnover of post anesthesia care unit (“PACU”)</w:t>
      </w:r>
      <w:r w:rsidR="00AB1BC5" w:rsidRPr="0062487B">
        <w:rPr>
          <w:rFonts w:asciiTheme="minorHAnsi" w:hAnsiTheme="minorHAnsi" w:cstheme="minorHAnsi"/>
        </w:rPr>
        <w:t xml:space="preserve"> </w:t>
      </w:r>
      <w:r w:rsidRPr="0062487B">
        <w:rPr>
          <w:rFonts w:asciiTheme="minorHAnsi" w:hAnsiTheme="minorHAnsi" w:cstheme="minorHAnsi"/>
        </w:rPr>
        <w:t>beds for patients leaving the operating room.</w:t>
      </w:r>
    </w:p>
    <w:p w14:paraId="1B44C6F2" w14:textId="2DC76D9F" w:rsidR="000E4B6A" w:rsidRPr="0062487B" w:rsidRDefault="000E4B6A" w:rsidP="00AB1BC5">
      <w:pPr>
        <w:ind w:left="360"/>
        <w:rPr>
          <w:rFonts w:asciiTheme="minorHAnsi" w:hAnsiTheme="minorHAnsi" w:cstheme="minorHAnsi"/>
        </w:rPr>
      </w:pPr>
      <w:r w:rsidRPr="0062487B">
        <w:rPr>
          <w:rFonts w:asciiTheme="minorHAnsi" w:hAnsiTheme="minorHAnsi" w:cstheme="minorHAnsi"/>
          <w:u w:val="single"/>
        </w:rPr>
        <w:t>Measure:</w:t>
      </w:r>
      <w:r w:rsidRPr="0062487B">
        <w:rPr>
          <w:rFonts w:asciiTheme="minorHAnsi" w:hAnsiTheme="minorHAnsi" w:cstheme="minorHAnsi"/>
        </w:rPr>
        <w:t xml:space="preserve"> The Applicant will collect and provide data related to operating room hold times</w:t>
      </w:r>
      <w:r w:rsidR="00900C64" w:rsidRPr="0062487B">
        <w:rPr>
          <w:rFonts w:asciiTheme="minorHAnsi" w:hAnsiTheme="minorHAnsi" w:cstheme="minorHAnsi"/>
        </w:rPr>
        <w:t xml:space="preserve"> </w:t>
      </w:r>
      <w:r w:rsidRPr="0062487B">
        <w:rPr>
          <w:rFonts w:asciiTheme="minorHAnsi" w:hAnsiTheme="minorHAnsi" w:cstheme="minorHAnsi"/>
        </w:rPr>
        <w:t>as follows: (a) Amount of time a patient waits after his/her procedure is completed in the</w:t>
      </w:r>
      <w:r w:rsidR="00900C64" w:rsidRPr="0062487B">
        <w:rPr>
          <w:rFonts w:asciiTheme="minorHAnsi" w:hAnsiTheme="minorHAnsi" w:cstheme="minorHAnsi"/>
        </w:rPr>
        <w:t xml:space="preserve"> </w:t>
      </w:r>
      <w:r w:rsidRPr="0062487B">
        <w:rPr>
          <w:rFonts w:asciiTheme="minorHAnsi" w:hAnsiTheme="minorHAnsi" w:cstheme="minorHAnsi"/>
        </w:rPr>
        <w:t xml:space="preserve">OR until the patient arrives in the PACU; and (b) Any policy changes instituted </w:t>
      </w:r>
      <w:proofErr w:type="gramStart"/>
      <w:r w:rsidRPr="0062487B">
        <w:rPr>
          <w:rFonts w:asciiTheme="minorHAnsi" w:hAnsiTheme="minorHAnsi" w:cstheme="minorHAnsi"/>
        </w:rPr>
        <w:t>as a result</w:t>
      </w:r>
      <w:r w:rsidR="00900C64" w:rsidRPr="0062487B">
        <w:rPr>
          <w:rFonts w:asciiTheme="minorHAnsi" w:hAnsiTheme="minorHAnsi" w:cstheme="minorHAnsi"/>
        </w:rPr>
        <w:t xml:space="preserve"> </w:t>
      </w:r>
      <w:r w:rsidRPr="0062487B">
        <w:rPr>
          <w:rFonts w:asciiTheme="minorHAnsi" w:hAnsiTheme="minorHAnsi" w:cstheme="minorHAnsi"/>
        </w:rPr>
        <w:t>of</w:t>
      </w:r>
      <w:proofErr w:type="gramEnd"/>
      <w:r w:rsidRPr="0062487B">
        <w:rPr>
          <w:rFonts w:asciiTheme="minorHAnsi" w:hAnsiTheme="minorHAnsi" w:cstheme="minorHAnsi"/>
        </w:rPr>
        <w:t xml:space="preserve"> the Applicant’s </w:t>
      </w:r>
      <w:r w:rsidRPr="0062487B">
        <w:rPr>
          <w:rFonts w:asciiTheme="minorHAnsi" w:hAnsiTheme="minorHAnsi" w:cstheme="minorHAnsi"/>
        </w:rPr>
        <w:lastRenderedPageBreak/>
        <w:t>evaluation.</w:t>
      </w:r>
      <w:r w:rsidR="00A22B11" w:rsidRPr="0062487B">
        <w:rPr>
          <w:rFonts w:asciiTheme="minorHAnsi" w:hAnsiTheme="minorHAnsi" w:cstheme="minorHAnsi"/>
        </w:rPr>
        <w:t xml:space="preserve"> The numerator for this metric is the total number of minutes from ‘ready to recovery’ to ‘out of room” for all cases within </w:t>
      </w:r>
      <w:proofErr w:type="gramStart"/>
      <w:r w:rsidR="00A22B11" w:rsidRPr="0062487B">
        <w:rPr>
          <w:rFonts w:asciiTheme="minorHAnsi" w:hAnsiTheme="minorHAnsi" w:cstheme="minorHAnsi"/>
        </w:rPr>
        <w:t>a period of time</w:t>
      </w:r>
      <w:proofErr w:type="gramEnd"/>
      <w:r w:rsidR="00A22B11" w:rsidRPr="0062487B">
        <w:rPr>
          <w:rFonts w:asciiTheme="minorHAnsi" w:hAnsiTheme="minorHAnsi" w:cstheme="minorHAnsi"/>
        </w:rPr>
        <w:t xml:space="preserve"> and the denominator for this metric is the total expected amount of hold hours based on volume (2.5 minutes/case) for all cases within a period of time.</w:t>
      </w:r>
    </w:p>
    <w:p w14:paraId="11241032" w14:textId="2F8E0E3B" w:rsidR="000E4B6A" w:rsidRPr="0062487B" w:rsidRDefault="000E4B6A" w:rsidP="000E4B6A">
      <w:pPr>
        <w:rPr>
          <w:rFonts w:asciiTheme="minorHAnsi" w:hAnsiTheme="minorHAnsi" w:cstheme="minorHAnsi"/>
        </w:rPr>
      </w:pPr>
    </w:p>
    <w:p w14:paraId="32CD98AE" w14:textId="3283E464" w:rsidR="000E4B6A" w:rsidRPr="0062487B" w:rsidRDefault="000E4B6A" w:rsidP="00EB5776">
      <w:pPr>
        <w:pStyle w:val="ListParagraph"/>
        <w:numPr>
          <w:ilvl w:val="0"/>
          <w:numId w:val="6"/>
        </w:numPr>
        <w:rPr>
          <w:rFonts w:asciiTheme="minorHAnsi" w:hAnsiTheme="minorHAnsi" w:cstheme="minorHAnsi"/>
        </w:rPr>
      </w:pPr>
      <w:r w:rsidRPr="0062487B">
        <w:rPr>
          <w:rFonts w:asciiTheme="minorHAnsi" w:hAnsiTheme="minorHAnsi" w:cstheme="minorHAnsi"/>
          <w:b/>
          <w:bCs/>
        </w:rPr>
        <w:t>ALOS in the PACU:</w:t>
      </w:r>
      <w:r w:rsidRPr="0062487B">
        <w:rPr>
          <w:rFonts w:asciiTheme="minorHAnsi" w:hAnsiTheme="minorHAnsi" w:cstheme="minorHAnsi"/>
        </w:rPr>
        <w:t xml:space="preserve"> This measure reviews the amount of time a patient is in the PACU</w:t>
      </w:r>
      <w:r w:rsidR="00AB1BC5" w:rsidRPr="0062487B">
        <w:rPr>
          <w:rFonts w:asciiTheme="minorHAnsi" w:hAnsiTheme="minorHAnsi" w:cstheme="minorHAnsi"/>
        </w:rPr>
        <w:t xml:space="preserve"> </w:t>
      </w:r>
      <w:r w:rsidRPr="0062487B">
        <w:rPr>
          <w:rFonts w:asciiTheme="minorHAnsi" w:hAnsiTheme="minorHAnsi" w:cstheme="minorHAnsi"/>
        </w:rPr>
        <w:t>prior to discharge. Day surgery patients with a longer recovery period before discharge</w:t>
      </w:r>
      <w:r w:rsidR="00AB1BC5" w:rsidRPr="0062487B">
        <w:rPr>
          <w:rFonts w:asciiTheme="minorHAnsi" w:hAnsiTheme="minorHAnsi" w:cstheme="minorHAnsi"/>
        </w:rPr>
        <w:t xml:space="preserve"> </w:t>
      </w:r>
      <w:r w:rsidRPr="0062487B">
        <w:rPr>
          <w:rFonts w:asciiTheme="minorHAnsi" w:hAnsiTheme="minorHAnsi" w:cstheme="minorHAnsi"/>
        </w:rPr>
        <w:t xml:space="preserve">will move to the </w:t>
      </w:r>
      <w:r w:rsidR="00CB788E">
        <w:rPr>
          <w:rFonts w:asciiTheme="minorHAnsi" w:hAnsiTheme="minorHAnsi" w:cstheme="minorHAnsi"/>
        </w:rPr>
        <w:t>o</w:t>
      </w:r>
      <w:r w:rsidRPr="0062487B">
        <w:rPr>
          <w:rFonts w:asciiTheme="minorHAnsi" w:hAnsiTheme="minorHAnsi" w:cstheme="minorHAnsi"/>
        </w:rPr>
        <w:t xml:space="preserve">bservation </w:t>
      </w:r>
      <w:r w:rsidR="00CB788E">
        <w:rPr>
          <w:rFonts w:asciiTheme="minorHAnsi" w:hAnsiTheme="minorHAnsi" w:cstheme="minorHAnsi"/>
        </w:rPr>
        <w:t>u</w:t>
      </w:r>
      <w:r w:rsidRPr="0062487B">
        <w:rPr>
          <w:rFonts w:asciiTheme="minorHAnsi" w:hAnsiTheme="minorHAnsi" w:cstheme="minorHAnsi"/>
        </w:rPr>
        <w:t>nit, decreasing the amount of time a patient recovers in</w:t>
      </w:r>
      <w:r w:rsidR="00AB1BC5" w:rsidRPr="0062487B">
        <w:rPr>
          <w:rFonts w:asciiTheme="minorHAnsi" w:hAnsiTheme="minorHAnsi" w:cstheme="minorHAnsi"/>
        </w:rPr>
        <w:t xml:space="preserve"> </w:t>
      </w:r>
      <w:r w:rsidR="00CB788E">
        <w:rPr>
          <w:rFonts w:asciiTheme="minorHAnsi" w:hAnsiTheme="minorHAnsi" w:cstheme="minorHAnsi"/>
        </w:rPr>
        <w:t xml:space="preserve">the </w:t>
      </w:r>
      <w:r w:rsidRPr="0062487B">
        <w:rPr>
          <w:rFonts w:asciiTheme="minorHAnsi" w:hAnsiTheme="minorHAnsi" w:cstheme="minorHAnsi"/>
        </w:rPr>
        <w:t>higher intensity and cost PACU.</w:t>
      </w:r>
    </w:p>
    <w:p w14:paraId="77C4AC85" w14:textId="6170B68C" w:rsidR="000E4B6A" w:rsidRPr="0062487B" w:rsidRDefault="000E4B6A" w:rsidP="00AB1BC5">
      <w:pPr>
        <w:ind w:left="360"/>
        <w:rPr>
          <w:rFonts w:asciiTheme="minorHAnsi" w:hAnsiTheme="minorHAnsi" w:cstheme="minorHAnsi"/>
        </w:rPr>
      </w:pPr>
      <w:r w:rsidRPr="0062487B">
        <w:rPr>
          <w:rFonts w:asciiTheme="minorHAnsi" w:hAnsiTheme="minorHAnsi" w:cstheme="minorHAnsi"/>
          <w:u w:val="single"/>
        </w:rPr>
        <w:t>Measure:</w:t>
      </w:r>
      <w:r w:rsidRPr="0062487B">
        <w:rPr>
          <w:rFonts w:asciiTheme="minorHAnsi" w:hAnsiTheme="minorHAnsi" w:cstheme="minorHAnsi"/>
        </w:rPr>
        <w:t xml:space="preserve"> The Applicant will collect and provide data related to PACU ALOS as follows:</w:t>
      </w:r>
      <w:r w:rsidR="00900C64" w:rsidRPr="0062487B">
        <w:rPr>
          <w:rFonts w:asciiTheme="minorHAnsi" w:hAnsiTheme="minorHAnsi" w:cstheme="minorHAnsi"/>
        </w:rPr>
        <w:t xml:space="preserve"> </w:t>
      </w:r>
      <w:r w:rsidRPr="0062487B">
        <w:rPr>
          <w:rFonts w:asciiTheme="minorHAnsi" w:hAnsiTheme="minorHAnsi" w:cstheme="minorHAnsi"/>
        </w:rPr>
        <w:t xml:space="preserve">(a) ALOS for patients in the PACU; and (b) Any policy changes instituted </w:t>
      </w:r>
      <w:proofErr w:type="gramStart"/>
      <w:r w:rsidRPr="0062487B">
        <w:rPr>
          <w:rFonts w:asciiTheme="minorHAnsi" w:hAnsiTheme="minorHAnsi" w:cstheme="minorHAnsi"/>
        </w:rPr>
        <w:t>as a result of</w:t>
      </w:r>
      <w:proofErr w:type="gramEnd"/>
      <w:r w:rsidRPr="0062487B">
        <w:rPr>
          <w:rFonts w:asciiTheme="minorHAnsi" w:hAnsiTheme="minorHAnsi" w:cstheme="minorHAnsi"/>
        </w:rPr>
        <w:t xml:space="preserve"> the</w:t>
      </w:r>
      <w:r w:rsidR="00900C64" w:rsidRPr="0062487B">
        <w:rPr>
          <w:rFonts w:asciiTheme="minorHAnsi" w:hAnsiTheme="minorHAnsi" w:cstheme="minorHAnsi"/>
        </w:rPr>
        <w:t xml:space="preserve"> </w:t>
      </w:r>
      <w:r w:rsidRPr="0062487B">
        <w:rPr>
          <w:rFonts w:asciiTheme="minorHAnsi" w:hAnsiTheme="minorHAnsi" w:cstheme="minorHAnsi"/>
        </w:rPr>
        <w:t>Applicant’s evaluation.</w:t>
      </w:r>
      <w:r w:rsidR="00A22B11" w:rsidRPr="0062487B">
        <w:rPr>
          <w:rFonts w:asciiTheme="minorHAnsi" w:hAnsiTheme="minorHAnsi" w:cstheme="minorHAnsi"/>
        </w:rPr>
        <w:t xml:space="preserve"> The measure will be the PACU LOS for day surgery patients discharged from the </w:t>
      </w:r>
      <w:r w:rsidR="00CB788E">
        <w:rPr>
          <w:rFonts w:asciiTheme="minorHAnsi" w:hAnsiTheme="minorHAnsi" w:cstheme="minorHAnsi"/>
        </w:rPr>
        <w:t>o</w:t>
      </w:r>
      <w:r w:rsidR="00A22B11" w:rsidRPr="0062487B">
        <w:rPr>
          <w:rFonts w:asciiTheme="minorHAnsi" w:hAnsiTheme="minorHAnsi" w:cstheme="minorHAnsi"/>
        </w:rPr>
        <w:t xml:space="preserve">bservation </w:t>
      </w:r>
      <w:r w:rsidR="00CB788E">
        <w:rPr>
          <w:rFonts w:asciiTheme="minorHAnsi" w:hAnsiTheme="minorHAnsi" w:cstheme="minorHAnsi"/>
        </w:rPr>
        <w:t>u</w:t>
      </w:r>
      <w:r w:rsidR="00A22B11" w:rsidRPr="0062487B">
        <w:rPr>
          <w:rFonts w:asciiTheme="minorHAnsi" w:hAnsiTheme="minorHAnsi" w:cstheme="minorHAnsi"/>
        </w:rPr>
        <w:t>nit compared to a baseline of PACU LOS for day surgery patients discharged from PACU. This measure will not have a numerator/denominator.</w:t>
      </w:r>
    </w:p>
    <w:p w14:paraId="2BED85C8" w14:textId="3AF804E2" w:rsidR="000E4B6A" w:rsidRPr="0062487B" w:rsidRDefault="000E4B6A" w:rsidP="000E4B6A">
      <w:pPr>
        <w:rPr>
          <w:rFonts w:asciiTheme="minorHAnsi" w:hAnsiTheme="minorHAnsi" w:cstheme="minorHAnsi"/>
          <w:u w:val="single"/>
        </w:rPr>
      </w:pPr>
    </w:p>
    <w:p w14:paraId="57E02259" w14:textId="468CB105" w:rsidR="000E4B6A" w:rsidRPr="0062487B" w:rsidRDefault="000E4B6A" w:rsidP="000E4B6A">
      <w:pPr>
        <w:rPr>
          <w:rFonts w:asciiTheme="minorHAnsi" w:hAnsiTheme="minorHAnsi" w:cstheme="minorHAnsi"/>
          <w:u w:val="single"/>
        </w:rPr>
      </w:pPr>
      <w:r w:rsidRPr="0062487B">
        <w:rPr>
          <w:rFonts w:asciiTheme="minorHAnsi" w:hAnsiTheme="minorHAnsi" w:cstheme="minorHAnsi"/>
          <w:u w:val="single"/>
        </w:rPr>
        <w:t>Relocation and Expansion of Endoscopy</w:t>
      </w:r>
    </w:p>
    <w:p w14:paraId="4E89D21A" w14:textId="369A31E7" w:rsidR="000E4B6A" w:rsidRPr="0062487B" w:rsidRDefault="000E4B6A" w:rsidP="00EB5776">
      <w:pPr>
        <w:pStyle w:val="ListParagraph"/>
        <w:numPr>
          <w:ilvl w:val="0"/>
          <w:numId w:val="7"/>
        </w:numPr>
        <w:rPr>
          <w:rFonts w:asciiTheme="minorHAnsi" w:hAnsiTheme="minorHAnsi" w:cstheme="minorHAnsi"/>
        </w:rPr>
      </w:pPr>
      <w:r w:rsidRPr="0062487B">
        <w:rPr>
          <w:rFonts w:asciiTheme="minorHAnsi" w:hAnsiTheme="minorHAnsi" w:cstheme="minorHAnsi"/>
          <w:b/>
          <w:bCs/>
        </w:rPr>
        <w:t>Wait Times:</w:t>
      </w:r>
      <w:r w:rsidRPr="0062487B">
        <w:rPr>
          <w:rFonts w:asciiTheme="minorHAnsi" w:hAnsiTheme="minorHAnsi" w:cstheme="minorHAnsi"/>
        </w:rPr>
        <w:t xml:space="preserve"> The Proposed Project seeks to ensure timely access to endoscopy services</w:t>
      </w:r>
      <w:r w:rsidR="00AB1BC5" w:rsidRPr="0062487B">
        <w:rPr>
          <w:rFonts w:asciiTheme="minorHAnsi" w:hAnsiTheme="minorHAnsi" w:cstheme="minorHAnsi"/>
        </w:rPr>
        <w:t xml:space="preserve"> </w:t>
      </w:r>
      <w:r w:rsidRPr="0062487B">
        <w:rPr>
          <w:rFonts w:asciiTheme="minorHAnsi" w:hAnsiTheme="minorHAnsi" w:cstheme="minorHAnsi"/>
        </w:rPr>
        <w:t>for BWFH patients.</w:t>
      </w:r>
    </w:p>
    <w:p w14:paraId="1E6FD8DF" w14:textId="2E73E375" w:rsidR="000E4B6A" w:rsidRPr="0062487B" w:rsidRDefault="000E4B6A" w:rsidP="00900C64">
      <w:pPr>
        <w:ind w:left="360"/>
        <w:rPr>
          <w:rFonts w:asciiTheme="minorHAnsi" w:hAnsiTheme="minorHAnsi" w:cstheme="minorHAnsi"/>
        </w:rPr>
      </w:pPr>
      <w:r w:rsidRPr="0062487B">
        <w:rPr>
          <w:rFonts w:asciiTheme="minorHAnsi" w:hAnsiTheme="minorHAnsi" w:cstheme="minorHAnsi"/>
          <w:u w:val="single"/>
        </w:rPr>
        <w:t>Measure:</w:t>
      </w:r>
      <w:r w:rsidRPr="0062487B">
        <w:rPr>
          <w:rFonts w:asciiTheme="minorHAnsi" w:hAnsiTheme="minorHAnsi" w:cstheme="minorHAnsi"/>
        </w:rPr>
        <w:t xml:space="preserve"> Time interval from when colonoscopy was initiated for scheduling in EPIC to the</w:t>
      </w:r>
      <w:r w:rsidR="00900C64" w:rsidRPr="0062487B">
        <w:rPr>
          <w:rFonts w:asciiTheme="minorHAnsi" w:hAnsiTheme="minorHAnsi" w:cstheme="minorHAnsi"/>
        </w:rPr>
        <w:t xml:space="preserve"> </w:t>
      </w:r>
      <w:r w:rsidRPr="0062487B">
        <w:rPr>
          <w:rFonts w:asciiTheme="minorHAnsi" w:hAnsiTheme="minorHAnsi" w:cstheme="minorHAnsi"/>
        </w:rPr>
        <w:t>date of the colonoscopy procedure.</w:t>
      </w:r>
      <w:r w:rsidR="00A22B11" w:rsidRPr="0062487B">
        <w:rPr>
          <w:rFonts w:asciiTheme="minorHAnsi" w:hAnsiTheme="minorHAnsi" w:cstheme="minorHAnsi"/>
        </w:rPr>
        <w:t xml:space="preserve"> The measure will be the amount of time elapsed between when colonoscopy was initiated for scheduling in EPIC to the date of the colonoscopy procedure. This measure will not have a numerator/denominator.</w:t>
      </w:r>
    </w:p>
    <w:p w14:paraId="7F61DDAA" w14:textId="6881D0BF" w:rsidR="000E4B6A" w:rsidRPr="0062487B" w:rsidRDefault="000E4B6A" w:rsidP="000E4B6A">
      <w:pPr>
        <w:rPr>
          <w:rFonts w:asciiTheme="minorHAnsi" w:hAnsiTheme="minorHAnsi" w:cstheme="minorHAnsi"/>
        </w:rPr>
      </w:pPr>
    </w:p>
    <w:p w14:paraId="6184BC29" w14:textId="4D132C98" w:rsidR="000E4B6A" w:rsidRPr="0062487B" w:rsidRDefault="430594C8" w:rsidP="00EB5776">
      <w:pPr>
        <w:pStyle w:val="ListParagraph"/>
        <w:numPr>
          <w:ilvl w:val="0"/>
          <w:numId w:val="7"/>
        </w:numPr>
        <w:rPr>
          <w:rFonts w:asciiTheme="minorHAnsi" w:hAnsiTheme="minorHAnsi" w:cstheme="minorBidi"/>
        </w:rPr>
      </w:pPr>
      <w:r w:rsidRPr="17FA2F59">
        <w:rPr>
          <w:rFonts w:asciiTheme="minorHAnsi" w:hAnsiTheme="minorHAnsi" w:cstheme="minorBidi"/>
          <w:b/>
          <w:bCs/>
        </w:rPr>
        <w:t>Facility 7-Day Risk-Standardized Hospital Visit Rate after Outpatient Colonoscopy:</w:t>
      </w:r>
      <w:r w:rsidR="5918E040" w:rsidRPr="17FA2F59">
        <w:rPr>
          <w:rFonts w:asciiTheme="minorHAnsi" w:hAnsiTheme="minorHAnsi" w:cstheme="minorBidi"/>
          <w:b/>
          <w:bCs/>
        </w:rPr>
        <w:t xml:space="preserve"> </w:t>
      </w:r>
      <w:r w:rsidRPr="17FA2F59">
        <w:rPr>
          <w:rFonts w:asciiTheme="minorHAnsi" w:hAnsiTheme="minorHAnsi" w:cstheme="minorBidi"/>
        </w:rPr>
        <w:t>BWFH will review the rate of risk-standardized, all-cause, unplanned hospital visits within</w:t>
      </w:r>
      <w:r w:rsidR="5918E040" w:rsidRPr="17FA2F59">
        <w:rPr>
          <w:rFonts w:asciiTheme="minorHAnsi" w:hAnsiTheme="minorHAnsi" w:cstheme="minorBidi"/>
        </w:rPr>
        <w:t xml:space="preserve"> </w:t>
      </w:r>
      <w:r w:rsidRPr="17FA2F59">
        <w:rPr>
          <w:rFonts w:asciiTheme="minorHAnsi" w:hAnsiTheme="minorHAnsi" w:cstheme="minorBidi"/>
        </w:rPr>
        <w:t>7 days of an outpatient colonoscopy among Medicare FFS patients aged 65 years and</w:t>
      </w:r>
      <w:r w:rsidR="5918E040" w:rsidRPr="17FA2F59">
        <w:rPr>
          <w:rFonts w:asciiTheme="minorHAnsi" w:hAnsiTheme="minorHAnsi" w:cstheme="minorBidi"/>
        </w:rPr>
        <w:t xml:space="preserve"> </w:t>
      </w:r>
      <w:r w:rsidRPr="17FA2F59">
        <w:rPr>
          <w:rFonts w:asciiTheme="minorHAnsi" w:hAnsiTheme="minorHAnsi" w:cstheme="minorBidi"/>
        </w:rPr>
        <w:t>older, utilizing National Quality Forum (“NQF”) Measure # 2539.</w:t>
      </w:r>
    </w:p>
    <w:p w14:paraId="57321151" w14:textId="74DEFBCA" w:rsidR="000E4B6A" w:rsidRPr="0062487B" w:rsidRDefault="430594C8" w:rsidP="17FA2F59">
      <w:pPr>
        <w:ind w:left="360"/>
        <w:rPr>
          <w:rFonts w:asciiTheme="minorHAnsi" w:hAnsiTheme="minorHAnsi" w:cstheme="minorBidi"/>
        </w:rPr>
      </w:pPr>
      <w:r w:rsidRPr="17FA2F59">
        <w:rPr>
          <w:rFonts w:asciiTheme="minorHAnsi" w:hAnsiTheme="minorHAnsi" w:cstheme="minorBidi"/>
          <w:u w:val="single"/>
        </w:rPr>
        <w:t>Measure:</w:t>
      </w:r>
      <w:r w:rsidRPr="17FA2F59">
        <w:rPr>
          <w:rFonts w:asciiTheme="minorHAnsi" w:hAnsiTheme="minorHAnsi" w:cstheme="minorBidi"/>
        </w:rPr>
        <w:t xml:space="preserve"> The Applicant will collect and provide data related to NQF Measure # 2539 as</w:t>
      </w:r>
      <w:r w:rsidR="324DFDD4" w:rsidRPr="17FA2F59">
        <w:rPr>
          <w:rFonts w:asciiTheme="minorHAnsi" w:hAnsiTheme="minorHAnsi" w:cstheme="minorBidi"/>
        </w:rPr>
        <w:t xml:space="preserve"> </w:t>
      </w:r>
      <w:r w:rsidRPr="17FA2F59">
        <w:rPr>
          <w:rFonts w:asciiTheme="minorHAnsi" w:hAnsiTheme="minorHAnsi" w:cstheme="minorBidi"/>
        </w:rPr>
        <w:t>follows: Numerator = Unplanned hospital visits within 7 days of a qualifying colonoscopy;</w:t>
      </w:r>
      <w:r w:rsidR="324DFDD4" w:rsidRPr="17FA2F59">
        <w:rPr>
          <w:rFonts w:asciiTheme="minorHAnsi" w:hAnsiTheme="minorHAnsi" w:cstheme="minorBidi"/>
        </w:rPr>
        <w:t xml:space="preserve"> </w:t>
      </w:r>
      <w:r w:rsidRPr="17FA2F59">
        <w:rPr>
          <w:rFonts w:asciiTheme="minorHAnsi" w:hAnsiTheme="minorHAnsi" w:cstheme="minorBidi"/>
        </w:rPr>
        <w:t>and Denominator = Colonoscopies performed for Medicare FFS patients aged 65 years</w:t>
      </w:r>
      <w:r w:rsidR="324DFDD4" w:rsidRPr="17FA2F59">
        <w:rPr>
          <w:rFonts w:asciiTheme="minorHAnsi" w:hAnsiTheme="minorHAnsi" w:cstheme="minorBidi"/>
        </w:rPr>
        <w:t xml:space="preserve"> </w:t>
      </w:r>
      <w:r w:rsidRPr="17FA2F59">
        <w:rPr>
          <w:rFonts w:asciiTheme="minorHAnsi" w:hAnsiTheme="minorHAnsi" w:cstheme="minorBidi"/>
        </w:rPr>
        <w:t>and older.</w:t>
      </w:r>
    </w:p>
    <w:p w14:paraId="4C41A1E4" w14:textId="0CEC90CE" w:rsidR="000E4B6A" w:rsidRPr="0062487B" w:rsidRDefault="000E4B6A" w:rsidP="000E4B6A">
      <w:pPr>
        <w:rPr>
          <w:rFonts w:asciiTheme="minorHAnsi" w:hAnsiTheme="minorHAnsi" w:cstheme="minorHAnsi"/>
        </w:rPr>
      </w:pPr>
    </w:p>
    <w:p w14:paraId="72B58BA4" w14:textId="747F78BC" w:rsidR="000E4B6A" w:rsidRPr="0062487B" w:rsidRDefault="000E4B6A" w:rsidP="00EB5776">
      <w:pPr>
        <w:pStyle w:val="ListParagraph"/>
        <w:numPr>
          <w:ilvl w:val="0"/>
          <w:numId w:val="7"/>
        </w:numPr>
        <w:rPr>
          <w:rFonts w:asciiTheme="minorHAnsi" w:hAnsiTheme="minorHAnsi" w:cstheme="minorHAnsi"/>
        </w:rPr>
      </w:pPr>
      <w:r w:rsidRPr="0062487B">
        <w:rPr>
          <w:rFonts w:asciiTheme="minorHAnsi" w:hAnsiTheme="minorHAnsi" w:cstheme="minorHAnsi"/>
          <w:b/>
          <w:bCs/>
        </w:rPr>
        <w:t>Appropriate Follow-Up Interval for Normal Colonoscopy in Average Risk Patients:</w:t>
      </w:r>
      <w:r w:rsidR="00AB1BC5" w:rsidRPr="0062487B">
        <w:rPr>
          <w:rFonts w:asciiTheme="minorHAnsi" w:hAnsiTheme="minorHAnsi" w:cstheme="minorHAnsi"/>
          <w:b/>
          <w:bCs/>
        </w:rPr>
        <w:t xml:space="preserve"> </w:t>
      </w:r>
      <w:r w:rsidRPr="0062487B">
        <w:rPr>
          <w:rFonts w:asciiTheme="minorHAnsi" w:hAnsiTheme="minorHAnsi" w:cstheme="minorHAnsi"/>
        </w:rPr>
        <w:t>BWFH will review the total number of patients receiving screening colonoscopy and the</w:t>
      </w:r>
      <w:r w:rsidR="00AB1BC5" w:rsidRPr="0062487B">
        <w:rPr>
          <w:rFonts w:asciiTheme="minorHAnsi" w:hAnsiTheme="minorHAnsi" w:cstheme="minorHAnsi"/>
        </w:rPr>
        <w:t xml:space="preserve"> </w:t>
      </w:r>
      <w:r w:rsidRPr="0062487B">
        <w:rPr>
          <w:rFonts w:asciiTheme="minorHAnsi" w:hAnsiTheme="minorHAnsi" w:cstheme="minorHAnsi"/>
        </w:rPr>
        <w:t xml:space="preserve">percentage with the appropriate follow-up interval as specified in NQF </w:t>
      </w:r>
      <w:r w:rsidR="00FF75A5">
        <w:rPr>
          <w:rFonts w:asciiTheme="minorHAnsi" w:hAnsiTheme="minorHAnsi" w:cstheme="minorHAnsi"/>
        </w:rPr>
        <w:t xml:space="preserve">Measure # </w:t>
      </w:r>
      <w:r w:rsidRPr="0062487B">
        <w:rPr>
          <w:rFonts w:asciiTheme="minorHAnsi" w:hAnsiTheme="minorHAnsi" w:cstheme="minorHAnsi"/>
        </w:rPr>
        <w:t>0658.</w:t>
      </w:r>
    </w:p>
    <w:p w14:paraId="6A7BF4AB" w14:textId="724ABC20" w:rsidR="000E4B6A" w:rsidRPr="0062487B" w:rsidRDefault="000E4B6A" w:rsidP="00AB1BC5">
      <w:pPr>
        <w:ind w:left="360"/>
        <w:rPr>
          <w:rFonts w:asciiTheme="minorHAnsi" w:hAnsiTheme="minorHAnsi" w:cstheme="minorHAnsi"/>
        </w:rPr>
      </w:pPr>
      <w:r w:rsidRPr="0062487B">
        <w:rPr>
          <w:rFonts w:asciiTheme="minorHAnsi" w:hAnsiTheme="minorHAnsi" w:cstheme="minorHAnsi"/>
          <w:u w:val="single"/>
        </w:rPr>
        <w:t>Measure:</w:t>
      </w:r>
      <w:r w:rsidRPr="0062487B">
        <w:rPr>
          <w:rFonts w:asciiTheme="minorHAnsi" w:hAnsiTheme="minorHAnsi" w:cstheme="minorHAnsi"/>
        </w:rPr>
        <w:t xml:space="preserve"> The Applicant will collect and provide data related to NQF Measure # 0658 as</w:t>
      </w:r>
      <w:r w:rsidR="00900C64" w:rsidRPr="0062487B">
        <w:rPr>
          <w:rFonts w:asciiTheme="minorHAnsi" w:hAnsiTheme="minorHAnsi" w:cstheme="minorHAnsi"/>
        </w:rPr>
        <w:t xml:space="preserve"> </w:t>
      </w:r>
      <w:r w:rsidRPr="0062487B">
        <w:rPr>
          <w:rFonts w:asciiTheme="minorHAnsi" w:hAnsiTheme="minorHAnsi" w:cstheme="minorHAnsi"/>
        </w:rPr>
        <w:t>follows: Numerator = Patients who had a recommended follow-up interval of at least 10</w:t>
      </w:r>
      <w:r w:rsidR="00900C64" w:rsidRPr="0062487B">
        <w:rPr>
          <w:rFonts w:asciiTheme="minorHAnsi" w:hAnsiTheme="minorHAnsi" w:cstheme="minorHAnsi"/>
        </w:rPr>
        <w:t xml:space="preserve"> </w:t>
      </w:r>
      <w:r w:rsidRPr="0062487B">
        <w:rPr>
          <w:rFonts w:asciiTheme="minorHAnsi" w:hAnsiTheme="minorHAnsi" w:cstheme="minorHAnsi"/>
        </w:rPr>
        <w:t>years for repeat colonoscopy documented in their colonoscopy report; and Denominator</w:t>
      </w:r>
      <w:r w:rsidR="00900C64" w:rsidRPr="0062487B">
        <w:rPr>
          <w:rFonts w:asciiTheme="minorHAnsi" w:hAnsiTheme="minorHAnsi" w:cstheme="minorHAnsi"/>
        </w:rPr>
        <w:t xml:space="preserve"> </w:t>
      </w:r>
      <w:r w:rsidRPr="0062487B">
        <w:rPr>
          <w:rFonts w:asciiTheme="minorHAnsi" w:hAnsiTheme="minorHAnsi" w:cstheme="minorHAnsi"/>
        </w:rPr>
        <w:t>= All patients aged 50 years and older receiving screening colonoscopy without biopsy or</w:t>
      </w:r>
      <w:r w:rsidR="00900C64" w:rsidRPr="0062487B">
        <w:rPr>
          <w:rFonts w:asciiTheme="minorHAnsi" w:hAnsiTheme="minorHAnsi" w:cstheme="minorHAnsi"/>
        </w:rPr>
        <w:t xml:space="preserve"> </w:t>
      </w:r>
      <w:r w:rsidRPr="0062487B">
        <w:rPr>
          <w:rFonts w:asciiTheme="minorHAnsi" w:hAnsiTheme="minorHAnsi" w:cstheme="minorHAnsi"/>
        </w:rPr>
        <w:t>polypectomy. To be reported by age and race/ethnicity.</w:t>
      </w:r>
    </w:p>
    <w:p w14:paraId="0BFD425B" w14:textId="0DE742AD" w:rsidR="000E4B6A" w:rsidRPr="0062487B" w:rsidRDefault="000E4B6A" w:rsidP="000E4B6A">
      <w:pPr>
        <w:rPr>
          <w:rFonts w:asciiTheme="minorHAnsi" w:hAnsiTheme="minorHAnsi" w:cstheme="minorHAnsi"/>
        </w:rPr>
      </w:pPr>
    </w:p>
    <w:p w14:paraId="7BF5A15D" w14:textId="46FA8BD2" w:rsidR="000E4B6A" w:rsidRPr="0062487B" w:rsidRDefault="00F2423C" w:rsidP="000E4B6A">
      <w:pPr>
        <w:rPr>
          <w:rFonts w:asciiTheme="minorHAnsi" w:hAnsiTheme="minorHAnsi" w:cstheme="minorHAnsi"/>
          <w:u w:val="single"/>
        </w:rPr>
      </w:pPr>
      <w:r w:rsidRPr="0062487B">
        <w:rPr>
          <w:rFonts w:asciiTheme="minorHAnsi" w:hAnsiTheme="minorHAnsi" w:cstheme="minorHAnsi"/>
          <w:u w:val="single"/>
        </w:rPr>
        <w:t>Addition of 3T MRI Imaging</w:t>
      </w:r>
    </w:p>
    <w:p w14:paraId="3176FC7F" w14:textId="22D7C0DD" w:rsidR="004809EF" w:rsidRPr="0062487B" w:rsidRDefault="004809EF" w:rsidP="00EB5776">
      <w:pPr>
        <w:pStyle w:val="ListParagraph"/>
        <w:numPr>
          <w:ilvl w:val="0"/>
          <w:numId w:val="8"/>
        </w:numPr>
        <w:rPr>
          <w:rFonts w:asciiTheme="minorHAnsi" w:hAnsiTheme="minorHAnsi" w:cstheme="minorHAnsi"/>
        </w:rPr>
      </w:pPr>
      <w:r w:rsidRPr="0062487B">
        <w:rPr>
          <w:rFonts w:asciiTheme="minorHAnsi" w:hAnsiTheme="minorHAnsi" w:cstheme="minorHAnsi"/>
          <w:b/>
          <w:bCs/>
        </w:rPr>
        <w:t>Wait Times:</w:t>
      </w:r>
      <w:r w:rsidRPr="0062487B">
        <w:rPr>
          <w:rFonts w:asciiTheme="minorHAnsi" w:hAnsiTheme="minorHAnsi" w:cstheme="minorHAnsi"/>
        </w:rPr>
        <w:t xml:space="preserve"> The Proposed Project seeks to ensure timely access to MRI services for</w:t>
      </w:r>
      <w:r w:rsidR="00AB1BC5" w:rsidRPr="0062487B">
        <w:rPr>
          <w:rFonts w:asciiTheme="minorHAnsi" w:hAnsiTheme="minorHAnsi" w:cstheme="minorHAnsi"/>
        </w:rPr>
        <w:t xml:space="preserve"> </w:t>
      </w:r>
      <w:r w:rsidRPr="0062487B">
        <w:rPr>
          <w:rFonts w:asciiTheme="minorHAnsi" w:hAnsiTheme="minorHAnsi" w:cstheme="minorHAnsi"/>
        </w:rPr>
        <w:t xml:space="preserve">outpatient, </w:t>
      </w:r>
      <w:proofErr w:type="gramStart"/>
      <w:r w:rsidRPr="0062487B">
        <w:rPr>
          <w:rFonts w:asciiTheme="minorHAnsi" w:hAnsiTheme="minorHAnsi" w:cstheme="minorHAnsi"/>
        </w:rPr>
        <w:t>inpatient</w:t>
      </w:r>
      <w:proofErr w:type="gramEnd"/>
      <w:r w:rsidRPr="0062487B">
        <w:rPr>
          <w:rFonts w:asciiTheme="minorHAnsi" w:hAnsiTheme="minorHAnsi" w:cstheme="minorHAnsi"/>
        </w:rPr>
        <w:t xml:space="preserve"> and ED requests, as well as timely reporting of results.</w:t>
      </w:r>
    </w:p>
    <w:p w14:paraId="08282733" w14:textId="6812663C" w:rsidR="00F83160" w:rsidRPr="0062487B" w:rsidRDefault="004809EF" w:rsidP="00EB5776">
      <w:pPr>
        <w:pStyle w:val="ListParagraph"/>
        <w:numPr>
          <w:ilvl w:val="0"/>
          <w:numId w:val="9"/>
        </w:numPr>
        <w:rPr>
          <w:rFonts w:asciiTheme="minorHAnsi" w:hAnsiTheme="minorHAnsi" w:cstheme="minorHAnsi"/>
        </w:rPr>
      </w:pPr>
      <w:r w:rsidRPr="0062487B">
        <w:rPr>
          <w:rFonts w:asciiTheme="minorHAnsi" w:hAnsiTheme="minorHAnsi" w:cstheme="minorHAnsi"/>
          <w:b/>
          <w:bCs/>
        </w:rPr>
        <w:t>Outpatient Wait Times:</w:t>
      </w:r>
      <w:r w:rsidRPr="0062487B">
        <w:rPr>
          <w:rFonts w:asciiTheme="minorHAnsi" w:hAnsiTheme="minorHAnsi" w:cstheme="minorHAnsi"/>
        </w:rPr>
        <w:t xml:space="preserve"> Time interval (in days) from when the case was initiated for</w:t>
      </w:r>
      <w:r w:rsidR="00AB1BC5" w:rsidRPr="0062487B">
        <w:rPr>
          <w:rFonts w:asciiTheme="minorHAnsi" w:hAnsiTheme="minorHAnsi" w:cstheme="minorHAnsi"/>
        </w:rPr>
        <w:t xml:space="preserve"> </w:t>
      </w:r>
      <w:r w:rsidRPr="0062487B">
        <w:rPr>
          <w:rFonts w:asciiTheme="minorHAnsi" w:hAnsiTheme="minorHAnsi" w:cstheme="minorHAnsi"/>
        </w:rPr>
        <w:t>scheduling in EPIC to the next available outpatient appointment.</w:t>
      </w:r>
      <w:r w:rsidR="00AB1BC5" w:rsidRPr="0062487B">
        <w:rPr>
          <w:rFonts w:asciiTheme="minorHAnsi" w:hAnsiTheme="minorHAnsi" w:cstheme="minorHAnsi"/>
        </w:rPr>
        <w:t xml:space="preserve"> </w:t>
      </w:r>
    </w:p>
    <w:p w14:paraId="5A7B75F4" w14:textId="3A255747" w:rsidR="00F2423C" w:rsidRPr="0062487B" w:rsidRDefault="004809EF" w:rsidP="00AB1BC5">
      <w:pPr>
        <w:ind w:left="720"/>
        <w:rPr>
          <w:rFonts w:asciiTheme="minorHAnsi" w:hAnsiTheme="minorHAnsi" w:cstheme="minorHAnsi"/>
        </w:rPr>
      </w:pPr>
      <w:r w:rsidRPr="0062487B">
        <w:rPr>
          <w:rFonts w:asciiTheme="minorHAnsi" w:hAnsiTheme="minorHAnsi" w:cstheme="minorHAnsi"/>
          <w:u w:val="single"/>
        </w:rPr>
        <w:lastRenderedPageBreak/>
        <w:t>Measure:</w:t>
      </w:r>
      <w:r w:rsidRPr="0062487B">
        <w:rPr>
          <w:rFonts w:asciiTheme="minorHAnsi" w:hAnsiTheme="minorHAnsi" w:cstheme="minorHAnsi"/>
        </w:rPr>
        <w:t xml:space="preserve"> The Applicant will collect and provide the following: (a) Median number of</w:t>
      </w:r>
      <w:r w:rsidR="00900C64" w:rsidRPr="0062487B">
        <w:rPr>
          <w:rFonts w:asciiTheme="minorHAnsi" w:hAnsiTheme="minorHAnsi" w:cstheme="minorHAnsi"/>
        </w:rPr>
        <w:t xml:space="preserve"> </w:t>
      </w:r>
      <w:r w:rsidRPr="0062487B">
        <w:rPr>
          <w:rFonts w:asciiTheme="minorHAnsi" w:hAnsiTheme="minorHAnsi" w:cstheme="minorHAnsi"/>
        </w:rPr>
        <w:t>days between ordering elective MRI and imaging test performed; (b) Median number</w:t>
      </w:r>
      <w:r w:rsidR="00900C64" w:rsidRPr="0062487B">
        <w:rPr>
          <w:rFonts w:asciiTheme="minorHAnsi" w:hAnsiTheme="minorHAnsi" w:cstheme="minorHAnsi"/>
        </w:rPr>
        <w:t xml:space="preserve"> </w:t>
      </w:r>
      <w:r w:rsidRPr="0062487B">
        <w:rPr>
          <w:rFonts w:asciiTheme="minorHAnsi" w:hAnsiTheme="minorHAnsi" w:cstheme="minorHAnsi"/>
        </w:rPr>
        <w:t>of hours from the completion of a patient's MRI service to finalization of radiology</w:t>
      </w:r>
      <w:r w:rsidR="00900C64" w:rsidRPr="0062487B">
        <w:rPr>
          <w:rFonts w:asciiTheme="minorHAnsi" w:hAnsiTheme="minorHAnsi" w:cstheme="minorHAnsi"/>
        </w:rPr>
        <w:t xml:space="preserve"> </w:t>
      </w:r>
      <w:r w:rsidRPr="0062487B">
        <w:rPr>
          <w:rFonts w:asciiTheme="minorHAnsi" w:hAnsiTheme="minorHAnsi" w:cstheme="minorHAnsi"/>
        </w:rPr>
        <w:t xml:space="preserve">report; and (c) Any policy changes instituted </w:t>
      </w:r>
      <w:proofErr w:type="gramStart"/>
      <w:r w:rsidRPr="0062487B">
        <w:rPr>
          <w:rFonts w:asciiTheme="minorHAnsi" w:hAnsiTheme="minorHAnsi" w:cstheme="minorHAnsi"/>
        </w:rPr>
        <w:t>as a result of</w:t>
      </w:r>
      <w:proofErr w:type="gramEnd"/>
      <w:r w:rsidRPr="0062487B">
        <w:rPr>
          <w:rFonts w:asciiTheme="minorHAnsi" w:hAnsiTheme="minorHAnsi" w:cstheme="minorHAnsi"/>
        </w:rPr>
        <w:t xml:space="preserve"> evaluation of increasing</w:t>
      </w:r>
      <w:r w:rsidR="00900C64" w:rsidRPr="0062487B">
        <w:rPr>
          <w:rFonts w:asciiTheme="minorHAnsi" w:hAnsiTheme="minorHAnsi" w:cstheme="minorHAnsi"/>
        </w:rPr>
        <w:t xml:space="preserve"> </w:t>
      </w:r>
      <w:r w:rsidRPr="0062487B">
        <w:rPr>
          <w:rFonts w:asciiTheme="minorHAnsi" w:hAnsiTheme="minorHAnsi" w:cstheme="minorHAnsi"/>
        </w:rPr>
        <w:t>days or hours.</w:t>
      </w:r>
      <w:r w:rsidR="000862CA" w:rsidRPr="0062487B">
        <w:rPr>
          <w:rFonts w:asciiTheme="minorHAnsi" w:hAnsiTheme="minorHAnsi" w:cstheme="minorHAnsi"/>
        </w:rPr>
        <w:t xml:space="preserve"> This measure will not have a numerator/denominator.</w:t>
      </w:r>
    </w:p>
    <w:p w14:paraId="1F3A4D1C" w14:textId="6EBAE34E" w:rsidR="004809EF" w:rsidRPr="0062487B" w:rsidRDefault="004809EF" w:rsidP="00EB5776">
      <w:pPr>
        <w:pStyle w:val="ListParagraph"/>
        <w:numPr>
          <w:ilvl w:val="0"/>
          <w:numId w:val="9"/>
        </w:numPr>
        <w:rPr>
          <w:rFonts w:asciiTheme="minorHAnsi" w:hAnsiTheme="minorHAnsi" w:cstheme="minorHAnsi"/>
        </w:rPr>
      </w:pPr>
      <w:r w:rsidRPr="0062487B">
        <w:rPr>
          <w:rFonts w:asciiTheme="minorHAnsi" w:hAnsiTheme="minorHAnsi" w:cstheme="minorHAnsi"/>
          <w:b/>
          <w:bCs/>
        </w:rPr>
        <w:t>Inpatient/ED Wait Times:</w:t>
      </w:r>
      <w:r w:rsidRPr="0062487B">
        <w:rPr>
          <w:rFonts w:asciiTheme="minorHAnsi" w:hAnsiTheme="minorHAnsi" w:cstheme="minorHAnsi"/>
        </w:rPr>
        <w:t xml:space="preserve"> Time interval (in minutes/hours) between the exam order</w:t>
      </w:r>
      <w:r w:rsidR="00AB1BC5" w:rsidRPr="0062487B">
        <w:rPr>
          <w:rFonts w:asciiTheme="minorHAnsi" w:hAnsiTheme="minorHAnsi" w:cstheme="minorHAnsi"/>
        </w:rPr>
        <w:t xml:space="preserve"> </w:t>
      </w:r>
      <w:r w:rsidRPr="0062487B">
        <w:rPr>
          <w:rFonts w:asciiTheme="minorHAnsi" w:hAnsiTheme="minorHAnsi" w:cstheme="minorHAnsi"/>
        </w:rPr>
        <w:t>generation to completion of the exam.</w:t>
      </w:r>
    </w:p>
    <w:p w14:paraId="1AACE70B" w14:textId="45921483" w:rsidR="004809EF" w:rsidRPr="0062487B" w:rsidRDefault="004809EF" w:rsidP="00AB1BC5">
      <w:pPr>
        <w:ind w:left="720"/>
        <w:rPr>
          <w:rFonts w:asciiTheme="minorHAnsi" w:hAnsiTheme="minorHAnsi" w:cstheme="minorHAnsi"/>
        </w:rPr>
      </w:pPr>
      <w:r w:rsidRPr="0062487B">
        <w:rPr>
          <w:rFonts w:asciiTheme="minorHAnsi" w:hAnsiTheme="minorHAnsi" w:cstheme="minorHAnsi"/>
          <w:u w:val="single"/>
        </w:rPr>
        <w:t>Measure:</w:t>
      </w:r>
      <w:r w:rsidRPr="0062487B">
        <w:rPr>
          <w:rFonts w:asciiTheme="minorHAnsi" w:hAnsiTheme="minorHAnsi" w:cstheme="minorHAnsi"/>
        </w:rPr>
        <w:t xml:space="preserve"> The Applicant will collect and provide the following: (a) Median time between</w:t>
      </w:r>
      <w:r w:rsidR="00900C64" w:rsidRPr="0062487B">
        <w:rPr>
          <w:rFonts w:asciiTheme="minorHAnsi" w:hAnsiTheme="minorHAnsi" w:cstheme="minorHAnsi"/>
        </w:rPr>
        <w:t xml:space="preserve"> </w:t>
      </w:r>
    </w:p>
    <w:p w14:paraId="176619CD" w14:textId="0B60642E" w:rsidR="004809EF" w:rsidRPr="0062487B" w:rsidRDefault="69E38C80" w:rsidP="17FA2F59">
      <w:pPr>
        <w:ind w:left="720"/>
        <w:rPr>
          <w:rFonts w:asciiTheme="minorHAnsi" w:hAnsiTheme="minorHAnsi" w:cstheme="minorBidi"/>
        </w:rPr>
      </w:pPr>
      <w:r w:rsidRPr="17FA2F59">
        <w:rPr>
          <w:rFonts w:asciiTheme="minorHAnsi" w:hAnsiTheme="minorHAnsi" w:cstheme="minorBidi"/>
        </w:rPr>
        <w:t>ordering inpatient/ED MRI (reported separately) and imaging test performed; (b) Median time from the</w:t>
      </w:r>
      <w:r w:rsidR="324DFDD4" w:rsidRPr="17FA2F59">
        <w:rPr>
          <w:rFonts w:asciiTheme="minorHAnsi" w:hAnsiTheme="minorHAnsi" w:cstheme="minorBidi"/>
        </w:rPr>
        <w:t xml:space="preserve"> </w:t>
      </w:r>
      <w:r w:rsidRPr="17FA2F59">
        <w:rPr>
          <w:rFonts w:asciiTheme="minorHAnsi" w:hAnsiTheme="minorHAnsi" w:cstheme="minorBidi"/>
        </w:rPr>
        <w:t>completion of a patient's MRI service to finalization of radiology report; and (c) Any</w:t>
      </w:r>
      <w:r w:rsidR="324DFDD4" w:rsidRPr="17FA2F59">
        <w:rPr>
          <w:rFonts w:asciiTheme="minorHAnsi" w:hAnsiTheme="minorHAnsi" w:cstheme="minorBidi"/>
        </w:rPr>
        <w:t xml:space="preserve"> </w:t>
      </w:r>
      <w:r w:rsidRPr="17FA2F59">
        <w:rPr>
          <w:rFonts w:asciiTheme="minorHAnsi" w:hAnsiTheme="minorHAnsi" w:cstheme="minorBidi"/>
        </w:rPr>
        <w:t xml:space="preserve">policy changes instituted </w:t>
      </w:r>
      <w:proofErr w:type="gramStart"/>
      <w:r w:rsidRPr="17FA2F59">
        <w:rPr>
          <w:rFonts w:asciiTheme="minorHAnsi" w:hAnsiTheme="minorHAnsi" w:cstheme="minorBidi"/>
        </w:rPr>
        <w:t>as a result of</w:t>
      </w:r>
      <w:proofErr w:type="gramEnd"/>
      <w:r w:rsidRPr="17FA2F59">
        <w:rPr>
          <w:rFonts w:asciiTheme="minorHAnsi" w:hAnsiTheme="minorHAnsi" w:cstheme="minorBidi"/>
        </w:rPr>
        <w:t xml:space="preserve"> evaluation of increasing time.</w:t>
      </w:r>
      <w:r w:rsidR="51ED2BBE" w:rsidRPr="17FA2F59">
        <w:rPr>
          <w:rFonts w:asciiTheme="minorHAnsi" w:hAnsiTheme="minorHAnsi" w:cstheme="minorBidi"/>
        </w:rPr>
        <w:t xml:space="preserve"> This measure will not have a numerator/denominator.</w:t>
      </w:r>
    </w:p>
    <w:p w14:paraId="67C12636" w14:textId="77E3D555" w:rsidR="004809EF" w:rsidRPr="0062487B" w:rsidRDefault="004809EF" w:rsidP="004809EF">
      <w:pPr>
        <w:rPr>
          <w:rFonts w:asciiTheme="minorHAnsi" w:hAnsiTheme="minorHAnsi" w:cstheme="minorHAnsi"/>
        </w:rPr>
      </w:pPr>
    </w:p>
    <w:p w14:paraId="48B09DA0" w14:textId="315B699C" w:rsidR="004809EF" w:rsidRPr="0062487B" w:rsidRDefault="004809EF" w:rsidP="00EB5776">
      <w:pPr>
        <w:pStyle w:val="ListParagraph"/>
        <w:numPr>
          <w:ilvl w:val="0"/>
          <w:numId w:val="8"/>
        </w:numPr>
        <w:rPr>
          <w:rFonts w:asciiTheme="minorHAnsi" w:hAnsiTheme="minorHAnsi" w:cstheme="minorHAnsi"/>
        </w:rPr>
      </w:pPr>
      <w:r w:rsidRPr="0062487B">
        <w:rPr>
          <w:rFonts w:asciiTheme="minorHAnsi" w:hAnsiTheme="minorHAnsi" w:cstheme="minorHAnsi"/>
          <w:b/>
          <w:bCs/>
        </w:rPr>
        <w:t>Important Finding Alert (“IFA”):</w:t>
      </w:r>
      <w:r w:rsidRPr="0062487B">
        <w:rPr>
          <w:rFonts w:asciiTheme="minorHAnsi" w:hAnsiTheme="minorHAnsi" w:cstheme="minorHAnsi"/>
        </w:rPr>
        <w:t xml:space="preserve"> BWFH will review the percentage of MRI scans that</w:t>
      </w:r>
      <w:r w:rsidR="00AB1BC5" w:rsidRPr="0062487B">
        <w:rPr>
          <w:rFonts w:asciiTheme="minorHAnsi" w:hAnsiTheme="minorHAnsi" w:cstheme="minorHAnsi"/>
        </w:rPr>
        <w:t xml:space="preserve"> </w:t>
      </w:r>
      <w:r w:rsidRPr="0062487B">
        <w:rPr>
          <w:rFonts w:asciiTheme="minorHAnsi" w:hAnsiTheme="minorHAnsi" w:cstheme="minorHAnsi"/>
        </w:rPr>
        <w:t>triggered an IFA that the radiologist conducted a critical value report.</w:t>
      </w:r>
      <w:r w:rsidR="00AB1BC5" w:rsidRPr="0062487B">
        <w:rPr>
          <w:rFonts w:asciiTheme="minorHAnsi" w:hAnsiTheme="minorHAnsi" w:cstheme="minorHAnsi"/>
        </w:rPr>
        <w:t xml:space="preserve"> </w:t>
      </w:r>
    </w:p>
    <w:p w14:paraId="7A7C1769" w14:textId="73C7F38E" w:rsidR="004809EF" w:rsidRPr="0062487B" w:rsidRDefault="004809EF" w:rsidP="00AB1BC5">
      <w:pPr>
        <w:ind w:left="360"/>
        <w:rPr>
          <w:rFonts w:asciiTheme="minorHAnsi" w:hAnsiTheme="minorHAnsi" w:cstheme="minorHAnsi"/>
        </w:rPr>
      </w:pPr>
      <w:r w:rsidRPr="0062487B">
        <w:rPr>
          <w:rFonts w:asciiTheme="minorHAnsi" w:hAnsiTheme="minorHAnsi" w:cstheme="minorHAnsi"/>
          <w:u w:val="single"/>
        </w:rPr>
        <w:t>Measure:</w:t>
      </w:r>
      <w:r w:rsidRPr="0062487B">
        <w:rPr>
          <w:rFonts w:asciiTheme="minorHAnsi" w:hAnsiTheme="minorHAnsi" w:cstheme="minorHAnsi"/>
        </w:rPr>
        <w:t xml:space="preserve"> The Applicant will collect and provide the following data: (a) % of IFAs where a</w:t>
      </w:r>
      <w:r w:rsidR="00900C64" w:rsidRPr="0062487B">
        <w:rPr>
          <w:rFonts w:asciiTheme="minorHAnsi" w:hAnsiTheme="minorHAnsi" w:cstheme="minorHAnsi"/>
        </w:rPr>
        <w:t xml:space="preserve"> </w:t>
      </w:r>
      <w:r w:rsidRPr="0062487B">
        <w:rPr>
          <w:rFonts w:asciiTheme="minorHAnsi" w:hAnsiTheme="minorHAnsi" w:cstheme="minorHAnsi"/>
        </w:rPr>
        <w:t>critical value report was indicated; (b) % of critical value reports radiologists performed</w:t>
      </w:r>
      <w:r w:rsidR="00900C64" w:rsidRPr="0062487B">
        <w:rPr>
          <w:rFonts w:asciiTheme="minorHAnsi" w:hAnsiTheme="minorHAnsi" w:cstheme="minorHAnsi"/>
        </w:rPr>
        <w:t xml:space="preserve"> </w:t>
      </w:r>
      <w:r w:rsidRPr="0062487B">
        <w:rPr>
          <w:rFonts w:asciiTheme="minorHAnsi" w:hAnsiTheme="minorHAnsi" w:cstheme="minorHAnsi"/>
        </w:rPr>
        <w:t xml:space="preserve">over the total number of IFAs; and (c) Any policy changes instituted </w:t>
      </w:r>
      <w:proofErr w:type="gramStart"/>
      <w:r w:rsidRPr="0062487B">
        <w:rPr>
          <w:rFonts w:asciiTheme="minorHAnsi" w:hAnsiTheme="minorHAnsi" w:cstheme="minorHAnsi"/>
        </w:rPr>
        <w:t>as a result of</w:t>
      </w:r>
      <w:proofErr w:type="gramEnd"/>
      <w:r w:rsidR="00900C64" w:rsidRPr="0062487B">
        <w:rPr>
          <w:rFonts w:asciiTheme="minorHAnsi" w:hAnsiTheme="minorHAnsi" w:cstheme="minorHAnsi"/>
        </w:rPr>
        <w:t xml:space="preserve"> </w:t>
      </w:r>
      <w:r w:rsidRPr="0062487B">
        <w:rPr>
          <w:rFonts w:asciiTheme="minorHAnsi" w:hAnsiTheme="minorHAnsi" w:cstheme="minorHAnsi"/>
        </w:rPr>
        <w:t>increasing critical value reporting.</w:t>
      </w:r>
      <w:r w:rsidR="001A1B0A" w:rsidRPr="0062487B">
        <w:rPr>
          <w:rFonts w:asciiTheme="minorHAnsi" w:hAnsiTheme="minorHAnsi" w:cstheme="minorHAnsi"/>
        </w:rPr>
        <w:t xml:space="preserve"> The Applicant will collect and submit data as follows: (1) Numerator = Number of IFA; Denominator = Number of MRI exams performed; (2) Numerator = Number of critical value reports conducted; Denominator = Number of IFAs.</w:t>
      </w:r>
    </w:p>
    <w:p w14:paraId="4D301D70" w14:textId="49E62BE7" w:rsidR="004809EF" w:rsidRPr="0062487B" w:rsidRDefault="004809EF" w:rsidP="004809EF">
      <w:pPr>
        <w:rPr>
          <w:rFonts w:asciiTheme="minorHAnsi" w:hAnsiTheme="minorHAnsi" w:cstheme="minorHAnsi"/>
        </w:rPr>
      </w:pPr>
    </w:p>
    <w:p w14:paraId="780DAD43" w14:textId="33DE469F" w:rsidR="004809EF" w:rsidRPr="0062487B" w:rsidRDefault="004809EF" w:rsidP="00EB5776">
      <w:pPr>
        <w:pStyle w:val="ListParagraph"/>
        <w:numPr>
          <w:ilvl w:val="0"/>
          <w:numId w:val="8"/>
        </w:numPr>
        <w:rPr>
          <w:rFonts w:asciiTheme="minorHAnsi" w:hAnsiTheme="minorHAnsi" w:cstheme="minorHAnsi"/>
        </w:rPr>
      </w:pPr>
      <w:r w:rsidRPr="0062487B">
        <w:rPr>
          <w:rFonts w:asciiTheme="minorHAnsi" w:hAnsiTheme="minorHAnsi" w:cstheme="minorHAnsi"/>
          <w:b/>
          <w:bCs/>
        </w:rPr>
        <w:t>Imaging Efficiency Measures:</w:t>
      </w:r>
      <w:r w:rsidRPr="0062487B">
        <w:rPr>
          <w:rFonts w:asciiTheme="minorHAnsi" w:hAnsiTheme="minorHAnsi" w:cstheme="minorHAnsi"/>
        </w:rPr>
        <w:t xml:space="preserve"> As is required for payment determinations, the Applicant</w:t>
      </w:r>
      <w:r w:rsidR="00AB1BC5" w:rsidRPr="0062487B">
        <w:rPr>
          <w:rFonts w:asciiTheme="minorHAnsi" w:hAnsiTheme="minorHAnsi" w:cstheme="minorHAnsi"/>
        </w:rPr>
        <w:t xml:space="preserve"> </w:t>
      </w:r>
      <w:r w:rsidRPr="0062487B">
        <w:rPr>
          <w:rFonts w:asciiTheme="minorHAnsi" w:hAnsiTheme="minorHAnsi" w:cstheme="minorHAnsi"/>
        </w:rPr>
        <w:t>will report on one Centers for Medicare and Medicaid (“CMS”) Outpatient Imaging</w:t>
      </w:r>
      <w:r w:rsidR="00AB1BC5" w:rsidRPr="0062487B">
        <w:rPr>
          <w:rFonts w:asciiTheme="minorHAnsi" w:hAnsiTheme="minorHAnsi" w:cstheme="minorHAnsi"/>
        </w:rPr>
        <w:t xml:space="preserve"> </w:t>
      </w:r>
      <w:r w:rsidRPr="0062487B">
        <w:rPr>
          <w:rFonts w:asciiTheme="minorHAnsi" w:hAnsiTheme="minorHAnsi" w:cstheme="minorHAnsi"/>
        </w:rPr>
        <w:t>Efficiency (“OIE”) measure that is publicly reported within the Hospital Outpatient Quality</w:t>
      </w:r>
      <w:r w:rsidR="00AB1BC5" w:rsidRPr="0062487B">
        <w:rPr>
          <w:rFonts w:asciiTheme="minorHAnsi" w:hAnsiTheme="minorHAnsi" w:cstheme="minorHAnsi"/>
        </w:rPr>
        <w:t xml:space="preserve"> </w:t>
      </w:r>
      <w:r w:rsidRPr="0062487B">
        <w:rPr>
          <w:rFonts w:asciiTheme="minorHAnsi" w:hAnsiTheme="minorHAnsi" w:cstheme="minorHAnsi"/>
        </w:rPr>
        <w:t>Reporting Program.</w:t>
      </w:r>
    </w:p>
    <w:p w14:paraId="1E2F0B12" w14:textId="7F9BE13B" w:rsidR="004809EF" w:rsidRPr="0062487B" w:rsidRDefault="004809EF" w:rsidP="00AB1BC5">
      <w:pPr>
        <w:ind w:left="360"/>
        <w:rPr>
          <w:rFonts w:asciiTheme="minorHAnsi" w:hAnsiTheme="minorHAnsi" w:cstheme="minorHAnsi"/>
        </w:rPr>
      </w:pPr>
      <w:r w:rsidRPr="0062487B">
        <w:rPr>
          <w:rFonts w:asciiTheme="minorHAnsi" w:hAnsiTheme="minorHAnsi" w:cstheme="minorHAnsi"/>
          <w:u w:val="single"/>
        </w:rPr>
        <w:t>Measure:</w:t>
      </w:r>
      <w:r w:rsidRPr="0062487B">
        <w:rPr>
          <w:rFonts w:asciiTheme="minorHAnsi" w:hAnsiTheme="minorHAnsi" w:cstheme="minorHAnsi"/>
        </w:rPr>
        <w:t xml:space="preserve"> MRI Lumbar Spine for Low Back Pain (OP-8). This publicly reported OIE</w:t>
      </w:r>
      <w:r w:rsidR="00900C64" w:rsidRPr="0062487B">
        <w:rPr>
          <w:rFonts w:asciiTheme="minorHAnsi" w:hAnsiTheme="minorHAnsi" w:cstheme="minorHAnsi"/>
        </w:rPr>
        <w:t xml:space="preserve"> </w:t>
      </w:r>
      <w:r w:rsidRPr="0062487B">
        <w:rPr>
          <w:rFonts w:asciiTheme="minorHAnsi" w:hAnsiTheme="minorHAnsi" w:cstheme="minorHAnsi"/>
        </w:rPr>
        <w:t>measure is calculated using data from hospital outpatient claims paid under Medicare’s</w:t>
      </w:r>
      <w:r w:rsidR="00900C64" w:rsidRPr="0062487B">
        <w:rPr>
          <w:rFonts w:asciiTheme="minorHAnsi" w:hAnsiTheme="minorHAnsi" w:cstheme="minorHAnsi"/>
        </w:rPr>
        <w:t xml:space="preserve"> </w:t>
      </w:r>
      <w:r w:rsidRPr="0062487B">
        <w:rPr>
          <w:rFonts w:asciiTheme="minorHAnsi" w:hAnsiTheme="minorHAnsi" w:cstheme="minorHAnsi"/>
        </w:rPr>
        <w:t>Outpatient Prospective Payment System (“OPPS”).</w:t>
      </w:r>
      <w:r w:rsidR="001A1B0A" w:rsidRPr="0062487B">
        <w:rPr>
          <w:rFonts w:asciiTheme="minorHAnsi" w:hAnsiTheme="minorHAnsi" w:cstheme="minorHAnsi"/>
        </w:rPr>
        <w:t xml:space="preserve"> The Applicant will collect and provide the following: </w:t>
      </w:r>
      <w:r w:rsidR="001A1B0A" w:rsidRPr="0062487B">
        <w:rPr>
          <w:rFonts w:asciiTheme="minorHAnsi" w:hAnsiTheme="minorHAnsi" w:cstheme="minorHAnsi"/>
          <w:b/>
          <w:bCs/>
          <w:kern w:val="2"/>
        </w:rPr>
        <w:t xml:space="preserve"> </w:t>
      </w:r>
      <w:r w:rsidR="001A1B0A" w:rsidRPr="0062487B">
        <w:rPr>
          <w:rFonts w:asciiTheme="minorHAnsi" w:hAnsiTheme="minorHAnsi" w:cstheme="minorHAnsi"/>
        </w:rPr>
        <w:t>Numerator: = Number of patients who had MRI of Lumbar Spine with a diagnosis of low back pain without claims-based evidence of prior antecedent conservative therapy; Denominator = Number of patients who had MRI of Lumbar Spine with a diagnosis of low back pain on the imaging claim.</w:t>
      </w:r>
    </w:p>
    <w:p w14:paraId="4F43BDA8" w14:textId="55F6B078" w:rsidR="00F2423C" w:rsidRPr="0062487B" w:rsidRDefault="00F2423C" w:rsidP="007A57C4">
      <w:pPr>
        <w:contextualSpacing/>
        <w:rPr>
          <w:rFonts w:asciiTheme="minorHAnsi" w:hAnsiTheme="minorHAnsi" w:cstheme="minorHAnsi"/>
          <w:b/>
          <w:bCs/>
          <w:iCs/>
        </w:rPr>
      </w:pPr>
    </w:p>
    <w:p w14:paraId="2DA7F536" w14:textId="76D3120C" w:rsidR="00E27449" w:rsidRPr="0062487B" w:rsidRDefault="00E27449" w:rsidP="78F650E0">
      <w:r>
        <w:br w:type="page"/>
      </w:r>
    </w:p>
    <w:p w14:paraId="0BD847A0" w14:textId="375D42D0" w:rsidR="00E27449" w:rsidRPr="0062487B" w:rsidRDefault="2CC78AC2" w:rsidP="17FA2F59">
      <w:pPr>
        <w:pStyle w:val="Heading1"/>
        <w:spacing w:before="0" w:line="240" w:lineRule="auto"/>
        <w:rPr>
          <w:rFonts w:asciiTheme="minorHAnsi" w:hAnsiTheme="minorHAnsi" w:cstheme="minorBidi"/>
          <w:color w:val="auto"/>
          <w:sz w:val="24"/>
          <w:szCs w:val="24"/>
        </w:rPr>
      </w:pPr>
      <w:bookmarkStart w:id="77" w:name="_Toc99645446"/>
      <w:r w:rsidRPr="17FA2F59">
        <w:rPr>
          <w:rFonts w:asciiTheme="minorHAnsi" w:hAnsiTheme="minorHAnsi" w:cstheme="minorBidi"/>
          <w:color w:val="auto"/>
          <w:sz w:val="24"/>
          <w:szCs w:val="24"/>
        </w:rPr>
        <w:lastRenderedPageBreak/>
        <w:t>Appendix A: Other Renovation Projects</w:t>
      </w:r>
      <w:bookmarkEnd w:id="77"/>
    </w:p>
    <w:p w14:paraId="7EAC36AA" w14:textId="273A9C65" w:rsidR="00E27449" w:rsidRPr="0062487B" w:rsidRDefault="00E27449" w:rsidP="78F650E0">
      <w:pPr>
        <w:rPr>
          <w:rFonts w:asciiTheme="minorHAnsi" w:hAnsiTheme="minorHAnsi" w:cstheme="minorBidi"/>
        </w:rPr>
      </w:pPr>
    </w:p>
    <w:p w14:paraId="2D066096" w14:textId="2ED33055" w:rsidR="00E27449" w:rsidRPr="0062487B" w:rsidRDefault="1ABBF799" w:rsidP="78F650E0">
      <w:pPr>
        <w:rPr>
          <w:rFonts w:asciiTheme="minorHAnsi" w:hAnsiTheme="minorHAnsi" w:cstheme="minorBidi"/>
        </w:rPr>
      </w:pPr>
      <w:r w:rsidRPr="78F650E0">
        <w:rPr>
          <w:rFonts w:asciiTheme="minorHAnsi" w:hAnsiTheme="minorHAnsi" w:cstheme="minorBidi"/>
        </w:rPr>
        <w:t>Other renovation projects primarily entail work that must be done on campus to allow for the Proposed Project. These projects include:</w:t>
      </w:r>
    </w:p>
    <w:p w14:paraId="7F34B985" w14:textId="3AA75EEB" w:rsidR="00E27449" w:rsidRPr="0062487B" w:rsidRDefault="1ABBF799" w:rsidP="00EB5776">
      <w:pPr>
        <w:pStyle w:val="ListParagraph"/>
        <w:numPr>
          <w:ilvl w:val="0"/>
          <w:numId w:val="26"/>
        </w:numPr>
        <w:rPr>
          <w:rFonts w:asciiTheme="minorHAnsi" w:hAnsiTheme="minorHAnsi" w:cstheme="minorBidi"/>
        </w:rPr>
      </w:pPr>
      <w:r w:rsidRPr="78F650E0">
        <w:rPr>
          <w:rFonts w:asciiTheme="minorHAnsi" w:hAnsiTheme="minorHAnsi" w:cstheme="minorBidi"/>
        </w:rPr>
        <w:t xml:space="preserve">Relocation of the Patient Experience </w:t>
      </w:r>
      <w:proofErr w:type="gramStart"/>
      <w:r w:rsidRPr="78F650E0">
        <w:rPr>
          <w:rFonts w:asciiTheme="minorHAnsi" w:hAnsiTheme="minorHAnsi" w:cstheme="minorBidi"/>
        </w:rPr>
        <w:t>Department</w:t>
      </w:r>
      <w:r w:rsidR="239A83D9" w:rsidRPr="78F650E0">
        <w:rPr>
          <w:rFonts w:asciiTheme="minorHAnsi" w:hAnsiTheme="minorHAnsi" w:cstheme="minorBidi"/>
        </w:rPr>
        <w:t>;</w:t>
      </w:r>
      <w:proofErr w:type="gramEnd"/>
    </w:p>
    <w:p w14:paraId="74EC8D95" w14:textId="33A511AC" w:rsidR="00E27449" w:rsidRPr="0062487B" w:rsidRDefault="1ABBF799" w:rsidP="00EB5776">
      <w:pPr>
        <w:pStyle w:val="ListParagraph"/>
        <w:numPr>
          <w:ilvl w:val="0"/>
          <w:numId w:val="26"/>
        </w:numPr>
        <w:rPr>
          <w:rFonts w:asciiTheme="minorHAnsi" w:hAnsiTheme="minorHAnsi" w:cstheme="minorBidi"/>
        </w:rPr>
      </w:pPr>
      <w:r w:rsidRPr="78F650E0">
        <w:rPr>
          <w:rFonts w:asciiTheme="minorHAnsi" w:hAnsiTheme="minorHAnsi" w:cstheme="minorBidi"/>
        </w:rPr>
        <w:t xml:space="preserve">Straightening of a corridor that will take part of the dining room of the </w:t>
      </w:r>
      <w:proofErr w:type="gramStart"/>
      <w:r w:rsidRPr="78F650E0">
        <w:rPr>
          <w:rFonts w:asciiTheme="minorHAnsi" w:hAnsiTheme="minorHAnsi" w:cstheme="minorBidi"/>
        </w:rPr>
        <w:t>cafeteria</w:t>
      </w:r>
      <w:r w:rsidR="239A83D9" w:rsidRPr="78F650E0">
        <w:rPr>
          <w:rFonts w:asciiTheme="minorHAnsi" w:hAnsiTheme="minorHAnsi" w:cstheme="minorBidi"/>
        </w:rPr>
        <w:t>;</w:t>
      </w:r>
      <w:proofErr w:type="gramEnd"/>
    </w:p>
    <w:p w14:paraId="1132DAC0" w14:textId="30816CE6" w:rsidR="00E27449" w:rsidRPr="0062487B" w:rsidRDefault="1ABBF799" w:rsidP="00EB5776">
      <w:pPr>
        <w:pStyle w:val="ListParagraph"/>
        <w:numPr>
          <w:ilvl w:val="0"/>
          <w:numId w:val="26"/>
        </w:numPr>
        <w:rPr>
          <w:rFonts w:asciiTheme="minorHAnsi" w:hAnsiTheme="minorHAnsi" w:cstheme="minorBidi"/>
        </w:rPr>
      </w:pPr>
      <w:r w:rsidRPr="78F650E0">
        <w:rPr>
          <w:rFonts w:asciiTheme="minorHAnsi" w:hAnsiTheme="minorHAnsi" w:cstheme="minorBidi"/>
        </w:rPr>
        <w:t>Addition of a dining room (to compensate for the corridor mentioned in above bullet</w:t>
      </w:r>
      <w:proofErr w:type="gramStart"/>
      <w:r w:rsidRPr="78F650E0">
        <w:rPr>
          <w:rFonts w:asciiTheme="minorHAnsi" w:hAnsiTheme="minorHAnsi" w:cstheme="minorBidi"/>
        </w:rPr>
        <w:t>)</w:t>
      </w:r>
      <w:r w:rsidR="239A83D9" w:rsidRPr="78F650E0">
        <w:rPr>
          <w:rFonts w:asciiTheme="minorHAnsi" w:hAnsiTheme="minorHAnsi" w:cstheme="minorBidi"/>
        </w:rPr>
        <w:t>;</w:t>
      </w:r>
      <w:proofErr w:type="gramEnd"/>
    </w:p>
    <w:p w14:paraId="2946A3B2" w14:textId="6A6863BE" w:rsidR="00E27449" w:rsidRPr="0062487B" w:rsidRDefault="11C564D1" w:rsidP="00EB5776">
      <w:pPr>
        <w:pStyle w:val="ListParagraph"/>
        <w:numPr>
          <w:ilvl w:val="0"/>
          <w:numId w:val="26"/>
        </w:numPr>
        <w:rPr>
          <w:rFonts w:asciiTheme="minorHAnsi" w:hAnsiTheme="minorHAnsi" w:cstheme="minorBidi"/>
        </w:rPr>
      </w:pPr>
      <w:r w:rsidRPr="78F650E0">
        <w:rPr>
          <w:rFonts w:asciiTheme="minorHAnsi" w:hAnsiTheme="minorHAnsi" w:cstheme="minorBidi"/>
        </w:rPr>
        <w:t xml:space="preserve">Addressing disruptions of pre-existing function at access points on each floor: staff lactation room location, Infectious Disease physician office replication, conference room, and clinical support staff offices. </w:t>
      </w:r>
    </w:p>
    <w:p w14:paraId="43AF9FD0" w14:textId="77777777" w:rsidR="00322C2C" w:rsidRDefault="00322C2C" w:rsidP="17FA2F59">
      <w:pPr>
        <w:spacing w:line="257" w:lineRule="auto"/>
        <w:rPr>
          <w:rFonts w:ascii="Calibri" w:eastAsia="Calibri" w:hAnsi="Calibri" w:cs="Calibri"/>
          <w:b/>
          <w:bCs/>
        </w:rPr>
      </w:pPr>
    </w:p>
    <w:p w14:paraId="11423F53" w14:textId="197F4CBD" w:rsidR="17FA2F59" w:rsidRPr="00322C2C" w:rsidRDefault="17FA2F59" w:rsidP="00322C2C">
      <w:pPr>
        <w:pStyle w:val="Heading1"/>
        <w:spacing w:before="0" w:line="240" w:lineRule="auto"/>
        <w:rPr>
          <w:rFonts w:asciiTheme="minorHAnsi" w:eastAsia="Times New Roman" w:hAnsiTheme="minorHAnsi" w:cstheme="minorBidi"/>
          <w:color w:val="auto"/>
          <w:sz w:val="24"/>
          <w:szCs w:val="24"/>
        </w:rPr>
      </w:pPr>
      <w:bookmarkStart w:id="78" w:name="_Toc99645447"/>
      <w:r w:rsidRPr="00322C2C">
        <w:rPr>
          <w:rFonts w:asciiTheme="minorHAnsi" w:eastAsia="Times New Roman" w:hAnsiTheme="minorHAnsi" w:cstheme="minorBidi"/>
          <w:color w:val="auto"/>
          <w:sz w:val="24"/>
          <w:szCs w:val="24"/>
        </w:rPr>
        <w:t>Appendix B: Names of People Who Submitted Written Comments</w:t>
      </w:r>
      <w:bookmarkEnd w:id="78"/>
    </w:p>
    <w:p w14:paraId="4345A7F2" w14:textId="054916D5" w:rsidR="17FA2F59" w:rsidRDefault="17FA2F59" w:rsidP="17FA2F59">
      <w:pPr>
        <w:spacing w:line="257" w:lineRule="auto"/>
        <w:rPr>
          <w:color w:val="44546A"/>
        </w:rPr>
      </w:pPr>
    </w:p>
    <w:tbl>
      <w:tblPr>
        <w:tblW w:w="0" w:type="auto"/>
        <w:tblLayout w:type="fixed"/>
        <w:tblLook w:val="0400" w:firstRow="0" w:lastRow="0" w:firstColumn="0" w:lastColumn="0" w:noHBand="0" w:noVBand="1"/>
      </w:tblPr>
      <w:tblGrid>
        <w:gridCol w:w="2340"/>
        <w:gridCol w:w="1980"/>
        <w:gridCol w:w="1440"/>
        <w:gridCol w:w="3600"/>
      </w:tblGrid>
      <w:tr w:rsidR="17FA2F59" w14:paraId="2D614FB0" w14:textId="77777777" w:rsidTr="17FA2F59">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CE4"/>
            <w:vAlign w:val="bottom"/>
          </w:tcPr>
          <w:p w14:paraId="0580F802" w14:textId="27B73110" w:rsidR="17FA2F59" w:rsidRDefault="17FA2F59">
            <w:r w:rsidRPr="17FA2F59">
              <w:rPr>
                <w:rFonts w:ascii="Calibri" w:eastAsia="Calibri" w:hAnsi="Calibri" w:cs="Calibri"/>
                <w:b/>
                <w:bCs/>
                <w:sz w:val="22"/>
                <w:szCs w:val="22"/>
              </w:rPr>
              <w:t>First Name</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CE4"/>
            <w:vAlign w:val="bottom"/>
          </w:tcPr>
          <w:p w14:paraId="75D5ACB4" w14:textId="7107CDF9" w:rsidR="17FA2F59" w:rsidRDefault="17FA2F59">
            <w:r w:rsidRPr="17FA2F59">
              <w:rPr>
                <w:rFonts w:ascii="Calibri" w:eastAsia="Calibri" w:hAnsi="Calibri" w:cs="Calibri"/>
                <w:b/>
                <w:bCs/>
                <w:color w:val="000000" w:themeColor="text1"/>
                <w:sz w:val="22"/>
                <w:szCs w:val="22"/>
              </w:rPr>
              <w:t xml:space="preserve">Last Name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CE4"/>
            <w:vAlign w:val="bottom"/>
          </w:tcPr>
          <w:p w14:paraId="10B9BBA7" w14:textId="75EB8AAA" w:rsidR="17FA2F59" w:rsidRDefault="17FA2F59">
            <w:r w:rsidRPr="17FA2F59">
              <w:rPr>
                <w:rFonts w:ascii="Calibri" w:eastAsia="Calibri" w:hAnsi="Calibri" w:cs="Calibri"/>
                <w:b/>
                <w:bCs/>
                <w:color w:val="000000" w:themeColor="text1"/>
                <w:sz w:val="22"/>
                <w:szCs w:val="22"/>
              </w:rPr>
              <w:t xml:space="preserve">Middle Initial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CE4"/>
            <w:vAlign w:val="bottom"/>
          </w:tcPr>
          <w:p w14:paraId="62987C2F" w14:textId="6A8ACBB6" w:rsidR="17FA2F59" w:rsidRDefault="17FA2F59" w:rsidP="00322C2C">
            <w:pPr>
              <w:pStyle w:val="Heading1"/>
              <w:spacing w:before="0" w:line="240" w:lineRule="auto"/>
            </w:pPr>
            <w:bookmarkStart w:id="79" w:name="_Toc99645448"/>
            <w:r w:rsidRPr="17FA2F59">
              <w:rPr>
                <w:rFonts w:ascii="Calibri" w:eastAsia="Calibri" w:hAnsi="Calibri" w:cs="Calibri"/>
                <w:color w:val="000000" w:themeColor="text1"/>
                <w:sz w:val="22"/>
                <w:szCs w:val="22"/>
              </w:rPr>
              <w:t xml:space="preserve">Title and </w:t>
            </w:r>
            <w:r w:rsidRPr="00322C2C">
              <w:rPr>
                <w:rFonts w:asciiTheme="minorHAnsi" w:hAnsiTheme="minorHAnsi" w:cstheme="minorBidi"/>
                <w:color w:val="auto"/>
                <w:sz w:val="24"/>
                <w:szCs w:val="24"/>
              </w:rPr>
              <w:t>Organization</w:t>
            </w:r>
            <w:bookmarkEnd w:id="79"/>
            <w:r w:rsidRPr="17FA2F59">
              <w:rPr>
                <w:rFonts w:ascii="Calibri" w:eastAsia="Calibri" w:hAnsi="Calibri" w:cs="Calibri"/>
                <w:color w:val="000000" w:themeColor="text1"/>
                <w:sz w:val="22"/>
                <w:szCs w:val="22"/>
              </w:rPr>
              <w:t xml:space="preserve"> </w:t>
            </w:r>
          </w:p>
        </w:tc>
      </w:tr>
      <w:tr w:rsidR="17FA2F59" w14:paraId="40FF87BA" w14:textId="77777777" w:rsidTr="17FA2F59">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3E84C819" w14:textId="2F361C27" w:rsidR="17FA2F59" w:rsidRDefault="0040675F">
            <w:r>
              <w:rPr>
                <w:rFonts w:ascii="Calibri" w:eastAsia="Calibri" w:hAnsi="Calibri" w:cs="Calibri"/>
                <w:color w:val="000000" w:themeColor="text1"/>
                <w:sz w:val="22"/>
                <w:szCs w:val="22"/>
              </w:rPr>
              <w:t>Courtney</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10994B3F" w14:textId="3F0F0192" w:rsidR="17FA2F59" w:rsidRDefault="0040675F">
            <w:r>
              <w:rPr>
                <w:rFonts w:ascii="Calibri" w:eastAsia="Calibri" w:hAnsi="Calibri" w:cs="Calibri"/>
                <w:color w:val="000000" w:themeColor="text1"/>
                <w:sz w:val="22"/>
                <w:szCs w:val="22"/>
              </w:rPr>
              <w:t>Lemoine</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3D4D5726" w14:textId="7F81497C" w:rsidR="17FA2F59" w:rsidRDefault="17FA2F59">
            <w:r w:rsidRPr="17FA2F59">
              <w:rPr>
                <w:rFonts w:ascii="Calibri" w:eastAsia="Calibri" w:hAnsi="Calibri" w:cs="Calibri"/>
                <w:color w:val="000000" w:themeColor="text1"/>
                <w:sz w:val="22"/>
                <w:szCs w:val="22"/>
              </w:rPr>
              <w:t xml:space="preserve">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0F773F01" w14:textId="0E13CD03" w:rsidR="17FA2F59" w:rsidRDefault="0040675F">
            <w:r>
              <w:rPr>
                <w:rFonts w:ascii="Calibri" w:eastAsia="Calibri" w:hAnsi="Calibri" w:cs="Calibri"/>
                <w:color w:val="000000" w:themeColor="text1"/>
                <w:sz w:val="22"/>
                <w:szCs w:val="22"/>
              </w:rPr>
              <w:t>Resident of Boston</w:t>
            </w:r>
          </w:p>
        </w:tc>
      </w:tr>
      <w:tr w:rsidR="17FA2F59" w14:paraId="04FDD2D3" w14:textId="77777777" w:rsidTr="17FA2F59">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05F87D" w14:textId="205AF690" w:rsidR="17FA2F59" w:rsidRDefault="0040675F">
            <w:r>
              <w:rPr>
                <w:rFonts w:ascii="Calibri" w:eastAsia="Calibri" w:hAnsi="Calibri" w:cs="Calibri"/>
                <w:color w:val="000000" w:themeColor="text1"/>
                <w:sz w:val="22"/>
                <w:szCs w:val="22"/>
              </w:rPr>
              <w:t>David</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675570" w14:textId="5A1F2A01" w:rsidR="17FA2F59" w:rsidRDefault="0040675F">
            <w:r>
              <w:rPr>
                <w:rFonts w:ascii="Calibri" w:eastAsia="Calibri" w:hAnsi="Calibri" w:cs="Calibri"/>
                <w:color w:val="000000" w:themeColor="text1"/>
                <w:sz w:val="22"/>
                <w:szCs w:val="22"/>
              </w:rPr>
              <w:t>Pilgrim</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6021F1" w14:textId="2AD252C6" w:rsidR="17FA2F59" w:rsidRDefault="0040675F">
            <w:r>
              <w:rPr>
                <w:rFonts w:ascii="Calibri" w:eastAsia="Calibri" w:hAnsi="Calibri" w:cs="Calibri"/>
                <w:color w:val="000000" w:themeColor="text1"/>
                <w:sz w:val="22"/>
                <w:szCs w:val="22"/>
              </w:rPr>
              <w:t>M</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9207D6" w14:textId="68E10041" w:rsidR="17FA2F59" w:rsidRDefault="0040675F">
            <w:r>
              <w:rPr>
                <w:rFonts w:ascii="Calibri" w:eastAsia="Calibri" w:hAnsi="Calibri" w:cs="Calibri"/>
                <w:color w:val="000000" w:themeColor="text1"/>
                <w:sz w:val="22"/>
                <w:szCs w:val="22"/>
              </w:rPr>
              <w:t xml:space="preserve">Chief of Clinical Neurology, </w:t>
            </w:r>
            <w:proofErr w:type="gramStart"/>
            <w:r>
              <w:rPr>
                <w:rFonts w:ascii="Calibri" w:eastAsia="Calibri" w:hAnsi="Calibri" w:cs="Calibri"/>
                <w:color w:val="000000" w:themeColor="text1"/>
                <w:sz w:val="22"/>
                <w:szCs w:val="22"/>
              </w:rPr>
              <w:t>Brigham</w:t>
            </w:r>
            <w:proofErr w:type="gramEnd"/>
            <w:r>
              <w:rPr>
                <w:rFonts w:ascii="Calibri" w:eastAsia="Calibri" w:hAnsi="Calibri" w:cs="Calibri"/>
                <w:color w:val="000000" w:themeColor="text1"/>
                <w:sz w:val="22"/>
                <w:szCs w:val="22"/>
              </w:rPr>
              <w:t xml:space="preserve"> and Women’s Faulkner Hospital</w:t>
            </w:r>
          </w:p>
        </w:tc>
      </w:tr>
      <w:tr w:rsidR="17FA2F59" w14:paraId="313959EB" w14:textId="77777777" w:rsidTr="17FA2F59">
        <w:trPr>
          <w:trHeight w:val="5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384E381B" w14:textId="3ED2C1FB" w:rsidR="17FA2F59" w:rsidRDefault="00515486">
            <w:r>
              <w:rPr>
                <w:rFonts w:ascii="Calibri" w:eastAsia="Calibri" w:hAnsi="Calibri" w:cs="Calibri"/>
                <w:color w:val="000000" w:themeColor="text1"/>
                <w:sz w:val="22"/>
                <w:szCs w:val="22"/>
              </w:rPr>
              <w:t>Margaret</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07DF2A9B" w14:textId="3033E246" w:rsidR="17FA2F59" w:rsidRDefault="00515486">
            <w:r>
              <w:rPr>
                <w:rFonts w:ascii="Calibri" w:eastAsia="Calibri" w:hAnsi="Calibri" w:cs="Calibri"/>
                <w:color w:val="000000" w:themeColor="text1"/>
                <w:sz w:val="22"/>
                <w:szCs w:val="22"/>
              </w:rPr>
              <w:t>Jolliffe</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75F2FDBD" w14:textId="517C571E" w:rsidR="17FA2F59" w:rsidRDefault="17FA2F59"/>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4C28B86F" w14:textId="0D3BCE43" w:rsidR="17FA2F59" w:rsidRDefault="00515486">
            <w:r>
              <w:rPr>
                <w:rFonts w:ascii="Calibri" w:eastAsia="Calibri" w:hAnsi="Calibri" w:cs="Calibri"/>
                <w:color w:val="000000" w:themeColor="text1"/>
                <w:sz w:val="22"/>
                <w:szCs w:val="22"/>
              </w:rPr>
              <w:t>Executive Director, Brookside Community Health Center</w:t>
            </w:r>
          </w:p>
        </w:tc>
      </w:tr>
      <w:tr w:rsidR="17FA2F59" w14:paraId="547E2DC3" w14:textId="77777777" w:rsidTr="17FA2F59">
        <w:trPr>
          <w:trHeight w:val="87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6DD8C0" w14:textId="07603020" w:rsidR="17FA2F59" w:rsidRDefault="00515486">
            <w:r>
              <w:rPr>
                <w:rFonts w:ascii="Calibri" w:eastAsia="Calibri" w:hAnsi="Calibri" w:cs="Calibri"/>
                <w:color w:val="000000" w:themeColor="text1"/>
                <w:sz w:val="22"/>
                <w:szCs w:val="22"/>
              </w:rPr>
              <w:t>Marty</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8DA059" w14:textId="4D204CF7" w:rsidR="17FA2F59" w:rsidRDefault="00515486">
            <w:r>
              <w:rPr>
                <w:rFonts w:ascii="Calibri" w:eastAsia="Calibri" w:hAnsi="Calibri" w:cs="Calibri"/>
                <w:color w:val="000000" w:themeColor="text1"/>
                <w:sz w:val="22"/>
                <w:szCs w:val="22"/>
              </w:rPr>
              <w:t>Martinez</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8CBEF3" w14:textId="6B357452" w:rsidR="17FA2F59" w:rsidRDefault="17FA2F59"/>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95FA9A" w14:textId="77777777" w:rsidR="17FA2F59" w:rsidRDefault="0051548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Chief of Health and Human Services,</w:t>
            </w:r>
          </w:p>
          <w:p w14:paraId="04476AF7" w14:textId="0BDEA116" w:rsidR="00515486" w:rsidRDefault="00515486">
            <w:r>
              <w:rPr>
                <w:rFonts w:ascii="Calibri" w:eastAsia="Calibri" w:hAnsi="Calibri" w:cs="Calibri"/>
                <w:color w:val="000000" w:themeColor="text1"/>
                <w:sz w:val="22"/>
                <w:szCs w:val="22"/>
              </w:rPr>
              <w:t xml:space="preserve">City of Boston, </w:t>
            </w:r>
            <w:r w:rsidRPr="17FA2F59">
              <w:rPr>
                <w:rFonts w:ascii="Calibri" w:eastAsia="Calibri" w:hAnsi="Calibri" w:cs="Calibri"/>
                <w:color w:val="000000" w:themeColor="text1"/>
                <w:sz w:val="22"/>
                <w:szCs w:val="22"/>
              </w:rPr>
              <w:t>Mayor's Office of Health and Human Services</w:t>
            </w:r>
          </w:p>
        </w:tc>
      </w:tr>
      <w:tr w:rsidR="17FA2F59" w14:paraId="4AFBB65F" w14:textId="77777777" w:rsidTr="17FA2F59">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7E401F21" w14:textId="711FA841" w:rsidR="17FA2F59" w:rsidRDefault="00515486">
            <w:r>
              <w:rPr>
                <w:rFonts w:ascii="Calibri" w:eastAsia="Calibri" w:hAnsi="Calibri" w:cs="Calibri"/>
                <w:color w:val="000000" w:themeColor="text1"/>
                <w:sz w:val="22"/>
                <w:szCs w:val="22"/>
              </w:rPr>
              <w:t>Francis</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3C526FC6" w14:textId="2F5BE51E" w:rsidR="17FA2F59" w:rsidRDefault="00515486">
            <w:r>
              <w:rPr>
                <w:rFonts w:ascii="Calibri" w:eastAsia="Calibri" w:hAnsi="Calibri" w:cs="Calibri"/>
                <w:color w:val="000000" w:themeColor="text1"/>
                <w:sz w:val="22"/>
                <w:szCs w:val="22"/>
              </w:rPr>
              <w:t>Callahan</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535CF603" w14:textId="64D7F3AD" w:rsidR="17FA2F59" w:rsidRDefault="00515486">
            <w:r>
              <w:rPr>
                <w:rFonts w:ascii="Calibri" w:eastAsia="Calibri" w:hAnsi="Calibri" w:cs="Calibri"/>
                <w:color w:val="000000" w:themeColor="text1"/>
                <w:sz w:val="22"/>
                <w:szCs w:val="22"/>
              </w:rPr>
              <w:t>X</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0B0805B7" w14:textId="05279C26" w:rsidR="17FA2F59" w:rsidRDefault="00515486">
            <w:r>
              <w:rPr>
                <w:rFonts w:ascii="Calibri" w:eastAsia="Calibri" w:hAnsi="Calibri" w:cs="Calibri"/>
                <w:color w:val="000000" w:themeColor="text1"/>
                <w:sz w:val="22"/>
                <w:szCs w:val="22"/>
              </w:rPr>
              <w:t>President, Massachusetts Building Trades Council</w:t>
            </w:r>
          </w:p>
        </w:tc>
      </w:tr>
      <w:tr w:rsidR="17FA2F59" w14:paraId="78CEBDCC" w14:textId="77777777" w:rsidTr="17FA2F59">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DC2CBB" w14:textId="2A3A3599" w:rsidR="17FA2F59" w:rsidRDefault="00515486">
            <w:r>
              <w:rPr>
                <w:rFonts w:ascii="Calibri" w:eastAsia="Calibri" w:hAnsi="Calibri" w:cs="Calibri"/>
                <w:color w:val="000000" w:themeColor="text1"/>
                <w:sz w:val="22"/>
                <w:szCs w:val="22"/>
              </w:rPr>
              <w:t>Edward</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900CA" w14:textId="276CA95A" w:rsidR="17FA2F59" w:rsidRDefault="00515486">
            <w:r>
              <w:rPr>
                <w:rFonts w:ascii="Calibri" w:eastAsia="Calibri" w:hAnsi="Calibri" w:cs="Calibri"/>
                <w:color w:val="000000" w:themeColor="text1"/>
                <w:sz w:val="22"/>
                <w:szCs w:val="22"/>
              </w:rPr>
              <w:t>Coppinger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EB8858" w14:textId="201F0D5C" w:rsidR="17FA2F59" w:rsidRDefault="00515486">
            <w:r>
              <w:rPr>
                <w:rFonts w:ascii="Calibri" w:eastAsia="Calibri" w:hAnsi="Calibri" w:cs="Calibri"/>
                <w:color w:val="000000" w:themeColor="text1"/>
                <w:sz w:val="22"/>
                <w:szCs w:val="22"/>
              </w:rPr>
              <w:t>F</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F9D232" w14:textId="016FD639" w:rsidR="17FA2F59" w:rsidRDefault="00515486">
            <w:r>
              <w:rPr>
                <w:rFonts w:ascii="Calibri" w:eastAsia="Calibri" w:hAnsi="Calibri" w:cs="Calibri"/>
                <w:color w:val="000000" w:themeColor="text1"/>
                <w:sz w:val="22"/>
                <w:szCs w:val="22"/>
              </w:rPr>
              <w:t>State Representative, 10</w:t>
            </w:r>
            <w:r w:rsidRPr="00515486">
              <w:rPr>
                <w:rFonts w:ascii="Calibri" w:eastAsia="Calibri" w:hAnsi="Calibri" w:cs="Calibri"/>
                <w:color w:val="000000" w:themeColor="text1"/>
                <w:sz w:val="22"/>
                <w:szCs w:val="22"/>
                <w:vertAlign w:val="superscript"/>
              </w:rPr>
              <w:t>th</w:t>
            </w:r>
            <w:r>
              <w:rPr>
                <w:rFonts w:ascii="Calibri" w:eastAsia="Calibri" w:hAnsi="Calibri" w:cs="Calibri"/>
                <w:color w:val="000000" w:themeColor="text1"/>
                <w:sz w:val="22"/>
                <w:szCs w:val="22"/>
              </w:rPr>
              <w:t xml:space="preserve"> Suffolk District, The General Court of Massachusetts</w:t>
            </w:r>
          </w:p>
        </w:tc>
      </w:tr>
      <w:tr w:rsidR="17FA2F59" w14:paraId="2FE8193C" w14:textId="77777777" w:rsidTr="17FA2F59">
        <w:trPr>
          <w:trHeight w:val="5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10E78817" w14:textId="47EB15F2" w:rsidR="17FA2F59" w:rsidRDefault="17FA2F59">
            <w:r w:rsidRPr="17FA2F59">
              <w:rPr>
                <w:rFonts w:ascii="Calibri" w:eastAsia="Calibri" w:hAnsi="Calibri" w:cs="Calibri"/>
                <w:color w:val="000000" w:themeColor="text1"/>
                <w:sz w:val="22"/>
                <w:szCs w:val="22"/>
              </w:rPr>
              <w:t>M</w:t>
            </w:r>
            <w:r w:rsidR="00515486">
              <w:rPr>
                <w:rFonts w:ascii="Calibri" w:eastAsia="Calibri" w:hAnsi="Calibri" w:cs="Calibri"/>
                <w:color w:val="000000" w:themeColor="text1"/>
                <w:sz w:val="22"/>
                <w:szCs w:val="22"/>
              </w:rPr>
              <w:t xml:space="preserve">ike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25ED059E" w14:textId="0B0F3768" w:rsidR="17FA2F59" w:rsidRDefault="00515486">
            <w:r>
              <w:rPr>
                <w:rFonts w:ascii="Calibri" w:eastAsia="Calibri" w:hAnsi="Calibri" w:cs="Calibri"/>
                <w:color w:val="000000" w:themeColor="text1"/>
                <w:sz w:val="22"/>
                <w:szCs w:val="22"/>
              </w:rPr>
              <w:t>Rush</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5D9A00ED" w14:textId="7030D980" w:rsidR="17FA2F59" w:rsidRDefault="17FA2F59">
            <w:r w:rsidRPr="17FA2F59">
              <w:rPr>
                <w:rFonts w:ascii="Calibri" w:eastAsia="Calibri" w:hAnsi="Calibri" w:cs="Calibri"/>
                <w:color w:val="000000" w:themeColor="text1"/>
                <w:sz w:val="22"/>
                <w:szCs w:val="22"/>
              </w:rPr>
              <w:t xml:space="preserve">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642CFF3F" w14:textId="29E34B91" w:rsidR="17FA2F59" w:rsidRDefault="00515486">
            <w:r>
              <w:rPr>
                <w:rFonts w:ascii="Calibri" w:eastAsia="Calibri" w:hAnsi="Calibri" w:cs="Calibri"/>
                <w:color w:val="000000" w:themeColor="text1"/>
                <w:sz w:val="22"/>
                <w:szCs w:val="22"/>
              </w:rPr>
              <w:t>State Senator, Norfolk and Suffolk District, The General Court of Massachusetts</w:t>
            </w:r>
          </w:p>
        </w:tc>
      </w:tr>
      <w:tr w:rsidR="17FA2F59" w14:paraId="576BD500" w14:textId="77777777" w:rsidTr="17FA2F59">
        <w:trPr>
          <w:trHeight w:val="5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F100A1" w14:textId="19C1474A" w:rsidR="17FA2F59" w:rsidRDefault="00A6216A">
            <w:r>
              <w:rPr>
                <w:rFonts w:ascii="Calibri" w:eastAsia="Calibri" w:hAnsi="Calibri" w:cs="Calibri"/>
                <w:color w:val="000000" w:themeColor="text1"/>
                <w:sz w:val="22"/>
                <w:szCs w:val="22"/>
              </w:rPr>
              <w:t>Matt</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71353E" w14:textId="745C58F4" w:rsidR="17FA2F59" w:rsidRDefault="00A6216A">
            <w:r>
              <w:rPr>
                <w:rFonts w:ascii="Calibri" w:eastAsia="Calibri" w:hAnsi="Calibri" w:cs="Calibri"/>
                <w:color w:val="000000" w:themeColor="text1"/>
                <w:sz w:val="22"/>
                <w:szCs w:val="22"/>
              </w:rPr>
              <w:t>O’Malley</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B426EB" w14:textId="038DD1FD" w:rsidR="17FA2F59" w:rsidRDefault="17FA2F59">
            <w:r w:rsidRPr="17FA2F59">
              <w:rPr>
                <w:rFonts w:ascii="Calibri" w:eastAsia="Calibri" w:hAnsi="Calibri" w:cs="Calibri"/>
                <w:color w:val="000000" w:themeColor="text1"/>
                <w:sz w:val="22"/>
                <w:szCs w:val="22"/>
              </w:rPr>
              <w:t xml:space="preserve">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35FA73" w14:textId="691169B6" w:rsidR="17FA2F59" w:rsidRDefault="00A6216A">
            <w:r>
              <w:rPr>
                <w:rFonts w:ascii="Calibri" w:eastAsia="Calibri" w:hAnsi="Calibri" w:cs="Calibri"/>
                <w:color w:val="000000" w:themeColor="text1"/>
                <w:sz w:val="22"/>
                <w:szCs w:val="22"/>
              </w:rPr>
              <w:t>City Council President, City of Boston Councilor, District 6</w:t>
            </w:r>
          </w:p>
        </w:tc>
      </w:tr>
      <w:tr w:rsidR="17FA2F59" w14:paraId="1EB540CD" w14:textId="77777777" w:rsidTr="17FA2F59">
        <w:trPr>
          <w:trHeight w:val="5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12A37A88" w14:textId="13851460" w:rsidR="17FA2F59" w:rsidRDefault="00A6216A">
            <w:r>
              <w:rPr>
                <w:rFonts w:ascii="Calibri" w:eastAsia="Calibri" w:hAnsi="Calibri" w:cs="Calibri"/>
                <w:color w:val="000000" w:themeColor="text1"/>
                <w:sz w:val="22"/>
                <w:szCs w:val="22"/>
              </w:rPr>
              <w:t>Tracy</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4ABDF315" w14:textId="1A9634D6" w:rsidR="17FA2F59" w:rsidRDefault="00A6216A">
            <w:proofErr w:type="spellStart"/>
            <w:r>
              <w:rPr>
                <w:rFonts w:ascii="Calibri" w:eastAsia="Calibri" w:hAnsi="Calibri" w:cs="Calibri"/>
                <w:color w:val="000000" w:themeColor="text1"/>
                <w:sz w:val="22"/>
                <w:szCs w:val="22"/>
              </w:rPr>
              <w:t>Sylven</w:t>
            </w:r>
            <w:proofErr w:type="spellEnd"/>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5E6BBE1C" w14:textId="29CC5C0C" w:rsidR="17FA2F59" w:rsidRPr="00B23AC0" w:rsidRDefault="00B23AC0">
            <w:pPr>
              <w:rPr>
                <w:rFonts w:ascii="Calibri" w:hAnsi="Calibri" w:cs="Calibri"/>
              </w:rPr>
            </w:pPr>
            <w:r w:rsidRPr="00B23AC0">
              <w:rPr>
                <w:rFonts w:ascii="Calibri" w:hAnsi="Calibri" w:cs="Calibri"/>
                <w:sz w:val="22"/>
                <w:szCs w:val="22"/>
              </w:rPr>
              <w:t>M</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tcPr>
          <w:p w14:paraId="6107F1C2" w14:textId="6B76DE18" w:rsidR="17FA2F59" w:rsidRDefault="00A6216A">
            <w:r>
              <w:rPr>
                <w:rFonts w:ascii="Calibri" w:eastAsia="Calibri" w:hAnsi="Calibri" w:cs="Calibri"/>
                <w:color w:val="000000" w:themeColor="text1"/>
                <w:sz w:val="22"/>
                <w:szCs w:val="22"/>
              </w:rPr>
              <w:t xml:space="preserve">Director of Community Health and Wellness, </w:t>
            </w:r>
            <w:proofErr w:type="gramStart"/>
            <w:r>
              <w:rPr>
                <w:rFonts w:ascii="Calibri" w:eastAsia="Calibri" w:hAnsi="Calibri" w:cs="Calibri"/>
                <w:color w:val="000000" w:themeColor="text1"/>
                <w:sz w:val="22"/>
                <w:szCs w:val="22"/>
              </w:rPr>
              <w:t>Brigham</w:t>
            </w:r>
            <w:proofErr w:type="gramEnd"/>
            <w:r>
              <w:rPr>
                <w:rFonts w:ascii="Calibri" w:eastAsia="Calibri" w:hAnsi="Calibri" w:cs="Calibri"/>
                <w:color w:val="000000" w:themeColor="text1"/>
                <w:sz w:val="22"/>
                <w:szCs w:val="22"/>
              </w:rPr>
              <w:t xml:space="preserve"> and Women’s Faulkner Hospital</w:t>
            </w:r>
          </w:p>
        </w:tc>
      </w:tr>
    </w:tbl>
    <w:p w14:paraId="2BE1CCDD" w14:textId="52BB9172" w:rsidR="17FA2F59" w:rsidRDefault="17FA2F59" w:rsidP="17FA2F59">
      <w:pPr>
        <w:spacing w:line="257" w:lineRule="auto"/>
      </w:pPr>
      <w:r w:rsidRPr="17FA2F59">
        <w:rPr>
          <w:rFonts w:ascii="Calibri" w:eastAsia="Calibri" w:hAnsi="Calibri" w:cs="Calibri"/>
          <w:b/>
          <w:bCs/>
          <w:sz w:val="28"/>
          <w:szCs w:val="28"/>
        </w:rPr>
        <w:t xml:space="preserve"> </w:t>
      </w:r>
    </w:p>
    <w:p w14:paraId="39C69456" w14:textId="3FC8B276" w:rsidR="17FA2F59" w:rsidRDefault="17FA2F59" w:rsidP="17FA2F59">
      <w:pPr>
        <w:spacing w:line="257" w:lineRule="auto"/>
      </w:pPr>
      <w:r w:rsidRPr="17FA2F59">
        <w:rPr>
          <w:rFonts w:ascii="Calibri" w:eastAsia="Calibri" w:hAnsi="Calibri" w:cs="Calibri"/>
          <w:b/>
          <w:bCs/>
          <w:sz w:val="28"/>
          <w:szCs w:val="28"/>
        </w:rPr>
        <w:t xml:space="preserve"> </w:t>
      </w:r>
    </w:p>
    <w:p w14:paraId="1821F677" w14:textId="159A9F7E" w:rsidR="17FA2F59" w:rsidRDefault="17FA2F59" w:rsidP="17FA2F59">
      <w:pPr>
        <w:spacing w:line="257" w:lineRule="auto"/>
      </w:pPr>
      <w:r w:rsidRPr="17FA2F59">
        <w:rPr>
          <w:rFonts w:ascii="Calibri" w:eastAsia="Calibri" w:hAnsi="Calibri" w:cs="Calibri"/>
          <w:b/>
          <w:bCs/>
          <w:sz w:val="28"/>
          <w:szCs w:val="28"/>
        </w:rPr>
        <w:t xml:space="preserve"> </w:t>
      </w:r>
    </w:p>
    <w:p w14:paraId="3CCE57AB" w14:textId="631DBB08" w:rsidR="17FA2F59" w:rsidRDefault="17FA2F59" w:rsidP="17FA2F59">
      <w:pPr>
        <w:spacing w:line="257" w:lineRule="auto"/>
      </w:pPr>
      <w:r w:rsidRPr="17FA2F59">
        <w:rPr>
          <w:rFonts w:ascii="Calibri" w:eastAsia="Calibri" w:hAnsi="Calibri" w:cs="Calibri"/>
          <w:b/>
          <w:bCs/>
          <w:sz w:val="28"/>
          <w:szCs w:val="28"/>
        </w:rPr>
        <w:t xml:space="preserve"> </w:t>
      </w:r>
    </w:p>
    <w:p w14:paraId="617F05E7" w14:textId="6C6BF599" w:rsidR="17FA2F59" w:rsidRDefault="17FA2F59" w:rsidP="17FA2F59">
      <w:pPr>
        <w:spacing w:line="257" w:lineRule="auto"/>
        <w:rPr>
          <w:rFonts w:ascii="Calibri" w:eastAsia="Calibri" w:hAnsi="Calibri" w:cs="Calibri"/>
          <w:b/>
          <w:bCs/>
          <w:sz w:val="28"/>
          <w:szCs w:val="28"/>
        </w:rPr>
      </w:pPr>
      <w:r w:rsidRPr="17FA2F59">
        <w:rPr>
          <w:rFonts w:ascii="Calibri" w:eastAsia="Calibri" w:hAnsi="Calibri" w:cs="Calibri"/>
          <w:b/>
          <w:bCs/>
          <w:sz w:val="28"/>
          <w:szCs w:val="28"/>
        </w:rPr>
        <w:t xml:space="preserve"> </w:t>
      </w:r>
    </w:p>
    <w:p w14:paraId="04B9CDF8" w14:textId="671F5F69" w:rsidR="00F26978" w:rsidRDefault="00F26978" w:rsidP="17FA2F59">
      <w:pPr>
        <w:spacing w:line="257" w:lineRule="auto"/>
        <w:rPr>
          <w:rFonts w:ascii="Calibri" w:eastAsia="Calibri" w:hAnsi="Calibri" w:cs="Calibri"/>
          <w:b/>
          <w:bCs/>
          <w:sz w:val="28"/>
          <w:szCs w:val="28"/>
        </w:rPr>
      </w:pPr>
    </w:p>
    <w:p w14:paraId="399C2173" w14:textId="77777777" w:rsidR="00F26978" w:rsidRDefault="00F26978" w:rsidP="17FA2F59">
      <w:pPr>
        <w:spacing w:line="257" w:lineRule="auto"/>
      </w:pPr>
    </w:p>
    <w:p w14:paraId="073E10F5" w14:textId="17CB62ED" w:rsidR="17FA2F59" w:rsidRDefault="17FA2F59" w:rsidP="17FA2F59">
      <w:pPr>
        <w:spacing w:line="257" w:lineRule="auto"/>
      </w:pPr>
      <w:r>
        <w:br/>
      </w:r>
    </w:p>
    <w:p w14:paraId="4AEDA2CD" w14:textId="41C40EF9" w:rsidR="17FA2F59" w:rsidRPr="00322C2C" w:rsidRDefault="17FA2F59" w:rsidP="00322C2C">
      <w:pPr>
        <w:pStyle w:val="Heading1"/>
        <w:spacing w:before="0" w:line="240" w:lineRule="auto"/>
        <w:rPr>
          <w:rFonts w:asciiTheme="minorHAnsi" w:hAnsiTheme="minorHAnsi" w:cstheme="minorBidi"/>
          <w:color w:val="auto"/>
          <w:sz w:val="24"/>
          <w:szCs w:val="24"/>
        </w:rPr>
      </w:pPr>
      <w:bookmarkStart w:id="80" w:name="_Toc99645449"/>
      <w:r w:rsidRPr="00322C2C">
        <w:rPr>
          <w:rFonts w:asciiTheme="minorHAnsi" w:hAnsiTheme="minorHAnsi" w:cstheme="minorBidi"/>
          <w:color w:val="auto"/>
          <w:sz w:val="24"/>
          <w:szCs w:val="24"/>
        </w:rPr>
        <w:lastRenderedPageBreak/>
        <w:t>Appendix C: Summary of Written Comments Submitted on the Proposed Project (Summarized by Factor)</w:t>
      </w:r>
      <w:bookmarkEnd w:id="80"/>
    </w:p>
    <w:p w14:paraId="58266D6B" w14:textId="0C884D2A" w:rsidR="17FA2F59" w:rsidRDefault="17FA2F59" w:rsidP="17FA2F59">
      <w:pPr>
        <w:rPr>
          <w:rFonts w:ascii="Calibri" w:eastAsia="Calibri" w:hAnsi="Calibri" w:cs="Calibri"/>
          <w:b/>
          <w:bCs/>
        </w:rPr>
      </w:pPr>
    </w:p>
    <w:p w14:paraId="1D0A2D1E" w14:textId="2F224D14" w:rsidR="17FA2F59" w:rsidRDefault="17FA2F59">
      <w:pPr>
        <w:rPr>
          <w:rFonts w:ascii="Calibri" w:eastAsia="Calibri" w:hAnsi="Calibri" w:cs="Calibri"/>
          <w:b/>
          <w:bCs/>
        </w:rPr>
      </w:pPr>
      <w:r w:rsidRPr="17FA2F59">
        <w:rPr>
          <w:rFonts w:ascii="Calibri" w:eastAsia="Calibri" w:hAnsi="Calibri" w:cs="Calibri"/>
          <w:b/>
          <w:bCs/>
        </w:rPr>
        <w:t>Factor 1a</w:t>
      </w:r>
      <w:r w:rsidR="00FF75A5">
        <w:rPr>
          <w:rFonts w:ascii="Calibri" w:eastAsia="Calibri" w:hAnsi="Calibri" w:cs="Calibri"/>
          <w:b/>
          <w:bCs/>
        </w:rPr>
        <w:t>:</w:t>
      </w:r>
      <w:r w:rsidRPr="17FA2F59">
        <w:rPr>
          <w:rFonts w:ascii="Calibri" w:eastAsia="Calibri" w:hAnsi="Calibri" w:cs="Calibri"/>
          <w:b/>
          <w:bCs/>
        </w:rPr>
        <w:t xml:space="preserve"> Patient Panel Need</w:t>
      </w:r>
    </w:p>
    <w:p w14:paraId="50BD3795" w14:textId="473DD473" w:rsidR="00EB38C6" w:rsidRDefault="00EB38C6" w:rsidP="00EB5776">
      <w:pPr>
        <w:pStyle w:val="ListParagraph"/>
        <w:numPr>
          <w:ilvl w:val="0"/>
          <w:numId w:val="28"/>
        </w:numPr>
        <w:rPr>
          <w:rFonts w:ascii="Calibri" w:eastAsia="Calibri" w:hAnsi="Calibri" w:cs="Calibri"/>
        </w:rPr>
      </w:pPr>
      <w:r>
        <w:rPr>
          <w:rFonts w:ascii="Calibri" w:eastAsia="Calibri" w:hAnsi="Calibri" w:cs="Calibri"/>
        </w:rPr>
        <w:t>BWFH needs the additional five-story building to address:</w:t>
      </w:r>
    </w:p>
    <w:p w14:paraId="2CB81A44" w14:textId="6EF89AF4" w:rsidR="00EB38C6" w:rsidRPr="00EB38C6" w:rsidRDefault="00EB38C6" w:rsidP="00EB5776">
      <w:pPr>
        <w:pStyle w:val="ListParagraph"/>
        <w:numPr>
          <w:ilvl w:val="1"/>
          <w:numId w:val="28"/>
        </w:numPr>
        <w:rPr>
          <w:rFonts w:asciiTheme="minorHAnsi" w:hAnsiTheme="minorHAnsi" w:cstheme="minorHAnsi"/>
        </w:rPr>
      </w:pPr>
      <w:r>
        <w:rPr>
          <w:rFonts w:asciiTheme="minorHAnsi" w:hAnsiTheme="minorHAnsi" w:cstheme="minorHAnsi"/>
        </w:rPr>
        <w:t>O</w:t>
      </w:r>
      <w:r w:rsidRPr="0062487B">
        <w:rPr>
          <w:rFonts w:asciiTheme="minorHAnsi" w:hAnsiTheme="minorHAnsi" w:cstheme="minorHAnsi"/>
        </w:rPr>
        <w:t xml:space="preserve">vercrowding of </w:t>
      </w:r>
      <w:r>
        <w:rPr>
          <w:rFonts w:asciiTheme="minorHAnsi" w:hAnsiTheme="minorHAnsi" w:cstheme="minorHAnsi"/>
        </w:rPr>
        <w:t>ED</w:t>
      </w:r>
      <w:r w:rsidR="00B57FC5">
        <w:rPr>
          <w:rFonts w:asciiTheme="minorHAnsi" w:hAnsiTheme="minorHAnsi" w:cstheme="minorHAnsi"/>
        </w:rPr>
        <w:t>,</w:t>
      </w:r>
    </w:p>
    <w:p w14:paraId="268DD8D2" w14:textId="1992BB42" w:rsidR="00EB38C6" w:rsidRDefault="00EB38C6" w:rsidP="00EB5776">
      <w:pPr>
        <w:pStyle w:val="ListParagraph"/>
        <w:numPr>
          <w:ilvl w:val="1"/>
          <w:numId w:val="28"/>
        </w:numPr>
        <w:rPr>
          <w:rFonts w:asciiTheme="minorHAnsi" w:hAnsiTheme="minorHAnsi" w:cstheme="minorHAnsi"/>
        </w:rPr>
      </w:pPr>
      <w:r>
        <w:rPr>
          <w:rFonts w:asciiTheme="minorHAnsi" w:hAnsiTheme="minorHAnsi" w:cstheme="minorHAnsi"/>
        </w:rPr>
        <w:t xml:space="preserve">Limited bed capacity— </w:t>
      </w:r>
      <w:r w:rsidRPr="0062487B">
        <w:rPr>
          <w:rFonts w:asciiTheme="minorHAnsi" w:hAnsiTheme="minorHAnsi" w:cstheme="minorHAnsi"/>
        </w:rPr>
        <w:t>high occupancy rates of inpatient beds</w:t>
      </w:r>
      <w:r w:rsidR="00DC150A">
        <w:rPr>
          <w:rFonts w:asciiTheme="minorHAnsi" w:hAnsiTheme="minorHAnsi" w:cstheme="minorHAnsi"/>
        </w:rPr>
        <w:t xml:space="preserve"> that impacts transfers (</w:t>
      </w:r>
      <w:r w:rsidR="00FE6C42">
        <w:rPr>
          <w:rFonts w:asciiTheme="minorHAnsi" w:hAnsiTheme="minorHAnsi" w:cstheme="minorHAnsi"/>
        </w:rPr>
        <w:t xml:space="preserve">such as </w:t>
      </w:r>
      <w:r w:rsidR="00DC150A">
        <w:rPr>
          <w:rFonts w:asciiTheme="minorHAnsi" w:hAnsiTheme="minorHAnsi" w:cstheme="minorHAnsi"/>
        </w:rPr>
        <w:t>from BWH)</w:t>
      </w:r>
      <w:r w:rsidR="00B57FC5">
        <w:rPr>
          <w:rFonts w:asciiTheme="minorHAnsi" w:hAnsiTheme="minorHAnsi" w:cstheme="minorHAnsi"/>
        </w:rPr>
        <w:t>,</w:t>
      </w:r>
      <w:r w:rsidRPr="0062487B">
        <w:rPr>
          <w:rFonts w:asciiTheme="minorHAnsi" w:hAnsiTheme="minorHAnsi" w:cstheme="minorHAnsi"/>
        </w:rPr>
        <w:t xml:space="preserve"> </w:t>
      </w:r>
    </w:p>
    <w:p w14:paraId="2D26930B" w14:textId="4E7B6B1F" w:rsidR="001A3244" w:rsidRDefault="001A3244" w:rsidP="00EB5776">
      <w:pPr>
        <w:pStyle w:val="ListParagraph"/>
        <w:numPr>
          <w:ilvl w:val="1"/>
          <w:numId w:val="28"/>
        </w:numPr>
        <w:rPr>
          <w:rFonts w:asciiTheme="minorHAnsi" w:hAnsiTheme="minorHAnsi" w:cstheme="minorHAnsi"/>
        </w:rPr>
      </w:pPr>
      <w:r>
        <w:rPr>
          <w:rFonts w:asciiTheme="minorHAnsi" w:hAnsiTheme="minorHAnsi" w:cstheme="minorHAnsi"/>
        </w:rPr>
        <w:t>Long wait times and extended boarding,</w:t>
      </w:r>
    </w:p>
    <w:p w14:paraId="721AC7CB" w14:textId="66F5FB49" w:rsidR="00EB38C6" w:rsidRDefault="00EB38C6" w:rsidP="00EB5776">
      <w:pPr>
        <w:pStyle w:val="ListParagraph"/>
        <w:numPr>
          <w:ilvl w:val="1"/>
          <w:numId w:val="28"/>
        </w:numPr>
        <w:rPr>
          <w:rFonts w:asciiTheme="minorHAnsi" w:hAnsiTheme="minorHAnsi" w:cstheme="minorHAnsi"/>
        </w:rPr>
      </w:pPr>
      <w:r>
        <w:rPr>
          <w:rFonts w:asciiTheme="minorHAnsi" w:hAnsiTheme="minorHAnsi" w:cstheme="minorHAnsi"/>
        </w:rPr>
        <w:t>M</w:t>
      </w:r>
      <w:r w:rsidRPr="0062487B">
        <w:rPr>
          <w:rFonts w:asciiTheme="minorHAnsi" w:hAnsiTheme="minorHAnsi" w:cstheme="minorHAnsi"/>
        </w:rPr>
        <w:t>edicine patients requiring longer stays</w:t>
      </w:r>
      <w:r w:rsidR="00B57FC5">
        <w:rPr>
          <w:rFonts w:asciiTheme="minorHAnsi" w:hAnsiTheme="minorHAnsi" w:cstheme="minorHAnsi"/>
        </w:rPr>
        <w:t>,</w:t>
      </w:r>
    </w:p>
    <w:p w14:paraId="6A718BEF" w14:textId="05B606C6" w:rsidR="00EB38C6" w:rsidRDefault="00EB38C6" w:rsidP="00EB5776">
      <w:pPr>
        <w:pStyle w:val="ListParagraph"/>
        <w:numPr>
          <w:ilvl w:val="1"/>
          <w:numId w:val="28"/>
        </w:numPr>
        <w:rPr>
          <w:rFonts w:asciiTheme="minorHAnsi" w:hAnsiTheme="minorHAnsi" w:cstheme="minorHAnsi"/>
        </w:rPr>
      </w:pPr>
      <w:r>
        <w:rPr>
          <w:rFonts w:asciiTheme="minorHAnsi" w:hAnsiTheme="minorHAnsi" w:cstheme="minorHAnsi"/>
        </w:rPr>
        <w:t>C</w:t>
      </w:r>
      <w:r w:rsidRPr="0062487B">
        <w:rPr>
          <w:rFonts w:asciiTheme="minorHAnsi" w:hAnsiTheme="minorHAnsi" w:cstheme="minorHAnsi"/>
        </w:rPr>
        <w:t>apacity constraints (e.g., having one MRI)</w:t>
      </w:r>
      <w:r w:rsidR="00B57FC5">
        <w:rPr>
          <w:rFonts w:asciiTheme="minorHAnsi" w:hAnsiTheme="minorHAnsi" w:cstheme="minorHAnsi"/>
        </w:rPr>
        <w:t>,</w:t>
      </w:r>
    </w:p>
    <w:p w14:paraId="702C0969" w14:textId="01817DE2" w:rsidR="00EB38C6" w:rsidRDefault="00EB38C6" w:rsidP="00EB5776">
      <w:pPr>
        <w:pStyle w:val="ListParagraph"/>
        <w:numPr>
          <w:ilvl w:val="1"/>
          <w:numId w:val="28"/>
        </w:numPr>
        <w:rPr>
          <w:rFonts w:asciiTheme="minorHAnsi" w:hAnsiTheme="minorHAnsi" w:cstheme="minorHAnsi"/>
        </w:rPr>
      </w:pPr>
      <w:r>
        <w:rPr>
          <w:rFonts w:asciiTheme="minorHAnsi" w:hAnsiTheme="minorHAnsi" w:cstheme="minorHAnsi"/>
        </w:rPr>
        <w:t>N</w:t>
      </w:r>
      <w:r w:rsidRPr="0062487B">
        <w:rPr>
          <w:rFonts w:asciiTheme="minorHAnsi" w:hAnsiTheme="minorHAnsi" w:cstheme="minorHAnsi"/>
        </w:rPr>
        <w:t>eeding to transfer patients or make referrals</w:t>
      </w:r>
      <w:r w:rsidR="00B57FC5">
        <w:rPr>
          <w:rFonts w:asciiTheme="minorHAnsi" w:hAnsiTheme="minorHAnsi" w:cstheme="minorHAnsi"/>
        </w:rPr>
        <w:t xml:space="preserve">, and </w:t>
      </w:r>
    </w:p>
    <w:p w14:paraId="050680F2" w14:textId="2DE5045D" w:rsidR="00EB38C6" w:rsidRDefault="00EB38C6" w:rsidP="00EB5776">
      <w:pPr>
        <w:pStyle w:val="ListParagraph"/>
        <w:numPr>
          <w:ilvl w:val="1"/>
          <w:numId w:val="28"/>
        </w:numPr>
        <w:rPr>
          <w:rFonts w:asciiTheme="minorHAnsi" w:hAnsiTheme="minorHAnsi" w:cstheme="minorHAnsi"/>
        </w:rPr>
      </w:pPr>
      <w:r>
        <w:rPr>
          <w:rFonts w:asciiTheme="minorHAnsi" w:hAnsiTheme="minorHAnsi" w:cstheme="minorHAnsi"/>
        </w:rPr>
        <w:t>I</w:t>
      </w:r>
      <w:r w:rsidRPr="0062487B">
        <w:rPr>
          <w:rFonts w:asciiTheme="minorHAnsi" w:hAnsiTheme="minorHAnsi" w:cstheme="minorHAnsi"/>
        </w:rPr>
        <w:t xml:space="preserve">ncreasing procedural volumes. </w:t>
      </w:r>
    </w:p>
    <w:p w14:paraId="45E531A3" w14:textId="71C68CD8" w:rsidR="006B12FB" w:rsidRPr="006B12FB" w:rsidRDefault="006B12FB" w:rsidP="00EB5776">
      <w:pPr>
        <w:pStyle w:val="ListParagraph"/>
        <w:numPr>
          <w:ilvl w:val="0"/>
          <w:numId w:val="28"/>
        </w:numPr>
        <w:rPr>
          <w:rFonts w:asciiTheme="minorHAnsi" w:eastAsiaTheme="minorEastAsia" w:hAnsiTheme="minorHAnsi" w:cstheme="minorBidi"/>
          <w:color w:val="000000" w:themeColor="text1"/>
        </w:rPr>
      </w:pPr>
      <w:r>
        <w:rPr>
          <w:rFonts w:asciiTheme="minorHAnsi" w:hAnsiTheme="minorHAnsi" w:cstheme="minorHAnsi"/>
        </w:rPr>
        <w:t>Additionally, the Proposed Project helps to ensure BWH</w:t>
      </w:r>
      <w:r w:rsidRPr="006B12FB">
        <w:rPr>
          <w:rFonts w:asciiTheme="minorHAnsi" w:hAnsiTheme="minorHAnsi" w:cstheme="minorHAnsi"/>
        </w:rPr>
        <w:t xml:space="preserve"> </w:t>
      </w:r>
      <w:r>
        <w:rPr>
          <w:rFonts w:asciiTheme="minorHAnsi" w:hAnsiTheme="minorHAnsi" w:cstheme="minorHAnsi"/>
        </w:rPr>
        <w:t xml:space="preserve">has the </w:t>
      </w:r>
      <w:r w:rsidRPr="006B12FB">
        <w:rPr>
          <w:rFonts w:asciiTheme="minorHAnsi" w:hAnsiTheme="minorHAnsi" w:cstheme="minorHAnsi"/>
        </w:rPr>
        <w:t>capacity to meet the needs of high acuity patients</w:t>
      </w:r>
    </w:p>
    <w:p w14:paraId="01BB33A9" w14:textId="05B9937E" w:rsidR="00EB38C6" w:rsidRDefault="00EB38C6">
      <w:pPr>
        <w:rPr>
          <w:rFonts w:ascii="Calibri" w:eastAsia="Calibri" w:hAnsi="Calibri" w:cs="Calibri"/>
          <w:b/>
          <w:bCs/>
        </w:rPr>
      </w:pPr>
    </w:p>
    <w:p w14:paraId="5CDF60EF" w14:textId="4CB294C0" w:rsidR="17FA2F59" w:rsidRDefault="17FA2F59">
      <w:pPr>
        <w:rPr>
          <w:rFonts w:ascii="Calibri" w:eastAsia="Calibri" w:hAnsi="Calibri" w:cs="Calibri"/>
          <w:b/>
          <w:bCs/>
        </w:rPr>
      </w:pPr>
      <w:r w:rsidRPr="17FA2F59">
        <w:rPr>
          <w:rFonts w:ascii="Calibri" w:eastAsia="Calibri" w:hAnsi="Calibri" w:cs="Calibri"/>
          <w:b/>
          <w:bCs/>
        </w:rPr>
        <w:t xml:space="preserve">Factor 1b: Public Health Value </w:t>
      </w:r>
    </w:p>
    <w:p w14:paraId="23F17709" w14:textId="77777777" w:rsidR="00021E93" w:rsidRDefault="00021E93" w:rsidP="00021E93">
      <w:r w:rsidRPr="17FA2F59">
        <w:rPr>
          <w:rFonts w:ascii="Calibri" w:eastAsia="Calibri" w:hAnsi="Calibri" w:cs="Calibri"/>
        </w:rPr>
        <w:t>The Proposed Project will improve health outcomes, quality of life, and promote health equity in the following ways:</w:t>
      </w:r>
    </w:p>
    <w:p w14:paraId="6DD963D8" w14:textId="4C3D1838" w:rsidR="001F4829" w:rsidRDefault="001F4829" w:rsidP="00EB5776">
      <w:pPr>
        <w:pStyle w:val="ListParagraph"/>
        <w:numPr>
          <w:ilvl w:val="0"/>
          <w:numId w:val="28"/>
        </w:numPr>
        <w:rPr>
          <w:rFonts w:asciiTheme="minorHAnsi" w:hAnsiTheme="minorHAnsi" w:cstheme="minorHAnsi"/>
        </w:rPr>
      </w:pPr>
      <w:r w:rsidRPr="0062487B">
        <w:rPr>
          <w:rFonts w:asciiTheme="minorHAnsi" w:hAnsiTheme="minorHAnsi" w:cstheme="minorHAnsi"/>
        </w:rPr>
        <w:t xml:space="preserve">Current BWFH patients commented about the convenience </w:t>
      </w:r>
      <w:r w:rsidR="003E6651">
        <w:rPr>
          <w:rFonts w:asciiTheme="minorHAnsi" w:hAnsiTheme="minorHAnsi" w:cstheme="minorHAnsi"/>
        </w:rPr>
        <w:t xml:space="preserve">and accessibility as well as </w:t>
      </w:r>
      <w:r w:rsidRPr="0062487B">
        <w:rPr>
          <w:rFonts w:asciiTheme="minorHAnsi" w:hAnsiTheme="minorHAnsi" w:cstheme="minorHAnsi"/>
        </w:rPr>
        <w:t xml:space="preserve">excellent care they have received at the community hospital. </w:t>
      </w:r>
    </w:p>
    <w:p w14:paraId="0C7590FA" w14:textId="0C1B71D4" w:rsidR="00316643" w:rsidRDefault="00021E93" w:rsidP="00EB5776">
      <w:pPr>
        <w:pStyle w:val="ListParagraph"/>
        <w:numPr>
          <w:ilvl w:val="0"/>
          <w:numId w:val="28"/>
        </w:numPr>
        <w:rPr>
          <w:rFonts w:asciiTheme="minorHAnsi" w:hAnsiTheme="minorHAnsi" w:cstheme="minorHAnsi"/>
        </w:rPr>
      </w:pPr>
      <w:r>
        <w:rPr>
          <w:rFonts w:asciiTheme="minorHAnsi" w:hAnsiTheme="minorHAnsi" w:cstheme="minorHAnsi"/>
        </w:rPr>
        <w:t>P</w:t>
      </w:r>
      <w:r w:rsidR="00316643" w:rsidRPr="0062487B">
        <w:rPr>
          <w:rFonts w:asciiTheme="minorHAnsi" w:hAnsiTheme="minorHAnsi" w:cstheme="minorHAnsi"/>
        </w:rPr>
        <w:t>atient</w:t>
      </w:r>
      <w:r w:rsidR="00316643">
        <w:rPr>
          <w:rFonts w:asciiTheme="minorHAnsi" w:hAnsiTheme="minorHAnsi" w:cstheme="minorHAnsi"/>
        </w:rPr>
        <w:t>s</w:t>
      </w:r>
      <w:r w:rsidR="00316643" w:rsidRPr="0062487B">
        <w:rPr>
          <w:rFonts w:asciiTheme="minorHAnsi" w:hAnsiTheme="minorHAnsi" w:cstheme="minorHAnsi"/>
        </w:rPr>
        <w:t xml:space="preserve"> will be able to get care in their local community, and patients want to come to BWFH for its privacy </w:t>
      </w:r>
      <w:r w:rsidR="004A4459">
        <w:rPr>
          <w:rFonts w:asciiTheme="minorHAnsi" w:hAnsiTheme="minorHAnsi" w:cstheme="minorHAnsi"/>
        </w:rPr>
        <w:t xml:space="preserve">and </w:t>
      </w:r>
      <w:r w:rsidR="003E6651" w:rsidRPr="0062487B">
        <w:rPr>
          <w:rFonts w:asciiTheme="minorHAnsi" w:hAnsiTheme="minorHAnsi" w:cstheme="minorHAnsi"/>
        </w:rPr>
        <w:t>comfort</w:t>
      </w:r>
      <w:r w:rsidR="00DA3B1F">
        <w:rPr>
          <w:rFonts w:asciiTheme="minorHAnsi" w:hAnsiTheme="minorHAnsi" w:cstheme="minorHAnsi"/>
        </w:rPr>
        <w:t xml:space="preserve"> </w:t>
      </w:r>
      <w:r w:rsidR="0087078C">
        <w:rPr>
          <w:rFonts w:asciiTheme="minorHAnsi" w:hAnsiTheme="minorHAnsi" w:cstheme="minorHAnsi"/>
        </w:rPr>
        <w:t xml:space="preserve">including </w:t>
      </w:r>
      <w:r w:rsidR="00DA3B1F">
        <w:rPr>
          <w:rFonts w:asciiTheme="minorHAnsi" w:hAnsiTheme="minorHAnsi" w:cstheme="minorHAnsi"/>
        </w:rPr>
        <w:t>access to private rooms</w:t>
      </w:r>
      <w:r w:rsidR="00316643" w:rsidRPr="0062487B">
        <w:rPr>
          <w:rFonts w:asciiTheme="minorHAnsi" w:hAnsiTheme="minorHAnsi" w:cstheme="minorHAnsi"/>
        </w:rPr>
        <w:t>.</w:t>
      </w:r>
    </w:p>
    <w:p w14:paraId="6522F317" w14:textId="776BA483" w:rsidR="003E6651" w:rsidRDefault="003E6651" w:rsidP="00EB5776">
      <w:pPr>
        <w:pStyle w:val="ListParagraph"/>
        <w:numPr>
          <w:ilvl w:val="1"/>
          <w:numId w:val="28"/>
        </w:numPr>
        <w:rPr>
          <w:rFonts w:asciiTheme="minorHAnsi" w:hAnsiTheme="minorHAnsi" w:cstheme="minorHAnsi"/>
        </w:rPr>
      </w:pPr>
      <w:r>
        <w:rPr>
          <w:rFonts w:asciiTheme="minorHAnsi" w:hAnsiTheme="minorHAnsi" w:cstheme="minorHAnsi"/>
        </w:rPr>
        <w:t xml:space="preserve">BWFH provides specialty services in a friendly and welcoming environment. </w:t>
      </w:r>
    </w:p>
    <w:p w14:paraId="3FD354F5" w14:textId="2936CCB9" w:rsidR="00021E93" w:rsidRDefault="00021E93" w:rsidP="00EB5776">
      <w:pPr>
        <w:pStyle w:val="ListParagraph"/>
        <w:numPr>
          <w:ilvl w:val="0"/>
          <w:numId w:val="28"/>
        </w:numPr>
        <w:rPr>
          <w:rFonts w:asciiTheme="minorHAnsi" w:hAnsiTheme="minorHAnsi" w:cstheme="minorHAnsi"/>
        </w:rPr>
      </w:pPr>
      <w:r>
        <w:rPr>
          <w:rFonts w:asciiTheme="minorHAnsi" w:hAnsiTheme="minorHAnsi" w:cstheme="minorHAnsi"/>
        </w:rPr>
        <w:t>Patient care will be enhanced</w:t>
      </w:r>
      <w:r w:rsidRPr="0062487B">
        <w:rPr>
          <w:rFonts w:asciiTheme="minorHAnsi" w:hAnsiTheme="minorHAnsi" w:cstheme="minorHAnsi"/>
        </w:rPr>
        <w:t xml:space="preserve"> with increased treatment modalities</w:t>
      </w:r>
      <w:r>
        <w:rPr>
          <w:rFonts w:asciiTheme="minorHAnsi" w:hAnsiTheme="minorHAnsi" w:cstheme="minorHAnsi"/>
        </w:rPr>
        <w:t>.</w:t>
      </w:r>
    </w:p>
    <w:p w14:paraId="3658ABAD" w14:textId="3FF7ACF4" w:rsidR="003E6651" w:rsidRPr="0068687A" w:rsidRDefault="003E6651" w:rsidP="00EB5776">
      <w:pPr>
        <w:pStyle w:val="ListParagraph"/>
        <w:numPr>
          <w:ilvl w:val="1"/>
          <w:numId w:val="28"/>
        </w:numPr>
        <w:rPr>
          <w:rFonts w:asciiTheme="minorHAnsi" w:hAnsiTheme="minorHAnsi" w:cstheme="minorHAnsi"/>
        </w:rPr>
      </w:pPr>
      <w:r>
        <w:rPr>
          <w:rFonts w:asciiTheme="minorHAnsi" w:hAnsiTheme="minorHAnsi" w:cstheme="minorHAnsi"/>
        </w:rPr>
        <w:t>MR</w:t>
      </w:r>
      <w:r w:rsidR="007E3C94">
        <w:rPr>
          <w:rFonts w:asciiTheme="minorHAnsi" w:hAnsiTheme="minorHAnsi" w:cstheme="minorHAnsi"/>
        </w:rPr>
        <w:t>I</w:t>
      </w:r>
      <w:r>
        <w:rPr>
          <w:rFonts w:asciiTheme="minorHAnsi" w:hAnsiTheme="minorHAnsi" w:cstheme="minorHAnsi"/>
        </w:rPr>
        <w:t xml:space="preserve"> is a “powerful instrument.”</w:t>
      </w:r>
    </w:p>
    <w:p w14:paraId="3593F1C1" w14:textId="35A4CC77" w:rsidR="00316643" w:rsidRDefault="003E6651" w:rsidP="00EB5776">
      <w:pPr>
        <w:pStyle w:val="ListParagraph"/>
        <w:numPr>
          <w:ilvl w:val="0"/>
          <w:numId w:val="28"/>
        </w:numPr>
        <w:rPr>
          <w:rFonts w:asciiTheme="minorHAnsi" w:hAnsiTheme="minorHAnsi" w:cstheme="minorHAnsi"/>
        </w:rPr>
      </w:pPr>
      <w:r>
        <w:rPr>
          <w:rFonts w:asciiTheme="minorHAnsi" w:hAnsiTheme="minorHAnsi" w:cstheme="minorHAnsi"/>
        </w:rPr>
        <w:t xml:space="preserve">As a community hospital, </w:t>
      </w:r>
      <w:r w:rsidR="00316643" w:rsidRPr="0062487B">
        <w:rPr>
          <w:rFonts w:asciiTheme="minorHAnsi" w:hAnsiTheme="minorHAnsi" w:cstheme="minorHAnsi"/>
        </w:rPr>
        <w:t>BWFH does not have teaching and research responsibilities so they can focus on patient care.</w:t>
      </w:r>
    </w:p>
    <w:p w14:paraId="76600A6E" w14:textId="2FA592D0" w:rsidR="00EB38C6" w:rsidRPr="00EB38C6" w:rsidRDefault="00EB38C6" w:rsidP="00EB5776">
      <w:pPr>
        <w:pStyle w:val="ListParagraph"/>
        <w:numPr>
          <w:ilvl w:val="0"/>
          <w:numId w:val="28"/>
        </w:numPr>
        <w:rPr>
          <w:rFonts w:asciiTheme="minorHAnsi" w:hAnsiTheme="minorHAnsi" w:cstheme="minorHAnsi"/>
        </w:rPr>
      </w:pPr>
      <w:r w:rsidRPr="00EB38C6">
        <w:rPr>
          <w:rFonts w:asciiTheme="minorHAnsi" w:hAnsiTheme="minorHAnsi" w:cstheme="minorHAnsi"/>
        </w:rPr>
        <w:t xml:space="preserve">One medical staff described BWFH as a “physical plant is starting to burst at the seams.” </w:t>
      </w:r>
    </w:p>
    <w:p w14:paraId="1E098253" w14:textId="77777777" w:rsidR="001F4829" w:rsidRDefault="001F4829"/>
    <w:p w14:paraId="21A31E04" w14:textId="3C17197A" w:rsidR="00316643" w:rsidRDefault="17FA2F59" w:rsidP="00F26978">
      <w:pPr>
        <w:rPr>
          <w:rFonts w:ascii="Calibri" w:eastAsia="Calibri" w:hAnsi="Calibri" w:cs="Calibri"/>
          <w:b/>
          <w:bCs/>
        </w:rPr>
      </w:pPr>
      <w:r w:rsidRPr="17FA2F59">
        <w:rPr>
          <w:rFonts w:ascii="Calibri" w:eastAsia="Calibri" w:hAnsi="Calibri" w:cs="Calibri"/>
          <w:b/>
          <w:bCs/>
        </w:rPr>
        <w:t>Factor 1c: Efficiency, Continuity of Care, Coordination of Care</w:t>
      </w:r>
    </w:p>
    <w:p w14:paraId="5D3941A6" w14:textId="78985F75" w:rsidR="00021E93" w:rsidRDefault="00021E93" w:rsidP="00F26978">
      <w:pPr>
        <w:rPr>
          <w:rFonts w:asciiTheme="minorHAnsi" w:hAnsiTheme="minorHAnsi" w:cstheme="minorHAnsi"/>
        </w:rPr>
      </w:pPr>
      <w:r w:rsidRPr="17FA2F59">
        <w:rPr>
          <w:rFonts w:ascii="Calibri" w:eastAsia="Calibri" w:hAnsi="Calibri" w:cs="Calibri"/>
        </w:rPr>
        <w:t>The Proposed Project will improve efficiency and care coordination in the following ways:</w:t>
      </w:r>
    </w:p>
    <w:p w14:paraId="64D5F4DF" w14:textId="07D112C9" w:rsidR="17FA2F59" w:rsidRPr="003E6651" w:rsidRDefault="00021E93" w:rsidP="00EB5776">
      <w:pPr>
        <w:pStyle w:val="ListParagraph"/>
        <w:numPr>
          <w:ilvl w:val="0"/>
          <w:numId w:val="28"/>
        </w:numPr>
        <w:rPr>
          <w:rFonts w:asciiTheme="minorHAnsi" w:eastAsiaTheme="minorEastAsia" w:hAnsiTheme="minorHAnsi" w:cstheme="minorBidi"/>
          <w:color w:val="000000" w:themeColor="text1"/>
        </w:rPr>
      </w:pPr>
      <w:r>
        <w:rPr>
          <w:rFonts w:asciiTheme="minorHAnsi" w:hAnsiTheme="minorHAnsi" w:cstheme="minorHAnsi"/>
        </w:rPr>
        <w:t>It w</w:t>
      </w:r>
      <w:r w:rsidR="00316643" w:rsidRPr="0062487B">
        <w:rPr>
          <w:rFonts w:asciiTheme="minorHAnsi" w:hAnsiTheme="minorHAnsi" w:cstheme="minorHAnsi"/>
        </w:rPr>
        <w:t>ill enable timelier access to care for patients and create efficiencies and improve throughput.</w:t>
      </w:r>
    </w:p>
    <w:p w14:paraId="7ACA6662" w14:textId="1BB2DDF1" w:rsidR="003E6651" w:rsidRPr="00031A51" w:rsidRDefault="003E6651" w:rsidP="00EB5776">
      <w:pPr>
        <w:pStyle w:val="ListParagraph"/>
        <w:numPr>
          <w:ilvl w:val="0"/>
          <w:numId w:val="28"/>
        </w:numPr>
        <w:rPr>
          <w:rFonts w:asciiTheme="minorHAnsi" w:eastAsiaTheme="minorEastAsia" w:hAnsiTheme="minorHAnsi" w:cstheme="minorBidi"/>
          <w:color w:val="000000" w:themeColor="text1"/>
        </w:rPr>
      </w:pPr>
      <w:r>
        <w:rPr>
          <w:rFonts w:asciiTheme="minorHAnsi" w:hAnsiTheme="minorHAnsi" w:cstheme="minorHAnsi"/>
        </w:rPr>
        <w:t>The additional MR</w:t>
      </w:r>
      <w:r w:rsidR="007E3C94">
        <w:rPr>
          <w:rFonts w:asciiTheme="minorHAnsi" w:hAnsiTheme="minorHAnsi" w:cstheme="minorHAnsi"/>
        </w:rPr>
        <w:t>I</w:t>
      </w:r>
      <w:r>
        <w:rPr>
          <w:rFonts w:asciiTheme="minorHAnsi" w:hAnsiTheme="minorHAnsi" w:cstheme="minorHAnsi"/>
        </w:rPr>
        <w:t xml:space="preserve"> unit will allow for shorter waits for scans and ability to make earlier decisions about care.</w:t>
      </w:r>
    </w:p>
    <w:p w14:paraId="635E1D9B" w14:textId="46805119" w:rsidR="00031A51" w:rsidRPr="006B12FB" w:rsidRDefault="00031A51" w:rsidP="00EB5776">
      <w:pPr>
        <w:pStyle w:val="ListParagraph"/>
        <w:numPr>
          <w:ilvl w:val="0"/>
          <w:numId w:val="28"/>
        </w:numPr>
        <w:rPr>
          <w:rFonts w:asciiTheme="minorHAnsi" w:eastAsiaTheme="minorEastAsia" w:hAnsiTheme="minorHAnsi" w:cstheme="minorBidi"/>
          <w:color w:val="000000" w:themeColor="text1"/>
        </w:rPr>
      </w:pPr>
      <w:r>
        <w:rPr>
          <w:rFonts w:asciiTheme="minorHAnsi" w:hAnsiTheme="minorHAnsi" w:cstheme="minorHAnsi"/>
        </w:rPr>
        <w:t xml:space="preserve">Patients </w:t>
      </w:r>
      <w:r w:rsidR="000B733C">
        <w:rPr>
          <w:rFonts w:asciiTheme="minorHAnsi" w:hAnsiTheme="minorHAnsi" w:cstheme="minorHAnsi"/>
        </w:rPr>
        <w:t>access</w:t>
      </w:r>
      <w:r>
        <w:rPr>
          <w:rFonts w:asciiTheme="minorHAnsi" w:hAnsiTheme="minorHAnsi" w:cstheme="minorHAnsi"/>
        </w:rPr>
        <w:t xml:space="preserve"> 3T MRI services</w:t>
      </w:r>
      <w:r w:rsidR="000B733C">
        <w:rPr>
          <w:rFonts w:asciiTheme="minorHAnsi" w:hAnsiTheme="minorHAnsi" w:cstheme="minorHAnsi"/>
        </w:rPr>
        <w:t xml:space="preserve"> at BWFH and not need to travel to another facility</w:t>
      </w:r>
      <w:r>
        <w:rPr>
          <w:rFonts w:asciiTheme="minorHAnsi" w:hAnsiTheme="minorHAnsi" w:cstheme="minorHAnsi"/>
        </w:rPr>
        <w:t>.</w:t>
      </w:r>
    </w:p>
    <w:p w14:paraId="4DB10A21" w14:textId="23AEE0FF" w:rsidR="17FA2F59" w:rsidRDefault="17FA2F59"/>
    <w:p w14:paraId="29E77C8F" w14:textId="3EA6048E" w:rsidR="17FA2F59" w:rsidRDefault="17FA2F59">
      <w:r w:rsidRPr="17FA2F59">
        <w:rPr>
          <w:rFonts w:ascii="Calibri" w:eastAsia="Calibri" w:hAnsi="Calibri" w:cs="Calibri"/>
          <w:b/>
          <w:bCs/>
        </w:rPr>
        <w:t>Factor 1</w:t>
      </w:r>
      <w:r w:rsidR="00FF75A5">
        <w:rPr>
          <w:rFonts w:ascii="Calibri" w:eastAsia="Calibri" w:hAnsi="Calibri" w:cs="Calibri"/>
          <w:b/>
          <w:bCs/>
        </w:rPr>
        <w:t>f</w:t>
      </w:r>
      <w:r w:rsidRPr="17FA2F59">
        <w:rPr>
          <w:rFonts w:ascii="Calibri" w:eastAsia="Calibri" w:hAnsi="Calibri" w:cs="Calibri"/>
          <w:b/>
          <w:bCs/>
        </w:rPr>
        <w:t>:  Competition on price, total medical expenses (TME), costs and other measures of health care spending</w:t>
      </w:r>
    </w:p>
    <w:p w14:paraId="3F730A4F" w14:textId="2EEECC59" w:rsidR="00F26978" w:rsidRDefault="00021E93" w:rsidP="00EB5776">
      <w:pPr>
        <w:pStyle w:val="ListParagraph"/>
        <w:numPr>
          <w:ilvl w:val="0"/>
          <w:numId w:val="28"/>
        </w:numPr>
        <w:rPr>
          <w:rFonts w:ascii="Calibri" w:eastAsia="Calibri" w:hAnsi="Calibri" w:cs="Calibri"/>
          <w:b/>
          <w:bCs/>
        </w:rPr>
      </w:pPr>
      <w:r>
        <w:rPr>
          <w:rFonts w:asciiTheme="minorHAnsi" w:hAnsiTheme="minorHAnsi" w:cstheme="minorHAnsi"/>
        </w:rPr>
        <w:t>P</w:t>
      </w:r>
      <w:r w:rsidR="00316643" w:rsidRPr="0062487B">
        <w:rPr>
          <w:rFonts w:asciiTheme="minorHAnsi" w:hAnsiTheme="minorHAnsi" w:cstheme="minorHAnsi"/>
        </w:rPr>
        <w:t>rovid</w:t>
      </w:r>
      <w:r>
        <w:rPr>
          <w:rFonts w:asciiTheme="minorHAnsi" w:hAnsiTheme="minorHAnsi" w:cstheme="minorHAnsi"/>
        </w:rPr>
        <w:t>e</w:t>
      </w:r>
      <w:r w:rsidR="00316643" w:rsidRPr="0062487B">
        <w:rPr>
          <w:rFonts w:asciiTheme="minorHAnsi" w:hAnsiTheme="minorHAnsi" w:cstheme="minorHAnsi"/>
        </w:rPr>
        <w:t xml:space="preserve"> high-quality care at lower costs and in appropriate settings (e.g., community hospital v</w:t>
      </w:r>
      <w:r>
        <w:rPr>
          <w:rFonts w:asciiTheme="minorHAnsi" w:hAnsiTheme="minorHAnsi" w:cstheme="minorHAnsi"/>
        </w:rPr>
        <w:t xml:space="preserve">ersus </w:t>
      </w:r>
      <w:r w:rsidR="00316643" w:rsidRPr="0062487B">
        <w:rPr>
          <w:rFonts w:asciiTheme="minorHAnsi" w:hAnsiTheme="minorHAnsi" w:cstheme="minorHAnsi"/>
        </w:rPr>
        <w:t>academic medical centers).</w:t>
      </w:r>
    </w:p>
    <w:p w14:paraId="3212250E" w14:textId="77777777" w:rsidR="00316643" w:rsidRDefault="00316643">
      <w:pPr>
        <w:rPr>
          <w:rFonts w:ascii="Calibri" w:eastAsia="Calibri" w:hAnsi="Calibri" w:cs="Calibri"/>
          <w:b/>
          <w:bCs/>
        </w:rPr>
      </w:pPr>
    </w:p>
    <w:p w14:paraId="209133B8" w14:textId="05353E82" w:rsidR="17FA2F59" w:rsidRDefault="17FA2F59">
      <w:r w:rsidRPr="17FA2F59">
        <w:rPr>
          <w:rFonts w:ascii="Calibri" w:eastAsia="Calibri" w:hAnsi="Calibri" w:cs="Calibri"/>
          <w:b/>
          <w:bCs/>
        </w:rPr>
        <w:t>Factor 6: Fulfillment of DPH Community-based Health Initiatives Guideline: Overall Application</w:t>
      </w:r>
    </w:p>
    <w:p w14:paraId="4A03B3EA" w14:textId="764B9FEE" w:rsidR="17FA2F59" w:rsidRDefault="00DC150A" w:rsidP="00EB5776">
      <w:pPr>
        <w:pStyle w:val="ListParagraph"/>
        <w:numPr>
          <w:ilvl w:val="0"/>
          <w:numId w:val="28"/>
        </w:numPr>
      </w:pPr>
      <w:r>
        <w:rPr>
          <w:rFonts w:asciiTheme="minorHAnsi" w:hAnsiTheme="minorHAnsi" w:cstheme="minorHAnsi"/>
        </w:rPr>
        <w:lastRenderedPageBreak/>
        <w:t>I</w:t>
      </w:r>
      <w:r w:rsidR="0068687A" w:rsidRPr="0062487B">
        <w:rPr>
          <w:rFonts w:asciiTheme="minorHAnsi" w:hAnsiTheme="minorHAnsi" w:cstheme="minorHAnsi"/>
        </w:rPr>
        <w:t xml:space="preserve">nvestments </w:t>
      </w:r>
      <w:r>
        <w:rPr>
          <w:rFonts w:asciiTheme="minorHAnsi" w:hAnsiTheme="minorHAnsi" w:cstheme="minorHAnsi"/>
        </w:rPr>
        <w:t xml:space="preserve">in community health initiatives </w:t>
      </w:r>
      <w:r w:rsidR="0068687A" w:rsidRPr="0062487B">
        <w:rPr>
          <w:rFonts w:asciiTheme="minorHAnsi" w:hAnsiTheme="minorHAnsi" w:cstheme="minorHAnsi"/>
        </w:rPr>
        <w:t xml:space="preserve">from the Project </w:t>
      </w:r>
      <w:r>
        <w:rPr>
          <w:rFonts w:asciiTheme="minorHAnsi" w:hAnsiTheme="minorHAnsi" w:cstheme="minorHAnsi"/>
        </w:rPr>
        <w:t xml:space="preserve">(contribution of over $7 million) </w:t>
      </w:r>
      <w:r w:rsidR="0068687A" w:rsidRPr="0062487B">
        <w:rPr>
          <w:rFonts w:asciiTheme="minorHAnsi" w:hAnsiTheme="minorHAnsi" w:cstheme="minorHAnsi"/>
        </w:rPr>
        <w:t>will be beneficial for the community such as addressing the social determinants of health.</w:t>
      </w:r>
    </w:p>
    <w:p w14:paraId="458ED74D" w14:textId="76C60745" w:rsidR="17FA2F59" w:rsidRDefault="17FA2F59" w:rsidP="17FA2F59">
      <w:pPr>
        <w:spacing w:line="257" w:lineRule="auto"/>
      </w:pPr>
      <w:r w:rsidRPr="17FA2F59">
        <w:rPr>
          <w:rFonts w:ascii="Calibri" w:eastAsia="Calibri" w:hAnsi="Calibri" w:cs="Calibri"/>
        </w:rPr>
        <w:t xml:space="preserve"> </w:t>
      </w:r>
    </w:p>
    <w:p w14:paraId="5735B4D5" w14:textId="49E47344" w:rsidR="17FA2F59" w:rsidRDefault="17FA2F59">
      <w:r w:rsidRPr="17FA2F59">
        <w:rPr>
          <w:rFonts w:ascii="Calibri" w:eastAsia="Calibri" w:hAnsi="Calibri" w:cs="Calibri"/>
          <w:color w:val="000000" w:themeColor="text1"/>
        </w:rPr>
        <w:t xml:space="preserve"> </w:t>
      </w:r>
    </w:p>
    <w:p w14:paraId="4ED1C46A" w14:textId="26CF2CBD" w:rsidR="17FA2F59" w:rsidRDefault="17FA2F59" w:rsidP="17FA2F59">
      <w:pPr>
        <w:jc w:val="center"/>
      </w:pPr>
      <w:r w:rsidRPr="17FA2F59">
        <w:rPr>
          <w:rFonts w:ascii="Calibri" w:eastAsia="Calibri" w:hAnsi="Calibri" w:cs="Calibri"/>
          <w:b/>
          <w:bCs/>
          <w:u w:val="single"/>
        </w:rPr>
        <w:t>Summary of Written Comments in opposition to the Proposed Project</w:t>
      </w:r>
    </w:p>
    <w:p w14:paraId="46911C50" w14:textId="41C9DAD4" w:rsidR="17FA2F59" w:rsidRDefault="17FA2F59">
      <w:r w:rsidRPr="17FA2F59">
        <w:rPr>
          <w:rFonts w:ascii="Calibri" w:eastAsia="Calibri" w:hAnsi="Calibri" w:cs="Calibri"/>
          <w:b/>
          <w:bCs/>
        </w:rPr>
        <w:t>Factor 1</w:t>
      </w:r>
      <w:r w:rsidR="00FF75A5">
        <w:rPr>
          <w:rFonts w:ascii="Calibri" w:eastAsia="Calibri" w:hAnsi="Calibri" w:cs="Calibri"/>
          <w:b/>
          <w:bCs/>
        </w:rPr>
        <w:t>f</w:t>
      </w:r>
      <w:r w:rsidRPr="17FA2F59">
        <w:rPr>
          <w:rFonts w:ascii="Calibri" w:eastAsia="Calibri" w:hAnsi="Calibri" w:cs="Calibri"/>
          <w:b/>
          <w:bCs/>
        </w:rPr>
        <w:t>:  Competition on price, total medical expenses (TME), costs and other measures of health care spending</w:t>
      </w:r>
    </w:p>
    <w:p w14:paraId="4127DCB4" w14:textId="74DDBCF7" w:rsidR="00C13400" w:rsidRPr="00C62301" w:rsidRDefault="00E14DED" w:rsidP="00EB5776">
      <w:pPr>
        <w:pStyle w:val="ListParagraph"/>
        <w:numPr>
          <w:ilvl w:val="0"/>
          <w:numId w:val="28"/>
        </w:numPr>
        <w:rPr>
          <w:rFonts w:asciiTheme="minorHAnsi" w:hAnsiTheme="minorHAnsi" w:cstheme="minorHAnsi"/>
        </w:rPr>
      </w:pPr>
      <w:r>
        <w:rPr>
          <w:rFonts w:asciiTheme="minorHAnsi" w:hAnsiTheme="minorHAnsi" w:cstheme="minorHAnsi"/>
        </w:rPr>
        <w:t xml:space="preserve">The Ten Taxpayer Alliance – CCHERS, Inc. </w:t>
      </w:r>
      <w:r w:rsidR="00A50B59">
        <w:rPr>
          <w:rFonts w:asciiTheme="minorHAnsi" w:hAnsiTheme="minorHAnsi" w:cstheme="minorHAnsi"/>
        </w:rPr>
        <w:t xml:space="preserve">TTG </w:t>
      </w:r>
      <w:r>
        <w:rPr>
          <w:rFonts w:asciiTheme="minorHAnsi" w:hAnsiTheme="minorHAnsi" w:cstheme="minorHAnsi"/>
        </w:rPr>
        <w:t>stated that P</w:t>
      </w:r>
      <w:r w:rsidR="00A16824" w:rsidRPr="00F26978">
        <w:rPr>
          <w:rFonts w:asciiTheme="minorHAnsi" w:hAnsiTheme="minorHAnsi" w:cstheme="minorHAnsi"/>
        </w:rPr>
        <w:t xml:space="preserve">roposed Project will increase </w:t>
      </w:r>
      <w:r w:rsidR="00736AFA">
        <w:rPr>
          <w:rFonts w:asciiTheme="minorHAnsi" w:hAnsiTheme="minorHAnsi" w:cstheme="minorHAnsi"/>
        </w:rPr>
        <w:t>health care</w:t>
      </w:r>
      <w:r w:rsidR="00A16824" w:rsidRPr="00F26978">
        <w:rPr>
          <w:rFonts w:asciiTheme="minorHAnsi" w:hAnsiTheme="minorHAnsi" w:cstheme="minorHAnsi"/>
        </w:rPr>
        <w:t xml:space="preserve"> costs and would preclude MassHealth members from accessing care at MGH</w:t>
      </w:r>
      <w:r w:rsidR="00A50B59">
        <w:rPr>
          <w:rFonts w:asciiTheme="minorHAnsi" w:hAnsiTheme="minorHAnsi" w:cstheme="minorHAnsi"/>
        </w:rPr>
        <w:t>.</w:t>
      </w:r>
      <w:r w:rsidR="00C62301">
        <w:rPr>
          <w:rFonts w:asciiTheme="minorHAnsi" w:hAnsiTheme="minorHAnsi" w:cstheme="minorHAnsi"/>
        </w:rPr>
        <w:t xml:space="preserve"> (</w:t>
      </w:r>
      <w:proofErr w:type="gramStart"/>
      <w:r w:rsidR="00C62301">
        <w:rPr>
          <w:rFonts w:asciiTheme="minorHAnsi" w:hAnsiTheme="minorHAnsi" w:cstheme="minorHAnsi"/>
        </w:rPr>
        <w:t>comment</w:t>
      </w:r>
      <w:proofErr w:type="gramEnd"/>
      <w:r w:rsidR="00C62301">
        <w:rPr>
          <w:rFonts w:asciiTheme="minorHAnsi" w:hAnsiTheme="minorHAnsi" w:cstheme="minorHAnsi"/>
        </w:rPr>
        <w:t xml:space="preserve"> submitted as a part of their TTG)</w:t>
      </w:r>
      <w:r w:rsidR="007E3C94">
        <w:rPr>
          <w:rFonts w:asciiTheme="minorHAnsi" w:hAnsiTheme="minorHAnsi" w:cstheme="minorHAnsi"/>
        </w:rPr>
        <w:t>.</w:t>
      </w:r>
    </w:p>
    <w:p w14:paraId="4E6B4AC8" w14:textId="77777777" w:rsidR="00A50B59" w:rsidRDefault="00A50B59" w:rsidP="00A50B59">
      <w:pPr>
        <w:rPr>
          <w:rFonts w:ascii="Calibri" w:eastAsia="Calibri" w:hAnsi="Calibri" w:cs="Calibri"/>
          <w:b/>
          <w:bCs/>
        </w:rPr>
      </w:pPr>
    </w:p>
    <w:p w14:paraId="3F4FD18D" w14:textId="0AC5BC6F" w:rsidR="00A50B59" w:rsidRDefault="00A50B59" w:rsidP="00A50B59">
      <w:r w:rsidRPr="00A50B59">
        <w:rPr>
          <w:rFonts w:ascii="Calibri" w:eastAsia="Calibri" w:hAnsi="Calibri" w:cs="Calibri"/>
          <w:b/>
          <w:bCs/>
        </w:rPr>
        <w:t xml:space="preserve">Factor 2: Health Priorities </w:t>
      </w:r>
      <w:r w:rsidR="007E3C94">
        <w:t xml:space="preserve">- </w:t>
      </w:r>
      <w:r w:rsidRPr="007E3C94">
        <w:rPr>
          <w:rFonts w:ascii="Calibri" w:eastAsia="Calibri" w:hAnsi="Calibri" w:cs="Calibri"/>
          <w:b/>
          <w:bCs/>
        </w:rPr>
        <w:t>Public Health Outcomes:</w:t>
      </w:r>
    </w:p>
    <w:p w14:paraId="41B17743" w14:textId="180437CF" w:rsidR="00F26978" w:rsidRDefault="007E3C94" w:rsidP="00EB5776">
      <w:pPr>
        <w:pStyle w:val="ListParagraph"/>
        <w:numPr>
          <w:ilvl w:val="0"/>
          <w:numId w:val="28"/>
        </w:numPr>
        <w:rPr>
          <w:rFonts w:asciiTheme="minorHAnsi" w:hAnsiTheme="minorHAnsi" w:cstheme="minorHAnsi"/>
        </w:rPr>
      </w:pPr>
      <w:r>
        <w:rPr>
          <w:rFonts w:asciiTheme="minorHAnsi" w:hAnsiTheme="minorHAnsi" w:cstheme="minorHAnsi"/>
        </w:rPr>
        <w:t>T</w:t>
      </w:r>
      <w:r w:rsidR="00A50B59">
        <w:rPr>
          <w:rFonts w:asciiTheme="minorHAnsi" w:hAnsiTheme="minorHAnsi" w:cstheme="minorHAnsi"/>
        </w:rPr>
        <w:t xml:space="preserve">he Project will </w:t>
      </w:r>
      <w:r w:rsidR="00A50B59" w:rsidRPr="00F26978">
        <w:rPr>
          <w:rFonts w:asciiTheme="minorHAnsi" w:hAnsiTheme="minorHAnsi" w:cstheme="minorHAnsi"/>
        </w:rPr>
        <w:t>crowd out other funding in the state budget for public good</w:t>
      </w:r>
      <w:r w:rsidR="00A50B59">
        <w:rPr>
          <w:rFonts w:asciiTheme="minorHAnsi" w:hAnsiTheme="minorHAnsi" w:cstheme="minorHAnsi"/>
        </w:rPr>
        <w:t>, such as,</w:t>
      </w:r>
      <w:r w:rsidR="00A50B59" w:rsidRPr="00F26978">
        <w:rPr>
          <w:rFonts w:asciiTheme="minorHAnsi" w:hAnsiTheme="minorHAnsi" w:cstheme="minorHAnsi"/>
        </w:rPr>
        <w:t xml:space="preserve"> housing, education, </w:t>
      </w:r>
      <w:r w:rsidR="00A50B59">
        <w:rPr>
          <w:rFonts w:asciiTheme="minorHAnsi" w:hAnsiTheme="minorHAnsi" w:cstheme="minorHAnsi"/>
        </w:rPr>
        <w:t xml:space="preserve">and </w:t>
      </w:r>
      <w:r w:rsidR="00A50B59" w:rsidRPr="00F26978">
        <w:rPr>
          <w:rFonts w:asciiTheme="minorHAnsi" w:hAnsiTheme="minorHAnsi" w:cstheme="minorHAnsi"/>
        </w:rPr>
        <w:t>transportation.</w:t>
      </w:r>
      <w:r w:rsidR="00C62301">
        <w:rPr>
          <w:rFonts w:asciiTheme="minorHAnsi" w:hAnsiTheme="minorHAnsi" w:cstheme="minorHAnsi"/>
        </w:rPr>
        <w:t xml:space="preserve"> (</w:t>
      </w:r>
      <w:proofErr w:type="gramStart"/>
      <w:r w:rsidR="00C62301">
        <w:rPr>
          <w:rFonts w:asciiTheme="minorHAnsi" w:hAnsiTheme="minorHAnsi" w:cstheme="minorHAnsi"/>
        </w:rPr>
        <w:t>comment</w:t>
      </w:r>
      <w:proofErr w:type="gramEnd"/>
      <w:r w:rsidR="00C62301">
        <w:rPr>
          <w:rFonts w:asciiTheme="minorHAnsi" w:hAnsiTheme="minorHAnsi" w:cstheme="minorHAnsi"/>
        </w:rPr>
        <w:t xml:space="preserve"> submitted as a part of their TTG)</w:t>
      </w:r>
      <w:r>
        <w:rPr>
          <w:rFonts w:asciiTheme="minorHAnsi" w:hAnsiTheme="minorHAnsi" w:cstheme="minorHAnsi"/>
        </w:rPr>
        <w:t>.</w:t>
      </w:r>
    </w:p>
    <w:p w14:paraId="397C843F" w14:textId="77777777" w:rsidR="00F26978" w:rsidRDefault="00F26978" w:rsidP="00A16824">
      <w:pPr>
        <w:ind w:left="360"/>
        <w:rPr>
          <w:rFonts w:asciiTheme="minorHAnsi" w:hAnsiTheme="minorHAnsi" w:cstheme="minorHAnsi"/>
        </w:rPr>
      </w:pPr>
    </w:p>
    <w:p w14:paraId="613EAA29" w14:textId="3C12C6F4" w:rsidR="009A79F3" w:rsidRPr="0062487B" w:rsidRDefault="009A79F3" w:rsidP="00A16824">
      <w:pPr>
        <w:ind w:left="360"/>
        <w:rPr>
          <w:rFonts w:asciiTheme="minorHAnsi" w:hAnsiTheme="minorHAnsi" w:cstheme="minorHAnsi"/>
        </w:rPr>
      </w:pPr>
    </w:p>
    <w:p w14:paraId="393770B2" w14:textId="70AB07E3" w:rsidR="000A44B4" w:rsidRPr="00F26978" w:rsidRDefault="56D13607" w:rsidP="17FA2F59">
      <w:pPr>
        <w:pStyle w:val="Heading1"/>
        <w:spacing w:before="0" w:line="240" w:lineRule="auto"/>
        <w:rPr>
          <w:rFonts w:asciiTheme="minorHAnsi" w:eastAsia="Times New Roman" w:hAnsiTheme="minorHAnsi" w:cstheme="minorBidi"/>
          <w:color w:val="auto"/>
          <w:sz w:val="24"/>
          <w:szCs w:val="24"/>
        </w:rPr>
      </w:pPr>
      <w:bookmarkStart w:id="81" w:name="_Toc99645450"/>
      <w:r w:rsidRPr="00F26978">
        <w:rPr>
          <w:rFonts w:asciiTheme="minorHAnsi" w:eastAsia="Times New Roman" w:hAnsiTheme="minorHAnsi" w:cstheme="minorBidi"/>
          <w:color w:val="auto"/>
          <w:sz w:val="24"/>
          <w:szCs w:val="24"/>
        </w:rPr>
        <w:t xml:space="preserve">Appendix </w:t>
      </w:r>
      <w:r w:rsidR="00F26978" w:rsidRPr="00F26978">
        <w:rPr>
          <w:rFonts w:asciiTheme="minorHAnsi" w:eastAsia="Times New Roman" w:hAnsiTheme="minorHAnsi" w:cstheme="minorBidi"/>
          <w:color w:val="auto"/>
          <w:sz w:val="24"/>
          <w:szCs w:val="24"/>
        </w:rPr>
        <w:t>D</w:t>
      </w:r>
      <w:r w:rsidR="14033E56" w:rsidRPr="00F26978">
        <w:rPr>
          <w:rFonts w:asciiTheme="minorHAnsi" w:eastAsia="Times New Roman" w:hAnsiTheme="minorHAnsi" w:cstheme="minorBidi"/>
          <w:color w:val="auto"/>
          <w:sz w:val="24"/>
          <w:szCs w:val="24"/>
        </w:rPr>
        <w:t xml:space="preserve">: Population Health Management (PHM) </w:t>
      </w:r>
      <w:r w:rsidR="21600C0E" w:rsidRPr="00F26978">
        <w:rPr>
          <w:rFonts w:asciiTheme="minorHAnsi" w:eastAsia="Times New Roman" w:hAnsiTheme="minorHAnsi" w:cstheme="minorBidi"/>
          <w:color w:val="auto"/>
          <w:sz w:val="24"/>
          <w:szCs w:val="24"/>
        </w:rPr>
        <w:t>Strategies</w:t>
      </w:r>
      <w:bookmarkEnd w:id="81"/>
    </w:p>
    <w:p w14:paraId="1EC29E61" w14:textId="2B42AF87" w:rsidR="008E5362" w:rsidRPr="0062487B" w:rsidRDefault="008E5362" w:rsidP="008E5362">
      <w:pPr>
        <w:rPr>
          <w:rFonts w:asciiTheme="minorHAnsi" w:hAnsiTheme="minorHAnsi" w:cstheme="minorHAnsi"/>
        </w:rPr>
      </w:pPr>
    </w:p>
    <w:p w14:paraId="49BBF0AB" w14:textId="47BEC63E" w:rsidR="008E5362" w:rsidRPr="0062487B" w:rsidRDefault="008E5362" w:rsidP="00EB5776">
      <w:pPr>
        <w:pStyle w:val="ListParagraph"/>
        <w:numPr>
          <w:ilvl w:val="0"/>
          <w:numId w:val="16"/>
        </w:numPr>
        <w:rPr>
          <w:rFonts w:asciiTheme="minorHAnsi" w:hAnsiTheme="minorHAnsi" w:cstheme="minorHAnsi"/>
        </w:rPr>
      </w:pPr>
      <w:r w:rsidRPr="0062487B">
        <w:rPr>
          <w:rFonts w:asciiTheme="minorHAnsi" w:hAnsiTheme="minorHAnsi" w:cstheme="minorHAnsi"/>
          <w:b/>
          <w:bCs/>
        </w:rPr>
        <w:t>Continuous Care Initiative:</w:t>
      </w:r>
      <w:r w:rsidRPr="0062487B">
        <w:rPr>
          <w:rFonts w:asciiTheme="minorHAnsi" w:hAnsiTheme="minorHAnsi" w:cstheme="minorHAnsi"/>
        </w:rPr>
        <w:t xml:space="preserve"> The Continuous Care Initiative works to measure and improve patient experience of continuity during inpatient admissions and is a two-part program: Continuity Surveys and Continuity Visits. Using a validated survey instrument, continuity surveys involve patients being surveyed about their experience in the hospital at two time points, once in the inpatient unit and once post-discharge. Continuity visits are a brief “check-in” during an admission between a patient and his/her care team and his/her longitudinal physician(s).</w:t>
      </w:r>
    </w:p>
    <w:p w14:paraId="07172311" w14:textId="77777777" w:rsidR="008E5362" w:rsidRPr="0062487B" w:rsidRDefault="008E5362" w:rsidP="008E5362">
      <w:pPr>
        <w:pStyle w:val="ListParagraph"/>
        <w:ind w:left="360"/>
        <w:rPr>
          <w:rFonts w:asciiTheme="minorHAnsi" w:hAnsiTheme="minorHAnsi" w:cstheme="minorHAnsi"/>
        </w:rPr>
      </w:pPr>
    </w:p>
    <w:p w14:paraId="1CC7F988" w14:textId="76D89AF1" w:rsidR="008E5362" w:rsidRPr="0062487B" w:rsidRDefault="008E5362" w:rsidP="00EB5776">
      <w:pPr>
        <w:pStyle w:val="ListParagraph"/>
        <w:numPr>
          <w:ilvl w:val="0"/>
          <w:numId w:val="16"/>
        </w:numPr>
        <w:rPr>
          <w:rFonts w:asciiTheme="minorHAnsi" w:hAnsiTheme="minorHAnsi" w:cstheme="minorHAnsi"/>
        </w:rPr>
      </w:pPr>
      <w:proofErr w:type="spellStart"/>
      <w:r w:rsidRPr="0062487B">
        <w:rPr>
          <w:rFonts w:asciiTheme="minorHAnsi" w:hAnsiTheme="minorHAnsi" w:cstheme="minorHAnsi"/>
          <w:b/>
          <w:bCs/>
        </w:rPr>
        <w:t>eConsults</w:t>
      </w:r>
      <w:proofErr w:type="spellEnd"/>
      <w:r w:rsidRPr="0062487B">
        <w:rPr>
          <w:rFonts w:asciiTheme="minorHAnsi" w:hAnsiTheme="minorHAnsi" w:cstheme="minorHAnsi"/>
          <w:b/>
          <w:bCs/>
        </w:rPr>
        <w:t xml:space="preserve"> and </w:t>
      </w:r>
      <w:proofErr w:type="spellStart"/>
      <w:r w:rsidRPr="0062487B">
        <w:rPr>
          <w:rFonts w:asciiTheme="minorHAnsi" w:hAnsiTheme="minorHAnsi" w:cstheme="minorHAnsi"/>
          <w:b/>
          <w:bCs/>
        </w:rPr>
        <w:t>eVisits</w:t>
      </w:r>
      <w:proofErr w:type="spellEnd"/>
      <w:r w:rsidRPr="0062487B">
        <w:rPr>
          <w:rFonts w:asciiTheme="minorHAnsi" w:hAnsiTheme="minorHAnsi" w:cstheme="minorHAnsi"/>
          <w:b/>
          <w:bCs/>
        </w:rPr>
        <w:t>:</w:t>
      </w:r>
      <w:r w:rsidRPr="0062487B">
        <w:rPr>
          <w:rFonts w:asciiTheme="minorHAnsi" w:hAnsiTheme="minorHAnsi" w:cstheme="minorHAnsi"/>
        </w:rPr>
        <w:t xml:space="preserve"> </w:t>
      </w:r>
      <w:proofErr w:type="spellStart"/>
      <w:r w:rsidRPr="0062487B">
        <w:rPr>
          <w:rFonts w:asciiTheme="minorHAnsi" w:hAnsiTheme="minorHAnsi" w:cstheme="minorHAnsi"/>
        </w:rPr>
        <w:t>eConsults</w:t>
      </w:r>
      <w:proofErr w:type="spellEnd"/>
      <w:r w:rsidRPr="0062487B">
        <w:rPr>
          <w:rFonts w:asciiTheme="minorHAnsi" w:hAnsiTheme="minorHAnsi" w:cstheme="minorHAnsi"/>
        </w:rPr>
        <w:t xml:space="preserve"> are an innovative way to deliver outpatient specialist care, helping to reduce unnecessary specialist utilization and improve access to care for the Applicant’s sickest patients. Primary Care Providers (“PCPs”) or other care providers initiate an </w:t>
      </w:r>
      <w:proofErr w:type="spellStart"/>
      <w:r w:rsidRPr="0062487B">
        <w:rPr>
          <w:rFonts w:asciiTheme="minorHAnsi" w:hAnsiTheme="minorHAnsi" w:cstheme="minorHAnsi"/>
        </w:rPr>
        <w:t>eConsult</w:t>
      </w:r>
      <w:proofErr w:type="spellEnd"/>
      <w:r w:rsidRPr="0062487B">
        <w:rPr>
          <w:rFonts w:asciiTheme="minorHAnsi" w:hAnsiTheme="minorHAnsi" w:cstheme="minorHAnsi"/>
        </w:rPr>
        <w:t xml:space="preserve"> order in Epic, and then receive structured guidance from a specialist within 3 business days. This provides rapid access to specialist expertise compared with waiting for a traditional office visit to implement the optimized course of treatment. </w:t>
      </w:r>
      <w:proofErr w:type="spellStart"/>
      <w:r w:rsidRPr="0062487B">
        <w:rPr>
          <w:rFonts w:asciiTheme="minorHAnsi" w:hAnsiTheme="minorHAnsi" w:cstheme="minorHAnsi"/>
        </w:rPr>
        <w:t>eVisits</w:t>
      </w:r>
      <w:proofErr w:type="spellEnd"/>
      <w:r w:rsidRPr="0062487B">
        <w:rPr>
          <w:rFonts w:asciiTheme="minorHAnsi" w:hAnsiTheme="minorHAnsi" w:cstheme="minorHAnsi"/>
        </w:rPr>
        <w:t xml:space="preserve"> are telemedicine modalities designed to avoid unnecessary in-person office visits and to save providers time in evaluating and managing patients. </w:t>
      </w:r>
      <w:proofErr w:type="spellStart"/>
      <w:r w:rsidRPr="0062487B">
        <w:rPr>
          <w:rFonts w:asciiTheme="minorHAnsi" w:hAnsiTheme="minorHAnsi" w:cstheme="minorHAnsi"/>
        </w:rPr>
        <w:t>eVisits</w:t>
      </w:r>
      <w:proofErr w:type="spellEnd"/>
      <w:r w:rsidRPr="0062487B">
        <w:rPr>
          <w:rFonts w:asciiTheme="minorHAnsi" w:hAnsiTheme="minorHAnsi" w:cstheme="minorHAnsi"/>
        </w:rPr>
        <w:t xml:space="preserve"> are condition-specific questionnaires addressing over 50 chronic conditions. </w:t>
      </w:r>
      <w:proofErr w:type="spellStart"/>
      <w:r w:rsidRPr="0062487B">
        <w:rPr>
          <w:rFonts w:asciiTheme="minorHAnsi" w:hAnsiTheme="minorHAnsi" w:cstheme="minorHAnsi"/>
        </w:rPr>
        <w:t>eVisits</w:t>
      </w:r>
      <w:proofErr w:type="spellEnd"/>
      <w:r w:rsidRPr="0062487B">
        <w:rPr>
          <w:rFonts w:asciiTheme="minorHAnsi" w:hAnsiTheme="minorHAnsi" w:cstheme="minorHAnsi"/>
        </w:rPr>
        <w:t xml:space="preserve"> are intended for routine follow-up with an established ambulatory patient.</w:t>
      </w:r>
    </w:p>
    <w:p w14:paraId="7616B5D2" w14:textId="77777777" w:rsidR="008E5362" w:rsidRPr="0062487B" w:rsidRDefault="008E5362" w:rsidP="008E5362">
      <w:pPr>
        <w:rPr>
          <w:rFonts w:asciiTheme="minorHAnsi" w:hAnsiTheme="minorHAnsi" w:cstheme="minorHAnsi"/>
        </w:rPr>
      </w:pPr>
    </w:p>
    <w:p w14:paraId="3854A20A" w14:textId="1EBBA34D" w:rsidR="008E5362" w:rsidRPr="0062487B" w:rsidRDefault="008E5362" w:rsidP="00EB5776">
      <w:pPr>
        <w:pStyle w:val="ListParagraph"/>
        <w:numPr>
          <w:ilvl w:val="0"/>
          <w:numId w:val="16"/>
        </w:numPr>
        <w:rPr>
          <w:rFonts w:asciiTheme="minorHAnsi" w:hAnsiTheme="minorHAnsi" w:cstheme="minorHAnsi"/>
        </w:rPr>
      </w:pPr>
      <w:r w:rsidRPr="0062487B">
        <w:rPr>
          <w:rFonts w:asciiTheme="minorHAnsi" w:hAnsiTheme="minorHAnsi" w:cstheme="minorHAnsi"/>
          <w:b/>
          <w:bCs/>
        </w:rPr>
        <w:t>Enhanced Recovery After Surgery (ERAS):</w:t>
      </w:r>
      <w:r w:rsidRPr="0062487B">
        <w:rPr>
          <w:rFonts w:asciiTheme="minorHAnsi" w:hAnsiTheme="minorHAnsi" w:cstheme="minorHAnsi"/>
        </w:rPr>
        <w:t xml:space="preserve"> ERAS is a comprehensive, patient-centered, evidence-based approach to perioperative care for planned surgeries. Across a range of complex surgeries, ERAS has been shown to empower patients as partners in their own care, reduce complications, improve outcomes, decrease length of hospital stay, and reduce care costs.</w:t>
      </w:r>
    </w:p>
    <w:p w14:paraId="23349DBB" w14:textId="77777777" w:rsidR="008E5362" w:rsidRPr="0062487B" w:rsidRDefault="008E5362" w:rsidP="008E5362">
      <w:pPr>
        <w:pStyle w:val="ListParagraph"/>
        <w:rPr>
          <w:rFonts w:asciiTheme="minorHAnsi" w:hAnsiTheme="minorHAnsi" w:cstheme="minorHAnsi"/>
        </w:rPr>
      </w:pPr>
    </w:p>
    <w:p w14:paraId="110FB8E3" w14:textId="0105967C" w:rsidR="008E5362" w:rsidRPr="0062487B" w:rsidRDefault="008E5362" w:rsidP="00EB5776">
      <w:pPr>
        <w:pStyle w:val="ListParagraph"/>
        <w:numPr>
          <w:ilvl w:val="0"/>
          <w:numId w:val="16"/>
        </w:numPr>
        <w:rPr>
          <w:rFonts w:asciiTheme="minorHAnsi" w:hAnsiTheme="minorHAnsi" w:cstheme="minorHAnsi"/>
        </w:rPr>
      </w:pPr>
      <w:r w:rsidRPr="0062487B">
        <w:rPr>
          <w:rFonts w:asciiTheme="minorHAnsi" w:hAnsiTheme="minorHAnsi" w:cstheme="minorHAnsi"/>
          <w:b/>
          <w:bCs/>
        </w:rPr>
        <w:t>Medicaid ACO:</w:t>
      </w:r>
      <w:r w:rsidRPr="0062487B">
        <w:rPr>
          <w:rFonts w:asciiTheme="minorHAnsi" w:hAnsiTheme="minorHAnsi" w:cstheme="minorHAnsi"/>
        </w:rPr>
        <w:t xml:space="preserve"> BWFH is part of the Mass General Brigham MassHealth ACO. As part of the ACO, additional care management programming has been implemented, and established programming has been expanded to help meet the needs of patients, while simultaneously working towards reducing preventable hospitalizations and ED visits and improving care transitions.</w:t>
      </w:r>
    </w:p>
    <w:p w14:paraId="16D5354D" w14:textId="77777777" w:rsidR="008E5362" w:rsidRPr="0062487B" w:rsidRDefault="008E5362" w:rsidP="008E5362">
      <w:pPr>
        <w:pStyle w:val="ListParagraph"/>
        <w:rPr>
          <w:rFonts w:asciiTheme="minorHAnsi" w:hAnsiTheme="minorHAnsi" w:cstheme="minorHAnsi"/>
          <w:b/>
          <w:bCs/>
        </w:rPr>
      </w:pPr>
    </w:p>
    <w:p w14:paraId="4FD76BAF" w14:textId="53369F58" w:rsidR="008E5362" w:rsidRPr="0062487B" w:rsidRDefault="008E5362" w:rsidP="00EB5776">
      <w:pPr>
        <w:pStyle w:val="ListParagraph"/>
        <w:numPr>
          <w:ilvl w:val="0"/>
          <w:numId w:val="16"/>
        </w:numPr>
        <w:autoSpaceDE w:val="0"/>
        <w:autoSpaceDN w:val="0"/>
        <w:adjustRightInd w:val="0"/>
        <w:rPr>
          <w:rFonts w:asciiTheme="minorHAnsi" w:eastAsiaTheme="minorHAnsi" w:hAnsiTheme="minorHAnsi" w:cstheme="minorHAnsi"/>
        </w:rPr>
      </w:pPr>
      <w:r w:rsidRPr="0062487B">
        <w:rPr>
          <w:rFonts w:asciiTheme="minorHAnsi" w:eastAsiaTheme="minorHAnsi" w:hAnsiTheme="minorHAnsi" w:cstheme="minorHAnsi"/>
          <w:b/>
          <w:bCs/>
        </w:rPr>
        <w:lastRenderedPageBreak/>
        <w:t>Patient Reported Outcome Measures (PROMs):</w:t>
      </w:r>
      <w:r w:rsidRPr="0062487B">
        <w:rPr>
          <w:rFonts w:asciiTheme="minorHAnsi" w:eastAsiaTheme="minorHAnsi" w:hAnsiTheme="minorHAnsi" w:cstheme="minorHAnsi"/>
        </w:rPr>
        <w:t xml:space="preserve"> PROMs use clinically validated questionnaires to collect patient-reported assessments of their own health status across various health domains. PROMs are collected through the Patient Portal or on an iPad. Responses are automatically saved in Epic and can be reviewed by providers as part of shared decision-making during the visit or before/after clinical intervention procedures to monitor longitudinal progress.</w:t>
      </w:r>
    </w:p>
    <w:p w14:paraId="601F854A" w14:textId="77777777" w:rsidR="008E5362" w:rsidRPr="0062487B" w:rsidRDefault="008E5362" w:rsidP="008E5362">
      <w:pPr>
        <w:pStyle w:val="ListParagraph"/>
        <w:autoSpaceDE w:val="0"/>
        <w:autoSpaceDN w:val="0"/>
        <w:adjustRightInd w:val="0"/>
        <w:ind w:left="360"/>
        <w:rPr>
          <w:rFonts w:asciiTheme="minorHAnsi" w:eastAsiaTheme="minorHAnsi" w:hAnsiTheme="minorHAnsi" w:cstheme="minorHAnsi"/>
        </w:rPr>
      </w:pPr>
    </w:p>
    <w:p w14:paraId="5591203D" w14:textId="1AF2363C" w:rsidR="008E5362" w:rsidRPr="0062487B" w:rsidRDefault="008E5362" w:rsidP="00EB5776">
      <w:pPr>
        <w:pStyle w:val="ListParagraph"/>
        <w:numPr>
          <w:ilvl w:val="0"/>
          <w:numId w:val="17"/>
        </w:numPr>
        <w:autoSpaceDE w:val="0"/>
        <w:autoSpaceDN w:val="0"/>
        <w:adjustRightInd w:val="0"/>
        <w:rPr>
          <w:rFonts w:asciiTheme="minorHAnsi" w:eastAsiaTheme="minorHAnsi" w:hAnsiTheme="minorHAnsi" w:cstheme="minorHAnsi"/>
        </w:rPr>
      </w:pPr>
      <w:r w:rsidRPr="0062487B">
        <w:rPr>
          <w:rFonts w:asciiTheme="minorHAnsi" w:eastAsiaTheme="minorHAnsi" w:hAnsiTheme="minorHAnsi" w:cstheme="minorHAnsi"/>
          <w:b/>
          <w:bCs/>
        </w:rPr>
        <w:t>Mass General Brigham Mobile Observation Unit (MOU):</w:t>
      </w:r>
      <w:r w:rsidRPr="0062487B">
        <w:rPr>
          <w:rFonts w:asciiTheme="minorHAnsi" w:eastAsiaTheme="minorHAnsi" w:hAnsiTheme="minorHAnsi" w:cstheme="minorHAnsi"/>
        </w:rPr>
        <w:t xml:space="preserve"> The MOU provides homebased</w:t>
      </w:r>
    </w:p>
    <w:p w14:paraId="19A0B945" w14:textId="4458C873" w:rsidR="008E5362" w:rsidRPr="0062487B" w:rsidRDefault="008E5362" w:rsidP="008E5362">
      <w:pPr>
        <w:autoSpaceDE w:val="0"/>
        <w:autoSpaceDN w:val="0"/>
        <w:adjustRightInd w:val="0"/>
        <w:ind w:left="360"/>
        <w:rPr>
          <w:rFonts w:asciiTheme="minorHAnsi" w:eastAsiaTheme="minorHAnsi" w:hAnsiTheme="minorHAnsi" w:cstheme="minorHAnsi"/>
        </w:rPr>
      </w:pPr>
      <w:r w:rsidRPr="0062487B">
        <w:rPr>
          <w:rFonts w:asciiTheme="minorHAnsi" w:eastAsiaTheme="minorHAnsi" w:hAnsiTheme="minorHAnsi" w:cstheme="minorHAnsi"/>
        </w:rPr>
        <w:t>urgent care for patients experiencing at-risk medical events believed to be treatable with enhanced home care. The MOU is a high-quality alternative to emergency services and hospitalization. It is available for Mass General Brigham patients who would benefit from additional medical treatment and support in the safety and comfort of their home.</w:t>
      </w:r>
    </w:p>
    <w:p w14:paraId="005E1677" w14:textId="02A31CDD" w:rsidR="008E5362" w:rsidRPr="0062487B" w:rsidRDefault="008E5362" w:rsidP="008E5362">
      <w:pPr>
        <w:autoSpaceDE w:val="0"/>
        <w:autoSpaceDN w:val="0"/>
        <w:adjustRightInd w:val="0"/>
        <w:rPr>
          <w:rFonts w:asciiTheme="minorHAnsi" w:eastAsiaTheme="minorHAnsi" w:hAnsiTheme="minorHAnsi" w:cstheme="minorHAnsi"/>
        </w:rPr>
      </w:pPr>
    </w:p>
    <w:p w14:paraId="3A806AAF" w14:textId="7A97D82C" w:rsidR="008E5362" w:rsidRPr="0062487B" w:rsidRDefault="008E5362" w:rsidP="00EB5776">
      <w:pPr>
        <w:pStyle w:val="ListParagraph"/>
        <w:numPr>
          <w:ilvl w:val="0"/>
          <w:numId w:val="17"/>
        </w:numPr>
        <w:autoSpaceDE w:val="0"/>
        <w:autoSpaceDN w:val="0"/>
        <w:adjustRightInd w:val="0"/>
        <w:rPr>
          <w:rFonts w:asciiTheme="minorHAnsi" w:eastAsiaTheme="minorHAnsi" w:hAnsiTheme="minorHAnsi" w:cstheme="minorHAnsi"/>
        </w:rPr>
      </w:pPr>
      <w:r w:rsidRPr="0062487B">
        <w:rPr>
          <w:rFonts w:asciiTheme="minorHAnsi" w:eastAsiaTheme="minorHAnsi" w:hAnsiTheme="minorHAnsi" w:cstheme="minorHAnsi"/>
          <w:b/>
          <w:bCs/>
        </w:rPr>
        <w:t>Skilled Nursing Facility (SNF) 3-Day Waiver:</w:t>
      </w:r>
      <w:r w:rsidRPr="0062487B">
        <w:rPr>
          <w:rFonts w:asciiTheme="minorHAnsi" w:eastAsiaTheme="minorHAnsi" w:hAnsiTheme="minorHAnsi" w:cstheme="minorHAnsi"/>
        </w:rPr>
        <w:t xml:space="preserve"> The 3-Day Rule Waiver is a CMS program that provides Medicare ACO patients the opportunity to have a covered SNF stay without the 3-day inpatient stay normally required qualify for SNF benefits. This program promotes the right level of care at the right time and is instrumental in helping BWFH with ongoing inpatient capacity issues and cost savings.</w:t>
      </w:r>
    </w:p>
    <w:p w14:paraId="086547F5" w14:textId="24C4FCE3" w:rsidR="008E5362" w:rsidRPr="0062487B" w:rsidRDefault="008E5362" w:rsidP="008E5362">
      <w:pPr>
        <w:autoSpaceDE w:val="0"/>
        <w:autoSpaceDN w:val="0"/>
        <w:adjustRightInd w:val="0"/>
        <w:rPr>
          <w:rFonts w:asciiTheme="minorHAnsi" w:eastAsiaTheme="minorHAnsi" w:hAnsiTheme="minorHAnsi" w:cstheme="minorHAnsi"/>
        </w:rPr>
      </w:pPr>
      <w:r w:rsidRPr="0062487B">
        <w:rPr>
          <w:rFonts w:asciiTheme="minorHAnsi" w:eastAsiaTheme="minorHAnsi" w:hAnsiTheme="minorHAnsi" w:cstheme="minorHAnsi"/>
        </w:rPr>
        <w:t xml:space="preserve"> </w:t>
      </w:r>
    </w:p>
    <w:p w14:paraId="6B89A1A0" w14:textId="026F50C3" w:rsidR="008E5362" w:rsidRPr="0062487B" w:rsidRDefault="008E5362" w:rsidP="00EB5776">
      <w:pPr>
        <w:pStyle w:val="ListParagraph"/>
        <w:numPr>
          <w:ilvl w:val="0"/>
          <w:numId w:val="17"/>
        </w:numPr>
        <w:autoSpaceDE w:val="0"/>
        <w:autoSpaceDN w:val="0"/>
        <w:adjustRightInd w:val="0"/>
        <w:rPr>
          <w:rFonts w:asciiTheme="minorHAnsi" w:eastAsiaTheme="minorHAnsi" w:hAnsiTheme="minorHAnsi" w:cstheme="minorHAnsi"/>
        </w:rPr>
      </w:pPr>
      <w:r w:rsidRPr="0062487B">
        <w:rPr>
          <w:rFonts w:asciiTheme="minorHAnsi" w:eastAsiaTheme="minorHAnsi" w:hAnsiTheme="minorHAnsi" w:cstheme="minorHAnsi"/>
          <w:b/>
          <w:bCs/>
        </w:rPr>
        <w:t>Stay Connected Program (SCP):</w:t>
      </w:r>
      <w:r w:rsidRPr="0062487B">
        <w:rPr>
          <w:rFonts w:asciiTheme="minorHAnsi" w:eastAsiaTheme="minorHAnsi" w:hAnsiTheme="minorHAnsi" w:cstheme="minorHAnsi"/>
        </w:rPr>
        <w:t xml:space="preserve"> SCP provides a bundle of interventions, pre- and</w:t>
      </w:r>
    </w:p>
    <w:p w14:paraId="1A0A601A" w14:textId="77777777" w:rsidR="008E5362" w:rsidRPr="0062487B" w:rsidRDefault="008E5362" w:rsidP="0070379B">
      <w:pPr>
        <w:autoSpaceDE w:val="0"/>
        <w:autoSpaceDN w:val="0"/>
        <w:adjustRightInd w:val="0"/>
        <w:ind w:firstLine="360"/>
        <w:rPr>
          <w:rFonts w:asciiTheme="minorHAnsi" w:eastAsiaTheme="minorHAnsi" w:hAnsiTheme="minorHAnsi" w:cstheme="minorHAnsi"/>
        </w:rPr>
      </w:pPr>
      <w:r w:rsidRPr="0062487B">
        <w:rPr>
          <w:rFonts w:asciiTheme="minorHAnsi" w:eastAsiaTheme="minorHAnsi" w:hAnsiTheme="minorHAnsi" w:cstheme="minorHAnsi"/>
        </w:rPr>
        <w:t>post-discharge, to improve care transitions of vulnerable patients at high risk of readmission</w:t>
      </w:r>
    </w:p>
    <w:p w14:paraId="1B158B5B" w14:textId="77777777" w:rsidR="008E5362" w:rsidRPr="0062487B" w:rsidRDefault="008E5362" w:rsidP="0070379B">
      <w:pPr>
        <w:autoSpaceDE w:val="0"/>
        <w:autoSpaceDN w:val="0"/>
        <w:adjustRightInd w:val="0"/>
        <w:ind w:firstLine="360"/>
        <w:rPr>
          <w:rFonts w:asciiTheme="minorHAnsi" w:eastAsiaTheme="minorHAnsi" w:hAnsiTheme="minorHAnsi" w:cstheme="minorHAnsi"/>
        </w:rPr>
      </w:pPr>
      <w:r w:rsidRPr="0062487B">
        <w:rPr>
          <w:rFonts w:asciiTheme="minorHAnsi" w:eastAsiaTheme="minorHAnsi" w:hAnsiTheme="minorHAnsi" w:cstheme="minorHAnsi"/>
        </w:rPr>
        <w:t>based on a high-risk indicator or clinical condition. SCP provides Social Work or Nurse-led</w:t>
      </w:r>
    </w:p>
    <w:p w14:paraId="248FE798" w14:textId="4C3219AB" w:rsidR="008E5362" w:rsidRPr="0062487B" w:rsidRDefault="008E5362" w:rsidP="0070379B">
      <w:pPr>
        <w:autoSpaceDE w:val="0"/>
        <w:autoSpaceDN w:val="0"/>
        <w:adjustRightInd w:val="0"/>
        <w:ind w:firstLine="360"/>
        <w:rPr>
          <w:rFonts w:asciiTheme="minorHAnsi" w:eastAsiaTheme="minorHAnsi" w:hAnsiTheme="minorHAnsi" w:cstheme="minorHAnsi"/>
        </w:rPr>
      </w:pPr>
      <w:r w:rsidRPr="0062487B">
        <w:rPr>
          <w:rFonts w:asciiTheme="minorHAnsi" w:eastAsiaTheme="minorHAnsi" w:hAnsiTheme="minorHAnsi" w:cstheme="minorHAnsi"/>
        </w:rPr>
        <w:t xml:space="preserve">care coordination in the 30-day post-discharge period, assistance with scheduling </w:t>
      </w:r>
      <w:r w:rsidR="00A245E0" w:rsidRPr="0062487B">
        <w:rPr>
          <w:rFonts w:asciiTheme="minorHAnsi" w:eastAsiaTheme="minorHAnsi" w:hAnsiTheme="minorHAnsi" w:cstheme="minorHAnsi"/>
        </w:rPr>
        <w:t>follow-up</w:t>
      </w:r>
    </w:p>
    <w:p w14:paraId="3FB47B46" w14:textId="77777777" w:rsidR="008E5362" w:rsidRPr="0062487B" w:rsidRDefault="008E5362" w:rsidP="0070379B">
      <w:pPr>
        <w:autoSpaceDE w:val="0"/>
        <w:autoSpaceDN w:val="0"/>
        <w:adjustRightInd w:val="0"/>
        <w:ind w:firstLine="360"/>
        <w:rPr>
          <w:rFonts w:asciiTheme="minorHAnsi" w:eastAsiaTheme="minorHAnsi" w:hAnsiTheme="minorHAnsi" w:cstheme="minorHAnsi"/>
        </w:rPr>
      </w:pPr>
      <w:r w:rsidRPr="0062487B">
        <w:rPr>
          <w:rFonts w:asciiTheme="minorHAnsi" w:eastAsiaTheme="minorHAnsi" w:hAnsiTheme="minorHAnsi" w:cstheme="minorHAnsi"/>
        </w:rPr>
        <w:t>appointments prior to discharge, enhanced pharmacy services, and in-home nurse</w:t>
      </w:r>
    </w:p>
    <w:p w14:paraId="09EA0A18" w14:textId="77777777" w:rsidR="008E5362" w:rsidRPr="0062487B" w:rsidRDefault="008E5362" w:rsidP="0070379B">
      <w:pPr>
        <w:autoSpaceDE w:val="0"/>
        <w:autoSpaceDN w:val="0"/>
        <w:adjustRightInd w:val="0"/>
        <w:ind w:firstLine="360"/>
        <w:rPr>
          <w:rFonts w:asciiTheme="minorHAnsi" w:eastAsiaTheme="minorHAnsi" w:hAnsiTheme="minorHAnsi" w:cstheme="minorHAnsi"/>
        </w:rPr>
      </w:pPr>
      <w:r w:rsidRPr="0062487B">
        <w:rPr>
          <w:rFonts w:asciiTheme="minorHAnsi" w:eastAsiaTheme="minorHAnsi" w:hAnsiTheme="minorHAnsi" w:cstheme="minorHAnsi"/>
        </w:rPr>
        <w:t>practitioner visits as needed. SCP’s “opt-in” conditions include CHF, COPD, Cirrhosis and</w:t>
      </w:r>
    </w:p>
    <w:p w14:paraId="7291F024" w14:textId="77777777" w:rsidR="008E5362" w:rsidRPr="0062487B" w:rsidRDefault="008E5362" w:rsidP="0070379B">
      <w:pPr>
        <w:autoSpaceDE w:val="0"/>
        <w:autoSpaceDN w:val="0"/>
        <w:adjustRightInd w:val="0"/>
        <w:ind w:firstLine="360"/>
        <w:rPr>
          <w:rFonts w:asciiTheme="minorHAnsi" w:eastAsiaTheme="minorHAnsi" w:hAnsiTheme="minorHAnsi" w:cstheme="minorHAnsi"/>
        </w:rPr>
      </w:pPr>
      <w:r w:rsidRPr="0062487B">
        <w:rPr>
          <w:rFonts w:asciiTheme="minorHAnsi" w:eastAsiaTheme="minorHAnsi" w:hAnsiTheme="minorHAnsi" w:cstheme="minorHAnsi"/>
        </w:rPr>
        <w:t>Pneumonia.</w:t>
      </w:r>
    </w:p>
    <w:p w14:paraId="5E86EA44" w14:textId="77777777" w:rsidR="0070379B" w:rsidRPr="0062487B" w:rsidRDefault="0070379B" w:rsidP="008E5362">
      <w:pPr>
        <w:autoSpaceDE w:val="0"/>
        <w:autoSpaceDN w:val="0"/>
        <w:adjustRightInd w:val="0"/>
        <w:rPr>
          <w:rFonts w:asciiTheme="minorHAnsi" w:eastAsiaTheme="minorHAnsi" w:hAnsiTheme="minorHAnsi" w:cstheme="minorHAnsi"/>
        </w:rPr>
      </w:pPr>
    </w:p>
    <w:p w14:paraId="63B68279" w14:textId="209C35A8" w:rsidR="008E5362" w:rsidRPr="0062487B" w:rsidRDefault="008E5362" w:rsidP="00EB5776">
      <w:pPr>
        <w:pStyle w:val="ListParagraph"/>
        <w:numPr>
          <w:ilvl w:val="0"/>
          <w:numId w:val="18"/>
        </w:numPr>
        <w:autoSpaceDE w:val="0"/>
        <w:autoSpaceDN w:val="0"/>
        <w:adjustRightInd w:val="0"/>
        <w:rPr>
          <w:rFonts w:asciiTheme="minorHAnsi" w:eastAsiaTheme="minorHAnsi" w:hAnsiTheme="minorHAnsi" w:cstheme="minorHAnsi"/>
        </w:rPr>
      </w:pPr>
      <w:r w:rsidRPr="0062487B">
        <w:rPr>
          <w:rFonts w:asciiTheme="minorHAnsi" w:eastAsiaTheme="minorHAnsi" w:hAnsiTheme="minorHAnsi" w:cstheme="minorHAnsi"/>
          <w:b/>
          <w:bCs/>
        </w:rPr>
        <w:t>Transition Care Management Program:</w:t>
      </w:r>
      <w:r w:rsidRPr="0062487B">
        <w:rPr>
          <w:rFonts w:asciiTheme="minorHAnsi" w:eastAsiaTheme="minorHAnsi" w:hAnsiTheme="minorHAnsi" w:cstheme="minorHAnsi"/>
        </w:rPr>
        <w:t xml:space="preserve"> A program that utilizes the </w:t>
      </w:r>
      <w:proofErr w:type="spellStart"/>
      <w:r w:rsidRPr="0062487B">
        <w:rPr>
          <w:rFonts w:asciiTheme="minorHAnsi" w:eastAsiaTheme="minorHAnsi" w:hAnsiTheme="minorHAnsi" w:cstheme="minorHAnsi"/>
        </w:rPr>
        <w:t>naviHealth</w:t>
      </w:r>
      <w:proofErr w:type="spellEnd"/>
      <w:r w:rsidRPr="0062487B">
        <w:rPr>
          <w:rFonts w:asciiTheme="minorHAnsi" w:eastAsiaTheme="minorHAnsi" w:hAnsiTheme="minorHAnsi" w:cstheme="minorHAnsi"/>
        </w:rPr>
        <w:t xml:space="preserve"> tool to</w:t>
      </w:r>
      <w:r w:rsidR="0070379B" w:rsidRPr="0062487B">
        <w:rPr>
          <w:rFonts w:asciiTheme="minorHAnsi" w:eastAsiaTheme="minorHAnsi" w:hAnsiTheme="minorHAnsi" w:cstheme="minorHAnsi"/>
        </w:rPr>
        <w:t xml:space="preserve"> </w:t>
      </w:r>
    </w:p>
    <w:p w14:paraId="6BB83D49" w14:textId="5C4B65C1" w:rsidR="008E5362" w:rsidRPr="0062487B" w:rsidRDefault="008E5362" w:rsidP="0070379B">
      <w:pPr>
        <w:autoSpaceDE w:val="0"/>
        <w:autoSpaceDN w:val="0"/>
        <w:adjustRightInd w:val="0"/>
        <w:ind w:firstLine="360"/>
        <w:rPr>
          <w:rFonts w:asciiTheme="minorHAnsi" w:eastAsiaTheme="minorHAnsi" w:hAnsiTheme="minorHAnsi" w:cstheme="minorHAnsi"/>
        </w:rPr>
      </w:pPr>
      <w:r w:rsidRPr="0062487B">
        <w:rPr>
          <w:rFonts w:asciiTheme="minorHAnsi" w:eastAsiaTheme="minorHAnsi" w:hAnsiTheme="minorHAnsi" w:cstheme="minorHAnsi"/>
        </w:rPr>
        <w:t>manage episodes of care for Medicaid ACO patients admitted to one of the Applicant’s</w:t>
      </w:r>
      <w:r w:rsidR="0070379B" w:rsidRPr="0062487B">
        <w:rPr>
          <w:rFonts w:asciiTheme="minorHAnsi" w:eastAsiaTheme="minorHAnsi" w:hAnsiTheme="minorHAnsi" w:cstheme="minorHAnsi"/>
        </w:rPr>
        <w:t xml:space="preserve"> </w:t>
      </w:r>
    </w:p>
    <w:p w14:paraId="161417DA" w14:textId="77777777" w:rsidR="008E5362" w:rsidRPr="0062487B" w:rsidRDefault="008E5362" w:rsidP="0070379B">
      <w:pPr>
        <w:autoSpaceDE w:val="0"/>
        <w:autoSpaceDN w:val="0"/>
        <w:adjustRightInd w:val="0"/>
        <w:ind w:firstLine="360"/>
        <w:rPr>
          <w:rFonts w:asciiTheme="minorHAnsi" w:eastAsiaTheme="minorHAnsi" w:hAnsiTheme="minorHAnsi" w:cstheme="minorHAnsi"/>
        </w:rPr>
      </w:pPr>
      <w:r w:rsidRPr="0062487B">
        <w:rPr>
          <w:rFonts w:asciiTheme="minorHAnsi" w:eastAsiaTheme="minorHAnsi" w:hAnsiTheme="minorHAnsi" w:cstheme="minorHAnsi"/>
        </w:rPr>
        <w:t>Collaborative SNFs. When a Medicare ACO patient is admitted to a SNF, the Transition</w:t>
      </w:r>
    </w:p>
    <w:p w14:paraId="1BE3C344" w14:textId="77777777" w:rsidR="008E5362" w:rsidRPr="0062487B" w:rsidRDefault="008E5362" w:rsidP="0070379B">
      <w:pPr>
        <w:autoSpaceDE w:val="0"/>
        <w:autoSpaceDN w:val="0"/>
        <w:adjustRightInd w:val="0"/>
        <w:ind w:firstLine="360"/>
        <w:rPr>
          <w:rFonts w:asciiTheme="minorHAnsi" w:eastAsiaTheme="minorHAnsi" w:hAnsiTheme="minorHAnsi" w:cstheme="minorHAnsi"/>
        </w:rPr>
      </w:pPr>
      <w:r w:rsidRPr="0062487B">
        <w:rPr>
          <w:rFonts w:asciiTheme="minorHAnsi" w:eastAsiaTheme="minorHAnsi" w:hAnsiTheme="minorHAnsi" w:cstheme="minorHAnsi"/>
        </w:rPr>
        <w:t>Nurse Case Manager works closely with the SNF Care Team to manage their care via</w:t>
      </w:r>
    </w:p>
    <w:p w14:paraId="0BC6BC9B" w14:textId="77777777" w:rsidR="008E5362" w:rsidRPr="0062487B" w:rsidRDefault="008E5362" w:rsidP="0070379B">
      <w:pPr>
        <w:autoSpaceDE w:val="0"/>
        <w:autoSpaceDN w:val="0"/>
        <w:adjustRightInd w:val="0"/>
        <w:ind w:firstLine="360"/>
        <w:rPr>
          <w:rFonts w:asciiTheme="minorHAnsi" w:eastAsiaTheme="minorHAnsi" w:hAnsiTheme="minorHAnsi" w:cstheme="minorHAnsi"/>
        </w:rPr>
      </w:pPr>
      <w:r w:rsidRPr="0062487B">
        <w:rPr>
          <w:rFonts w:asciiTheme="minorHAnsi" w:eastAsiaTheme="minorHAnsi" w:hAnsiTheme="minorHAnsi" w:cstheme="minorHAnsi"/>
        </w:rPr>
        <w:t xml:space="preserve">weekly Medicare Team meetings, </w:t>
      </w:r>
      <w:proofErr w:type="spellStart"/>
      <w:r w:rsidRPr="0062487B">
        <w:rPr>
          <w:rFonts w:asciiTheme="minorHAnsi" w:eastAsiaTheme="minorHAnsi" w:hAnsiTheme="minorHAnsi" w:cstheme="minorHAnsi"/>
        </w:rPr>
        <w:t>telerounds</w:t>
      </w:r>
      <w:proofErr w:type="spellEnd"/>
      <w:r w:rsidRPr="0062487B">
        <w:rPr>
          <w:rFonts w:asciiTheme="minorHAnsi" w:eastAsiaTheme="minorHAnsi" w:hAnsiTheme="minorHAnsi" w:cstheme="minorHAnsi"/>
        </w:rPr>
        <w:t xml:space="preserve"> and bedside visits with patients. Patients are</w:t>
      </w:r>
    </w:p>
    <w:p w14:paraId="623E42EC" w14:textId="77777777" w:rsidR="008E5362" w:rsidRPr="0062487B" w:rsidRDefault="008E5362" w:rsidP="0070379B">
      <w:pPr>
        <w:autoSpaceDE w:val="0"/>
        <w:autoSpaceDN w:val="0"/>
        <w:adjustRightInd w:val="0"/>
        <w:ind w:firstLine="360"/>
        <w:rPr>
          <w:rFonts w:asciiTheme="minorHAnsi" w:eastAsiaTheme="minorHAnsi" w:hAnsiTheme="minorHAnsi" w:cstheme="minorHAnsi"/>
        </w:rPr>
      </w:pPr>
      <w:r w:rsidRPr="0062487B">
        <w:rPr>
          <w:rFonts w:asciiTheme="minorHAnsi" w:eastAsiaTheme="minorHAnsi" w:hAnsiTheme="minorHAnsi" w:cstheme="minorHAnsi"/>
        </w:rPr>
        <w:t>managed closely for appropriate length of stay and readmission avoidance. When the</w:t>
      </w:r>
    </w:p>
    <w:p w14:paraId="099A55EB" w14:textId="77777777" w:rsidR="008E5362" w:rsidRPr="0062487B" w:rsidRDefault="008E5362" w:rsidP="0070379B">
      <w:pPr>
        <w:autoSpaceDE w:val="0"/>
        <w:autoSpaceDN w:val="0"/>
        <w:adjustRightInd w:val="0"/>
        <w:ind w:firstLine="360"/>
        <w:rPr>
          <w:rFonts w:asciiTheme="minorHAnsi" w:eastAsiaTheme="minorHAnsi" w:hAnsiTheme="minorHAnsi" w:cstheme="minorHAnsi"/>
        </w:rPr>
      </w:pPr>
      <w:r w:rsidRPr="0062487B">
        <w:rPr>
          <w:rFonts w:asciiTheme="minorHAnsi" w:eastAsiaTheme="minorHAnsi" w:hAnsiTheme="minorHAnsi" w:cstheme="minorHAnsi"/>
        </w:rPr>
        <w:t>patient is ready for discharge, the Transition Case Manager works closely with Mass</w:t>
      </w:r>
    </w:p>
    <w:p w14:paraId="00DEC75B" w14:textId="77777777" w:rsidR="008E5362" w:rsidRPr="0062487B" w:rsidRDefault="008E5362" w:rsidP="0070379B">
      <w:pPr>
        <w:autoSpaceDE w:val="0"/>
        <w:autoSpaceDN w:val="0"/>
        <w:adjustRightInd w:val="0"/>
        <w:ind w:firstLine="360"/>
        <w:rPr>
          <w:rFonts w:asciiTheme="minorHAnsi" w:eastAsiaTheme="minorHAnsi" w:hAnsiTheme="minorHAnsi" w:cstheme="minorHAnsi"/>
        </w:rPr>
      </w:pPr>
      <w:r w:rsidRPr="0062487B">
        <w:rPr>
          <w:rFonts w:asciiTheme="minorHAnsi" w:eastAsiaTheme="minorHAnsi" w:hAnsiTheme="minorHAnsi" w:cstheme="minorHAnsi"/>
        </w:rPr>
        <w:t>General Brigham Home Care to ensure a smooth transition home. Once the patient is</w:t>
      </w:r>
    </w:p>
    <w:p w14:paraId="7D929D43" w14:textId="77777777" w:rsidR="008E5362" w:rsidRPr="0062487B" w:rsidRDefault="008E5362" w:rsidP="0070379B">
      <w:pPr>
        <w:autoSpaceDE w:val="0"/>
        <w:autoSpaceDN w:val="0"/>
        <w:adjustRightInd w:val="0"/>
        <w:ind w:firstLine="360"/>
        <w:rPr>
          <w:rFonts w:asciiTheme="minorHAnsi" w:eastAsiaTheme="minorHAnsi" w:hAnsiTheme="minorHAnsi" w:cstheme="minorHAnsi"/>
        </w:rPr>
      </w:pPr>
      <w:r w:rsidRPr="0062487B">
        <w:rPr>
          <w:rFonts w:asciiTheme="minorHAnsi" w:eastAsiaTheme="minorHAnsi" w:hAnsiTheme="minorHAnsi" w:cstheme="minorHAnsi"/>
        </w:rPr>
        <w:t>discharged home, the case manager verifies the patient is receiving home care services</w:t>
      </w:r>
    </w:p>
    <w:p w14:paraId="7CA7FDD0" w14:textId="28561DBA" w:rsidR="008E5362" w:rsidRPr="0062487B" w:rsidRDefault="008E5362" w:rsidP="0070379B">
      <w:pPr>
        <w:autoSpaceDE w:val="0"/>
        <w:autoSpaceDN w:val="0"/>
        <w:adjustRightInd w:val="0"/>
        <w:ind w:firstLine="360"/>
        <w:rPr>
          <w:rFonts w:asciiTheme="minorHAnsi" w:eastAsiaTheme="minorHAnsi" w:hAnsiTheme="minorHAnsi" w:cstheme="minorHAnsi"/>
        </w:rPr>
      </w:pPr>
      <w:r w:rsidRPr="0062487B">
        <w:rPr>
          <w:rFonts w:asciiTheme="minorHAnsi" w:eastAsiaTheme="minorHAnsi" w:hAnsiTheme="minorHAnsi" w:cstheme="minorHAnsi"/>
        </w:rPr>
        <w:t>and confirms any follow</w:t>
      </w:r>
      <w:r w:rsidR="00A245E0">
        <w:rPr>
          <w:rFonts w:asciiTheme="minorHAnsi" w:eastAsiaTheme="minorHAnsi" w:hAnsiTheme="minorHAnsi" w:cstheme="minorHAnsi"/>
        </w:rPr>
        <w:t>-</w:t>
      </w:r>
      <w:r w:rsidRPr="0062487B">
        <w:rPr>
          <w:rFonts w:asciiTheme="minorHAnsi" w:eastAsiaTheme="minorHAnsi" w:hAnsiTheme="minorHAnsi" w:cstheme="minorHAnsi"/>
        </w:rPr>
        <w:t>up appointments and transportation to those appointments.</w:t>
      </w:r>
    </w:p>
    <w:p w14:paraId="2FD61744" w14:textId="77777777" w:rsidR="0070379B" w:rsidRPr="0062487B" w:rsidRDefault="0070379B" w:rsidP="008E5362">
      <w:pPr>
        <w:autoSpaceDE w:val="0"/>
        <w:autoSpaceDN w:val="0"/>
        <w:adjustRightInd w:val="0"/>
        <w:rPr>
          <w:rFonts w:asciiTheme="minorHAnsi" w:eastAsiaTheme="minorHAnsi" w:hAnsiTheme="minorHAnsi" w:cstheme="minorHAnsi"/>
        </w:rPr>
      </w:pPr>
    </w:p>
    <w:p w14:paraId="53C0FE49" w14:textId="7ABC9612" w:rsidR="008E5362" w:rsidRPr="0062487B" w:rsidRDefault="008E5362" w:rsidP="00EB5776">
      <w:pPr>
        <w:pStyle w:val="ListParagraph"/>
        <w:numPr>
          <w:ilvl w:val="0"/>
          <w:numId w:val="18"/>
        </w:numPr>
        <w:autoSpaceDE w:val="0"/>
        <w:autoSpaceDN w:val="0"/>
        <w:adjustRightInd w:val="0"/>
        <w:rPr>
          <w:rFonts w:asciiTheme="minorHAnsi" w:eastAsiaTheme="minorHAnsi" w:hAnsiTheme="minorHAnsi" w:cstheme="minorHAnsi"/>
        </w:rPr>
      </w:pPr>
      <w:r w:rsidRPr="0062487B">
        <w:rPr>
          <w:rFonts w:asciiTheme="minorHAnsi" w:eastAsiaTheme="minorHAnsi" w:hAnsiTheme="minorHAnsi" w:cstheme="minorHAnsi"/>
          <w:b/>
          <w:bCs/>
        </w:rPr>
        <w:t>Variation:</w:t>
      </w:r>
      <w:r w:rsidRPr="0062487B">
        <w:rPr>
          <w:rFonts w:asciiTheme="minorHAnsi" w:eastAsiaTheme="minorHAnsi" w:hAnsiTheme="minorHAnsi" w:cstheme="minorHAnsi"/>
        </w:rPr>
        <w:t xml:space="preserve"> The Variation Team provides analytic and reporting resources to show clinicians</w:t>
      </w:r>
    </w:p>
    <w:p w14:paraId="2DE81BC0" w14:textId="77777777" w:rsidR="008E5362" w:rsidRPr="0062487B" w:rsidRDefault="008E5362" w:rsidP="0070379B">
      <w:pPr>
        <w:autoSpaceDE w:val="0"/>
        <w:autoSpaceDN w:val="0"/>
        <w:adjustRightInd w:val="0"/>
        <w:ind w:firstLine="360"/>
        <w:rPr>
          <w:rFonts w:asciiTheme="minorHAnsi" w:eastAsiaTheme="minorHAnsi" w:hAnsiTheme="minorHAnsi" w:cstheme="minorHAnsi"/>
        </w:rPr>
      </w:pPr>
      <w:r w:rsidRPr="0062487B">
        <w:rPr>
          <w:rFonts w:asciiTheme="minorHAnsi" w:eastAsiaTheme="minorHAnsi" w:hAnsiTheme="minorHAnsi" w:cstheme="minorHAnsi"/>
        </w:rPr>
        <w:t>how they are performing compared to each other, and how they are performing over time,</w:t>
      </w:r>
    </w:p>
    <w:p w14:paraId="3C7D5770" w14:textId="77777777" w:rsidR="008E5362" w:rsidRPr="0062487B" w:rsidRDefault="008E5362" w:rsidP="0070379B">
      <w:pPr>
        <w:autoSpaceDE w:val="0"/>
        <w:autoSpaceDN w:val="0"/>
        <w:adjustRightInd w:val="0"/>
        <w:ind w:firstLine="360"/>
        <w:rPr>
          <w:rFonts w:asciiTheme="minorHAnsi" w:eastAsiaTheme="minorHAnsi" w:hAnsiTheme="minorHAnsi" w:cstheme="minorHAnsi"/>
        </w:rPr>
      </w:pPr>
      <w:r w:rsidRPr="0062487B">
        <w:rPr>
          <w:rFonts w:asciiTheme="minorHAnsi" w:eastAsiaTheme="minorHAnsi" w:hAnsiTheme="minorHAnsi" w:cstheme="minorHAnsi"/>
        </w:rPr>
        <w:t>in a variety of areas. Variation reporting is used as a medical management tool.</w:t>
      </w:r>
    </w:p>
    <w:p w14:paraId="587F357D" w14:textId="2663E6DD" w:rsidR="0070379B" w:rsidRPr="0062487B" w:rsidRDefault="0070379B" w:rsidP="008E5362">
      <w:pPr>
        <w:autoSpaceDE w:val="0"/>
        <w:autoSpaceDN w:val="0"/>
        <w:adjustRightInd w:val="0"/>
        <w:rPr>
          <w:rFonts w:asciiTheme="minorHAnsi" w:eastAsiaTheme="minorHAnsi" w:hAnsiTheme="minorHAnsi" w:cstheme="minorHAnsi"/>
        </w:rPr>
      </w:pPr>
    </w:p>
    <w:p w14:paraId="46932A93" w14:textId="457A6C3B" w:rsidR="008E5362" w:rsidRPr="0062487B" w:rsidRDefault="008E5362" w:rsidP="00EB5776">
      <w:pPr>
        <w:pStyle w:val="ListParagraph"/>
        <w:numPr>
          <w:ilvl w:val="0"/>
          <w:numId w:val="18"/>
        </w:numPr>
        <w:autoSpaceDE w:val="0"/>
        <w:autoSpaceDN w:val="0"/>
        <w:adjustRightInd w:val="0"/>
        <w:rPr>
          <w:rFonts w:asciiTheme="minorHAnsi" w:eastAsiaTheme="minorHAnsi" w:hAnsiTheme="minorHAnsi" w:cstheme="minorHAnsi"/>
        </w:rPr>
      </w:pPr>
      <w:r w:rsidRPr="0062487B">
        <w:rPr>
          <w:rFonts w:asciiTheme="minorHAnsi" w:eastAsiaTheme="minorHAnsi" w:hAnsiTheme="minorHAnsi" w:cstheme="minorHAnsi"/>
          <w:b/>
          <w:bCs/>
        </w:rPr>
        <w:t>Virtual Visits:</w:t>
      </w:r>
      <w:r w:rsidRPr="0062487B">
        <w:rPr>
          <w:rFonts w:asciiTheme="minorHAnsi" w:eastAsiaTheme="minorHAnsi" w:hAnsiTheme="minorHAnsi" w:cstheme="minorHAnsi"/>
        </w:rPr>
        <w:t xml:space="preserve"> This program provides a real time, synchronous telemedicine modality</w:t>
      </w:r>
      <w:r w:rsidR="0070379B" w:rsidRPr="0062487B">
        <w:rPr>
          <w:rFonts w:asciiTheme="minorHAnsi" w:eastAsiaTheme="minorHAnsi" w:hAnsiTheme="minorHAnsi" w:cstheme="minorHAnsi"/>
        </w:rPr>
        <w:t xml:space="preserve"> </w:t>
      </w:r>
      <w:r w:rsidRPr="0062487B">
        <w:rPr>
          <w:rFonts w:asciiTheme="minorHAnsi" w:eastAsiaTheme="minorHAnsi" w:hAnsiTheme="minorHAnsi" w:cstheme="minorHAnsi"/>
        </w:rPr>
        <w:t>between a patient and provider, using secure, HIPAA compliant, video software.</w:t>
      </w:r>
    </w:p>
    <w:p w14:paraId="0EF8237E" w14:textId="49E78FD3" w:rsidR="002D535F" w:rsidRPr="0062487B" w:rsidRDefault="002D535F" w:rsidP="007A57C4">
      <w:pPr>
        <w:contextualSpacing/>
        <w:rPr>
          <w:rFonts w:asciiTheme="minorHAnsi" w:hAnsiTheme="minorHAnsi" w:cstheme="minorHAnsi"/>
          <w:b/>
          <w:bCs/>
          <w:iCs/>
          <w:sz w:val="28"/>
          <w:szCs w:val="28"/>
        </w:rPr>
      </w:pPr>
    </w:p>
    <w:p w14:paraId="538575E8" w14:textId="4995DD30" w:rsidR="00365EB8" w:rsidRPr="0062487B" w:rsidRDefault="00365EB8" w:rsidP="30223CC4">
      <w:pPr>
        <w:contextualSpacing/>
        <w:rPr>
          <w:rFonts w:asciiTheme="minorHAnsi" w:hAnsiTheme="minorHAnsi" w:cstheme="minorHAnsi"/>
          <w:b/>
          <w:bCs/>
          <w:sz w:val="28"/>
          <w:szCs w:val="28"/>
        </w:rPr>
      </w:pPr>
    </w:p>
    <w:p w14:paraId="5017DF64" w14:textId="68383106" w:rsidR="643E413B" w:rsidRPr="0062487B" w:rsidRDefault="3079E892" w:rsidP="17FA2F59">
      <w:pPr>
        <w:pStyle w:val="Heading1"/>
        <w:spacing w:before="0" w:line="240" w:lineRule="auto"/>
        <w:rPr>
          <w:rFonts w:asciiTheme="minorHAnsi" w:hAnsiTheme="minorHAnsi" w:cstheme="minorBidi"/>
          <w:b w:val="0"/>
          <w:bCs w:val="0"/>
          <w:color w:val="auto"/>
          <w:sz w:val="24"/>
          <w:szCs w:val="24"/>
        </w:rPr>
      </w:pPr>
      <w:bookmarkStart w:id="82" w:name="_Toc99645451"/>
      <w:r w:rsidRPr="17FA2F59">
        <w:rPr>
          <w:rFonts w:asciiTheme="minorHAnsi" w:eastAsia="Times New Roman" w:hAnsiTheme="minorHAnsi" w:cstheme="minorBidi"/>
          <w:color w:val="auto"/>
          <w:sz w:val="24"/>
          <w:szCs w:val="24"/>
        </w:rPr>
        <w:lastRenderedPageBreak/>
        <w:t xml:space="preserve">Appendix </w:t>
      </w:r>
      <w:r w:rsidR="00F26978" w:rsidRPr="00F26978">
        <w:rPr>
          <w:rFonts w:asciiTheme="minorHAnsi" w:eastAsia="Times New Roman" w:hAnsiTheme="minorHAnsi" w:cstheme="minorBidi"/>
          <w:color w:val="auto"/>
          <w:sz w:val="24"/>
          <w:szCs w:val="24"/>
        </w:rPr>
        <w:t>E</w:t>
      </w:r>
      <w:r w:rsidR="6B31CEA7" w:rsidRPr="17FA2F59">
        <w:rPr>
          <w:rFonts w:asciiTheme="minorHAnsi" w:eastAsia="Times New Roman" w:hAnsiTheme="minorHAnsi" w:cstheme="minorBidi"/>
          <w:color w:val="auto"/>
          <w:sz w:val="24"/>
          <w:szCs w:val="24"/>
        </w:rPr>
        <w:t xml:space="preserve">: </w:t>
      </w:r>
      <w:r w:rsidRPr="17FA2F59">
        <w:rPr>
          <w:rFonts w:asciiTheme="minorHAnsi" w:eastAsia="Times New Roman" w:hAnsiTheme="minorHAnsi" w:cstheme="minorBidi"/>
          <w:color w:val="auto"/>
          <w:sz w:val="24"/>
          <w:szCs w:val="24"/>
        </w:rPr>
        <w:t>Summary of ICA Data Sources and Listing of Questions Addressed Through Literature Search</w:t>
      </w:r>
      <w:bookmarkEnd w:id="82"/>
    </w:p>
    <w:p w14:paraId="30E9C743" w14:textId="1A687C9F" w:rsidR="30223CC4" w:rsidRPr="0062487B" w:rsidRDefault="30223CC4" w:rsidP="30223CC4">
      <w:pPr>
        <w:rPr>
          <w:rFonts w:asciiTheme="minorHAnsi" w:hAnsiTheme="minorHAnsi" w:cstheme="minorHAnsi"/>
          <w:b/>
          <w:bCs/>
        </w:rPr>
      </w:pPr>
    </w:p>
    <w:p w14:paraId="4D305A50" w14:textId="77777777" w:rsidR="643E413B" w:rsidRPr="0062487B" w:rsidRDefault="643E413B" w:rsidP="30223CC4">
      <w:pPr>
        <w:rPr>
          <w:rFonts w:asciiTheme="minorHAnsi" w:hAnsiTheme="minorHAnsi" w:cstheme="minorHAnsi"/>
          <w:b/>
          <w:bCs/>
          <w:u w:val="single"/>
        </w:rPr>
      </w:pPr>
      <w:r w:rsidRPr="0062487B">
        <w:rPr>
          <w:rFonts w:asciiTheme="minorHAnsi" w:hAnsiTheme="minorHAnsi" w:cstheme="minorHAnsi"/>
          <w:b/>
          <w:bCs/>
          <w:u w:val="single"/>
        </w:rPr>
        <w:t>Center for Health Information Analysis (CHIA) Data Sources</w:t>
      </w:r>
    </w:p>
    <w:p w14:paraId="05882A14" w14:textId="7BFD85FE" w:rsidR="643E413B" w:rsidRPr="0062487B" w:rsidRDefault="643E413B">
      <w:pPr>
        <w:rPr>
          <w:rFonts w:asciiTheme="minorHAnsi" w:hAnsiTheme="minorHAnsi" w:cstheme="minorHAnsi"/>
        </w:rPr>
      </w:pPr>
      <w:r w:rsidRPr="0062487B">
        <w:rPr>
          <w:rFonts w:asciiTheme="minorHAnsi" w:hAnsiTheme="minorHAnsi" w:cstheme="minorHAnsi"/>
          <w:b/>
          <w:bCs/>
        </w:rPr>
        <w:t>CHIA Hospital Inpatient Discharge Database</w:t>
      </w:r>
      <w:r w:rsidRPr="0062487B">
        <w:rPr>
          <w:rFonts w:asciiTheme="minorHAnsi" w:hAnsiTheme="minorHAnsi" w:cstheme="minorHAnsi"/>
        </w:rPr>
        <w:t xml:space="preserve"> – Includes discharges from Massachusetts General Acute Care Hospitals. </w:t>
      </w:r>
    </w:p>
    <w:p w14:paraId="63B3ABAB" w14:textId="73006A80" w:rsidR="643E413B" w:rsidRPr="0062487B" w:rsidRDefault="643E413B" w:rsidP="00EB5776">
      <w:pPr>
        <w:pStyle w:val="ListParagraph"/>
        <w:numPr>
          <w:ilvl w:val="0"/>
          <w:numId w:val="22"/>
        </w:numPr>
        <w:spacing w:line="259" w:lineRule="auto"/>
        <w:rPr>
          <w:rFonts w:asciiTheme="minorHAnsi" w:hAnsiTheme="minorHAnsi" w:cstheme="minorHAnsi"/>
        </w:rPr>
      </w:pPr>
      <w:r w:rsidRPr="0062487B">
        <w:rPr>
          <w:rFonts w:asciiTheme="minorHAnsi" w:hAnsiTheme="minorHAnsi" w:cstheme="minorHAnsi"/>
        </w:rPr>
        <w:t>2015 through 2019 Hospital Inpatient Discharge Databases were used to examine trends in inpatient utilization at MGH.</w:t>
      </w:r>
    </w:p>
    <w:p w14:paraId="23359237" w14:textId="77777777" w:rsidR="30223CC4" w:rsidRPr="0062487B" w:rsidRDefault="30223CC4">
      <w:pPr>
        <w:rPr>
          <w:rFonts w:asciiTheme="minorHAnsi" w:hAnsiTheme="minorHAnsi" w:cstheme="minorHAnsi"/>
        </w:rPr>
      </w:pPr>
    </w:p>
    <w:p w14:paraId="7F7B7BE2" w14:textId="480A52A4" w:rsidR="643E413B" w:rsidRPr="0062487B" w:rsidRDefault="643E413B">
      <w:pPr>
        <w:rPr>
          <w:rFonts w:asciiTheme="minorHAnsi" w:hAnsiTheme="minorHAnsi" w:cstheme="minorHAnsi"/>
        </w:rPr>
      </w:pPr>
      <w:r w:rsidRPr="0062487B">
        <w:rPr>
          <w:rFonts w:asciiTheme="minorHAnsi" w:hAnsiTheme="minorHAnsi" w:cstheme="minorHAnsi"/>
          <w:b/>
          <w:bCs/>
        </w:rPr>
        <w:t>Massachusetts All-Payer Claims Database (APCD)</w:t>
      </w:r>
      <w:r w:rsidRPr="0062487B">
        <w:rPr>
          <w:rFonts w:asciiTheme="minorHAnsi" w:hAnsiTheme="minorHAnsi" w:cstheme="minorHAnsi"/>
        </w:rPr>
        <w:t xml:space="preserve"> – All fully insured commercial health plans with membership in Massachusetts (including Medicare, MassHealth, and commercial health plans) are required to submit medical claims, including claim line level data on each adjudicated claim. </w:t>
      </w:r>
    </w:p>
    <w:p w14:paraId="60C1185A" w14:textId="77777777" w:rsidR="30223CC4" w:rsidRPr="0062487B" w:rsidRDefault="30223CC4">
      <w:pPr>
        <w:rPr>
          <w:rFonts w:asciiTheme="minorHAnsi" w:hAnsiTheme="minorHAnsi" w:cstheme="minorHAnsi"/>
        </w:rPr>
      </w:pPr>
    </w:p>
    <w:p w14:paraId="503E7CE8" w14:textId="77777777" w:rsidR="643E413B" w:rsidRPr="0062487B" w:rsidRDefault="643E413B">
      <w:pPr>
        <w:rPr>
          <w:rFonts w:asciiTheme="minorHAnsi" w:hAnsiTheme="minorHAnsi" w:cstheme="minorHAnsi"/>
        </w:rPr>
      </w:pPr>
      <w:r w:rsidRPr="0062487B">
        <w:rPr>
          <w:rFonts w:asciiTheme="minorHAnsi" w:hAnsiTheme="minorHAnsi" w:cstheme="minorHAnsi"/>
          <w:b/>
          <w:bCs/>
        </w:rPr>
        <w:t>Inpatient Relative Price Data</w:t>
      </w:r>
      <w:r w:rsidRPr="0062487B">
        <w:rPr>
          <w:rFonts w:asciiTheme="minorHAnsi" w:hAnsiTheme="minorHAnsi" w:cstheme="minorHAnsi"/>
        </w:rPr>
        <w:t xml:space="preserve"> – Published annual analysis of relative prices intended to evaluate variation in reimbursement across providers after controlling for patient acuity, service mix, and health plan product differences. </w:t>
      </w:r>
    </w:p>
    <w:p w14:paraId="3FF3A57F" w14:textId="5E95806D" w:rsidR="643E413B" w:rsidRPr="0062487B" w:rsidRDefault="643E413B" w:rsidP="00EB5776">
      <w:pPr>
        <w:pStyle w:val="ListParagraph"/>
        <w:numPr>
          <w:ilvl w:val="0"/>
          <w:numId w:val="22"/>
        </w:numPr>
        <w:spacing w:line="259" w:lineRule="auto"/>
        <w:rPr>
          <w:rFonts w:asciiTheme="minorHAnsi" w:hAnsiTheme="minorHAnsi" w:cstheme="minorHAnsi"/>
        </w:rPr>
      </w:pPr>
      <w:r w:rsidRPr="0062487B">
        <w:rPr>
          <w:rFonts w:asciiTheme="minorHAnsi" w:hAnsiTheme="minorHAnsi" w:cstheme="minorHAnsi"/>
        </w:rPr>
        <w:t>Relative price measures used as a proxy for measuring relative differences in reimbursement across hospitals within the same health plan network.</w:t>
      </w:r>
    </w:p>
    <w:p w14:paraId="0E8331E1" w14:textId="6C903C49" w:rsidR="30223CC4" w:rsidRPr="0062487B" w:rsidRDefault="30223CC4">
      <w:pPr>
        <w:rPr>
          <w:rFonts w:asciiTheme="minorHAnsi" w:hAnsiTheme="minorHAnsi" w:cstheme="minorHAnsi"/>
        </w:rPr>
      </w:pPr>
    </w:p>
    <w:p w14:paraId="42B11285" w14:textId="77777777" w:rsidR="643E413B" w:rsidRPr="0062487B" w:rsidRDefault="643E413B" w:rsidP="30223CC4">
      <w:pPr>
        <w:rPr>
          <w:rFonts w:asciiTheme="minorHAnsi" w:hAnsiTheme="minorHAnsi" w:cstheme="minorHAnsi"/>
          <w:b/>
          <w:bCs/>
          <w:u w:val="single"/>
        </w:rPr>
      </w:pPr>
      <w:r w:rsidRPr="0062487B">
        <w:rPr>
          <w:rFonts w:asciiTheme="minorHAnsi" w:hAnsiTheme="minorHAnsi" w:cstheme="minorHAnsi"/>
          <w:b/>
          <w:bCs/>
          <w:u w:val="single"/>
        </w:rPr>
        <w:t>Centers for Medicare and Medicaid (CMS) Data Sources</w:t>
      </w:r>
    </w:p>
    <w:p w14:paraId="20A1AAF9" w14:textId="777543CF" w:rsidR="643E413B" w:rsidRPr="0062487B" w:rsidRDefault="643E413B" w:rsidP="30223CC4">
      <w:pPr>
        <w:rPr>
          <w:rFonts w:asciiTheme="minorHAnsi" w:hAnsiTheme="minorHAnsi" w:cstheme="minorHAnsi"/>
          <w:b/>
          <w:bCs/>
        </w:rPr>
      </w:pPr>
      <w:r w:rsidRPr="0062487B">
        <w:rPr>
          <w:rFonts w:asciiTheme="minorHAnsi" w:hAnsiTheme="minorHAnsi" w:cstheme="minorHAnsi"/>
          <w:b/>
          <w:bCs/>
        </w:rPr>
        <w:t>Medicare Claims Data</w:t>
      </w:r>
    </w:p>
    <w:p w14:paraId="034EEDBA" w14:textId="7ED7DC18" w:rsidR="643E413B" w:rsidRPr="0062487B" w:rsidRDefault="643E413B" w:rsidP="00EB5776">
      <w:pPr>
        <w:pStyle w:val="ListParagraph"/>
        <w:numPr>
          <w:ilvl w:val="0"/>
          <w:numId w:val="22"/>
        </w:numPr>
        <w:rPr>
          <w:rFonts w:asciiTheme="minorHAnsi" w:hAnsiTheme="minorHAnsi" w:cstheme="minorHAnsi"/>
        </w:rPr>
      </w:pPr>
      <w:r w:rsidRPr="0062487B">
        <w:rPr>
          <w:rFonts w:asciiTheme="minorHAnsi" w:hAnsiTheme="minorHAnsi" w:cstheme="minorHAnsi"/>
        </w:rPr>
        <w:t>APCD does not include data on care provided to beneficiaries enrolled in Original Medicare; Original Medicare reimburses providers directly.</w:t>
      </w:r>
    </w:p>
    <w:p w14:paraId="157B0E02" w14:textId="0115CCE5" w:rsidR="643E413B" w:rsidRPr="0062487B" w:rsidRDefault="643E413B" w:rsidP="00EB5776">
      <w:pPr>
        <w:pStyle w:val="ListParagraph"/>
        <w:numPr>
          <w:ilvl w:val="0"/>
          <w:numId w:val="22"/>
        </w:numPr>
        <w:rPr>
          <w:rFonts w:asciiTheme="minorHAnsi" w:hAnsiTheme="minorHAnsi" w:cstheme="minorHAnsi"/>
        </w:rPr>
      </w:pPr>
      <w:r w:rsidRPr="0062487B">
        <w:rPr>
          <w:rFonts w:asciiTheme="minorHAnsi" w:hAnsiTheme="minorHAnsi" w:cstheme="minorHAnsi"/>
        </w:rPr>
        <w:t>Relied on two Medicare Claim files:</w:t>
      </w:r>
    </w:p>
    <w:p w14:paraId="6547F81F" w14:textId="6CC4971B" w:rsidR="643E413B" w:rsidRPr="0062487B" w:rsidRDefault="643E413B" w:rsidP="00EB5776">
      <w:pPr>
        <w:pStyle w:val="ListParagraph"/>
        <w:numPr>
          <w:ilvl w:val="1"/>
          <w:numId w:val="22"/>
        </w:numPr>
        <w:rPr>
          <w:rFonts w:asciiTheme="minorHAnsi" w:hAnsiTheme="minorHAnsi" w:cstheme="minorHAnsi"/>
        </w:rPr>
      </w:pPr>
      <w:r w:rsidRPr="0062487B">
        <w:rPr>
          <w:rFonts w:asciiTheme="minorHAnsi" w:hAnsiTheme="minorHAnsi" w:cstheme="minorHAnsi"/>
        </w:rPr>
        <w:t>Medicare Outpatient File – includes facility claims submitted by institutional outpatient providers, including hospital outpatient departments, outpatient rehabilitation facilities, and renal dialysis facilities.</w:t>
      </w:r>
    </w:p>
    <w:p w14:paraId="0A9A2ED9" w14:textId="3705DB6F" w:rsidR="643E413B" w:rsidRPr="0062487B" w:rsidRDefault="643E413B" w:rsidP="00EB5776">
      <w:pPr>
        <w:pStyle w:val="ListParagraph"/>
        <w:numPr>
          <w:ilvl w:val="1"/>
          <w:numId w:val="22"/>
        </w:numPr>
        <w:rPr>
          <w:rFonts w:asciiTheme="minorHAnsi" w:hAnsiTheme="minorHAnsi" w:cstheme="minorHAnsi"/>
        </w:rPr>
      </w:pPr>
      <w:r w:rsidRPr="0062487B">
        <w:rPr>
          <w:rFonts w:asciiTheme="minorHAnsi" w:hAnsiTheme="minorHAnsi" w:cstheme="minorHAnsi"/>
        </w:rPr>
        <w:t>Medicare Carrier File – includes claims submitted by professional providers and certain facility claims.</w:t>
      </w:r>
    </w:p>
    <w:p w14:paraId="673D2C5A" w14:textId="77777777" w:rsidR="30223CC4" w:rsidRPr="0062487B" w:rsidRDefault="30223CC4" w:rsidP="30223CC4">
      <w:pPr>
        <w:rPr>
          <w:rFonts w:asciiTheme="minorHAnsi" w:hAnsiTheme="minorHAnsi" w:cstheme="minorHAnsi"/>
          <w:b/>
          <w:bCs/>
        </w:rPr>
      </w:pPr>
    </w:p>
    <w:p w14:paraId="7657186B" w14:textId="09846B92" w:rsidR="643E413B" w:rsidRPr="0062487B" w:rsidRDefault="643E413B" w:rsidP="30223CC4">
      <w:pPr>
        <w:rPr>
          <w:rFonts w:asciiTheme="minorHAnsi" w:hAnsiTheme="minorHAnsi" w:cstheme="minorHAnsi"/>
          <w:b/>
          <w:bCs/>
        </w:rPr>
      </w:pPr>
      <w:r w:rsidRPr="0062487B">
        <w:rPr>
          <w:rFonts w:asciiTheme="minorHAnsi" w:hAnsiTheme="minorHAnsi" w:cstheme="minorHAnsi"/>
          <w:b/>
          <w:bCs/>
        </w:rPr>
        <w:t>Medicare Inpatient Prospective Payment System Tables</w:t>
      </w:r>
    </w:p>
    <w:p w14:paraId="70B8903E" w14:textId="77777777" w:rsidR="643E413B" w:rsidRPr="0062487B" w:rsidRDefault="643E413B" w:rsidP="00EB5776">
      <w:pPr>
        <w:pStyle w:val="ListParagraph"/>
        <w:numPr>
          <w:ilvl w:val="0"/>
          <w:numId w:val="22"/>
        </w:numPr>
        <w:spacing w:line="259" w:lineRule="auto"/>
        <w:rPr>
          <w:rFonts w:asciiTheme="minorHAnsi" w:hAnsiTheme="minorHAnsi" w:cstheme="minorHAnsi"/>
        </w:rPr>
      </w:pPr>
      <w:r w:rsidRPr="0062487B">
        <w:rPr>
          <w:rFonts w:asciiTheme="minorHAnsi" w:hAnsiTheme="minorHAnsi" w:cstheme="minorHAnsi"/>
        </w:rPr>
        <w:t>To determine the relative rates paid to hospitals for providing inpatient care to beneficiaries enrolled in Original Medicare,</w:t>
      </w:r>
    </w:p>
    <w:p w14:paraId="4367D77B" w14:textId="77777777" w:rsidR="643E413B" w:rsidRPr="0062487B" w:rsidRDefault="643E413B" w:rsidP="00EB5776">
      <w:pPr>
        <w:pStyle w:val="ListParagraph"/>
        <w:numPr>
          <w:ilvl w:val="0"/>
          <w:numId w:val="22"/>
        </w:numPr>
        <w:spacing w:line="259" w:lineRule="auto"/>
        <w:rPr>
          <w:rFonts w:asciiTheme="minorHAnsi" w:hAnsiTheme="minorHAnsi" w:cstheme="minorHAnsi"/>
        </w:rPr>
      </w:pPr>
      <w:r w:rsidRPr="0062487B">
        <w:rPr>
          <w:rFonts w:asciiTheme="minorHAnsi" w:hAnsiTheme="minorHAnsi" w:cstheme="minorHAnsi"/>
        </w:rPr>
        <w:t>Annual Impact File for information on hospital-specific adjustments to the national payment rates.</w:t>
      </w:r>
    </w:p>
    <w:p w14:paraId="5A1E0A5B" w14:textId="77777777" w:rsidR="643E413B" w:rsidRPr="0062487B" w:rsidRDefault="643E413B" w:rsidP="00EB5776">
      <w:pPr>
        <w:pStyle w:val="ListParagraph"/>
        <w:numPr>
          <w:ilvl w:val="0"/>
          <w:numId w:val="21"/>
        </w:numPr>
        <w:spacing w:after="160" w:line="259" w:lineRule="auto"/>
        <w:rPr>
          <w:rFonts w:asciiTheme="minorHAnsi" w:hAnsiTheme="minorHAnsi" w:cstheme="minorHAnsi"/>
        </w:rPr>
      </w:pPr>
      <w:r w:rsidRPr="0062487B">
        <w:rPr>
          <w:rFonts w:asciiTheme="minorHAnsi" w:hAnsiTheme="minorHAnsi" w:cstheme="minorHAnsi"/>
        </w:rPr>
        <w:t xml:space="preserve">Base reimbursement rates for inpatient hospital stays separately for each GAC hospital in Massachusetts. </w:t>
      </w:r>
    </w:p>
    <w:p w14:paraId="72695BDE" w14:textId="77777777" w:rsidR="30223CC4" w:rsidRPr="0062487B" w:rsidRDefault="30223CC4" w:rsidP="30223CC4">
      <w:pPr>
        <w:pStyle w:val="ListParagraph"/>
        <w:rPr>
          <w:rFonts w:asciiTheme="minorHAnsi" w:hAnsiTheme="minorHAnsi" w:cstheme="minorHAnsi"/>
        </w:rPr>
      </w:pPr>
    </w:p>
    <w:p w14:paraId="17D8F5F9" w14:textId="77777777" w:rsidR="643E413B" w:rsidRPr="0062487B" w:rsidRDefault="643E413B" w:rsidP="30223CC4">
      <w:pPr>
        <w:rPr>
          <w:rFonts w:asciiTheme="minorHAnsi" w:hAnsiTheme="minorHAnsi" w:cstheme="minorHAnsi"/>
          <w:b/>
          <w:bCs/>
        </w:rPr>
      </w:pPr>
      <w:r w:rsidRPr="0062487B">
        <w:rPr>
          <w:rFonts w:asciiTheme="minorHAnsi" w:hAnsiTheme="minorHAnsi" w:cstheme="minorHAnsi"/>
          <w:b/>
          <w:bCs/>
        </w:rPr>
        <w:t>Medicare Outpatient Prospective Payment System Tables</w:t>
      </w:r>
    </w:p>
    <w:p w14:paraId="626D71E9" w14:textId="77777777" w:rsidR="643E413B" w:rsidRPr="0062487B" w:rsidRDefault="643E413B" w:rsidP="00EB5776">
      <w:pPr>
        <w:pStyle w:val="ListParagraph"/>
        <w:numPr>
          <w:ilvl w:val="0"/>
          <w:numId w:val="21"/>
        </w:numPr>
        <w:spacing w:line="259" w:lineRule="auto"/>
        <w:rPr>
          <w:rFonts w:asciiTheme="minorHAnsi" w:hAnsiTheme="minorHAnsi" w:cstheme="minorHAnsi"/>
          <w:b/>
          <w:bCs/>
        </w:rPr>
      </w:pPr>
      <w:r w:rsidRPr="0062487B">
        <w:rPr>
          <w:rFonts w:asciiTheme="minorHAnsi" w:hAnsiTheme="minorHAnsi" w:cstheme="minorHAnsi"/>
        </w:rPr>
        <w:t>Rates paid to facilities for providing outpatient care relative to Medicare reimbursement rates.</w:t>
      </w:r>
    </w:p>
    <w:p w14:paraId="250DB75E" w14:textId="77777777" w:rsidR="643E413B" w:rsidRPr="0062487B" w:rsidRDefault="643E413B" w:rsidP="00EB5776">
      <w:pPr>
        <w:pStyle w:val="ListParagraph"/>
        <w:numPr>
          <w:ilvl w:val="0"/>
          <w:numId w:val="21"/>
        </w:numPr>
        <w:spacing w:line="259" w:lineRule="auto"/>
        <w:rPr>
          <w:rFonts w:asciiTheme="minorHAnsi" w:hAnsiTheme="minorHAnsi" w:cstheme="minorHAnsi"/>
        </w:rPr>
      </w:pPr>
      <w:r w:rsidRPr="0062487B">
        <w:rPr>
          <w:rFonts w:asciiTheme="minorHAnsi" w:hAnsiTheme="minorHAnsi" w:cstheme="minorHAnsi"/>
        </w:rPr>
        <w:t>Prices paid by commercial plans, Medicare health plans, and MassHealth managed care plans relative to Original Medicare reimbursement rates when estimating the price-cost effects of potential shifts in outpatient facility utilization patterns.</w:t>
      </w:r>
    </w:p>
    <w:p w14:paraId="212D2268" w14:textId="251F0043" w:rsidR="30223CC4" w:rsidRPr="0062487B" w:rsidRDefault="30223CC4">
      <w:pPr>
        <w:rPr>
          <w:rFonts w:asciiTheme="minorHAnsi" w:hAnsiTheme="minorHAnsi" w:cstheme="minorHAnsi"/>
        </w:rPr>
      </w:pPr>
    </w:p>
    <w:p w14:paraId="3B3E20EB" w14:textId="14393ADD" w:rsidR="643E413B" w:rsidRPr="0062487B" w:rsidRDefault="643E413B">
      <w:pPr>
        <w:rPr>
          <w:rFonts w:asciiTheme="minorHAnsi" w:hAnsiTheme="minorHAnsi" w:cstheme="minorHAnsi"/>
        </w:rPr>
      </w:pPr>
      <w:r w:rsidRPr="0062487B">
        <w:rPr>
          <w:rFonts w:asciiTheme="minorHAnsi" w:hAnsiTheme="minorHAnsi" w:cstheme="minorHAnsi"/>
          <w:b/>
          <w:bCs/>
        </w:rPr>
        <w:lastRenderedPageBreak/>
        <w:t>Medicare Physician Fee Schedule</w:t>
      </w:r>
    </w:p>
    <w:p w14:paraId="35210D9F" w14:textId="7E707D81" w:rsidR="643E413B" w:rsidRPr="0062487B" w:rsidRDefault="643E413B" w:rsidP="00EB5776">
      <w:pPr>
        <w:pStyle w:val="ListParagraph"/>
        <w:numPr>
          <w:ilvl w:val="0"/>
          <w:numId w:val="24"/>
        </w:numPr>
        <w:rPr>
          <w:rFonts w:asciiTheme="minorHAnsi" w:hAnsiTheme="minorHAnsi" w:cstheme="minorHAnsi"/>
        </w:rPr>
      </w:pPr>
      <w:r w:rsidRPr="0062487B">
        <w:rPr>
          <w:rFonts w:asciiTheme="minorHAnsi" w:hAnsiTheme="minorHAnsi" w:cstheme="minorHAnsi"/>
        </w:rPr>
        <w:t>Reflects original Medicare’s reimbursement rates for physician services.</w:t>
      </w:r>
    </w:p>
    <w:p w14:paraId="79C33A9B" w14:textId="37A31DF0" w:rsidR="643E413B" w:rsidRPr="0062487B" w:rsidRDefault="643E413B" w:rsidP="00EB5776">
      <w:pPr>
        <w:pStyle w:val="ListParagraph"/>
        <w:numPr>
          <w:ilvl w:val="0"/>
          <w:numId w:val="24"/>
        </w:numPr>
        <w:rPr>
          <w:rFonts w:asciiTheme="minorHAnsi" w:hAnsiTheme="minorHAnsi" w:cstheme="minorHAnsi"/>
        </w:rPr>
      </w:pPr>
      <w:r w:rsidRPr="0062487B">
        <w:rPr>
          <w:rFonts w:asciiTheme="minorHAnsi" w:hAnsiTheme="minorHAnsi" w:cstheme="minorHAnsi"/>
        </w:rPr>
        <w:t>Accounts for differences in costs across services and across geographies.</w:t>
      </w:r>
    </w:p>
    <w:p w14:paraId="1384A1E1" w14:textId="66004B92" w:rsidR="643E413B" w:rsidRPr="0062487B" w:rsidRDefault="643E413B" w:rsidP="00EB5776">
      <w:pPr>
        <w:pStyle w:val="ListParagraph"/>
        <w:numPr>
          <w:ilvl w:val="0"/>
          <w:numId w:val="24"/>
        </w:numPr>
        <w:rPr>
          <w:rFonts w:asciiTheme="minorHAnsi" w:hAnsiTheme="minorHAnsi" w:cstheme="minorHAnsi"/>
        </w:rPr>
      </w:pPr>
      <w:r w:rsidRPr="0062487B">
        <w:rPr>
          <w:rFonts w:asciiTheme="minorHAnsi" w:hAnsiTheme="minorHAnsi" w:cstheme="minorHAnsi"/>
        </w:rPr>
        <w:t>Relied on 2018 Medicare Fee Schedule files that are published by CMS.</w:t>
      </w:r>
    </w:p>
    <w:p w14:paraId="754BF3AC" w14:textId="77777777" w:rsidR="30223CC4" w:rsidRPr="0062487B" w:rsidRDefault="30223CC4" w:rsidP="30223CC4">
      <w:pPr>
        <w:rPr>
          <w:rFonts w:asciiTheme="minorHAnsi" w:hAnsiTheme="minorHAnsi" w:cstheme="minorHAnsi"/>
          <w:b/>
          <w:bCs/>
        </w:rPr>
      </w:pPr>
    </w:p>
    <w:p w14:paraId="7868A5E6" w14:textId="21770239" w:rsidR="643E413B" w:rsidRPr="0062487B" w:rsidRDefault="643E413B">
      <w:pPr>
        <w:rPr>
          <w:rFonts w:asciiTheme="minorHAnsi" w:hAnsiTheme="minorHAnsi" w:cstheme="minorHAnsi"/>
        </w:rPr>
      </w:pPr>
      <w:r w:rsidRPr="0062487B">
        <w:rPr>
          <w:rFonts w:asciiTheme="minorHAnsi" w:hAnsiTheme="minorHAnsi" w:cstheme="minorHAnsi"/>
          <w:b/>
          <w:bCs/>
        </w:rPr>
        <w:t>National Plan and Provider Enumeration System (NPPES)</w:t>
      </w:r>
    </w:p>
    <w:p w14:paraId="287E5A69" w14:textId="77777777" w:rsidR="643E413B" w:rsidRPr="0062487B" w:rsidRDefault="643E413B" w:rsidP="00EB5776">
      <w:pPr>
        <w:pStyle w:val="ListParagraph"/>
        <w:numPr>
          <w:ilvl w:val="0"/>
          <w:numId w:val="21"/>
        </w:numPr>
        <w:spacing w:line="259" w:lineRule="auto"/>
        <w:rPr>
          <w:rFonts w:asciiTheme="minorHAnsi" w:hAnsiTheme="minorHAnsi" w:cstheme="minorHAnsi"/>
        </w:rPr>
      </w:pPr>
      <w:r w:rsidRPr="0062487B">
        <w:rPr>
          <w:rFonts w:asciiTheme="minorHAnsi" w:hAnsiTheme="minorHAnsi" w:cstheme="minorHAnsi"/>
        </w:rPr>
        <w:t xml:space="preserve">Maintains an updated database of providers in which each record reflects a unique NPI. </w:t>
      </w:r>
    </w:p>
    <w:p w14:paraId="25801C7A" w14:textId="77777777" w:rsidR="643E413B" w:rsidRPr="0062487B" w:rsidRDefault="643E413B" w:rsidP="00EB5776">
      <w:pPr>
        <w:pStyle w:val="ListParagraph"/>
        <w:numPr>
          <w:ilvl w:val="0"/>
          <w:numId w:val="21"/>
        </w:numPr>
        <w:spacing w:line="259" w:lineRule="auto"/>
        <w:rPr>
          <w:rFonts w:asciiTheme="minorHAnsi" w:hAnsiTheme="minorHAnsi" w:cstheme="minorHAnsi"/>
        </w:rPr>
      </w:pPr>
      <w:r w:rsidRPr="0062487B">
        <w:rPr>
          <w:rFonts w:asciiTheme="minorHAnsi" w:hAnsiTheme="minorHAnsi" w:cstheme="minorHAnsi"/>
        </w:rPr>
        <w:t xml:space="preserve">Relied on the NPPES database in determining the ownership of facilities and each facility’s ZIP Code. </w:t>
      </w:r>
    </w:p>
    <w:p w14:paraId="5E5E6A50" w14:textId="77777777" w:rsidR="30223CC4" w:rsidRPr="0062487B" w:rsidRDefault="30223CC4" w:rsidP="30223CC4">
      <w:pPr>
        <w:rPr>
          <w:rFonts w:asciiTheme="minorHAnsi" w:hAnsiTheme="minorHAnsi" w:cstheme="minorHAnsi"/>
          <w:b/>
          <w:bCs/>
          <w:u w:val="single"/>
        </w:rPr>
      </w:pPr>
    </w:p>
    <w:p w14:paraId="32DFDD3F" w14:textId="77777777" w:rsidR="643E413B" w:rsidRPr="0062487B" w:rsidRDefault="643E413B" w:rsidP="30223CC4">
      <w:pPr>
        <w:rPr>
          <w:rFonts w:asciiTheme="minorHAnsi" w:hAnsiTheme="minorHAnsi" w:cstheme="minorHAnsi"/>
          <w:b/>
          <w:bCs/>
          <w:u w:val="single"/>
        </w:rPr>
      </w:pPr>
      <w:r w:rsidRPr="0062487B">
        <w:rPr>
          <w:rFonts w:asciiTheme="minorHAnsi" w:hAnsiTheme="minorHAnsi" w:cstheme="minorHAnsi"/>
          <w:b/>
          <w:bCs/>
          <w:u w:val="single"/>
        </w:rPr>
        <w:t>Additional Data Sources</w:t>
      </w:r>
    </w:p>
    <w:p w14:paraId="600F4F9F" w14:textId="77777777" w:rsidR="643E413B" w:rsidRPr="0062487B" w:rsidRDefault="643E413B" w:rsidP="30223CC4">
      <w:pPr>
        <w:rPr>
          <w:rFonts w:asciiTheme="minorHAnsi" w:hAnsiTheme="minorHAnsi" w:cstheme="minorHAnsi"/>
          <w:b/>
          <w:bCs/>
        </w:rPr>
      </w:pPr>
      <w:r w:rsidRPr="0062487B">
        <w:rPr>
          <w:rFonts w:asciiTheme="minorHAnsi" w:hAnsiTheme="minorHAnsi" w:cstheme="minorHAnsi"/>
          <w:b/>
          <w:bCs/>
        </w:rPr>
        <w:t>UMass Donahue Institute Population Projections (UMDI)</w:t>
      </w:r>
    </w:p>
    <w:p w14:paraId="443287D5" w14:textId="77777777" w:rsidR="643E413B" w:rsidRPr="0062487B" w:rsidRDefault="643E413B" w:rsidP="00EB5776">
      <w:pPr>
        <w:pStyle w:val="ListParagraph"/>
        <w:numPr>
          <w:ilvl w:val="0"/>
          <w:numId w:val="21"/>
        </w:numPr>
        <w:rPr>
          <w:rFonts w:asciiTheme="minorHAnsi" w:hAnsiTheme="minorHAnsi" w:cstheme="minorHAnsi"/>
        </w:rPr>
      </w:pPr>
      <w:r w:rsidRPr="0062487B">
        <w:rPr>
          <w:rFonts w:asciiTheme="minorHAnsi" w:hAnsiTheme="minorHAnsi" w:cstheme="minorHAnsi"/>
        </w:rPr>
        <w:t xml:space="preserve">Produces population projections for Massachusetts, with the most recently available estimates extending to the year 2040 in five-year increments. </w:t>
      </w:r>
    </w:p>
    <w:p w14:paraId="1A1EEE2F" w14:textId="77777777" w:rsidR="643E413B" w:rsidRPr="0062487B" w:rsidRDefault="643E413B" w:rsidP="00EB5776">
      <w:pPr>
        <w:pStyle w:val="ListParagraph"/>
        <w:numPr>
          <w:ilvl w:val="0"/>
          <w:numId w:val="21"/>
        </w:numPr>
        <w:rPr>
          <w:rFonts w:asciiTheme="minorHAnsi" w:hAnsiTheme="minorHAnsi" w:cstheme="minorHAnsi"/>
        </w:rPr>
      </w:pPr>
      <w:r w:rsidRPr="0062487B">
        <w:rPr>
          <w:rFonts w:asciiTheme="minorHAnsi" w:hAnsiTheme="minorHAnsi" w:cstheme="minorHAnsi"/>
        </w:rPr>
        <w:t xml:space="preserve">Modeling for demographic projections of patients residing in the service areas of the Proposed Project in 2025 and 2030. </w:t>
      </w:r>
    </w:p>
    <w:p w14:paraId="723DEB18" w14:textId="77777777" w:rsidR="30223CC4" w:rsidRPr="0062487B" w:rsidRDefault="30223CC4" w:rsidP="30223CC4">
      <w:pPr>
        <w:rPr>
          <w:rFonts w:asciiTheme="minorHAnsi" w:hAnsiTheme="minorHAnsi" w:cstheme="minorHAnsi"/>
          <w:b/>
          <w:bCs/>
        </w:rPr>
      </w:pPr>
    </w:p>
    <w:p w14:paraId="49884865" w14:textId="77777777" w:rsidR="643E413B" w:rsidRPr="0062487B" w:rsidRDefault="643E413B" w:rsidP="30223CC4">
      <w:pPr>
        <w:rPr>
          <w:rFonts w:asciiTheme="minorHAnsi" w:hAnsiTheme="minorHAnsi" w:cstheme="minorHAnsi"/>
          <w:b/>
          <w:bCs/>
        </w:rPr>
      </w:pPr>
      <w:r w:rsidRPr="0062487B">
        <w:rPr>
          <w:rFonts w:asciiTheme="minorHAnsi" w:hAnsiTheme="minorHAnsi" w:cstheme="minorHAnsi"/>
          <w:b/>
          <w:bCs/>
        </w:rPr>
        <w:t xml:space="preserve">Literature Review </w:t>
      </w:r>
    </w:p>
    <w:p w14:paraId="0070037D" w14:textId="77777777" w:rsidR="643E413B" w:rsidRPr="0062487B" w:rsidRDefault="643E413B">
      <w:pPr>
        <w:rPr>
          <w:rFonts w:asciiTheme="minorHAnsi" w:hAnsiTheme="minorHAnsi" w:cstheme="minorHAnsi"/>
        </w:rPr>
      </w:pPr>
      <w:r w:rsidRPr="0062487B">
        <w:rPr>
          <w:rFonts w:asciiTheme="minorHAnsi" w:hAnsiTheme="minorHAnsi" w:cstheme="minorHAnsi"/>
        </w:rPr>
        <w:t>CRA utilized existing literature to address several issues</w:t>
      </w:r>
    </w:p>
    <w:p w14:paraId="061FA4E1" w14:textId="007BB49B" w:rsidR="643E413B" w:rsidRPr="00AC3BF7" w:rsidRDefault="643E413B" w:rsidP="0074304E">
      <w:pPr>
        <w:pStyle w:val="ListParagraph"/>
        <w:numPr>
          <w:ilvl w:val="0"/>
          <w:numId w:val="23"/>
        </w:numPr>
        <w:spacing w:after="160" w:line="259" w:lineRule="auto"/>
        <w:rPr>
          <w:rFonts w:asciiTheme="minorHAnsi" w:hAnsiTheme="minorHAnsi" w:cstheme="minorHAnsi"/>
        </w:rPr>
      </w:pPr>
      <w:r w:rsidRPr="00AC3BF7">
        <w:rPr>
          <w:rFonts w:asciiTheme="minorHAnsi" w:hAnsiTheme="minorHAnsi" w:cstheme="minorHAnsi"/>
        </w:rPr>
        <w:t>Competition Between Health Care Providers</w:t>
      </w:r>
      <w:r w:rsidR="00AC3BF7">
        <w:rPr>
          <w:rFonts w:asciiTheme="minorHAnsi" w:hAnsiTheme="minorHAnsi" w:cstheme="minorHAnsi"/>
        </w:rPr>
        <w:t xml:space="preserve"> - </w:t>
      </w:r>
      <w:r w:rsidRPr="00AC3BF7">
        <w:rPr>
          <w:rFonts w:asciiTheme="minorHAnsi" w:hAnsiTheme="minorHAnsi" w:cstheme="minorHAnsi"/>
        </w:rPr>
        <w:t>In assessing the effect of the proposed project on MGB’s bargaining leverage, relied on a measure of hospital market concentration known as the Herfindahl-Hirschman Index (HHI).</w:t>
      </w:r>
    </w:p>
    <w:p w14:paraId="5239E6AD" w14:textId="77777777" w:rsidR="643E413B" w:rsidRPr="0062487B" w:rsidRDefault="643E413B" w:rsidP="00EB5776">
      <w:pPr>
        <w:pStyle w:val="ListParagraph"/>
        <w:numPr>
          <w:ilvl w:val="0"/>
          <w:numId w:val="23"/>
        </w:numPr>
        <w:spacing w:after="160" w:line="259" w:lineRule="auto"/>
        <w:rPr>
          <w:rFonts w:asciiTheme="minorHAnsi" w:hAnsiTheme="minorHAnsi" w:cstheme="minorHAnsi"/>
        </w:rPr>
      </w:pPr>
      <w:r w:rsidRPr="0062487B">
        <w:rPr>
          <w:rFonts w:asciiTheme="minorHAnsi" w:hAnsiTheme="minorHAnsi" w:cstheme="minorHAnsi"/>
        </w:rPr>
        <w:t xml:space="preserve">The Relationship Between Hospital Concentration and Inpatient Prices  </w:t>
      </w:r>
    </w:p>
    <w:p w14:paraId="170C631D" w14:textId="77777777" w:rsidR="643E413B" w:rsidRPr="0062487B" w:rsidRDefault="643E413B" w:rsidP="00EB5776">
      <w:pPr>
        <w:pStyle w:val="ListParagraph"/>
        <w:numPr>
          <w:ilvl w:val="0"/>
          <w:numId w:val="23"/>
        </w:numPr>
        <w:spacing w:after="160" w:line="259" w:lineRule="auto"/>
        <w:rPr>
          <w:rFonts w:asciiTheme="minorHAnsi" w:hAnsiTheme="minorHAnsi" w:cstheme="minorHAnsi"/>
        </w:rPr>
      </w:pPr>
      <w:r w:rsidRPr="0062487B">
        <w:rPr>
          <w:rFonts w:asciiTheme="minorHAnsi" w:hAnsiTheme="minorHAnsi" w:cstheme="minorHAnsi"/>
        </w:rPr>
        <w:t>Effect of Entry and Expansion on Competition in the Provision of Health Care Services</w:t>
      </w:r>
    </w:p>
    <w:p w14:paraId="250A57C5" w14:textId="77777777" w:rsidR="643E413B" w:rsidRPr="0062487B" w:rsidRDefault="643E413B" w:rsidP="00EB5776">
      <w:pPr>
        <w:pStyle w:val="ListParagraph"/>
        <w:numPr>
          <w:ilvl w:val="0"/>
          <w:numId w:val="23"/>
        </w:numPr>
        <w:spacing w:after="160" w:line="259" w:lineRule="auto"/>
        <w:rPr>
          <w:rFonts w:asciiTheme="minorHAnsi" w:hAnsiTheme="minorHAnsi" w:cstheme="minorHAnsi"/>
        </w:rPr>
      </w:pPr>
      <w:r w:rsidRPr="0062487B">
        <w:rPr>
          <w:rFonts w:asciiTheme="minorHAnsi" w:hAnsiTheme="minorHAnsi" w:cstheme="minorHAnsi"/>
        </w:rPr>
        <w:t>The Potential for Supply-Induced Demand</w:t>
      </w:r>
    </w:p>
    <w:p w14:paraId="220FB127" w14:textId="4EC06E4D" w:rsidR="643E413B" w:rsidRPr="0062487B" w:rsidRDefault="00AC3BF7" w:rsidP="00EB5776">
      <w:pPr>
        <w:pStyle w:val="ListParagraph"/>
        <w:numPr>
          <w:ilvl w:val="0"/>
          <w:numId w:val="23"/>
        </w:numPr>
        <w:spacing w:after="160" w:line="259" w:lineRule="auto"/>
        <w:rPr>
          <w:rFonts w:asciiTheme="minorHAnsi" w:hAnsiTheme="minorHAnsi" w:cstheme="minorHAnsi"/>
        </w:rPr>
      </w:pPr>
      <w:r>
        <w:rPr>
          <w:rFonts w:asciiTheme="minorHAnsi" w:hAnsiTheme="minorHAnsi" w:cstheme="minorHAnsi"/>
        </w:rPr>
        <w:t>T</w:t>
      </w:r>
      <w:r w:rsidR="643E413B" w:rsidRPr="0062487B">
        <w:rPr>
          <w:rFonts w:asciiTheme="minorHAnsi" w:hAnsiTheme="minorHAnsi" w:cstheme="minorHAnsi"/>
        </w:rPr>
        <w:t xml:space="preserve">he effect of additional imaging capacity on demand for surgery and inpatient care </w:t>
      </w:r>
    </w:p>
    <w:p w14:paraId="042719FB" w14:textId="77777777" w:rsidR="643E413B" w:rsidRPr="0062487B" w:rsidRDefault="643E413B" w:rsidP="00EB5776">
      <w:pPr>
        <w:pStyle w:val="ListParagraph"/>
        <w:numPr>
          <w:ilvl w:val="0"/>
          <w:numId w:val="23"/>
        </w:numPr>
        <w:spacing w:after="160" w:line="259" w:lineRule="auto"/>
        <w:rPr>
          <w:rFonts w:asciiTheme="minorHAnsi" w:hAnsiTheme="minorHAnsi" w:cstheme="minorHAnsi"/>
        </w:rPr>
      </w:pPr>
      <w:r w:rsidRPr="0062487B">
        <w:rPr>
          <w:rFonts w:asciiTheme="minorHAnsi" w:hAnsiTheme="minorHAnsi" w:cstheme="minorHAnsi"/>
        </w:rPr>
        <w:t>The effect of reduced boarding time in hospital Emergency Departments or Post-Anesthesia Care Units</w:t>
      </w:r>
    </w:p>
    <w:p w14:paraId="7F259046" w14:textId="77777777" w:rsidR="643E413B" w:rsidRPr="0062487B" w:rsidRDefault="643E413B" w:rsidP="00EB5776">
      <w:pPr>
        <w:pStyle w:val="ListParagraph"/>
        <w:numPr>
          <w:ilvl w:val="0"/>
          <w:numId w:val="23"/>
        </w:numPr>
        <w:spacing w:line="259" w:lineRule="auto"/>
        <w:rPr>
          <w:rFonts w:asciiTheme="minorHAnsi" w:hAnsiTheme="minorHAnsi" w:cstheme="minorHAnsi"/>
        </w:rPr>
      </w:pPr>
      <w:r w:rsidRPr="0062487B">
        <w:rPr>
          <w:rFonts w:asciiTheme="minorHAnsi" w:hAnsiTheme="minorHAnsi" w:cstheme="minorHAnsi"/>
        </w:rPr>
        <w:t>Who bears the burden of higher costs or benefits from cost savings?</w:t>
      </w:r>
    </w:p>
    <w:p w14:paraId="4D2ED569" w14:textId="20B43561" w:rsidR="30223CC4" w:rsidRPr="0062487B" w:rsidRDefault="30223CC4" w:rsidP="30223CC4">
      <w:pPr>
        <w:rPr>
          <w:rFonts w:asciiTheme="minorHAnsi" w:hAnsiTheme="minorHAnsi" w:cstheme="minorHAnsi"/>
          <w:b/>
          <w:bCs/>
        </w:rPr>
      </w:pPr>
    </w:p>
    <w:sectPr w:rsidR="30223CC4" w:rsidRPr="0062487B" w:rsidSect="00D42048">
      <w:headerReference w:type="even" r:id="rId13"/>
      <w:headerReference w:type="default" r:id="rId14"/>
      <w:footerReference w:type="default" r:id="rId15"/>
      <w:headerReference w:type="first" r:id="rId16"/>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7753" w14:textId="77777777" w:rsidR="00CA7B6C" w:rsidRDefault="00CA7B6C" w:rsidP="008C0709">
      <w:r>
        <w:separator/>
      </w:r>
    </w:p>
  </w:endnote>
  <w:endnote w:type="continuationSeparator" w:id="0">
    <w:p w14:paraId="66E009F9" w14:textId="77777777" w:rsidR="00CA7B6C" w:rsidRDefault="00CA7B6C" w:rsidP="008C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8266"/>
      <w:docPartObj>
        <w:docPartGallery w:val="Page Numbers (Bottom of Page)"/>
        <w:docPartUnique/>
      </w:docPartObj>
    </w:sdtPr>
    <w:sdtEndPr>
      <w:rPr>
        <w:rFonts w:ascii="Garamond" w:hAnsi="Garamond"/>
        <w:noProof/>
      </w:rPr>
    </w:sdtEndPr>
    <w:sdtContent>
      <w:p w14:paraId="3D3B6AFF" w14:textId="09E91844" w:rsidR="00905BB3" w:rsidRPr="003E6FCA" w:rsidRDefault="00905BB3">
        <w:pPr>
          <w:pStyle w:val="Footer"/>
          <w:jc w:val="center"/>
          <w:rPr>
            <w:rFonts w:ascii="Garamond" w:hAnsi="Garamond"/>
          </w:rPr>
        </w:pPr>
        <w:r w:rsidRPr="003E6FCA">
          <w:rPr>
            <w:rFonts w:ascii="Garamond" w:hAnsi="Garamond"/>
          </w:rPr>
          <w:fldChar w:fldCharType="begin"/>
        </w:r>
        <w:r w:rsidRPr="003E6FCA">
          <w:rPr>
            <w:rFonts w:ascii="Garamond" w:hAnsi="Garamond"/>
          </w:rPr>
          <w:instrText xml:space="preserve"> PAGE   \* MERGEFORMAT </w:instrText>
        </w:r>
        <w:r w:rsidRPr="003E6FCA">
          <w:rPr>
            <w:rFonts w:ascii="Garamond" w:hAnsi="Garamond"/>
          </w:rPr>
          <w:fldChar w:fldCharType="separate"/>
        </w:r>
        <w:r>
          <w:rPr>
            <w:rFonts w:ascii="Garamond" w:hAnsi="Garamond"/>
            <w:noProof/>
          </w:rPr>
          <w:t>7</w:t>
        </w:r>
        <w:r w:rsidRPr="003E6FCA">
          <w:rPr>
            <w:rFonts w:ascii="Garamond" w:hAnsi="Garamond"/>
            <w:noProof/>
          </w:rPr>
          <w:fldChar w:fldCharType="end"/>
        </w:r>
      </w:p>
    </w:sdtContent>
  </w:sdt>
  <w:p w14:paraId="2B84946D" w14:textId="77777777" w:rsidR="00905BB3" w:rsidRDefault="0090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2E8B4" w14:textId="77777777" w:rsidR="00CA7B6C" w:rsidRDefault="00CA7B6C" w:rsidP="008C0709">
      <w:r>
        <w:separator/>
      </w:r>
    </w:p>
  </w:footnote>
  <w:footnote w:type="continuationSeparator" w:id="0">
    <w:p w14:paraId="60466684" w14:textId="77777777" w:rsidR="00CA7B6C" w:rsidRDefault="00CA7B6C" w:rsidP="008C0709">
      <w:r>
        <w:continuationSeparator/>
      </w:r>
    </w:p>
  </w:footnote>
  <w:footnote w:id="1">
    <w:p w14:paraId="59B3D3A5" w14:textId="07C3C012" w:rsidR="008475AC" w:rsidRPr="00A644D8" w:rsidRDefault="008475AC">
      <w:pPr>
        <w:pStyle w:val="FootnoteText"/>
        <w:rPr>
          <w:rFonts w:asciiTheme="minorHAnsi" w:hAnsiTheme="minorHAnsi" w:cstheme="minorHAnsi"/>
          <w:sz w:val="18"/>
          <w:szCs w:val="18"/>
        </w:rPr>
      </w:pPr>
      <w:r w:rsidRPr="00A644D8">
        <w:rPr>
          <w:rStyle w:val="FootnoteReference"/>
          <w:rFonts w:asciiTheme="minorHAnsi" w:hAnsiTheme="minorHAnsi" w:cstheme="minorHAnsi"/>
          <w:sz w:val="18"/>
          <w:szCs w:val="18"/>
        </w:rPr>
        <w:footnoteRef/>
      </w:r>
      <w:r w:rsidRPr="00A644D8">
        <w:rPr>
          <w:rFonts w:asciiTheme="minorHAnsi" w:hAnsiTheme="minorHAnsi" w:cstheme="minorHAnsi"/>
          <w:sz w:val="18"/>
          <w:szCs w:val="18"/>
        </w:rPr>
        <w:t xml:space="preserve"> Center for Health Information and Analysis. Massachusetts Hospital Profiles. Technical Appendix. https://www.chiamass.gov/assets/docs/r/hospital-profiles/2019/FY19-Massachusetts-Hospital-Profiles-Technical-Appendix.pdf</w:t>
      </w:r>
    </w:p>
  </w:footnote>
  <w:footnote w:id="2">
    <w:p w14:paraId="34BA847A" w14:textId="7B924A13" w:rsidR="007F5E40" w:rsidRPr="00A644D8" w:rsidRDefault="00CB7E70" w:rsidP="00CB7E70">
      <w:pPr>
        <w:pStyle w:val="FootnoteText"/>
        <w:rPr>
          <w:rFonts w:asciiTheme="minorHAnsi" w:hAnsiTheme="minorHAnsi" w:cstheme="minorHAnsi"/>
          <w:sz w:val="18"/>
          <w:szCs w:val="18"/>
        </w:rPr>
      </w:pPr>
      <w:r w:rsidRPr="00A644D8">
        <w:rPr>
          <w:rStyle w:val="FootnoteReference"/>
          <w:rFonts w:asciiTheme="minorHAnsi" w:hAnsiTheme="minorHAnsi" w:cstheme="minorHAnsi"/>
          <w:sz w:val="18"/>
          <w:szCs w:val="18"/>
        </w:rPr>
        <w:footnoteRef/>
      </w:r>
      <w:r w:rsidRPr="00A644D8">
        <w:rPr>
          <w:rFonts w:asciiTheme="minorHAnsi" w:hAnsiTheme="minorHAnsi" w:cstheme="minorHAnsi"/>
          <w:sz w:val="18"/>
          <w:szCs w:val="18"/>
        </w:rPr>
        <w:t xml:space="preserve"> List of MassHealth Accountable Care Organizations and Manage</w:t>
      </w:r>
      <w:r w:rsidR="00BD7E81">
        <w:rPr>
          <w:rFonts w:asciiTheme="minorHAnsi" w:hAnsiTheme="minorHAnsi" w:cstheme="minorHAnsi"/>
          <w:sz w:val="18"/>
          <w:szCs w:val="18"/>
        </w:rPr>
        <w:t>d</w:t>
      </w:r>
      <w:r w:rsidRPr="00A644D8">
        <w:rPr>
          <w:rFonts w:asciiTheme="minorHAnsi" w:hAnsiTheme="minorHAnsi" w:cstheme="minorHAnsi"/>
          <w:sz w:val="18"/>
          <w:szCs w:val="18"/>
        </w:rPr>
        <w:t xml:space="preserve"> Care Organizations</w:t>
      </w:r>
      <w:r w:rsidR="007F5E40" w:rsidRPr="00A644D8">
        <w:rPr>
          <w:rFonts w:asciiTheme="minorHAnsi" w:hAnsiTheme="minorHAnsi" w:cstheme="minorHAnsi"/>
          <w:sz w:val="18"/>
          <w:szCs w:val="18"/>
        </w:rPr>
        <w:t xml:space="preserve"> </w:t>
      </w:r>
    </w:p>
    <w:p w14:paraId="260964DC" w14:textId="5901CA4B" w:rsidR="00CB7E70" w:rsidRPr="00A644D8" w:rsidRDefault="00CB7E70" w:rsidP="00CB7E70">
      <w:pPr>
        <w:pStyle w:val="FootnoteText"/>
        <w:rPr>
          <w:rFonts w:asciiTheme="minorHAnsi" w:hAnsiTheme="minorHAnsi" w:cstheme="minorHAnsi"/>
          <w:sz w:val="18"/>
          <w:szCs w:val="18"/>
        </w:rPr>
      </w:pPr>
      <w:r w:rsidRPr="00A644D8">
        <w:rPr>
          <w:rFonts w:asciiTheme="minorHAnsi" w:hAnsiTheme="minorHAnsi" w:cstheme="minorHAnsi"/>
          <w:sz w:val="18"/>
          <w:szCs w:val="18"/>
        </w:rPr>
        <w:t>https://www.mass.gov/service-details/full-list-of-masshealth-acos-and-mcos</w:t>
      </w:r>
    </w:p>
  </w:footnote>
  <w:footnote w:id="3">
    <w:p w14:paraId="56DC67ED" w14:textId="08C90C63" w:rsidR="007F5E40" w:rsidRPr="00A644D8" w:rsidRDefault="007F5E40">
      <w:pPr>
        <w:pStyle w:val="FootnoteText"/>
        <w:rPr>
          <w:rFonts w:asciiTheme="minorHAnsi" w:hAnsiTheme="minorHAnsi" w:cstheme="minorHAnsi"/>
          <w:sz w:val="18"/>
          <w:szCs w:val="18"/>
        </w:rPr>
      </w:pPr>
      <w:r w:rsidRPr="00A644D8">
        <w:rPr>
          <w:rStyle w:val="FootnoteReference"/>
          <w:rFonts w:asciiTheme="minorHAnsi" w:hAnsiTheme="minorHAnsi" w:cstheme="minorHAnsi"/>
          <w:sz w:val="18"/>
          <w:szCs w:val="18"/>
        </w:rPr>
        <w:footnoteRef/>
      </w:r>
      <w:r w:rsidRPr="00A644D8">
        <w:rPr>
          <w:rFonts w:asciiTheme="minorHAnsi" w:hAnsiTheme="minorHAnsi" w:cstheme="minorHAnsi"/>
          <w:sz w:val="18"/>
          <w:szCs w:val="18"/>
        </w:rPr>
        <w:t xml:space="preserve"> Massachusetts Health Policy Commission. Health Policy Commission ACO Certification Program Accountable Care Organizations In Massachusetts: Profiles of The 2019 and 2020 HPC-Certified ACOs. Available:</w:t>
      </w:r>
    </w:p>
    <w:p w14:paraId="23ECDA94" w14:textId="122B9A92" w:rsidR="007F5E40" w:rsidRDefault="007F5E40">
      <w:pPr>
        <w:pStyle w:val="FootnoteText"/>
      </w:pPr>
      <w:r w:rsidRPr="00A644D8">
        <w:rPr>
          <w:rFonts w:asciiTheme="minorHAnsi" w:hAnsiTheme="minorHAnsi" w:cstheme="minorHAnsi"/>
          <w:sz w:val="18"/>
          <w:szCs w:val="18"/>
        </w:rPr>
        <w:t>https://www.mass.gov/doc/accountable-care-organizations-in-massachusetts-profiles-of-the-2019-and-2020-hpc-certified-acos/download</w:t>
      </w:r>
    </w:p>
  </w:footnote>
  <w:footnote w:id="4">
    <w:p w14:paraId="3969B69A" w14:textId="77777777" w:rsidR="00905BB3" w:rsidRPr="00A644D8" w:rsidRDefault="00905BB3" w:rsidP="0060259B">
      <w:pPr>
        <w:pStyle w:val="FootnoteText"/>
        <w:rPr>
          <w:rFonts w:asciiTheme="minorHAnsi" w:hAnsiTheme="minorHAnsi" w:cstheme="minorHAnsi"/>
          <w:sz w:val="18"/>
          <w:szCs w:val="18"/>
        </w:rPr>
      </w:pPr>
      <w:r w:rsidRPr="00A644D8">
        <w:rPr>
          <w:rStyle w:val="FootnoteReference"/>
          <w:rFonts w:asciiTheme="minorHAnsi" w:hAnsiTheme="minorHAnsi" w:cstheme="minorHAnsi"/>
          <w:sz w:val="18"/>
          <w:szCs w:val="18"/>
        </w:rPr>
        <w:footnoteRef/>
      </w:r>
      <w:r w:rsidRPr="00A644D8">
        <w:rPr>
          <w:rFonts w:asciiTheme="minorHAnsi" w:hAnsiTheme="minorHAnsi" w:cstheme="minorHAnsi"/>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5">
    <w:p w14:paraId="65393174" w14:textId="0E8F890A" w:rsidR="008F318D" w:rsidRPr="00A644D8" w:rsidRDefault="008F318D" w:rsidP="008F318D">
      <w:pPr>
        <w:pStyle w:val="FootnoteText"/>
        <w:rPr>
          <w:rFonts w:asciiTheme="minorHAnsi" w:hAnsiTheme="minorHAnsi" w:cstheme="minorHAnsi"/>
          <w:sz w:val="18"/>
          <w:szCs w:val="18"/>
        </w:rPr>
      </w:pPr>
      <w:r w:rsidRPr="00A644D8">
        <w:rPr>
          <w:rStyle w:val="FootnoteReference"/>
          <w:rFonts w:asciiTheme="minorHAnsi" w:hAnsiTheme="minorHAnsi" w:cstheme="minorHAnsi"/>
          <w:sz w:val="18"/>
          <w:szCs w:val="18"/>
        </w:rPr>
        <w:footnoteRef/>
      </w:r>
      <w:r w:rsidRPr="00A644D8">
        <w:rPr>
          <w:rFonts w:asciiTheme="minorHAnsi" w:hAnsiTheme="minorHAnsi" w:cstheme="minorHAnsi"/>
          <w:sz w:val="18"/>
          <w:szCs w:val="18"/>
        </w:rPr>
        <w:t xml:space="preserve"> HSA 4 includes the following cities/towns: Acton, Arlington, Ashland, Bedford, Belmont, Boston, Boxborough, Braintree, Brookline, Burlington, Cambridge, Canton, Carlisle, Chelsea, Cohasset, Concord, Dedham Dover, Foxborough, Framingham, Hingham, Holbrook, Holliston, Hopkinton, Hudson, Hull, Lexington, Lincoln, Littleton, Marlborough, Maynard, Medfield, Millis, Milton, Natick, Needham, Newton, Norfolk, Northborough, Norwell, Norwood, Quincy, Randolph, Revere, Scituate, Sharon, Sherborn, Somerville, Southborough, Stow, Sudbury, Walpole, Waltham, Watertown, Wayland, Wellesley, Westborough, Weston, Westwood, Weymouth, Wilmington, Winchester, Winthrop, Woburn, and Wrentham.</w:t>
      </w:r>
    </w:p>
    <w:p w14:paraId="5E2B1A5D" w14:textId="77777777" w:rsidR="008F318D" w:rsidRDefault="008F318D" w:rsidP="008F318D">
      <w:pPr>
        <w:pStyle w:val="FootnoteText"/>
      </w:pPr>
    </w:p>
  </w:footnote>
  <w:footnote w:id="6">
    <w:p w14:paraId="73998C5F" w14:textId="77777777" w:rsidR="00F02DB9" w:rsidRPr="00A838E8" w:rsidRDefault="00F02DB9" w:rsidP="00F02DB9">
      <w:pPr>
        <w:pStyle w:val="FootnoteText"/>
        <w:rPr>
          <w:rFonts w:asciiTheme="minorHAnsi" w:hAnsiTheme="minorHAnsi" w:cstheme="minorHAnsi"/>
          <w:color w:val="000000" w:themeColor="text1"/>
          <w:sz w:val="18"/>
          <w:szCs w:val="18"/>
        </w:rPr>
      </w:pPr>
      <w:r w:rsidRPr="00A838E8">
        <w:rPr>
          <w:rStyle w:val="FootnoteReference"/>
          <w:rFonts w:asciiTheme="minorHAnsi" w:hAnsiTheme="minorHAnsi" w:cstheme="minorHAnsi"/>
          <w:sz w:val="18"/>
          <w:szCs w:val="18"/>
        </w:rPr>
        <w:footnoteRef/>
      </w:r>
      <w:r w:rsidRPr="00A838E8">
        <w:rPr>
          <w:rFonts w:asciiTheme="minorHAnsi" w:hAnsiTheme="minorHAnsi" w:cstheme="minorHAnsi"/>
          <w:sz w:val="18"/>
          <w:szCs w:val="18"/>
        </w:rPr>
        <w:t xml:space="preserve"> </w:t>
      </w:r>
      <w:r w:rsidRPr="00A838E8">
        <w:rPr>
          <w:rFonts w:asciiTheme="minorHAnsi" w:hAnsiTheme="minorHAnsi" w:cstheme="minorHAnsi"/>
          <w:color w:val="000000" w:themeColor="text1"/>
          <w:sz w:val="18"/>
          <w:szCs w:val="18"/>
        </w:rPr>
        <w:t>The Applicant explained that the data does not include referral patients because those patients are not managed by a MGB PCP and are not included in MGB’s risk contracts.</w:t>
      </w:r>
    </w:p>
  </w:footnote>
  <w:footnote w:id="7">
    <w:p w14:paraId="28F7CFF0" w14:textId="29AE53C1" w:rsidR="00FD0662" w:rsidRPr="00C203C9" w:rsidRDefault="00FD0662" w:rsidP="00FD0662">
      <w:pPr>
        <w:pStyle w:val="ListParagraph"/>
        <w:ind w:left="0"/>
        <w:rPr>
          <w:rFonts w:asciiTheme="minorHAnsi" w:hAnsiTheme="minorHAnsi" w:cstheme="minorHAnsi"/>
          <w:sz w:val="18"/>
          <w:szCs w:val="18"/>
        </w:rPr>
      </w:pPr>
      <w:r w:rsidRPr="00C203C9">
        <w:rPr>
          <w:rStyle w:val="FootnoteReference"/>
          <w:rFonts w:asciiTheme="minorHAnsi" w:hAnsiTheme="minorHAnsi" w:cstheme="minorHAnsi"/>
          <w:sz w:val="18"/>
          <w:szCs w:val="18"/>
        </w:rPr>
        <w:footnoteRef/>
      </w:r>
      <w:r w:rsidRPr="00C203C9">
        <w:rPr>
          <w:rFonts w:asciiTheme="minorHAnsi" w:hAnsiTheme="minorHAnsi" w:cstheme="minorHAnsi"/>
          <w:sz w:val="18"/>
          <w:szCs w:val="18"/>
        </w:rPr>
        <w:t xml:space="preserve"> BWFH accepts</w:t>
      </w:r>
      <w:r w:rsidR="008B1A15" w:rsidRPr="00C203C9">
        <w:rPr>
          <w:rFonts w:asciiTheme="minorHAnsi" w:hAnsiTheme="minorHAnsi" w:cstheme="minorHAnsi"/>
          <w:sz w:val="18"/>
          <w:szCs w:val="18"/>
        </w:rPr>
        <w:t xml:space="preserve"> only</w:t>
      </w:r>
      <w:r w:rsidRPr="00C203C9">
        <w:rPr>
          <w:rFonts w:asciiTheme="minorHAnsi" w:hAnsiTheme="minorHAnsi" w:cstheme="minorHAnsi"/>
          <w:sz w:val="18"/>
          <w:szCs w:val="18"/>
        </w:rPr>
        <w:t xml:space="preserve"> appropriate secondary cases. From FY17-19, approximately 96% of patients transferred from BWH to BWFH were for Medicine services. The remaining 4% of transfers were Addiction, Breast Surgery, General/Gastrointestinal Surgery, and Orthopedics patients. The most common diagnoses for transfer patients are Pneumonia, Diabetes, Addiction/Chemical Dependency, Congestive Heart Failure and Chronic Obstructive Pulmonary Disease.</w:t>
      </w:r>
    </w:p>
  </w:footnote>
  <w:footnote w:id="8">
    <w:p w14:paraId="6A91A259" w14:textId="326AEC48" w:rsidR="00964D8B" w:rsidRPr="00C203C9" w:rsidRDefault="00964D8B" w:rsidP="00964D8B">
      <w:pPr>
        <w:pStyle w:val="FootnoteText"/>
        <w:rPr>
          <w:rFonts w:asciiTheme="minorHAnsi" w:hAnsiTheme="minorHAnsi" w:cstheme="minorHAnsi"/>
          <w:sz w:val="18"/>
          <w:szCs w:val="18"/>
        </w:rPr>
      </w:pPr>
      <w:r w:rsidRPr="00C203C9">
        <w:rPr>
          <w:rStyle w:val="FootnoteReference"/>
          <w:rFonts w:asciiTheme="minorHAnsi" w:hAnsiTheme="minorHAnsi" w:cstheme="minorHAnsi"/>
          <w:sz w:val="18"/>
          <w:szCs w:val="18"/>
        </w:rPr>
        <w:footnoteRef/>
      </w:r>
      <w:r w:rsidRPr="00C203C9">
        <w:rPr>
          <w:rFonts w:asciiTheme="minorHAnsi" w:hAnsiTheme="minorHAnsi" w:cstheme="minorHAnsi"/>
          <w:sz w:val="18"/>
          <w:szCs w:val="18"/>
        </w:rPr>
        <w:t xml:space="preserve"> According to the University of Massachusetts’ Donahue Institute’s (“UMDI”) Long-Term Population Projections for</w:t>
      </w:r>
      <w:r w:rsidR="000A72AA" w:rsidRPr="00C203C9">
        <w:rPr>
          <w:rFonts w:asciiTheme="minorHAnsi" w:hAnsiTheme="minorHAnsi" w:cstheme="minorHAnsi"/>
          <w:sz w:val="18"/>
          <w:szCs w:val="18"/>
        </w:rPr>
        <w:t xml:space="preserve"> </w:t>
      </w:r>
      <w:r w:rsidRPr="00C203C9">
        <w:rPr>
          <w:rFonts w:asciiTheme="minorHAnsi" w:hAnsiTheme="minorHAnsi" w:cstheme="minorHAnsi"/>
          <w:sz w:val="18"/>
          <w:szCs w:val="18"/>
        </w:rPr>
        <w:t>Massachusetts Regions and Municipalities</w:t>
      </w:r>
      <w:r w:rsidR="00085395" w:rsidRPr="00C203C9">
        <w:rPr>
          <w:rFonts w:asciiTheme="minorHAnsi" w:hAnsiTheme="minorHAnsi" w:cstheme="minorHAnsi"/>
          <w:sz w:val="18"/>
          <w:szCs w:val="18"/>
        </w:rPr>
        <w:t>.</w:t>
      </w:r>
    </w:p>
  </w:footnote>
  <w:footnote w:id="9">
    <w:p w14:paraId="326C85A8" w14:textId="34AA2C1F" w:rsidR="00CB7362" w:rsidRDefault="00CB7362" w:rsidP="000A72AA">
      <w:pPr>
        <w:pStyle w:val="FootnoteText"/>
      </w:pPr>
      <w:r w:rsidRPr="00C203C9">
        <w:rPr>
          <w:rStyle w:val="FootnoteReference"/>
          <w:rFonts w:asciiTheme="minorHAnsi" w:hAnsiTheme="minorHAnsi" w:cstheme="minorHAnsi"/>
          <w:sz w:val="18"/>
          <w:szCs w:val="18"/>
        </w:rPr>
        <w:footnoteRef/>
      </w:r>
      <w:r w:rsidRPr="00C203C9">
        <w:rPr>
          <w:rFonts w:asciiTheme="minorHAnsi" w:hAnsiTheme="minorHAnsi" w:cstheme="minorHAnsi"/>
          <w:sz w:val="18"/>
          <w:szCs w:val="18"/>
        </w:rPr>
        <w:t xml:space="preserve"> Adults 65-74 account for double the proportion of all hospital discharges relative to their population size</w:t>
      </w:r>
      <w:r w:rsidR="000A72AA" w:rsidRPr="00C203C9">
        <w:rPr>
          <w:rFonts w:asciiTheme="minorHAnsi" w:hAnsiTheme="minorHAnsi" w:cstheme="minorHAnsi"/>
          <w:sz w:val="18"/>
          <w:szCs w:val="18"/>
        </w:rPr>
        <w:t xml:space="preserve"> </w:t>
      </w:r>
      <w:r w:rsidRPr="00C203C9">
        <w:rPr>
          <w:rFonts w:asciiTheme="minorHAnsi" w:hAnsiTheme="minorHAnsi" w:cstheme="minorHAnsi"/>
          <w:sz w:val="18"/>
          <w:szCs w:val="18"/>
        </w:rPr>
        <w:t>and adults 75-84 account for triple; Lauren Wier Et Al., Healthcare Cost And Utilization Project Statistical Brief #103: Hospital Utilization Among Oldest Adults, 2008 (Agency for Healthcare Research &amp; Quality 2010), available at https://www.hcupus.ahrq.gov/reports/statbriefs/sb103.pdf.</w:t>
      </w:r>
    </w:p>
  </w:footnote>
  <w:footnote w:id="10">
    <w:p w14:paraId="1FE6219F" w14:textId="10189CDF" w:rsidR="00065871" w:rsidRPr="00400ABB" w:rsidRDefault="00065871">
      <w:pPr>
        <w:pStyle w:val="FootnoteText"/>
        <w:rPr>
          <w:rFonts w:asciiTheme="minorHAnsi" w:hAnsiTheme="minorHAnsi" w:cstheme="minorHAnsi"/>
          <w:sz w:val="18"/>
          <w:szCs w:val="18"/>
        </w:rPr>
      </w:pPr>
      <w:r w:rsidRPr="00400ABB">
        <w:rPr>
          <w:rStyle w:val="FootnoteReference"/>
          <w:rFonts w:asciiTheme="minorHAnsi" w:hAnsiTheme="minorHAnsi" w:cstheme="minorHAnsi"/>
          <w:sz w:val="18"/>
          <w:szCs w:val="18"/>
        </w:rPr>
        <w:footnoteRef/>
      </w:r>
      <w:r w:rsidRPr="00400ABB">
        <w:rPr>
          <w:rFonts w:asciiTheme="minorHAnsi" w:hAnsiTheme="minorHAnsi" w:cstheme="minorHAnsi"/>
          <w:sz w:val="18"/>
          <w:szCs w:val="18"/>
        </w:rPr>
        <w:t xml:space="preserve"> </w:t>
      </w:r>
      <w:r w:rsidR="00C076BC" w:rsidRPr="00400ABB">
        <w:rPr>
          <w:rFonts w:asciiTheme="minorHAnsi" w:hAnsiTheme="minorHAnsi" w:cstheme="minorHAnsi"/>
          <w:sz w:val="18"/>
          <w:szCs w:val="18"/>
        </w:rPr>
        <w:t>Top disease groups: Addiction/Chemical Dependency, Osteoarthritis, Congestive Heart Failure, Septicemia, Urinary Tract Infection, Breast Cancer, Pneumonia Including Aspiration Pneumonia, Chronic Obstructive Pulmonary Disease, Degenerative Spine and Disc Injury, and Diabetes Mellitus.</w:t>
      </w:r>
    </w:p>
  </w:footnote>
  <w:footnote w:id="11">
    <w:p w14:paraId="69FF5222" w14:textId="3896E826" w:rsidR="00637549" w:rsidRPr="002E1261" w:rsidRDefault="00637549" w:rsidP="00637549">
      <w:pPr>
        <w:pStyle w:val="FootnoteText"/>
        <w:rPr>
          <w:rFonts w:asciiTheme="minorHAnsi" w:hAnsiTheme="minorHAnsi" w:cstheme="minorHAnsi"/>
          <w:sz w:val="18"/>
          <w:szCs w:val="18"/>
        </w:rPr>
      </w:pPr>
      <w:r w:rsidRPr="002E1261">
        <w:rPr>
          <w:rStyle w:val="FootnoteReference"/>
          <w:rFonts w:asciiTheme="minorHAnsi" w:hAnsiTheme="minorHAnsi" w:cstheme="minorHAnsi"/>
          <w:sz w:val="18"/>
          <w:szCs w:val="18"/>
        </w:rPr>
        <w:footnoteRef/>
      </w:r>
      <w:r w:rsidRPr="002E1261">
        <w:rPr>
          <w:rFonts w:asciiTheme="minorHAnsi" w:hAnsiTheme="minorHAnsi" w:cstheme="minorHAnsi"/>
          <w:sz w:val="18"/>
          <w:szCs w:val="18"/>
        </w:rPr>
        <w:t xml:space="preserve"> </w:t>
      </w:r>
      <w:r w:rsidR="00F03304" w:rsidRPr="002E1261">
        <w:rPr>
          <w:rFonts w:asciiTheme="minorHAnsi" w:hAnsiTheme="minorHAnsi" w:cstheme="minorHAnsi"/>
          <w:sz w:val="18"/>
          <w:szCs w:val="18"/>
        </w:rPr>
        <w:t xml:space="preserve">These procedures </w:t>
      </w:r>
      <w:r w:rsidRPr="002E1261">
        <w:rPr>
          <w:rFonts w:asciiTheme="minorHAnsi" w:hAnsiTheme="minorHAnsi" w:cstheme="minorHAnsi"/>
          <w:sz w:val="18"/>
          <w:szCs w:val="18"/>
        </w:rPr>
        <w:t xml:space="preserve">require 75-minute or greater lengths of stay </w:t>
      </w:r>
      <w:r w:rsidR="00F03304" w:rsidRPr="002E1261">
        <w:rPr>
          <w:rFonts w:asciiTheme="minorHAnsi" w:hAnsiTheme="minorHAnsi" w:cstheme="minorHAnsi"/>
          <w:sz w:val="18"/>
          <w:szCs w:val="18"/>
        </w:rPr>
        <w:t xml:space="preserve">afterward </w:t>
      </w:r>
      <w:r w:rsidRPr="002E1261">
        <w:rPr>
          <w:rFonts w:asciiTheme="minorHAnsi" w:hAnsiTheme="minorHAnsi" w:cstheme="minorHAnsi"/>
          <w:sz w:val="18"/>
          <w:szCs w:val="18"/>
        </w:rPr>
        <w:t>to ensure that post-procedure complications do not occur.</w:t>
      </w:r>
    </w:p>
  </w:footnote>
  <w:footnote w:id="12">
    <w:p w14:paraId="212F7962" w14:textId="38876BAA" w:rsidR="00CE078C" w:rsidRPr="001114BF" w:rsidRDefault="00CE078C">
      <w:pPr>
        <w:pStyle w:val="FootnoteText"/>
        <w:rPr>
          <w:rFonts w:asciiTheme="minorHAnsi" w:hAnsiTheme="minorHAnsi" w:cstheme="minorHAnsi"/>
          <w:sz w:val="18"/>
          <w:szCs w:val="18"/>
        </w:rPr>
      </w:pPr>
      <w:r w:rsidRPr="001114BF">
        <w:rPr>
          <w:rStyle w:val="FootnoteReference"/>
          <w:rFonts w:asciiTheme="minorHAnsi" w:hAnsiTheme="minorHAnsi" w:cstheme="minorHAnsi"/>
        </w:rPr>
        <w:footnoteRef/>
      </w:r>
      <w:r w:rsidRPr="001114BF">
        <w:rPr>
          <w:rFonts w:asciiTheme="minorHAnsi" w:hAnsiTheme="minorHAnsi" w:cstheme="minorHAnsi"/>
        </w:rPr>
        <w:t xml:space="preserve"> </w:t>
      </w:r>
      <w:r w:rsidRPr="001114BF">
        <w:rPr>
          <w:rFonts w:asciiTheme="minorHAnsi" w:hAnsiTheme="minorHAnsi" w:cstheme="minorHAnsi"/>
          <w:sz w:val="18"/>
          <w:szCs w:val="18"/>
        </w:rPr>
        <w:t>Colorectal Cancer: Screening. https://www.uspreventiveservicestaskforce.org/uspstf/recommendation/colorectal-cancer-screening. Accessed December 15, 2021.</w:t>
      </w:r>
    </w:p>
  </w:footnote>
  <w:footnote w:id="13">
    <w:p w14:paraId="2E0AF9C9" w14:textId="186E00EC" w:rsidR="00F649B2" w:rsidRPr="0049108B" w:rsidRDefault="00F649B2" w:rsidP="00F649B2">
      <w:pPr>
        <w:rPr>
          <w:rFonts w:asciiTheme="minorHAnsi" w:hAnsiTheme="minorHAnsi" w:cstheme="minorHAnsi"/>
          <w:sz w:val="18"/>
          <w:szCs w:val="18"/>
        </w:rPr>
      </w:pPr>
      <w:r w:rsidRPr="0049108B">
        <w:rPr>
          <w:rStyle w:val="FootnoteReference"/>
          <w:rFonts w:asciiTheme="minorHAnsi" w:hAnsiTheme="minorHAnsi" w:cstheme="minorHAnsi"/>
          <w:sz w:val="18"/>
          <w:szCs w:val="18"/>
        </w:rPr>
        <w:footnoteRef/>
      </w:r>
      <w:r w:rsidRPr="0049108B">
        <w:rPr>
          <w:rFonts w:asciiTheme="minorHAnsi" w:hAnsiTheme="minorHAnsi" w:cstheme="minorHAnsi"/>
          <w:sz w:val="18"/>
          <w:szCs w:val="18"/>
        </w:rPr>
        <w:t xml:space="preserve"> Smith-Bindman, R., Miglioretti, D. L., &amp; Larson, E. B. (2008).; Lang, K., Huang, H., Lee, D. W., Federico, V., &amp; Menzin, J. (2013). National trends in advanced outpatient diagnostic imaging utilization: an analysis of the medical expenditure panel survey, 2000-2009. BMC medical imaging, 13(1), 1-10.</w:t>
      </w:r>
    </w:p>
  </w:footnote>
  <w:footnote w:id="14">
    <w:p w14:paraId="5D88FC07" w14:textId="70020BC7" w:rsidR="005C04F3" w:rsidRPr="0049108B" w:rsidRDefault="005C04F3">
      <w:pPr>
        <w:pStyle w:val="FootnoteText"/>
        <w:rPr>
          <w:rFonts w:asciiTheme="minorHAnsi" w:hAnsiTheme="minorHAnsi" w:cstheme="minorHAnsi"/>
        </w:rPr>
      </w:pPr>
      <w:r w:rsidRPr="0049108B">
        <w:rPr>
          <w:rStyle w:val="FootnoteReference"/>
          <w:rFonts w:asciiTheme="minorHAnsi" w:hAnsiTheme="minorHAnsi" w:cstheme="minorHAnsi"/>
        </w:rPr>
        <w:footnoteRef/>
      </w:r>
      <w:r w:rsidRPr="0049108B">
        <w:rPr>
          <w:rFonts w:asciiTheme="minorHAnsi" w:hAnsiTheme="minorHAnsi" w:cstheme="minorHAnsi"/>
        </w:rPr>
        <w:t xml:space="preserve"> </w:t>
      </w:r>
      <w:r w:rsidR="00881219" w:rsidRPr="0049108B">
        <w:rPr>
          <w:rFonts w:asciiTheme="minorHAnsi" w:hAnsiTheme="minorHAnsi" w:cstheme="minorHAnsi"/>
          <w:sz w:val="18"/>
          <w:szCs w:val="18"/>
        </w:rPr>
        <w:t>The PHM strategies can be found in</w:t>
      </w:r>
      <w:r w:rsidR="0070379B" w:rsidRPr="0049108B">
        <w:rPr>
          <w:rFonts w:asciiTheme="minorHAnsi" w:hAnsiTheme="minorHAnsi" w:cstheme="minorHAnsi"/>
          <w:sz w:val="18"/>
          <w:szCs w:val="18"/>
        </w:rPr>
        <w:t xml:space="preserve"> Appendix </w:t>
      </w:r>
      <w:r w:rsidR="0078338E" w:rsidRPr="0049108B">
        <w:rPr>
          <w:rFonts w:asciiTheme="minorHAnsi" w:hAnsiTheme="minorHAnsi" w:cstheme="minorHAnsi"/>
          <w:sz w:val="18"/>
          <w:szCs w:val="18"/>
        </w:rPr>
        <w:t>C</w:t>
      </w:r>
      <w:r w:rsidR="0070379B" w:rsidRPr="0049108B">
        <w:rPr>
          <w:rFonts w:asciiTheme="minorHAnsi" w:hAnsiTheme="minorHAnsi" w:cstheme="minorHAnsi"/>
          <w:sz w:val="18"/>
          <w:szCs w:val="18"/>
        </w:rPr>
        <w:t xml:space="preserve"> and page 35 in</w:t>
      </w:r>
      <w:r w:rsidR="00881219" w:rsidRPr="0049108B">
        <w:rPr>
          <w:rFonts w:asciiTheme="minorHAnsi" w:hAnsiTheme="minorHAnsi" w:cstheme="minorHAnsi"/>
          <w:sz w:val="18"/>
          <w:szCs w:val="18"/>
        </w:rPr>
        <w:t xml:space="preserve"> the Application. Also, i</w:t>
      </w:r>
      <w:r w:rsidRPr="0049108B">
        <w:rPr>
          <w:rFonts w:asciiTheme="minorHAnsi" w:hAnsiTheme="minorHAnsi" w:cstheme="minorHAnsi"/>
          <w:sz w:val="18"/>
          <w:szCs w:val="18"/>
        </w:rPr>
        <w:t>t is to be noted that PHM strategies typically are implemented in the physician office setting and are not directly utilized by the hospital.</w:t>
      </w:r>
    </w:p>
  </w:footnote>
  <w:footnote w:id="15">
    <w:p w14:paraId="4C9CB29F" w14:textId="77777777" w:rsidR="00201172" w:rsidRPr="0049108B" w:rsidRDefault="00201172" w:rsidP="00201172">
      <w:pPr>
        <w:pStyle w:val="FootnoteText"/>
        <w:rPr>
          <w:rFonts w:asciiTheme="minorHAnsi" w:hAnsiTheme="minorHAnsi" w:cstheme="minorHAnsi"/>
        </w:rPr>
      </w:pPr>
      <w:r w:rsidRPr="0049108B">
        <w:rPr>
          <w:rStyle w:val="FootnoteReference"/>
          <w:rFonts w:asciiTheme="minorHAnsi" w:hAnsiTheme="minorHAnsi" w:cstheme="minorHAnsi"/>
        </w:rPr>
        <w:footnoteRef/>
      </w:r>
      <w:r w:rsidRPr="0049108B">
        <w:rPr>
          <w:rFonts w:asciiTheme="minorHAnsi" w:hAnsiTheme="minorHAnsi" w:cstheme="minorHAnsi"/>
        </w:rPr>
        <w:t xml:space="preserve"> </w:t>
      </w:r>
      <w:r w:rsidRPr="0049108B">
        <w:rPr>
          <w:rFonts w:asciiTheme="minorHAnsi" w:hAnsiTheme="minorHAnsi" w:cstheme="minorHAnsi"/>
          <w:sz w:val="18"/>
          <w:szCs w:val="18"/>
        </w:rPr>
        <w:t>Dimensions of Triple Aim: 1) improving the health of populations; 2) enhancing the patient experience of care (including quality and satisfaction); and 3) reducing the per capita cost of health care.</w:t>
      </w:r>
    </w:p>
  </w:footnote>
  <w:footnote w:id="16">
    <w:p w14:paraId="343703C6" w14:textId="2D5CAAB7" w:rsidR="00F702FA" w:rsidRPr="00EE3606" w:rsidRDefault="00F702FA" w:rsidP="008E0C42">
      <w:pPr>
        <w:autoSpaceDE w:val="0"/>
        <w:autoSpaceDN w:val="0"/>
        <w:adjustRightInd w:val="0"/>
        <w:rPr>
          <w:rFonts w:ascii="Arial" w:hAnsi="Arial" w:cs="Arial"/>
          <w:sz w:val="18"/>
          <w:szCs w:val="18"/>
        </w:rPr>
      </w:pPr>
      <w:r w:rsidRPr="0049108B">
        <w:rPr>
          <w:rStyle w:val="FootnoteReference"/>
          <w:rFonts w:asciiTheme="minorHAnsi" w:hAnsiTheme="minorHAnsi" w:cstheme="minorHAnsi"/>
          <w:sz w:val="18"/>
          <w:szCs w:val="18"/>
        </w:rPr>
        <w:footnoteRef/>
      </w:r>
      <w:r w:rsidRPr="0049108B">
        <w:rPr>
          <w:rFonts w:asciiTheme="minorHAnsi" w:hAnsiTheme="minorHAnsi" w:cstheme="minorHAnsi"/>
          <w:sz w:val="18"/>
          <w:szCs w:val="18"/>
        </w:rPr>
        <w:t xml:space="preserve"> Christopher Caspers, M.D., Observation Care for Elderly Patients, AM. COLLEGE OF EMERGENCY PHYSICIANS: ACEP</w:t>
      </w:r>
      <w:r w:rsidR="008E0C42" w:rsidRPr="0049108B">
        <w:rPr>
          <w:rFonts w:asciiTheme="minorHAnsi" w:hAnsiTheme="minorHAnsi" w:cstheme="minorHAnsi"/>
          <w:sz w:val="18"/>
          <w:szCs w:val="18"/>
        </w:rPr>
        <w:t xml:space="preserve"> </w:t>
      </w:r>
      <w:r w:rsidRPr="0049108B">
        <w:rPr>
          <w:rFonts w:asciiTheme="minorHAnsi" w:hAnsiTheme="minorHAnsi" w:cstheme="minorHAnsi"/>
          <w:sz w:val="18"/>
          <w:szCs w:val="18"/>
        </w:rPr>
        <w:t>OBSERVATION SECTION NEWSLETTER (Sep. 2018), available at https://www.acep.org/how-weserve/sections/observation-medicine/news/september-2018/observation-care-for-elderly-patients/.</w:t>
      </w:r>
    </w:p>
  </w:footnote>
  <w:footnote w:id="17">
    <w:p w14:paraId="3B2AD519" w14:textId="09D60FE1" w:rsidR="00780DE8" w:rsidRDefault="00780DE8" w:rsidP="00780DE8">
      <w:pPr>
        <w:autoSpaceDE w:val="0"/>
        <w:autoSpaceDN w:val="0"/>
        <w:adjustRightInd w:val="0"/>
      </w:pPr>
      <w:r w:rsidRPr="00780DE8">
        <w:rPr>
          <w:rStyle w:val="FootnoteReference"/>
          <w:rFonts w:ascii="Arial" w:hAnsi="Arial" w:cs="Arial"/>
          <w:sz w:val="18"/>
          <w:szCs w:val="18"/>
        </w:rPr>
        <w:footnoteRef/>
      </w:r>
      <w:r w:rsidRPr="00780DE8">
        <w:rPr>
          <w:rFonts w:ascii="Arial" w:hAnsi="Arial" w:cs="Arial"/>
          <w:sz w:val="18"/>
          <w:szCs w:val="18"/>
        </w:rPr>
        <w:t xml:space="preserve"> </w:t>
      </w:r>
      <w:r w:rsidRPr="00FA481E">
        <w:rPr>
          <w:rFonts w:ascii="Arial Narrow" w:hAnsi="Arial Narrow" w:cs="Calibri Light"/>
          <w:sz w:val="18"/>
          <w:szCs w:val="18"/>
        </w:rPr>
        <w:t>The Campaign requires hospital leaders to accelerate progress in the following areas: (1) Increasing the collection and use of race, ethnicity, language preference and other socio-demographic data; (2) Increasing cultural competency training; (3) Increasing diversity in leadership and governance; and (4) Improving and strengthening community partnerships.</w:t>
      </w:r>
    </w:p>
  </w:footnote>
  <w:footnote w:id="18">
    <w:p w14:paraId="5A0089DF" w14:textId="510D5BEF" w:rsidR="00780DE8" w:rsidRPr="00780DE8" w:rsidRDefault="00780DE8" w:rsidP="00780DE8">
      <w:pPr>
        <w:autoSpaceDE w:val="0"/>
        <w:autoSpaceDN w:val="0"/>
        <w:adjustRightInd w:val="0"/>
        <w:rPr>
          <w:rFonts w:ascii="Arial" w:hAnsi="Arial" w:cs="Arial"/>
          <w:sz w:val="18"/>
          <w:szCs w:val="18"/>
        </w:rPr>
      </w:pPr>
      <w:r w:rsidRPr="00780DE8">
        <w:rPr>
          <w:rStyle w:val="FootnoteReference"/>
          <w:rFonts w:ascii="Arial" w:hAnsi="Arial" w:cs="Arial"/>
          <w:sz w:val="18"/>
          <w:szCs w:val="18"/>
        </w:rPr>
        <w:footnoteRef/>
      </w:r>
      <w:r w:rsidRPr="00780DE8">
        <w:rPr>
          <w:rFonts w:ascii="Arial" w:hAnsi="Arial" w:cs="Arial"/>
          <w:sz w:val="18"/>
          <w:szCs w:val="18"/>
        </w:rPr>
        <w:t xml:space="preserve"> </w:t>
      </w:r>
      <w:r w:rsidRPr="00FA481E">
        <w:rPr>
          <w:rFonts w:ascii="Arial Narrow" w:hAnsi="Arial Narrow" w:cs="Calibri Light"/>
          <w:sz w:val="18"/>
          <w:szCs w:val="18"/>
        </w:rPr>
        <w:t>Initiative includes a roadmap for achieving equality within the Applicant’s system and eliminating racism and oppression faced by the Applicant’s patients, communities, and staff. Key elements of the United Against Racism plan focuses on addressing racism through the lens of patient care, leadership and culture across the Applicant’s system, and through partnerships with the communities, and organizations within the community, that Applicant serves.</w:t>
      </w:r>
    </w:p>
  </w:footnote>
  <w:footnote w:id="19">
    <w:p w14:paraId="740827BE" w14:textId="797FF60F" w:rsidR="002A0986" w:rsidRDefault="002A0986" w:rsidP="002A0986">
      <w:pPr>
        <w:pStyle w:val="FootnoteText"/>
      </w:pPr>
      <w:r>
        <w:rPr>
          <w:rStyle w:val="FootnoteReference"/>
        </w:rPr>
        <w:footnoteRef/>
      </w:r>
      <w:r>
        <w:t xml:space="preserve"> </w:t>
      </w:r>
      <w:r w:rsidRPr="00FA481E">
        <w:rPr>
          <w:rFonts w:ascii="Arial Narrow" w:hAnsi="Arial Narrow" w:cs="Calibri Light"/>
          <w:sz w:val="18"/>
          <w:szCs w:val="18"/>
        </w:rPr>
        <w:t>Spanish, Portuguese, Chinese, Arabic, and Russian; most prevalent languages among MGB MassHealth patients</w:t>
      </w:r>
      <w:r w:rsidR="008F05BF">
        <w:rPr>
          <w:rFonts w:ascii="Arial Narrow" w:hAnsi="Arial Narrow" w:cs="Calibri Light"/>
          <w:sz w:val="18"/>
          <w:szCs w:val="18"/>
        </w:rPr>
        <w:t xml:space="preserve"> </w:t>
      </w:r>
    </w:p>
  </w:footnote>
  <w:footnote w:id="20">
    <w:p w14:paraId="3E7EB6B4" w14:textId="465D572B" w:rsidR="00EF1383" w:rsidRPr="00383CC0" w:rsidRDefault="00EF1383" w:rsidP="008F05BF">
      <w:pPr>
        <w:autoSpaceDE w:val="0"/>
        <w:autoSpaceDN w:val="0"/>
        <w:adjustRightInd w:val="0"/>
        <w:rPr>
          <w:rFonts w:asciiTheme="minorHAnsi" w:hAnsiTheme="minorHAnsi" w:cstheme="minorHAnsi"/>
          <w:sz w:val="18"/>
          <w:szCs w:val="18"/>
        </w:rPr>
      </w:pPr>
      <w:r w:rsidRPr="00383CC0">
        <w:rPr>
          <w:rStyle w:val="FootnoteReference"/>
          <w:rFonts w:asciiTheme="minorHAnsi" w:hAnsiTheme="minorHAnsi" w:cstheme="minorHAnsi"/>
          <w:sz w:val="18"/>
          <w:szCs w:val="18"/>
        </w:rPr>
        <w:footnoteRef/>
      </w:r>
      <w:r w:rsidRPr="00383CC0">
        <w:rPr>
          <w:rFonts w:asciiTheme="minorHAnsi" w:hAnsiTheme="minorHAnsi" w:cstheme="minorHAnsi"/>
          <w:sz w:val="18"/>
          <w:szCs w:val="18"/>
        </w:rPr>
        <w:t xml:space="preserve"> Boyle et al., </w:t>
      </w:r>
      <w:r w:rsidR="008F05BF" w:rsidRPr="00383CC0">
        <w:rPr>
          <w:rFonts w:asciiTheme="minorHAnsi" w:hAnsiTheme="minorHAnsi" w:cstheme="minorHAnsi"/>
          <w:sz w:val="18"/>
          <w:szCs w:val="18"/>
        </w:rPr>
        <w:t>Emergency Department Crowding: Time for Interventions and Policy Evaluations, EMERG. MED. INT. 838610 (2012), available at https://www.ncbi.nlm.nih.gov/pmc/articles/PMC3290817/;</w:t>
      </w:r>
      <w:r w:rsidRPr="00383CC0">
        <w:rPr>
          <w:rFonts w:asciiTheme="minorHAnsi" w:hAnsiTheme="minorHAnsi" w:cstheme="minorHAnsi"/>
          <w:sz w:val="18"/>
          <w:szCs w:val="18"/>
        </w:rPr>
        <w:t xml:space="preserve"> </w:t>
      </w:r>
      <w:r w:rsidR="008F05BF" w:rsidRPr="00383CC0">
        <w:rPr>
          <w:rFonts w:asciiTheme="minorHAnsi" w:hAnsiTheme="minorHAnsi" w:cstheme="minorHAnsi"/>
          <w:sz w:val="18"/>
          <w:szCs w:val="18"/>
        </w:rPr>
        <w:t>D.M. Fatovich, Access block causes emergency department overcrowding and ambulance diversion in Perth, Western Australia, 22 EMERG. MED. J. 351, 352-54 (2005), available at http://emj.bmj.com/content/emermed/22/5/351.full.pdf; D.M. Fatovich, Entry overload, emergency department overcrowding, and ambulance bypass, 20 EMERGENCY MED. J. 406, 408-09 (2003), available at http://emj.bmj.com/content/emermed/20/5/406.full.pdf;</w:t>
      </w:r>
    </w:p>
  </w:footnote>
  <w:footnote w:id="21">
    <w:p w14:paraId="1D326577" w14:textId="19F26E0B" w:rsidR="002E666E" w:rsidRDefault="002E666E">
      <w:pPr>
        <w:pStyle w:val="FootnoteText"/>
      </w:pPr>
      <w:r w:rsidRPr="00383CC0">
        <w:rPr>
          <w:rStyle w:val="FootnoteReference"/>
          <w:rFonts w:asciiTheme="minorHAnsi" w:hAnsiTheme="minorHAnsi" w:cstheme="minorHAnsi"/>
          <w:sz w:val="18"/>
          <w:szCs w:val="18"/>
        </w:rPr>
        <w:footnoteRef/>
      </w:r>
      <w:r w:rsidRPr="00383CC0">
        <w:rPr>
          <w:rFonts w:asciiTheme="minorHAnsi" w:hAnsiTheme="minorHAnsi" w:cstheme="minorHAnsi"/>
          <w:sz w:val="18"/>
          <w:szCs w:val="18"/>
        </w:rPr>
        <w:t xml:space="preserve"> Patients currently receive observation-like services in the hospital’s PACU, interventional radiology recovery rooms, and inpatient floors.</w:t>
      </w:r>
    </w:p>
  </w:footnote>
  <w:footnote w:id="22">
    <w:p w14:paraId="179D96F3" w14:textId="4E0A6294" w:rsidR="00AE1AB4" w:rsidRPr="00AE1AB4" w:rsidRDefault="00AE1AB4">
      <w:pPr>
        <w:pStyle w:val="FootnoteText"/>
        <w:rPr>
          <w:rFonts w:ascii="Arial" w:hAnsi="Arial" w:cs="Arial"/>
          <w:sz w:val="18"/>
          <w:szCs w:val="18"/>
        </w:rPr>
      </w:pPr>
      <w:r w:rsidRPr="00AC521D">
        <w:rPr>
          <w:rStyle w:val="FootnoteReference"/>
          <w:rFonts w:asciiTheme="minorHAnsi" w:hAnsiTheme="minorHAnsi" w:cstheme="minorHAnsi"/>
          <w:sz w:val="18"/>
          <w:szCs w:val="18"/>
        </w:rPr>
        <w:footnoteRef/>
      </w:r>
      <w:r w:rsidRPr="00AC521D">
        <w:rPr>
          <w:rFonts w:asciiTheme="minorHAnsi" w:hAnsiTheme="minorHAnsi" w:cstheme="minorHAnsi"/>
          <w:sz w:val="18"/>
          <w:szCs w:val="18"/>
        </w:rPr>
        <w:t xml:space="preserve"> </w:t>
      </w:r>
      <w:r w:rsidR="004E1137" w:rsidRPr="00AC521D">
        <w:rPr>
          <w:rFonts w:asciiTheme="minorHAnsi" w:hAnsiTheme="minorHAnsi" w:cstheme="minorHAnsi"/>
          <w:sz w:val="18"/>
          <w:szCs w:val="18"/>
        </w:rPr>
        <w:t>A</w:t>
      </w:r>
      <w:r w:rsidRPr="00AC521D">
        <w:rPr>
          <w:rFonts w:asciiTheme="minorHAnsi" w:hAnsiTheme="minorHAnsi" w:cstheme="minorHAnsi"/>
          <w:sz w:val="18"/>
          <w:szCs w:val="18"/>
        </w:rPr>
        <w:t xml:space="preserve"> statewide target for the rate of growth in total </w:t>
      </w:r>
      <w:r w:rsidR="00736AFA" w:rsidRPr="00AC521D">
        <w:rPr>
          <w:rFonts w:asciiTheme="minorHAnsi" w:hAnsiTheme="minorHAnsi" w:cstheme="minorHAnsi"/>
          <w:sz w:val="18"/>
          <w:szCs w:val="18"/>
        </w:rPr>
        <w:t>health care</w:t>
      </w:r>
      <w:r w:rsidRPr="00AC521D">
        <w:rPr>
          <w:rFonts w:asciiTheme="minorHAnsi" w:hAnsiTheme="minorHAnsi" w:cstheme="minorHAnsi"/>
          <w:sz w:val="18"/>
          <w:szCs w:val="18"/>
        </w:rPr>
        <w:t xml:space="preserve"> expenditures</w:t>
      </w:r>
      <w:r w:rsidR="008B55EC">
        <w:rPr>
          <w:rFonts w:ascii="Arial Narrow" w:hAnsi="Arial Narrow" w:cs="Calibri Light"/>
          <w:sz w:val="18"/>
          <w:szCs w:val="18"/>
        </w:rPr>
        <w:t>.</w:t>
      </w:r>
    </w:p>
  </w:footnote>
  <w:footnote w:id="23">
    <w:p w14:paraId="71456D0D" w14:textId="2BE0F0ED" w:rsidR="00E02696" w:rsidRPr="002B5A6C" w:rsidRDefault="005A5C13" w:rsidP="00E02696">
      <w:pPr>
        <w:pStyle w:val="FootnoteText"/>
        <w:rPr>
          <w:rFonts w:asciiTheme="minorHAnsi" w:hAnsiTheme="minorHAnsi" w:cstheme="minorHAnsi"/>
          <w:sz w:val="18"/>
          <w:szCs w:val="18"/>
        </w:rPr>
      </w:pPr>
      <w:r w:rsidRPr="002B5A6C">
        <w:rPr>
          <w:rStyle w:val="FootnoteReference"/>
          <w:rFonts w:asciiTheme="minorHAnsi" w:hAnsiTheme="minorHAnsi" w:cstheme="minorHAnsi"/>
          <w:sz w:val="18"/>
          <w:szCs w:val="18"/>
        </w:rPr>
        <w:footnoteRef/>
      </w:r>
      <w:r w:rsidRPr="002B5A6C">
        <w:rPr>
          <w:rFonts w:asciiTheme="minorHAnsi" w:hAnsiTheme="minorHAnsi" w:cstheme="minorHAnsi"/>
          <w:sz w:val="18"/>
          <w:szCs w:val="18"/>
        </w:rPr>
        <w:t xml:space="preserve"> Some examples include: Mass General Brigham Mobile Observation Unit (“MOU”)</w:t>
      </w:r>
      <w:r w:rsidR="00E02696" w:rsidRPr="002B5A6C">
        <w:rPr>
          <w:rFonts w:asciiTheme="minorHAnsi" w:hAnsiTheme="minorHAnsi" w:cstheme="minorHAnsi"/>
          <w:sz w:val="18"/>
          <w:szCs w:val="18"/>
        </w:rPr>
        <w:t>, an alternative to emergency services</w:t>
      </w:r>
    </w:p>
    <w:p w14:paraId="28FA0C76" w14:textId="042E0CBC" w:rsidR="005A5C13" w:rsidRPr="002B5A6C" w:rsidRDefault="00E02696" w:rsidP="005A5C13">
      <w:pPr>
        <w:pStyle w:val="FootnoteText"/>
        <w:rPr>
          <w:rFonts w:asciiTheme="minorHAnsi" w:hAnsiTheme="minorHAnsi" w:cstheme="minorHAnsi"/>
        </w:rPr>
      </w:pPr>
      <w:r w:rsidRPr="002B5A6C">
        <w:rPr>
          <w:rFonts w:asciiTheme="minorHAnsi" w:hAnsiTheme="minorHAnsi" w:cstheme="minorHAnsi"/>
          <w:sz w:val="18"/>
          <w:szCs w:val="18"/>
        </w:rPr>
        <w:t>and hospitalization,</w:t>
      </w:r>
      <w:r w:rsidR="005A5C13" w:rsidRPr="002B5A6C">
        <w:rPr>
          <w:rFonts w:asciiTheme="minorHAnsi" w:hAnsiTheme="minorHAnsi" w:cstheme="minorHAnsi"/>
          <w:sz w:val="18"/>
          <w:szCs w:val="18"/>
        </w:rPr>
        <w:t xml:space="preserve"> that provides home</w:t>
      </w:r>
      <w:r w:rsidRPr="002B5A6C">
        <w:rPr>
          <w:rFonts w:asciiTheme="minorHAnsi" w:hAnsiTheme="minorHAnsi" w:cstheme="minorHAnsi"/>
          <w:sz w:val="18"/>
          <w:szCs w:val="18"/>
        </w:rPr>
        <w:t>-</w:t>
      </w:r>
      <w:r w:rsidR="005A5C13" w:rsidRPr="002B5A6C">
        <w:rPr>
          <w:rFonts w:asciiTheme="minorHAnsi" w:hAnsiTheme="minorHAnsi" w:cstheme="minorHAnsi"/>
          <w:sz w:val="18"/>
          <w:szCs w:val="18"/>
        </w:rPr>
        <w:t>based</w:t>
      </w:r>
      <w:r w:rsidRPr="002B5A6C">
        <w:rPr>
          <w:rFonts w:asciiTheme="minorHAnsi" w:hAnsiTheme="minorHAnsi" w:cstheme="minorHAnsi"/>
          <w:sz w:val="18"/>
          <w:szCs w:val="18"/>
        </w:rPr>
        <w:t xml:space="preserve"> </w:t>
      </w:r>
      <w:r w:rsidR="005A5C13" w:rsidRPr="002B5A6C">
        <w:rPr>
          <w:rFonts w:asciiTheme="minorHAnsi" w:hAnsiTheme="minorHAnsi" w:cstheme="minorHAnsi"/>
          <w:sz w:val="18"/>
          <w:szCs w:val="18"/>
        </w:rPr>
        <w:t>urgent care for patients experiencing at-risk medical events believed to be treatable</w:t>
      </w:r>
      <w:r w:rsidRPr="002B5A6C">
        <w:rPr>
          <w:rFonts w:asciiTheme="minorHAnsi" w:hAnsiTheme="minorHAnsi" w:cstheme="minorHAnsi"/>
          <w:sz w:val="18"/>
          <w:szCs w:val="18"/>
        </w:rPr>
        <w:t xml:space="preserve"> </w:t>
      </w:r>
      <w:r w:rsidR="005A5C13" w:rsidRPr="002B5A6C">
        <w:rPr>
          <w:rFonts w:asciiTheme="minorHAnsi" w:hAnsiTheme="minorHAnsi" w:cstheme="minorHAnsi"/>
          <w:sz w:val="18"/>
          <w:szCs w:val="18"/>
        </w:rPr>
        <w:t>with enhanced home care</w:t>
      </w:r>
      <w:r w:rsidRPr="002B5A6C">
        <w:rPr>
          <w:rFonts w:asciiTheme="minorHAnsi" w:hAnsiTheme="minorHAnsi" w:cstheme="minorHAnsi"/>
          <w:sz w:val="18"/>
          <w:szCs w:val="18"/>
        </w:rPr>
        <w:t>; eConsults and eVisits; and virtual visits.</w:t>
      </w:r>
    </w:p>
  </w:footnote>
  <w:footnote w:id="24">
    <w:p w14:paraId="5F1E310F" w14:textId="23FA8E54" w:rsidR="00065A7C" w:rsidRPr="00065A7C" w:rsidRDefault="00065A7C">
      <w:pPr>
        <w:pStyle w:val="FootnoteText"/>
        <w:rPr>
          <w:rFonts w:ascii="Arial" w:hAnsi="Arial" w:cs="Arial"/>
          <w:sz w:val="18"/>
          <w:szCs w:val="18"/>
        </w:rPr>
      </w:pPr>
      <w:r w:rsidRPr="002B5A6C">
        <w:rPr>
          <w:rStyle w:val="FootnoteReference"/>
          <w:rFonts w:asciiTheme="minorHAnsi" w:hAnsiTheme="minorHAnsi" w:cstheme="minorHAnsi"/>
          <w:sz w:val="18"/>
          <w:szCs w:val="18"/>
        </w:rPr>
        <w:footnoteRef/>
      </w:r>
      <w:r w:rsidRPr="002B5A6C">
        <w:rPr>
          <w:rFonts w:asciiTheme="minorHAnsi" w:hAnsiTheme="minorHAnsi" w:cstheme="minorHAnsi"/>
          <w:sz w:val="18"/>
          <w:szCs w:val="18"/>
        </w:rPr>
        <w:t xml:space="preserve"> https://news.harvard.edu/gazette/story/2019/06/mgh-e-consults-can-streamline-simplify-care-and-reduce-need-for-visits/</w:t>
      </w:r>
    </w:p>
  </w:footnote>
  <w:footnote w:id="25">
    <w:p w14:paraId="1D6B7DB9" w14:textId="5092E3E8" w:rsidR="00955769" w:rsidRDefault="00955769">
      <w:pPr>
        <w:pStyle w:val="FootnoteText"/>
      </w:pPr>
      <w:r>
        <w:rPr>
          <w:rStyle w:val="FootnoteReference"/>
        </w:rPr>
        <w:footnoteRef/>
      </w:r>
      <w:r>
        <w:t xml:space="preserve"> The ICA simulation assumes that “</w:t>
      </w:r>
      <w:r w:rsidRPr="00955769">
        <w:t>whenever possible, BWFH admits patients that would have otherwise been admitted to Brigham and Women’s Hospital</w:t>
      </w:r>
      <w:r>
        <w:t>” (ICA p.45)</w:t>
      </w:r>
    </w:p>
  </w:footnote>
  <w:footnote w:id="26">
    <w:p w14:paraId="3B914982" w14:textId="77777777" w:rsidR="00B452DD" w:rsidRPr="002B5A6C" w:rsidRDefault="00B452DD" w:rsidP="00B452DD">
      <w:pPr>
        <w:pStyle w:val="FootnoteText"/>
        <w:rPr>
          <w:rFonts w:asciiTheme="minorHAnsi" w:hAnsiTheme="minorHAnsi" w:cstheme="minorHAnsi"/>
          <w:sz w:val="18"/>
          <w:szCs w:val="18"/>
        </w:rPr>
      </w:pPr>
      <w:r w:rsidRPr="002B5A6C">
        <w:rPr>
          <w:rStyle w:val="FootnoteReference"/>
          <w:rFonts w:asciiTheme="minorHAnsi" w:hAnsiTheme="minorHAnsi" w:cstheme="minorHAnsi"/>
          <w:sz w:val="18"/>
          <w:szCs w:val="18"/>
        </w:rPr>
        <w:footnoteRef/>
      </w:r>
      <w:r w:rsidRPr="002B5A6C">
        <w:rPr>
          <w:rFonts w:asciiTheme="minorHAnsi" w:hAnsiTheme="minorHAnsi" w:cstheme="minorHAnsi"/>
          <w:sz w:val="18"/>
          <w:szCs w:val="18"/>
        </w:rPr>
        <w:t xml:space="preserve"> Five-Year Pro-Forma Statements (Projections) for the fiscal years ending 2021 through 2025, provided December 18, 2020 and updated on January 8, 2021; projected income statements for the BWFH Expansion Project, including detailed assumptions for the fiscal years 2024 through 2038, provided February 12, 2020; DoN projections (income statements, capital and debt service) for the fiscal years 2021 (budget) through 2030, provided December 15, 2020; Multi-Year Financial Framework of Mass General Brigham Incorporated for the fiscal years ending 2021 through 2025 prepared for Mass General Brigham Finance Committee as of December 3, 2020; Schedule of Estimated Total Capital Expenditure (Factor 4 Form F4a.ii) provided December 29, 2020; Consolidating Balance Sheet and Statements of Operations of BH and Affiliates, which includes BWFH, as of and for the years ended September 30, 2017, 2018, and 2019, provided March 2, 2020; Partners Finance Committee BWFH Building Update – prepared as of September 27, 2019; audited Financial Statements of Mass General Brigham Incorporated and Affiliates as of and for the years ended September 30, 2020 and 2019; company website – https://www.massgeneralbrigham.org; news publications and other public information about the Company; Determination of Need Application Instructions dated March 2017; and craft Determination of Need Factor 1, provided December 29, 2020 and updated on January 14, 2021.</w:t>
      </w:r>
    </w:p>
  </w:footnote>
  <w:footnote w:id="27">
    <w:p w14:paraId="4FBDD9D7" w14:textId="77777777" w:rsidR="00B452DD" w:rsidRPr="002B5A6C" w:rsidRDefault="00B452DD" w:rsidP="00B452DD">
      <w:pPr>
        <w:pStyle w:val="FootnoteText"/>
        <w:rPr>
          <w:rFonts w:asciiTheme="minorHAnsi" w:hAnsiTheme="minorHAnsi" w:cstheme="minorHAnsi"/>
        </w:rPr>
      </w:pPr>
      <w:r w:rsidRPr="002B5A6C">
        <w:rPr>
          <w:rStyle w:val="FootnoteReference"/>
          <w:rFonts w:asciiTheme="minorHAnsi" w:hAnsiTheme="minorHAnsi" w:cstheme="minorHAnsi"/>
          <w:sz w:val="18"/>
          <w:szCs w:val="18"/>
        </w:rPr>
        <w:footnoteRef/>
      </w:r>
      <w:r w:rsidRPr="002B5A6C">
        <w:rPr>
          <w:rFonts w:asciiTheme="minorHAnsi" w:hAnsiTheme="minorHAnsi" w:cstheme="minorHAnsi"/>
          <w:sz w:val="18"/>
          <w:szCs w:val="18"/>
        </w:rPr>
        <w:t xml:space="preserve"> Liquidity metrics, measure quality and adequacy of assets to meet current obligations as they come due. Operating metrics, such as earnings before interest, taxes, depreciation and amortization ("Adjusted EBITDA") are used to assist in the evaluation of management performance in how efficiently resources are utilized. Solvency metrics, such as Debt to Equity, measure the company's ability to service debt obligations.</w:t>
      </w:r>
    </w:p>
  </w:footnote>
  <w:footnote w:id="28">
    <w:p w14:paraId="415AF03C" w14:textId="77777777" w:rsidR="00B452DD" w:rsidRPr="00AB1BC5" w:rsidRDefault="00B452DD" w:rsidP="00B452DD">
      <w:pPr>
        <w:pStyle w:val="FootnoteText"/>
        <w:rPr>
          <w:rFonts w:ascii="Arial" w:hAnsi="Arial" w:cs="Arial"/>
          <w:sz w:val="18"/>
          <w:szCs w:val="18"/>
        </w:rPr>
      </w:pPr>
      <w:r w:rsidRPr="002B5A6C">
        <w:rPr>
          <w:rStyle w:val="FootnoteReference"/>
          <w:rFonts w:asciiTheme="minorHAnsi" w:hAnsiTheme="minorHAnsi" w:cstheme="minorHAnsi"/>
          <w:sz w:val="18"/>
          <w:szCs w:val="18"/>
        </w:rPr>
        <w:footnoteRef/>
      </w:r>
      <w:r w:rsidRPr="002B5A6C">
        <w:rPr>
          <w:rFonts w:asciiTheme="minorHAnsi" w:hAnsiTheme="minorHAnsi" w:cstheme="minorHAnsi"/>
          <w:sz w:val="18"/>
          <w:szCs w:val="18"/>
        </w:rPr>
        <w:t xml:space="preserve"> Relate to investment account activity (realized and unrealized), philanthropic and academic gifts, benefit plan funded status, fair value adjustments and other items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951F" w14:textId="26F9D772" w:rsidR="00905BB3" w:rsidRDefault="00905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540" w14:textId="47AA2991" w:rsidR="00905BB3" w:rsidRDefault="00905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7C0D" w14:textId="40480BCF" w:rsidR="00905BB3" w:rsidRDefault="00905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55A1"/>
    <w:multiLevelType w:val="hybridMultilevel"/>
    <w:tmpl w:val="58FE89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65903"/>
    <w:multiLevelType w:val="hybridMultilevel"/>
    <w:tmpl w:val="2724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553EF"/>
    <w:multiLevelType w:val="hybridMultilevel"/>
    <w:tmpl w:val="46662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AC3052"/>
    <w:multiLevelType w:val="hybridMultilevel"/>
    <w:tmpl w:val="F472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14DD6"/>
    <w:multiLevelType w:val="hybridMultilevel"/>
    <w:tmpl w:val="60AC4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93142E"/>
    <w:multiLevelType w:val="hybridMultilevel"/>
    <w:tmpl w:val="DBAAB020"/>
    <w:lvl w:ilvl="0" w:tplc="13A26B56">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A5619"/>
    <w:multiLevelType w:val="hybridMultilevel"/>
    <w:tmpl w:val="610A5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3E4745"/>
    <w:multiLevelType w:val="hybridMultilevel"/>
    <w:tmpl w:val="B85E73B2"/>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6807E9"/>
    <w:multiLevelType w:val="hybridMultilevel"/>
    <w:tmpl w:val="4FB8CE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654379"/>
    <w:multiLevelType w:val="hybridMultilevel"/>
    <w:tmpl w:val="812043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EF5FD8"/>
    <w:multiLevelType w:val="hybridMultilevel"/>
    <w:tmpl w:val="DC24FF90"/>
    <w:lvl w:ilvl="0" w:tplc="CC8A576A">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96ED5"/>
    <w:multiLevelType w:val="hybridMultilevel"/>
    <w:tmpl w:val="25B63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429C8"/>
    <w:multiLevelType w:val="hybridMultilevel"/>
    <w:tmpl w:val="1584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36B50"/>
    <w:multiLevelType w:val="hybridMultilevel"/>
    <w:tmpl w:val="C472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C7C21"/>
    <w:multiLevelType w:val="hybridMultilevel"/>
    <w:tmpl w:val="C2548B8C"/>
    <w:lvl w:ilvl="0" w:tplc="128A8FE0">
      <w:start w:val="1"/>
      <w:numFmt w:val="decimal"/>
      <w:lvlText w:val="%1."/>
      <w:lvlJc w:val="left"/>
      <w:pPr>
        <w:ind w:left="720" w:hanging="360"/>
      </w:pPr>
    </w:lvl>
    <w:lvl w:ilvl="1" w:tplc="23BE81AA">
      <w:start w:val="1"/>
      <w:numFmt w:val="lowerLetter"/>
      <w:lvlText w:val="%2."/>
      <w:lvlJc w:val="left"/>
      <w:pPr>
        <w:ind w:left="1440" w:hanging="360"/>
      </w:pPr>
    </w:lvl>
    <w:lvl w:ilvl="2" w:tplc="CACC7D86">
      <w:start w:val="1"/>
      <w:numFmt w:val="lowerRoman"/>
      <w:lvlText w:val="%3."/>
      <w:lvlJc w:val="right"/>
      <w:pPr>
        <w:ind w:left="2160" w:hanging="180"/>
      </w:pPr>
    </w:lvl>
    <w:lvl w:ilvl="3" w:tplc="E764788C">
      <w:start w:val="1"/>
      <w:numFmt w:val="decimal"/>
      <w:lvlText w:val="%4."/>
      <w:lvlJc w:val="left"/>
      <w:pPr>
        <w:ind w:left="2880" w:hanging="360"/>
      </w:pPr>
    </w:lvl>
    <w:lvl w:ilvl="4" w:tplc="16AC4D8E">
      <w:start w:val="1"/>
      <w:numFmt w:val="lowerLetter"/>
      <w:lvlText w:val="%5."/>
      <w:lvlJc w:val="left"/>
      <w:pPr>
        <w:ind w:left="3600" w:hanging="360"/>
      </w:pPr>
    </w:lvl>
    <w:lvl w:ilvl="5" w:tplc="D8302A48">
      <w:start w:val="1"/>
      <w:numFmt w:val="lowerRoman"/>
      <w:lvlText w:val="%6."/>
      <w:lvlJc w:val="right"/>
      <w:pPr>
        <w:ind w:left="4320" w:hanging="180"/>
      </w:pPr>
    </w:lvl>
    <w:lvl w:ilvl="6" w:tplc="56323A8A">
      <w:start w:val="1"/>
      <w:numFmt w:val="decimal"/>
      <w:lvlText w:val="%7."/>
      <w:lvlJc w:val="left"/>
      <w:pPr>
        <w:ind w:left="5040" w:hanging="360"/>
      </w:pPr>
    </w:lvl>
    <w:lvl w:ilvl="7" w:tplc="2F8A0BA6">
      <w:start w:val="1"/>
      <w:numFmt w:val="lowerLetter"/>
      <w:lvlText w:val="%8."/>
      <w:lvlJc w:val="left"/>
      <w:pPr>
        <w:ind w:left="5760" w:hanging="360"/>
      </w:pPr>
    </w:lvl>
    <w:lvl w:ilvl="8" w:tplc="26E480EA">
      <w:start w:val="1"/>
      <w:numFmt w:val="lowerRoman"/>
      <w:lvlText w:val="%9."/>
      <w:lvlJc w:val="right"/>
      <w:pPr>
        <w:ind w:left="6480" w:hanging="180"/>
      </w:pPr>
    </w:lvl>
  </w:abstractNum>
  <w:abstractNum w:abstractNumId="15" w15:restartNumberingAfterBreak="0">
    <w:nsid w:val="40220979"/>
    <w:multiLevelType w:val="hybridMultilevel"/>
    <w:tmpl w:val="B85E73B2"/>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26444C"/>
    <w:multiLevelType w:val="hybridMultilevel"/>
    <w:tmpl w:val="348424C6"/>
    <w:lvl w:ilvl="0" w:tplc="1A94128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9B3DF7"/>
    <w:multiLevelType w:val="hybridMultilevel"/>
    <w:tmpl w:val="7BBA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43C6D"/>
    <w:multiLevelType w:val="hybridMultilevel"/>
    <w:tmpl w:val="AC328DC6"/>
    <w:lvl w:ilvl="0" w:tplc="9000FC82">
      <w:start w:val="1"/>
      <w:numFmt w:val="decimal"/>
      <w:lvlText w:val="%1."/>
      <w:lvlJc w:val="left"/>
      <w:pPr>
        <w:ind w:left="720" w:hanging="360"/>
      </w:pPr>
    </w:lvl>
    <w:lvl w:ilvl="1" w:tplc="D4A0BC56">
      <w:start w:val="1"/>
      <w:numFmt w:val="lowerLetter"/>
      <w:lvlText w:val="%2."/>
      <w:lvlJc w:val="left"/>
      <w:pPr>
        <w:ind w:left="1440" w:hanging="360"/>
      </w:pPr>
    </w:lvl>
    <w:lvl w:ilvl="2" w:tplc="C91E330E">
      <w:start w:val="1"/>
      <w:numFmt w:val="lowerRoman"/>
      <w:lvlText w:val="%3."/>
      <w:lvlJc w:val="right"/>
      <w:pPr>
        <w:ind w:left="2160" w:hanging="180"/>
      </w:pPr>
    </w:lvl>
    <w:lvl w:ilvl="3" w:tplc="EF620550">
      <w:start w:val="1"/>
      <w:numFmt w:val="decimal"/>
      <w:lvlText w:val="%4."/>
      <w:lvlJc w:val="left"/>
      <w:pPr>
        <w:ind w:left="2880" w:hanging="360"/>
      </w:pPr>
    </w:lvl>
    <w:lvl w:ilvl="4" w:tplc="251E6070">
      <w:start w:val="1"/>
      <w:numFmt w:val="lowerLetter"/>
      <w:lvlText w:val="%5."/>
      <w:lvlJc w:val="left"/>
      <w:pPr>
        <w:ind w:left="3600" w:hanging="360"/>
      </w:pPr>
    </w:lvl>
    <w:lvl w:ilvl="5" w:tplc="08FC02E8">
      <w:start w:val="1"/>
      <w:numFmt w:val="lowerRoman"/>
      <w:lvlText w:val="%6."/>
      <w:lvlJc w:val="right"/>
      <w:pPr>
        <w:ind w:left="4320" w:hanging="180"/>
      </w:pPr>
    </w:lvl>
    <w:lvl w:ilvl="6" w:tplc="E566F8E2">
      <w:start w:val="1"/>
      <w:numFmt w:val="decimal"/>
      <w:lvlText w:val="%7."/>
      <w:lvlJc w:val="left"/>
      <w:pPr>
        <w:ind w:left="5040" w:hanging="360"/>
      </w:pPr>
    </w:lvl>
    <w:lvl w:ilvl="7" w:tplc="AF2A6E40">
      <w:start w:val="1"/>
      <w:numFmt w:val="lowerLetter"/>
      <w:lvlText w:val="%8."/>
      <w:lvlJc w:val="left"/>
      <w:pPr>
        <w:ind w:left="5760" w:hanging="360"/>
      </w:pPr>
    </w:lvl>
    <w:lvl w:ilvl="8" w:tplc="FB768AC2">
      <w:start w:val="1"/>
      <w:numFmt w:val="lowerRoman"/>
      <w:lvlText w:val="%9."/>
      <w:lvlJc w:val="right"/>
      <w:pPr>
        <w:ind w:left="6480" w:hanging="180"/>
      </w:pPr>
    </w:lvl>
  </w:abstractNum>
  <w:abstractNum w:abstractNumId="19" w15:restartNumberingAfterBreak="0">
    <w:nsid w:val="48B17AA4"/>
    <w:multiLevelType w:val="hybridMultilevel"/>
    <w:tmpl w:val="1B641AAA"/>
    <w:lvl w:ilvl="0" w:tplc="B212E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266476"/>
    <w:multiLevelType w:val="hybridMultilevel"/>
    <w:tmpl w:val="807C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75DB0"/>
    <w:multiLevelType w:val="hybridMultilevel"/>
    <w:tmpl w:val="20C0B322"/>
    <w:lvl w:ilvl="0" w:tplc="AB9AC9F0">
      <w:start w:val="1"/>
      <w:numFmt w:val="decimal"/>
      <w:lvlText w:val="%1."/>
      <w:lvlJc w:val="left"/>
      <w:pPr>
        <w:ind w:left="1080" w:hanging="720"/>
      </w:pPr>
      <w:rPr>
        <w:rFonts w:hint="default"/>
      </w:r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D978F5"/>
    <w:multiLevelType w:val="hybridMultilevel"/>
    <w:tmpl w:val="5D0AE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5297D"/>
    <w:multiLevelType w:val="hybridMultilevel"/>
    <w:tmpl w:val="99F4B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A246DF"/>
    <w:multiLevelType w:val="hybridMultilevel"/>
    <w:tmpl w:val="407C4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511DAC"/>
    <w:multiLevelType w:val="hybridMultilevel"/>
    <w:tmpl w:val="B85E73B2"/>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5F7E1D"/>
    <w:multiLevelType w:val="hybridMultilevel"/>
    <w:tmpl w:val="59BA9668"/>
    <w:lvl w:ilvl="0" w:tplc="04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3F0C32"/>
    <w:multiLevelType w:val="hybridMultilevel"/>
    <w:tmpl w:val="334C7A3C"/>
    <w:lvl w:ilvl="0" w:tplc="0409000F">
      <w:start w:val="1"/>
      <w:numFmt w:val="decimal"/>
      <w:lvlText w:val="%1."/>
      <w:lvlJc w:val="left"/>
      <w:pPr>
        <w:ind w:left="720" w:hanging="360"/>
      </w:pPr>
    </w:lvl>
    <w:lvl w:ilvl="1" w:tplc="DB9EF5BE">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385A63"/>
    <w:multiLevelType w:val="hybridMultilevel"/>
    <w:tmpl w:val="2D6873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7033E6"/>
    <w:multiLevelType w:val="hybridMultilevel"/>
    <w:tmpl w:val="D0D86A4C"/>
    <w:lvl w:ilvl="0" w:tplc="61B82500">
      <w:start w:val="1"/>
      <w:numFmt w:val="lowerLetter"/>
      <w:lvlText w:val="%1)"/>
      <w:lvlJc w:val="left"/>
      <w:pPr>
        <w:ind w:left="72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F4AEC"/>
    <w:multiLevelType w:val="hybridMultilevel"/>
    <w:tmpl w:val="28CA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872944"/>
    <w:multiLevelType w:val="hybridMultilevel"/>
    <w:tmpl w:val="4B1A87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FB72D2"/>
    <w:multiLevelType w:val="hybridMultilevel"/>
    <w:tmpl w:val="170C6D00"/>
    <w:lvl w:ilvl="0" w:tplc="014292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8C5D8E"/>
    <w:multiLevelType w:val="hybridMultilevel"/>
    <w:tmpl w:val="5436ECB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0D14F49"/>
    <w:multiLevelType w:val="hybridMultilevel"/>
    <w:tmpl w:val="436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81A1C"/>
    <w:multiLevelType w:val="hybridMultilevel"/>
    <w:tmpl w:val="A33E34AA"/>
    <w:lvl w:ilvl="0" w:tplc="72F0E8C6">
      <w:start w:val="1"/>
      <w:numFmt w:val="lowerLetter"/>
      <w:lvlText w:val="%1)"/>
      <w:lvlJc w:val="left"/>
      <w:pPr>
        <w:ind w:left="720" w:hanging="360"/>
      </w:pPr>
      <w:rPr>
        <w:rFonts w:hint="default"/>
        <w:color w:val="000000" w:themeColor="text1"/>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DD24C8"/>
    <w:multiLevelType w:val="hybridMultilevel"/>
    <w:tmpl w:val="6BAE4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E7665"/>
    <w:multiLevelType w:val="multilevel"/>
    <w:tmpl w:val="85A0E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8313023"/>
    <w:multiLevelType w:val="hybridMultilevel"/>
    <w:tmpl w:val="EA86D564"/>
    <w:lvl w:ilvl="0" w:tplc="9000FC8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F0735"/>
    <w:multiLevelType w:val="hybridMultilevel"/>
    <w:tmpl w:val="31CA6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D6A0E65"/>
    <w:multiLevelType w:val="hybridMultilevel"/>
    <w:tmpl w:val="44B8A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D52716"/>
    <w:multiLevelType w:val="hybridMultilevel"/>
    <w:tmpl w:val="B85E73B2"/>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027023"/>
    <w:multiLevelType w:val="hybridMultilevel"/>
    <w:tmpl w:val="82B02A4C"/>
    <w:lvl w:ilvl="0" w:tplc="276EF8B8">
      <w:start w:val="1"/>
      <w:numFmt w:val="decimal"/>
      <w:lvlText w:val="%1."/>
      <w:lvlJc w:val="left"/>
      <w:pPr>
        <w:ind w:left="720" w:hanging="360"/>
      </w:pPr>
      <w:rPr>
        <w:rFonts w:ascii="Times New Roman" w:hAnsi="Times New Roman" w:cs="Times New Roman" w:hint="default"/>
      </w:rPr>
    </w:lvl>
    <w:lvl w:ilvl="1" w:tplc="252C8B16">
      <w:start w:val="1"/>
      <w:numFmt w:val="lowerLetter"/>
      <w:lvlText w:val="%2."/>
      <w:lvlJc w:val="left"/>
      <w:pPr>
        <w:ind w:left="1440" w:hanging="360"/>
      </w:pPr>
    </w:lvl>
    <w:lvl w:ilvl="2" w:tplc="5B264BA4">
      <w:start w:val="1"/>
      <w:numFmt w:val="lowerRoman"/>
      <w:lvlText w:val="%3."/>
      <w:lvlJc w:val="right"/>
      <w:pPr>
        <w:ind w:left="2160" w:hanging="180"/>
      </w:pPr>
    </w:lvl>
    <w:lvl w:ilvl="3" w:tplc="44CCBE96">
      <w:start w:val="1"/>
      <w:numFmt w:val="decimal"/>
      <w:lvlText w:val="%4."/>
      <w:lvlJc w:val="left"/>
      <w:pPr>
        <w:ind w:left="2880" w:hanging="360"/>
      </w:pPr>
    </w:lvl>
    <w:lvl w:ilvl="4" w:tplc="004CB84A">
      <w:start w:val="1"/>
      <w:numFmt w:val="lowerLetter"/>
      <w:lvlText w:val="%5."/>
      <w:lvlJc w:val="left"/>
      <w:pPr>
        <w:ind w:left="3600" w:hanging="360"/>
      </w:pPr>
    </w:lvl>
    <w:lvl w:ilvl="5" w:tplc="727A1474">
      <w:start w:val="1"/>
      <w:numFmt w:val="lowerRoman"/>
      <w:lvlText w:val="%6."/>
      <w:lvlJc w:val="right"/>
      <w:pPr>
        <w:ind w:left="4320" w:hanging="180"/>
      </w:pPr>
    </w:lvl>
    <w:lvl w:ilvl="6" w:tplc="FB6270F6">
      <w:start w:val="1"/>
      <w:numFmt w:val="decimal"/>
      <w:lvlText w:val="%7."/>
      <w:lvlJc w:val="left"/>
      <w:pPr>
        <w:ind w:left="5040" w:hanging="360"/>
      </w:pPr>
    </w:lvl>
    <w:lvl w:ilvl="7" w:tplc="2AA8DFAC">
      <w:start w:val="1"/>
      <w:numFmt w:val="lowerLetter"/>
      <w:lvlText w:val="%8."/>
      <w:lvlJc w:val="left"/>
      <w:pPr>
        <w:ind w:left="5760" w:hanging="360"/>
      </w:pPr>
    </w:lvl>
    <w:lvl w:ilvl="8" w:tplc="7A50C5EA">
      <w:start w:val="1"/>
      <w:numFmt w:val="lowerRoman"/>
      <w:lvlText w:val="%9."/>
      <w:lvlJc w:val="right"/>
      <w:pPr>
        <w:ind w:left="6480" w:hanging="180"/>
      </w:pPr>
    </w:lvl>
  </w:abstractNum>
  <w:num w:numId="1">
    <w:abstractNumId w:val="18"/>
  </w:num>
  <w:num w:numId="2">
    <w:abstractNumId w:val="14"/>
  </w:num>
  <w:num w:numId="3">
    <w:abstractNumId w:val="42"/>
  </w:num>
  <w:num w:numId="4">
    <w:abstractNumId w:val="32"/>
  </w:num>
  <w:num w:numId="5">
    <w:abstractNumId w:val="9"/>
  </w:num>
  <w:num w:numId="6">
    <w:abstractNumId w:val="4"/>
  </w:num>
  <w:num w:numId="7">
    <w:abstractNumId w:val="16"/>
  </w:num>
  <w:num w:numId="8">
    <w:abstractNumId w:val="31"/>
  </w:num>
  <w:num w:numId="9">
    <w:abstractNumId w:val="0"/>
  </w:num>
  <w:num w:numId="10">
    <w:abstractNumId w:val="40"/>
  </w:num>
  <w:num w:numId="11">
    <w:abstractNumId w:val="19"/>
  </w:num>
  <w:num w:numId="12">
    <w:abstractNumId w:val="29"/>
  </w:num>
  <w:num w:numId="13">
    <w:abstractNumId w:val="8"/>
  </w:num>
  <w:num w:numId="14">
    <w:abstractNumId w:val="21"/>
  </w:num>
  <w:num w:numId="15">
    <w:abstractNumId w:val="1"/>
  </w:num>
  <w:num w:numId="16">
    <w:abstractNumId w:val="39"/>
  </w:num>
  <w:num w:numId="17">
    <w:abstractNumId w:val="6"/>
  </w:num>
  <w:num w:numId="18">
    <w:abstractNumId w:val="2"/>
  </w:num>
  <w:num w:numId="19">
    <w:abstractNumId w:val="10"/>
  </w:num>
  <w:num w:numId="20">
    <w:abstractNumId w:val="3"/>
  </w:num>
  <w:num w:numId="21">
    <w:abstractNumId w:val="13"/>
  </w:num>
  <w:num w:numId="22">
    <w:abstractNumId w:val="22"/>
  </w:num>
  <w:num w:numId="23">
    <w:abstractNumId w:val="11"/>
  </w:num>
  <w:num w:numId="24">
    <w:abstractNumId w:val="20"/>
  </w:num>
  <w:num w:numId="25">
    <w:abstractNumId w:val="37"/>
  </w:num>
  <w:num w:numId="26">
    <w:abstractNumId w:val="12"/>
  </w:num>
  <w:num w:numId="27">
    <w:abstractNumId w:val="35"/>
  </w:num>
  <w:num w:numId="28">
    <w:abstractNumId w:val="26"/>
  </w:num>
  <w:num w:numId="29">
    <w:abstractNumId w:val="30"/>
  </w:num>
  <w:num w:numId="30">
    <w:abstractNumId w:val="23"/>
  </w:num>
  <w:num w:numId="31">
    <w:abstractNumId w:val="38"/>
  </w:num>
  <w:num w:numId="32">
    <w:abstractNumId w:val="24"/>
  </w:num>
  <w:num w:numId="33">
    <w:abstractNumId w:val="36"/>
  </w:num>
  <w:num w:numId="34">
    <w:abstractNumId w:val="34"/>
  </w:num>
  <w:num w:numId="35">
    <w:abstractNumId w:val="17"/>
  </w:num>
  <w:num w:numId="36">
    <w:abstractNumId w:val="27"/>
  </w:num>
  <w:num w:numId="37">
    <w:abstractNumId w:val="28"/>
  </w:num>
  <w:num w:numId="38">
    <w:abstractNumId w:val="15"/>
  </w:num>
  <w:num w:numId="39">
    <w:abstractNumId w:val="33"/>
  </w:num>
  <w:num w:numId="40">
    <w:abstractNumId w:val="7"/>
  </w:num>
  <w:num w:numId="41">
    <w:abstractNumId w:val="25"/>
  </w:num>
  <w:num w:numId="42">
    <w:abstractNumId w:val="41"/>
  </w:num>
  <w:num w:numId="43">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066"/>
    <w:rsid w:val="000001B5"/>
    <w:rsid w:val="000002A7"/>
    <w:rsid w:val="000002CE"/>
    <w:rsid w:val="000007F5"/>
    <w:rsid w:val="00000925"/>
    <w:rsid w:val="00000AF4"/>
    <w:rsid w:val="00000F02"/>
    <w:rsid w:val="00000FDF"/>
    <w:rsid w:val="000015D7"/>
    <w:rsid w:val="00001880"/>
    <w:rsid w:val="00001B46"/>
    <w:rsid w:val="00001D68"/>
    <w:rsid w:val="00001E0F"/>
    <w:rsid w:val="00001F43"/>
    <w:rsid w:val="000023B5"/>
    <w:rsid w:val="00002A76"/>
    <w:rsid w:val="00002ADE"/>
    <w:rsid w:val="000031EE"/>
    <w:rsid w:val="000035DE"/>
    <w:rsid w:val="0000364F"/>
    <w:rsid w:val="00003AE8"/>
    <w:rsid w:val="00003EED"/>
    <w:rsid w:val="0000516F"/>
    <w:rsid w:val="00005226"/>
    <w:rsid w:val="000053FA"/>
    <w:rsid w:val="00005421"/>
    <w:rsid w:val="0000557F"/>
    <w:rsid w:val="00005945"/>
    <w:rsid w:val="00005F19"/>
    <w:rsid w:val="00006043"/>
    <w:rsid w:val="00006767"/>
    <w:rsid w:val="00006964"/>
    <w:rsid w:val="00006B6F"/>
    <w:rsid w:val="000073EC"/>
    <w:rsid w:val="00007818"/>
    <w:rsid w:val="0000789D"/>
    <w:rsid w:val="00010084"/>
    <w:rsid w:val="0001067C"/>
    <w:rsid w:val="00010779"/>
    <w:rsid w:val="00010ECD"/>
    <w:rsid w:val="0001115B"/>
    <w:rsid w:val="000111B6"/>
    <w:rsid w:val="00011399"/>
    <w:rsid w:val="000114A8"/>
    <w:rsid w:val="000115ED"/>
    <w:rsid w:val="00012039"/>
    <w:rsid w:val="00012296"/>
    <w:rsid w:val="000124CF"/>
    <w:rsid w:val="00012B79"/>
    <w:rsid w:val="00012E91"/>
    <w:rsid w:val="00014493"/>
    <w:rsid w:val="000147B7"/>
    <w:rsid w:val="00014B54"/>
    <w:rsid w:val="00014C77"/>
    <w:rsid w:val="0001519C"/>
    <w:rsid w:val="00015479"/>
    <w:rsid w:val="0001582B"/>
    <w:rsid w:val="00015A86"/>
    <w:rsid w:val="00016E8F"/>
    <w:rsid w:val="00017A92"/>
    <w:rsid w:val="00017D52"/>
    <w:rsid w:val="00017E94"/>
    <w:rsid w:val="00017EBE"/>
    <w:rsid w:val="00017FFB"/>
    <w:rsid w:val="00020068"/>
    <w:rsid w:val="00020286"/>
    <w:rsid w:val="00020965"/>
    <w:rsid w:val="00020FD7"/>
    <w:rsid w:val="00021E93"/>
    <w:rsid w:val="0002218C"/>
    <w:rsid w:val="00022292"/>
    <w:rsid w:val="00022966"/>
    <w:rsid w:val="00022C7E"/>
    <w:rsid w:val="00023226"/>
    <w:rsid w:val="0002331E"/>
    <w:rsid w:val="000239AD"/>
    <w:rsid w:val="00023A81"/>
    <w:rsid w:val="00023B45"/>
    <w:rsid w:val="00023D70"/>
    <w:rsid w:val="00023E8F"/>
    <w:rsid w:val="000242E8"/>
    <w:rsid w:val="00024662"/>
    <w:rsid w:val="00025352"/>
    <w:rsid w:val="000255B2"/>
    <w:rsid w:val="00025C87"/>
    <w:rsid w:val="000262A9"/>
    <w:rsid w:val="0002723A"/>
    <w:rsid w:val="00027413"/>
    <w:rsid w:val="00027565"/>
    <w:rsid w:val="00027B44"/>
    <w:rsid w:val="00027BB8"/>
    <w:rsid w:val="00027C0E"/>
    <w:rsid w:val="00027DD7"/>
    <w:rsid w:val="00030A40"/>
    <w:rsid w:val="000319DE"/>
    <w:rsid w:val="00031A51"/>
    <w:rsid w:val="00031B05"/>
    <w:rsid w:val="00031DD4"/>
    <w:rsid w:val="0003203D"/>
    <w:rsid w:val="000323B4"/>
    <w:rsid w:val="0003253F"/>
    <w:rsid w:val="000325AF"/>
    <w:rsid w:val="0003285D"/>
    <w:rsid w:val="00032D91"/>
    <w:rsid w:val="00032F3A"/>
    <w:rsid w:val="000332B4"/>
    <w:rsid w:val="0003333E"/>
    <w:rsid w:val="000336D9"/>
    <w:rsid w:val="000338CF"/>
    <w:rsid w:val="00034075"/>
    <w:rsid w:val="00034426"/>
    <w:rsid w:val="0003475D"/>
    <w:rsid w:val="0003540A"/>
    <w:rsid w:val="00035726"/>
    <w:rsid w:val="00035806"/>
    <w:rsid w:val="00035882"/>
    <w:rsid w:val="000363DD"/>
    <w:rsid w:val="000365BB"/>
    <w:rsid w:val="00036CDF"/>
    <w:rsid w:val="00037248"/>
    <w:rsid w:val="000376DC"/>
    <w:rsid w:val="0003777C"/>
    <w:rsid w:val="0003779F"/>
    <w:rsid w:val="000378C9"/>
    <w:rsid w:val="000378CE"/>
    <w:rsid w:val="00037BF0"/>
    <w:rsid w:val="00040884"/>
    <w:rsid w:val="00040D37"/>
    <w:rsid w:val="000415F0"/>
    <w:rsid w:val="00041BFC"/>
    <w:rsid w:val="00041F4C"/>
    <w:rsid w:val="000422A3"/>
    <w:rsid w:val="000424D3"/>
    <w:rsid w:val="000427E0"/>
    <w:rsid w:val="00042B85"/>
    <w:rsid w:val="00042D93"/>
    <w:rsid w:val="0004323A"/>
    <w:rsid w:val="00043F4F"/>
    <w:rsid w:val="00046064"/>
    <w:rsid w:val="00046895"/>
    <w:rsid w:val="000468BC"/>
    <w:rsid w:val="00046DDF"/>
    <w:rsid w:val="000470DC"/>
    <w:rsid w:val="00047574"/>
    <w:rsid w:val="00047905"/>
    <w:rsid w:val="00047AFC"/>
    <w:rsid w:val="00047CBD"/>
    <w:rsid w:val="00050346"/>
    <w:rsid w:val="000503A8"/>
    <w:rsid w:val="0005042D"/>
    <w:rsid w:val="00050530"/>
    <w:rsid w:val="00050D37"/>
    <w:rsid w:val="00051634"/>
    <w:rsid w:val="000516AE"/>
    <w:rsid w:val="000518D9"/>
    <w:rsid w:val="00051CCE"/>
    <w:rsid w:val="00051DEE"/>
    <w:rsid w:val="00052086"/>
    <w:rsid w:val="00052215"/>
    <w:rsid w:val="00052B92"/>
    <w:rsid w:val="0005358D"/>
    <w:rsid w:val="00053849"/>
    <w:rsid w:val="0005431E"/>
    <w:rsid w:val="00054A7A"/>
    <w:rsid w:val="00054F01"/>
    <w:rsid w:val="00056445"/>
    <w:rsid w:val="000565B9"/>
    <w:rsid w:val="000565D5"/>
    <w:rsid w:val="00056DB0"/>
    <w:rsid w:val="00056E07"/>
    <w:rsid w:val="000572C6"/>
    <w:rsid w:val="00057B2F"/>
    <w:rsid w:val="00057EB5"/>
    <w:rsid w:val="000600AD"/>
    <w:rsid w:val="00060374"/>
    <w:rsid w:val="00060472"/>
    <w:rsid w:val="00060584"/>
    <w:rsid w:val="000607E5"/>
    <w:rsid w:val="00060D20"/>
    <w:rsid w:val="00060DCA"/>
    <w:rsid w:val="0006101D"/>
    <w:rsid w:val="0006171E"/>
    <w:rsid w:val="0006177D"/>
    <w:rsid w:val="000635A1"/>
    <w:rsid w:val="000638A8"/>
    <w:rsid w:val="00063ADA"/>
    <w:rsid w:val="00063F91"/>
    <w:rsid w:val="00063FB5"/>
    <w:rsid w:val="00064276"/>
    <w:rsid w:val="000646E0"/>
    <w:rsid w:val="00064AB0"/>
    <w:rsid w:val="00065360"/>
    <w:rsid w:val="00065871"/>
    <w:rsid w:val="00065A7C"/>
    <w:rsid w:val="00065CD6"/>
    <w:rsid w:val="00065E14"/>
    <w:rsid w:val="00065E87"/>
    <w:rsid w:val="000661C2"/>
    <w:rsid w:val="000665C3"/>
    <w:rsid w:val="00066603"/>
    <w:rsid w:val="0006662B"/>
    <w:rsid w:val="00066864"/>
    <w:rsid w:val="000672AF"/>
    <w:rsid w:val="00067A9B"/>
    <w:rsid w:val="00067B9B"/>
    <w:rsid w:val="00067D64"/>
    <w:rsid w:val="00067F0D"/>
    <w:rsid w:val="0007003D"/>
    <w:rsid w:val="00070074"/>
    <w:rsid w:val="00070711"/>
    <w:rsid w:val="00070785"/>
    <w:rsid w:val="00070D6C"/>
    <w:rsid w:val="0007184A"/>
    <w:rsid w:val="00071A16"/>
    <w:rsid w:val="0007293D"/>
    <w:rsid w:val="00072C75"/>
    <w:rsid w:val="00073735"/>
    <w:rsid w:val="00073D77"/>
    <w:rsid w:val="00074313"/>
    <w:rsid w:val="000744F1"/>
    <w:rsid w:val="00074526"/>
    <w:rsid w:val="00074538"/>
    <w:rsid w:val="00074600"/>
    <w:rsid w:val="000751CD"/>
    <w:rsid w:val="000752CD"/>
    <w:rsid w:val="0007553D"/>
    <w:rsid w:val="000759EA"/>
    <w:rsid w:val="00075AB0"/>
    <w:rsid w:val="00076654"/>
    <w:rsid w:val="0007689E"/>
    <w:rsid w:val="00076B1A"/>
    <w:rsid w:val="000776F9"/>
    <w:rsid w:val="00077700"/>
    <w:rsid w:val="0007780A"/>
    <w:rsid w:val="00077DB8"/>
    <w:rsid w:val="00080430"/>
    <w:rsid w:val="00080666"/>
    <w:rsid w:val="000808E0"/>
    <w:rsid w:val="00080BE8"/>
    <w:rsid w:val="000810E3"/>
    <w:rsid w:val="00082044"/>
    <w:rsid w:val="0008227E"/>
    <w:rsid w:val="00082400"/>
    <w:rsid w:val="00082461"/>
    <w:rsid w:val="00082892"/>
    <w:rsid w:val="0008305D"/>
    <w:rsid w:val="00083335"/>
    <w:rsid w:val="0008335F"/>
    <w:rsid w:val="0008356D"/>
    <w:rsid w:val="000839C1"/>
    <w:rsid w:val="00083FCD"/>
    <w:rsid w:val="000843CF"/>
    <w:rsid w:val="00084415"/>
    <w:rsid w:val="000844CD"/>
    <w:rsid w:val="00084668"/>
    <w:rsid w:val="0008479B"/>
    <w:rsid w:val="00084AE5"/>
    <w:rsid w:val="00085226"/>
    <w:rsid w:val="00085395"/>
    <w:rsid w:val="0008567E"/>
    <w:rsid w:val="0008574D"/>
    <w:rsid w:val="0008582A"/>
    <w:rsid w:val="00085D7B"/>
    <w:rsid w:val="000860DD"/>
    <w:rsid w:val="000862CA"/>
    <w:rsid w:val="00086BA5"/>
    <w:rsid w:val="00086D9D"/>
    <w:rsid w:val="00086EFA"/>
    <w:rsid w:val="0008716C"/>
    <w:rsid w:val="0008752D"/>
    <w:rsid w:val="00087634"/>
    <w:rsid w:val="0008768C"/>
    <w:rsid w:val="00087B5A"/>
    <w:rsid w:val="000905E0"/>
    <w:rsid w:val="00090688"/>
    <w:rsid w:val="00090989"/>
    <w:rsid w:val="00090E01"/>
    <w:rsid w:val="00090EE1"/>
    <w:rsid w:val="000911E7"/>
    <w:rsid w:val="000913AB"/>
    <w:rsid w:val="000923B5"/>
    <w:rsid w:val="00092A70"/>
    <w:rsid w:val="00092E92"/>
    <w:rsid w:val="0009304B"/>
    <w:rsid w:val="0009393B"/>
    <w:rsid w:val="000939BD"/>
    <w:rsid w:val="00093E2B"/>
    <w:rsid w:val="00093FC3"/>
    <w:rsid w:val="0009416E"/>
    <w:rsid w:val="000942E8"/>
    <w:rsid w:val="00094F5A"/>
    <w:rsid w:val="00095248"/>
    <w:rsid w:val="0009553E"/>
    <w:rsid w:val="000955A1"/>
    <w:rsid w:val="00095AFF"/>
    <w:rsid w:val="00095EEB"/>
    <w:rsid w:val="0009600B"/>
    <w:rsid w:val="0009626C"/>
    <w:rsid w:val="00096856"/>
    <w:rsid w:val="00096DBF"/>
    <w:rsid w:val="00096EC2"/>
    <w:rsid w:val="000971C8"/>
    <w:rsid w:val="00097838"/>
    <w:rsid w:val="00097C23"/>
    <w:rsid w:val="00097E6A"/>
    <w:rsid w:val="00097EAE"/>
    <w:rsid w:val="000A05FC"/>
    <w:rsid w:val="000A22A9"/>
    <w:rsid w:val="000A301C"/>
    <w:rsid w:val="000A3524"/>
    <w:rsid w:val="000A3A57"/>
    <w:rsid w:val="000A44B4"/>
    <w:rsid w:val="000A44CC"/>
    <w:rsid w:val="000A45A0"/>
    <w:rsid w:val="000A45D5"/>
    <w:rsid w:val="000A47FB"/>
    <w:rsid w:val="000A4809"/>
    <w:rsid w:val="000A4B0E"/>
    <w:rsid w:val="000A546C"/>
    <w:rsid w:val="000A549C"/>
    <w:rsid w:val="000A54F2"/>
    <w:rsid w:val="000A5C36"/>
    <w:rsid w:val="000A5D4A"/>
    <w:rsid w:val="000A6BFD"/>
    <w:rsid w:val="000A6CAB"/>
    <w:rsid w:val="000A70D9"/>
    <w:rsid w:val="000A72AA"/>
    <w:rsid w:val="000A7478"/>
    <w:rsid w:val="000A7983"/>
    <w:rsid w:val="000A7AC1"/>
    <w:rsid w:val="000A7B1A"/>
    <w:rsid w:val="000A7E9E"/>
    <w:rsid w:val="000A7FA5"/>
    <w:rsid w:val="000B0D2C"/>
    <w:rsid w:val="000B1838"/>
    <w:rsid w:val="000B1AE3"/>
    <w:rsid w:val="000B1B58"/>
    <w:rsid w:val="000B1CB9"/>
    <w:rsid w:val="000B20B5"/>
    <w:rsid w:val="000B222C"/>
    <w:rsid w:val="000B245D"/>
    <w:rsid w:val="000B25B3"/>
    <w:rsid w:val="000B2A05"/>
    <w:rsid w:val="000B30D5"/>
    <w:rsid w:val="000B35C0"/>
    <w:rsid w:val="000B371A"/>
    <w:rsid w:val="000B383F"/>
    <w:rsid w:val="000B3B38"/>
    <w:rsid w:val="000B410F"/>
    <w:rsid w:val="000B41F8"/>
    <w:rsid w:val="000B437C"/>
    <w:rsid w:val="000B44F9"/>
    <w:rsid w:val="000B4610"/>
    <w:rsid w:val="000B4783"/>
    <w:rsid w:val="000B51AD"/>
    <w:rsid w:val="000B5233"/>
    <w:rsid w:val="000B524F"/>
    <w:rsid w:val="000B5767"/>
    <w:rsid w:val="000B58B5"/>
    <w:rsid w:val="000B6199"/>
    <w:rsid w:val="000B661C"/>
    <w:rsid w:val="000B72C0"/>
    <w:rsid w:val="000B733C"/>
    <w:rsid w:val="000B741C"/>
    <w:rsid w:val="000B7B63"/>
    <w:rsid w:val="000C0407"/>
    <w:rsid w:val="000C0748"/>
    <w:rsid w:val="000C0753"/>
    <w:rsid w:val="000C0964"/>
    <w:rsid w:val="000C1123"/>
    <w:rsid w:val="000C1911"/>
    <w:rsid w:val="000C2263"/>
    <w:rsid w:val="000C299C"/>
    <w:rsid w:val="000C2E06"/>
    <w:rsid w:val="000C2E83"/>
    <w:rsid w:val="000C35A1"/>
    <w:rsid w:val="000C408D"/>
    <w:rsid w:val="000C4360"/>
    <w:rsid w:val="000C4797"/>
    <w:rsid w:val="000C4E99"/>
    <w:rsid w:val="000C5065"/>
    <w:rsid w:val="000C55F3"/>
    <w:rsid w:val="000C5873"/>
    <w:rsid w:val="000C58C2"/>
    <w:rsid w:val="000C593E"/>
    <w:rsid w:val="000C5E21"/>
    <w:rsid w:val="000C5F7B"/>
    <w:rsid w:val="000C6213"/>
    <w:rsid w:val="000C63A9"/>
    <w:rsid w:val="000C6565"/>
    <w:rsid w:val="000C67AA"/>
    <w:rsid w:val="000C698A"/>
    <w:rsid w:val="000C7226"/>
    <w:rsid w:val="000C748B"/>
    <w:rsid w:val="000C79C7"/>
    <w:rsid w:val="000C7B09"/>
    <w:rsid w:val="000D03A2"/>
    <w:rsid w:val="000D0ADC"/>
    <w:rsid w:val="000D0C8C"/>
    <w:rsid w:val="000D0DED"/>
    <w:rsid w:val="000D0E02"/>
    <w:rsid w:val="000D0ED8"/>
    <w:rsid w:val="000D1D38"/>
    <w:rsid w:val="000D2043"/>
    <w:rsid w:val="000D20F1"/>
    <w:rsid w:val="000D272A"/>
    <w:rsid w:val="000D2A7D"/>
    <w:rsid w:val="000D2CBA"/>
    <w:rsid w:val="000D2E2C"/>
    <w:rsid w:val="000D3A86"/>
    <w:rsid w:val="000D3CE5"/>
    <w:rsid w:val="000D40DF"/>
    <w:rsid w:val="000D458A"/>
    <w:rsid w:val="000D4C43"/>
    <w:rsid w:val="000D5247"/>
    <w:rsid w:val="000D54EF"/>
    <w:rsid w:val="000D565B"/>
    <w:rsid w:val="000D6622"/>
    <w:rsid w:val="000D6A68"/>
    <w:rsid w:val="000D6AF2"/>
    <w:rsid w:val="000D6E6E"/>
    <w:rsid w:val="000D6F8E"/>
    <w:rsid w:val="000D73A9"/>
    <w:rsid w:val="000D75CE"/>
    <w:rsid w:val="000D7BA6"/>
    <w:rsid w:val="000D7BFE"/>
    <w:rsid w:val="000D7E3B"/>
    <w:rsid w:val="000E091B"/>
    <w:rsid w:val="000E0C47"/>
    <w:rsid w:val="000E1041"/>
    <w:rsid w:val="000E1182"/>
    <w:rsid w:val="000E1446"/>
    <w:rsid w:val="000E1CBB"/>
    <w:rsid w:val="000E1F11"/>
    <w:rsid w:val="000E2FF9"/>
    <w:rsid w:val="000E3F36"/>
    <w:rsid w:val="000E441E"/>
    <w:rsid w:val="000E4791"/>
    <w:rsid w:val="000E4AFD"/>
    <w:rsid w:val="000E4B6A"/>
    <w:rsid w:val="000E4ED3"/>
    <w:rsid w:val="000E5195"/>
    <w:rsid w:val="000E5CD6"/>
    <w:rsid w:val="000E5F08"/>
    <w:rsid w:val="000E6158"/>
    <w:rsid w:val="000E6AC6"/>
    <w:rsid w:val="000E72BB"/>
    <w:rsid w:val="000F02D7"/>
    <w:rsid w:val="000F05D3"/>
    <w:rsid w:val="000F0950"/>
    <w:rsid w:val="000F0F2E"/>
    <w:rsid w:val="000F115E"/>
    <w:rsid w:val="000F12F9"/>
    <w:rsid w:val="000F1BB9"/>
    <w:rsid w:val="000F200E"/>
    <w:rsid w:val="000F2589"/>
    <w:rsid w:val="000F2E72"/>
    <w:rsid w:val="000F30D4"/>
    <w:rsid w:val="000F396F"/>
    <w:rsid w:val="000F3C99"/>
    <w:rsid w:val="000F3E5B"/>
    <w:rsid w:val="000F4347"/>
    <w:rsid w:val="000F4A8E"/>
    <w:rsid w:val="000F4C9D"/>
    <w:rsid w:val="000F5579"/>
    <w:rsid w:val="000F58A4"/>
    <w:rsid w:val="000F5CBC"/>
    <w:rsid w:val="000F5D39"/>
    <w:rsid w:val="000F5D9D"/>
    <w:rsid w:val="000F6105"/>
    <w:rsid w:val="000F6390"/>
    <w:rsid w:val="000F65A5"/>
    <w:rsid w:val="000F6CB4"/>
    <w:rsid w:val="000F6CEE"/>
    <w:rsid w:val="000F6D1C"/>
    <w:rsid w:val="000F73C6"/>
    <w:rsid w:val="000F7421"/>
    <w:rsid w:val="000F7808"/>
    <w:rsid w:val="000F789B"/>
    <w:rsid w:val="000F7BB9"/>
    <w:rsid w:val="000F7C26"/>
    <w:rsid w:val="000F7DFB"/>
    <w:rsid w:val="00100082"/>
    <w:rsid w:val="001004B8"/>
    <w:rsid w:val="001005C6"/>
    <w:rsid w:val="0010120C"/>
    <w:rsid w:val="00101837"/>
    <w:rsid w:val="00101943"/>
    <w:rsid w:val="001020EE"/>
    <w:rsid w:val="00102683"/>
    <w:rsid w:val="001026AB"/>
    <w:rsid w:val="00102D4C"/>
    <w:rsid w:val="00103383"/>
    <w:rsid w:val="001039A7"/>
    <w:rsid w:val="00103A1E"/>
    <w:rsid w:val="00103B28"/>
    <w:rsid w:val="001040A3"/>
    <w:rsid w:val="00104BB8"/>
    <w:rsid w:val="00104C61"/>
    <w:rsid w:val="00104CD5"/>
    <w:rsid w:val="00104E11"/>
    <w:rsid w:val="00104FED"/>
    <w:rsid w:val="00105784"/>
    <w:rsid w:val="00105A50"/>
    <w:rsid w:val="00105B76"/>
    <w:rsid w:val="00106577"/>
    <w:rsid w:val="00106691"/>
    <w:rsid w:val="001068A0"/>
    <w:rsid w:val="00106C03"/>
    <w:rsid w:val="00106CA8"/>
    <w:rsid w:val="00106F7D"/>
    <w:rsid w:val="00107800"/>
    <w:rsid w:val="00107893"/>
    <w:rsid w:val="001078A5"/>
    <w:rsid w:val="001100CE"/>
    <w:rsid w:val="00110CCC"/>
    <w:rsid w:val="00110D94"/>
    <w:rsid w:val="001114BC"/>
    <w:rsid w:val="001114BF"/>
    <w:rsid w:val="0011211C"/>
    <w:rsid w:val="00112E30"/>
    <w:rsid w:val="0011318D"/>
    <w:rsid w:val="0011336D"/>
    <w:rsid w:val="00113894"/>
    <w:rsid w:val="001139EF"/>
    <w:rsid w:val="001140E5"/>
    <w:rsid w:val="0011440B"/>
    <w:rsid w:val="00114471"/>
    <w:rsid w:val="001146FF"/>
    <w:rsid w:val="00114B38"/>
    <w:rsid w:val="00114DF7"/>
    <w:rsid w:val="00114F4A"/>
    <w:rsid w:val="001152C7"/>
    <w:rsid w:val="0011583A"/>
    <w:rsid w:val="00115F6B"/>
    <w:rsid w:val="0011621B"/>
    <w:rsid w:val="001166DA"/>
    <w:rsid w:val="001173E5"/>
    <w:rsid w:val="00117721"/>
    <w:rsid w:val="0012039D"/>
    <w:rsid w:val="001203DA"/>
    <w:rsid w:val="00120701"/>
    <w:rsid w:val="001207E1"/>
    <w:rsid w:val="001208D8"/>
    <w:rsid w:val="00120B32"/>
    <w:rsid w:val="00120D62"/>
    <w:rsid w:val="00120DBE"/>
    <w:rsid w:val="0012122D"/>
    <w:rsid w:val="00121240"/>
    <w:rsid w:val="00121453"/>
    <w:rsid w:val="001215C9"/>
    <w:rsid w:val="00122462"/>
    <w:rsid w:val="00122561"/>
    <w:rsid w:val="00122642"/>
    <w:rsid w:val="0012336A"/>
    <w:rsid w:val="0012367E"/>
    <w:rsid w:val="0012392C"/>
    <w:rsid w:val="00124050"/>
    <w:rsid w:val="00124894"/>
    <w:rsid w:val="001248E6"/>
    <w:rsid w:val="00124E50"/>
    <w:rsid w:val="0012521D"/>
    <w:rsid w:val="001259C3"/>
    <w:rsid w:val="001265B4"/>
    <w:rsid w:val="00126E8A"/>
    <w:rsid w:val="001270A1"/>
    <w:rsid w:val="00127222"/>
    <w:rsid w:val="00127DBA"/>
    <w:rsid w:val="001300AE"/>
    <w:rsid w:val="001301CB"/>
    <w:rsid w:val="00130275"/>
    <w:rsid w:val="00130BE3"/>
    <w:rsid w:val="00130EB0"/>
    <w:rsid w:val="0013103B"/>
    <w:rsid w:val="001310BB"/>
    <w:rsid w:val="00131455"/>
    <w:rsid w:val="001314DD"/>
    <w:rsid w:val="0013187E"/>
    <w:rsid w:val="001319F2"/>
    <w:rsid w:val="00131FF5"/>
    <w:rsid w:val="001321C4"/>
    <w:rsid w:val="00132344"/>
    <w:rsid w:val="0013238C"/>
    <w:rsid w:val="00132A79"/>
    <w:rsid w:val="00132B54"/>
    <w:rsid w:val="00132EB1"/>
    <w:rsid w:val="0013312B"/>
    <w:rsid w:val="00133363"/>
    <w:rsid w:val="00133883"/>
    <w:rsid w:val="0013398A"/>
    <w:rsid w:val="001339F6"/>
    <w:rsid w:val="0013418D"/>
    <w:rsid w:val="0013437E"/>
    <w:rsid w:val="0013453E"/>
    <w:rsid w:val="00134568"/>
    <w:rsid w:val="00134697"/>
    <w:rsid w:val="00135286"/>
    <w:rsid w:val="001355CB"/>
    <w:rsid w:val="0013591D"/>
    <w:rsid w:val="001359C8"/>
    <w:rsid w:val="00135B96"/>
    <w:rsid w:val="00135D92"/>
    <w:rsid w:val="00135E14"/>
    <w:rsid w:val="00136655"/>
    <w:rsid w:val="0013679C"/>
    <w:rsid w:val="00136B09"/>
    <w:rsid w:val="00137011"/>
    <w:rsid w:val="0013724C"/>
    <w:rsid w:val="001373D9"/>
    <w:rsid w:val="00137C5B"/>
    <w:rsid w:val="001401F2"/>
    <w:rsid w:val="00140435"/>
    <w:rsid w:val="00140897"/>
    <w:rsid w:val="00140989"/>
    <w:rsid w:val="00141004"/>
    <w:rsid w:val="00141279"/>
    <w:rsid w:val="001412F5"/>
    <w:rsid w:val="0014159A"/>
    <w:rsid w:val="001418D7"/>
    <w:rsid w:val="0014242D"/>
    <w:rsid w:val="001426E6"/>
    <w:rsid w:val="00142BE7"/>
    <w:rsid w:val="00142FC9"/>
    <w:rsid w:val="00143664"/>
    <w:rsid w:val="001438F2"/>
    <w:rsid w:val="00143A5F"/>
    <w:rsid w:val="00143C83"/>
    <w:rsid w:val="00143D18"/>
    <w:rsid w:val="00143F1D"/>
    <w:rsid w:val="00144119"/>
    <w:rsid w:val="00144153"/>
    <w:rsid w:val="00144918"/>
    <w:rsid w:val="00144A1A"/>
    <w:rsid w:val="00144A64"/>
    <w:rsid w:val="00144F2E"/>
    <w:rsid w:val="001458A7"/>
    <w:rsid w:val="001461AB"/>
    <w:rsid w:val="0014702B"/>
    <w:rsid w:val="00147B20"/>
    <w:rsid w:val="00147C38"/>
    <w:rsid w:val="00150D2E"/>
    <w:rsid w:val="001512D3"/>
    <w:rsid w:val="001522A9"/>
    <w:rsid w:val="0015248F"/>
    <w:rsid w:val="00152910"/>
    <w:rsid w:val="001539CB"/>
    <w:rsid w:val="00153CB3"/>
    <w:rsid w:val="00154692"/>
    <w:rsid w:val="00154CF4"/>
    <w:rsid w:val="00155040"/>
    <w:rsid w:val="001550CE"/>
    <w:rsid w:val="00155601"/>
    <w:rsid w:val="001559FA"/>
    <w:rsid w:val="00155FFE"/>
    <w:rsid w:val="00156B89"/>
    <w:rsid w:val="001571E0"/>
    <w:rsid w:val="0016022B"/>
    <w:rsid w:val="0016038D"/>
    <w:rsid w:val="00160781"/>
    <w:rsid w:val="00160C58"/>
    <w:rsid w:val="00161097"/>
    <w:rsid w:val="001611A7"/>
    <w:rsid w:val="00162356"/>
    <w:rsid w:val="0016297E"/>
    <w:rsid w:val="00162F38"/>
    <w:rsid w:val="0016309B"/>
    <w:rsid w:val="00163223"/>
    <w:rsid w:val="0016369C"/>
    <w:rsid w:val="001636B5"/>
    <w:rsid w:val="001636D9"/>
    <w:rsid w:val="00163EF3"/>
    <w:rsid w:val="00163EFA"/>
    <w:rsid w:val="00164176"/>
    <w:rsid w:val="00164200"/>
    <w:rsid w:val="001646ED"/>
    <w:rsid w:val="001650C8"/>
    <w:rsid w:val="001657DB"/>
    <w:rsid w:val="00166275"/>
    <w:rsid w:val="001664D3"/>
    <w:rsid w:val="00166AFB"/>
    <w:rsid w:val="001672E6"/>
    <w:rsid w:val="00167738"/>
    <w:rsid w:val="00170241"/>
    <w:rsid w:val="001703ED"/>
    <w:rsid w:val="001704FE"/>
    <w:rsid w:val="00170694"/>
    <w:rsid w:val="00171342"/>
    <w:rsid w:val="001714B2"/>
    <w:rsid w:val="00171823"/>
    <w:rsid w:val="00171FF0"/>
    <w:rsid w:val="00172262"/>
    <w:rsid w:val="001727FD"/>
    <w:rsid w:val="00172EDB"/>
    <w:rsid w:val="0017310C"/>
    <w:rsid w:val="00173CC9"/>
    <w:rsid w:val="00174C7E"/>
    <w:rsid w:val="001752FB"/>
    <w:rsid w:val="00175766"/>
    <w:rsid w:val="0017586D"/>
    <w:rsid w:val="00175AF1"/>
    <w:rsid w:val="00176749"/>
    <w:rsid w:val="001767B0"/>
    <w:rsid w:val="0017680F"/>
    <w:rsid w:val="0017737E"/>
    <w:rsid w:val="001773CB"/>
    <w:rsid w:val="00177898"/>
    <w:rsid w:val="00180307"/>
    <w:rsid w:val="00180C5A"/>
    <w:rsid w:val="00181B5A"/>
    <w:rsid w:val="00181FCF"/>
    <w:rsid w:val="00182FCF"/>
    <w:rsid w:val="00183835"/>
    <w:rsid w:val="00183967"/>
    <w:rsid w:val="00183E43"/>
    <w:rsid w:val="001843D1"/>
    <w:rsid w:val="0018463C"/>
    <w:rsid w:val="00185387"/>
    <w:rsid w:val="00185D44"/>
    <w:rsid w:val="00185E34"/>
    <w:rsid w:val="00186706"/>
    <w:rsid w:val="00186B1D"/>
    <w:rsid w:val="00186DEE"/>
    <w:rsid w:val="0018734C"/>
    <w:rsid w:val="0019142C"/>
    <w:rsid w:val="00191A1D"/>
    <w:rsid w:val="00191B8C"/>
    <w:rsid w:val="00191DB0"/>
    <w:rsid w:val="00191FB6"/>
    <w:rsid w:val="00192058"/>
    <w:rsid w:val="001921C9"/>
    <w:rsid w:val="001921FD"/>
    <w:rsid w:val="00192813"/>
    <w:rsid w:val="00193095"/>
    <w:rsid w:val="0019376A"/>
    <w:rsid w:val="00193AE7"/>
    <w:rsid w:val="00193F34"/>
    <w:rsid w:val="0019415A"/>
    <w:rsid w:val="00194175"/>
    <w:rsid w:val="0019497C"/>
    <w:rsid w:val="00195968"/>
    <w:rsid w:val="00195E58"/>
    <w:rsid w:val="00195EFB"/>
    <w:rsid w:val="00196087"/>
    <w:rsid w:val="00196BFC"/>
    <w:rsid w:val="00196F36"/>
    <w:rsid w:val="00196FCD"/>
    <w:rsid w:val="001971E3"/>
    <w:rsid w:val="001973F9"/>
    <w:rsid w:val="001975D0"/>
    <w:rsid w:val="001978E9"/>
    <w:rsid w:val="0019796B"/>
    <w:rsid w:val="00197BBF"/>
    <w:rsid w:val="001A0002"/>
    <w:rsid w:val="001A00BD"/>
    <w:rsid w:val="001A05BE"/>
    <w:rsid w:val="001A07C8"/>
    <w:rsid w:val="001A09D1"/>
    <w:rsid w:val="001A0F44"/>
    <w:rsid w:val="001A110F"/>
    <w:rsid w:val="001A1B0A"/>
    <w:rsid w:val="001A1B1D"/>
    <w:rsid w:val="001A1BB7"/>
    <w:rsid w:val="001A1CEE"/>
    <w:rsid w:val="001A21B5"/>
    <w:rsid w:val="001A281F"/>
    <w:rsid w:val="001A2BC4"/>
    <w:rsid w:val="001A3244"/>
    <w:rsid w:val="001A3354"/>
    <w:rsid w:val="001A3A08"/>
    <w:rsid w:val="001A3C05"/>
    <w:rsid w:val="001A3D30"/>
    <w:rsid w:val="001A4E7D"/>
    <w:rsid w:val="001A55BE"/>
    <w:rsid w:val="001A59BC"/>
    <w:rsid w:val="001A5C40"/>
    <w:rsid w:val="001A668A"/>
    <w:rsid w:val="001A6912"/>
    <w:rsid w:val="001A6ADC"/>
    <w:rsid w:val="001A6E4E"/>
    <w:rsid w:val="001A6E8C"/>
    <w:rsid w:val="001A6EFE"/>
    <w:rsid w:val="001A6F6E"/>
    <w:rsid w:val="001A71FB"/>
    <w:rsid w:val="001A72A6"/>
    <w:rsid w:val="001A7B48"/>
    <w:rsid w:val="001B0631"/>
    <w:rsid w:val="001B0DF8"/>
    <w:rsid w:val="001B1348"/>
    <w:rsid w:val="001B1550"/>
    <w:rsid w:val="001B15A5"/>
    <w:rsid w:val="001B163C"/>
    <w:rsid w:val="001B1667"/>
    <w:rsid w:val="001B2522"/>
    <w:rsid w:val="001B2928"/>
    <w:rsid w:val="001B2AAD"/>
    <w:rsid w:val="001B2B2D"/>
    <w:rsid w:val="001B2C1D"/>
    <w:rsid w:val="001B3A66"/>
    <w:rsid w:val="001B3B64"/>
    <w:rsid w:val="001B4934"/>
    <w:rsid w:val="001B4AD3"/>
    <w:rsid w:val="001B4E3A"/>
    <w:rsid w:val="001B55F0"/>
    <w:rsid w:val="001B5782"/>
    <w:rsid w:val="001B5884"/>
    <w:rsid w:val="001B5EA1"/>
    <w:rsid w:val="001B5FD7"/>
    <w:rsid w:val="001B6D5E"/>
    <w:rsid w:val="001B6F42"/>
    <w:rsid w:val="001B7288"/>
    <w:rsid w:val="001B7902"/>
    <w:rsid w:val="001B79BC"/>
    <w:rsid w:val="001B7B43"/>
    <w:rsid w:val="001C0FA7"/>
    <w:rsid w:val="001C120C"/>
    <w:rsid w:val="001C1B5E"/>
    <w:rsid w:val="001C1E4A"/>
    <w:rsid w:val="001C21EF"/>
    <w:rsid w:val="001C233A"/>
    <w:rsid w:val="001C263E"/>
    <w:rsid w:val="001C27AA"/>
    <w:rsid w:val="001C27E6"/>
    <w:rsid w:val="001C281E"/>
    <w:rsid w:val="001C2BC9"/>
    <w:rsid w:val="001C348D"/>
    <w:rsid w:val="001C3554"/>
    <w:rsid w:val="001C3768"/>
    <w:rsid w:val="001C3E16"/>
    <w:rsid w:val="001C3E2E"/>
    <w:rsid w:val="001C3FAF"/>
    <w:rsid w:val="001C409F"/>
    <w:rsid w:val="001C4161"/>
    <w:rsid w:val="001C42AB"/>
    <w:rsid w:val="001C42C9"/>
    <w:rsid w:val="001C42DD"/>
    <w:rsid w:val="001C4FE6"/>
    <w:rsid w:val="001C5983"/>
    <w:rsid w:val="001C63B4"/>
    <w:rsid w:val="001C68C8"/>
    <w:rsid w:val="001C69E6"/>
    <w:rsid w:val="001C6CA3"/>
    <w:rsid w:val="001C773B"/>
    <w:rsid w:val="001C7752"/>
    <w:rsid w:val="001C7980"/>
    <w:rsid w:val="001C7A7D"/>
    <w:rsid w:val="001D0000"/>
    <w:rsid w:val="001D09EF"/>
    <w:rsid w:val="001D0BB1"/>
    <w:rsid w:val="001D0F36"/>
    <w:rsid w:val="001D147E"/>
    <w:rsid w:val="001D1945"/>
    <w:rsid w:val="001D26E7"/>
    <w:rsid w:val="001D27EC"/>
    <w:rsid w:val="001D297B"/>
    <w:rsid w:val="001D2D98"/>
    <w:rsid w:val="001D337B"/>
    <w:rsid w:val="001D34D1"/>
    <w:rsid w:val="001D34FF"/>
    <w:rsid w:val="001D3631"/>
    <w:rsid w:val="001D363E"/>
    <w:rsid w:val="001D3959"/>
    <w:rsid w:val="001D3E95"/>
    <w:rsid w:val="001D4443"/>
    <w:rsid w:val="001D48FC"/>
    <w:rsid w:val="001D4A01"/>
    <w:rsid w:val="001D4A57"/>
    <w:rsid w:val="001D4B36"/>
    <w:rsid w:val="001D4D2D"/>
    <w:rsid w:val="001D4D86"/>
    <w:rsid w:val="001D5A4B"/>
    <w:rsid w:val="001D5D52"/>
    <w:rsid w:val="001D61B8"/>
    <w:rsid w:val="001D7C41"/>
    <w:rsid w:val="001D7F16"/>
    <w:rsid w:val="001D7FD7"/>
    <w:rsid w:val="001E03C5"/>
    <w:rsid w:val="001E06CF"/>
    <w:rsid w:val="001E0B84"/>
    <w:rsid w:val="001E0E87"/>
    <w:rsid w:val="001E0F3B"/>
    <w:rsid w:val="001E481E"/>
    <w:rsid w:val="001E4939"/>
    <w:rsid w:val="001E4F1C"/>
    <w:rsid w:val="001E5266"/>
    <w:rsid w:val="001E59F7"/>
    <w:rsid w:val="001E5B7D"/>
    <w:rsid w:val="001E6BBF"/>
    <w:rsid w:val="001E6E05"/>
    <w:rsid w:val="001E711E"/>
    <w:rsid w:val="001E75F1"/>
    <w:rsid w:val="001E7832"/>
    <w:rsid w:val="001E7C3B"/>
    <w:rsid w:val="001E7E0F"/>
    <w:rsid w:val="001E7E17"/>
    <w:rsid w:val="001F0933"/>
    <w:rsid w:val="001F1642"/>
    <w:rsid w:val="001F1873"/>
    <w:rsid w:val="001F18EC"/>
    <w:rsid w:val="001F2180"/>
    <w:rsid w:val="001F3723"/>
    <w:rsid w:val="001F37CE"/>
    <w:rsid w:val="001F4829"/>
    <w:rsid w:val="001F4DDB"/>
    <w:rsid w:val="001F51C3"/>
    <w:rsid w:val="001F5310"/>
    <w:rsid w:val="001F548F"/>
    <w:rsid w:val="001F5A13"/>
    <w:rsid w:val="001F6405"/>
    <w:rsid w:val="001F6848"/>
    <w:rsid w:val="001F6C2D"/>
    <w:rsid w:val="001F6CB3"/>
    <w:rsid w:val="001F7027"/>
    <w:rsid w:val="001F7225"/>
    <w:rsid w:val="001F7272"/>
    <w:rsid w:val="001F747C"/>
    <w:rsid w:val="001F7F2A"/>
    <w:rsid w:val="00200289"/>
    <w:rsid w:val="00200807"/>
    <w:rsid w:val="00201172"/>
    <w:rsid w:val="002016A8"/>
    <w:rsid w:val="002019A7"/>
    <w:rsid w:val="002019F5"/>
    <w:rsid w:val="00201BD5"/>
    <w:rsid w:val="00202311"/>
    <w:rsid w:val="0020236F"/>
    <w:rsid w:val="002028D8"/>
    <w:rsid w:val="002029AA"/>
    <w:rsid w:val="00203BBE"/>
    <w:rsid w:val="00203C32"/>
    <w:rsid w:val="00203E24"/>
    <w:rsid w:val="0020409C"/>
    <w:rsid w:val="0020429B"/>
    <w:rsid w:val="002042F6"/>
    <w:rsid w:val="0020445E"/>
    <w:rsid w:val="002044F9"/>
    <w:rsid w:val="00204531"/>
    <w:rsid w:val="002048F3"/>
    <w:rsid w:val="00204975"/>
    <w:rsid w:val="0020499A"/>
    <w:rsid w:val="0020515B"/>
    <w:rsid w:val="002052D9"/>
    <w:rsid w:val="00205875"/>
    <w:rsid w:val="00205BC0"/>
    <w:rsid w:val="00206428"/>
    <w:rsid w:val="0020678A"/>
    <w:rsid w:val="0020757B"/>
    <w:rsid w:val="00207FDE"/>
    <w:rsid w:val="0021008C"/>
    <w:rsid w:val="002103AA"/>
    <w:rsid w:val="00210BE8"/>
    <w:rsid w:val="00210EF8"/>
    <w:rsid w:val="002116A6"/>
    <w:rsid w:val="00211915"/>
    <w:rsid w:val="00211A5C"/>
    <w:rsid w:val="00211E9C"/>
    <w:rsid w:val="002124EE"/>
    <w:rsid w:val="00212832"/>
    <w:rsid w:val="002141D4"/>
    <w:rsid w:val="002142B6"/>
    <w:rsid w:val="0021453E"/>
    <w:rsid w:val="00214650"/>
    <w:rsid w:val="00214913"/>
    <w:rsid w:val="00214EA6"/>
    <w:rsid w:val="00214F37"/>
    <w:rsid w:val="002152B7"/>
    <w:rsid w:val="002155BC"/>
    <w:rsid w:val="0021582E"/>
    <w:rsid w:val="00216C90"/>
    <w:rsid w:val="00216D29"/>
    <w:rsid w:val="0021713E"/>
    <w:rsid w:val="002177C1"/>
    <w:rsid w:val="00217AC8"/>
    <w:rsid w:val="00217E2E"/>
    <w:rsid w:val="00217F91"/>
    <w:rsid w:val="002200C6"/>
    <w:rsid w:val="00220809"/>
    <w:rsid w:val="00220DE3"/>
    <w:rsid w:val="002212CB"/>
    <w:rsid w:val="00221472"/>
    <w:rsid w:val="00221C91"/>
    <w:rsid w:val="002225E6"/>
    <w:rsid w:val="00222A53"/>
    <w:rsid w:val="00222B74"/>
    <w:rsid w:val="00223A7B"/>
    <w:rsid w:val="00223CD3"/>
    <w:rsid w:val="00224058"/>
    <w:rsid w:val="00224078"/>
    <w:rsid w:val="002242AC"/>
    <w:rsid w:val="002243FA"/>
    <w:rsid w:val="00224731"/>
    <w:rsid w:val="0022497C"/>
    <w:rsid w:val="00225028"/>
    <w:rsid w:val="002252A2"/>
    <w:rsid w:val="0022549A"/>
    <w:rsid w:val="002255B2"/>
    <w:rsid w:val="00225626"/>
    <w:rsid w:val="00225D76"/>
    <w:rsid w:val="002265AD"/>
    <w:rsid w:val="002270FB"/>
    <w:rsid w:val="002271A9"/>
    <w:rsid w:val="0022769C"/>
    <w:rsid w:val="002300A0"/>
    <w:rsid w:val="0023025C"/>
    <w:rsid w:val="00231124"/>
    <w:rsid w:val="00231128"/>
    <w:rsid w:val="002316D5"/>
    <w:rsid w:val="00231792"/>
    <w:rsid w:val="00231AB4"/>
    <w:rsid w:val="00231F43"/>
    <w:rsid w:val="0023224D"/>
    <w:rsid w:val="00232772"/>
    <w:rsid w:val="002328B1"/>
    <w:rsid w:val="00232C32"/>
    <w:rsid w:val="00232C79"/>
    <w:rsid w:val="00232FD5"/>
    <w:rsid w:val="00233314"/>
    <w:rsid w:val="002333D0"/>
    <w:rsid w:val="0023342D"/>
    <w:rsid w:val="0023346F"/>
    <w:rsid w:val="00233478"/>
    <w:rsid w:val="0023374F"/>
    <w:rsid w:val="002338FD"/>
    <w:rsid w:val="00233ED6"/>
    <w:rsid w:val="00234300"/>
    <w:rsid w:val="002347EF"/>
    <w:rsid w:val="00234964"/>
    <w:rsid w:val="002349CC"/>
    <w:rsid w:val="00234DE2"/>
    <w:rsid w:val="00235229"/>
    <w:rsid w:val="002355A2"/>
    <w:rsid w:val="00236222"/>
    <w:rsid w:val="00236373"/>
    <w:rsid w:val="00237553"/>
    <w:rsid w:val="00237618"/>
    <w:rsid w:val="00237772"/>
    <w:rsid w:val="00237DDB"/>
    <w:rsid w:val="00237F51"/>
    <w:rsid w:val="00237F66"/>
    <w:rsid w:val="0024007C"/>
    <w:rsid w:val="00240856"/>
    <w:rsid w:val="00240DA8"/>
    <w:rsid w:val="00240E70"/>
    <w:rsid w:val="00240F43"/>
    <w:rsid w:val="00241EEE"/>
    <w:rsid w:val="00241FD7"/>
    <w:rsid w:val="00242417"/>
    <w:rsid w:val="00242A5F"/>
    <w:rsid w:val="00242B88"/>
    <w:rsid w:val="00242E67"/>
    <w:rsid w:val="00242E76"/>
    <w:rsid w:val="00242EB7"/>
    <w:rsid w:val="002435DA"/>
    <w:rsid w:val="00243663"/>
    <w:rsid w:val="00244134"/>
    <w:rsid w:val="00244505"/>
    <w:rsid w:val="00244C8D"/>
    <w:rsid w:val="00245328"/>
    <w:rsid w:val="00245EEE"/>
    <w:rsid w:val="00246810"/>
    <w:rsid w:val="0024709B"/>
    <w:rsid w:val="00247190"/>
    <w:rsid w:val="002473C0"/>
    <w:rsid w:val="0024765B"/>
    <w:rsid w:val="0024787A"/>
    <w:rsid w:val="002479FB"/>
    <w:rsid w:val="002501D6"/>
    <w:rsid w:val="002505DD"/>
    <w:rsid w:val="00250EBB"/>
    <w:rsid w:val="00251229"/>
    <w:rsid w:val="00251254"/>
    <w:rsid w:val="0025126D"/>
    <w:rsid w:val="00251626"/>
    <w:rsid w:val="00251F4D"/>
    <w:rsid w:val="00252031"/>
    <w:rsid w:val="00252431"/>
    <w:rsid w:val="00252586"/>
    <w:rsid w:val="00252AB6"/>
    <w:rsid w:val="002532A3"/>
    <w:rsid w:val="002532A4"/>
    <w:rsid w:val="00253348"/>
    <w:rsid w:val="00253599"/>
    <w:rsid w:val="00253B94"/>
    <w:rsid w:val="00253DE8"/>
    <w:rsid w:val="0025455E"/>
    <w:rsid w:val="00254719"/>
    <w:rsid w:val="002554CB"/>
    <w:rsid w:val="00255985"/>
    <w:rsid w:val="00255C56"/>
    <w:rsid w:val="00256D96"/>
    <w:rsid w:val="002574A3"/>
    <w:rsid w:val="002578D9"/>
    <w:rsid w:val="00257D54"/>
    <w:rsid w:val="00260429"/>
    <w:rsid w:val="002606E9"/>
    <w:rsid w:val="0026071B"/>
    <w:rsid w:val="00260930"/>
    <w:rsid w:val="00260D4E"/>
    <w:rsid w:val="00260D6F"/>
    <w:rsid w:val="00260F6E"/>
    <w:rsid w:val="00261362"/>
    <w:rsid w:val="00261528"/>
    <w:rsid w:val="00261A68"/>
    <w:rsid w:val="00261B67"/>
    <w:rsid w:val="002620F3"/>
    <w:rsid w:val="002623BC"/>
    <w:rsid w:val="0026293E"/>
    <w:rsid w:val="00262DFA"/>
    <w:rsid w:val="00263256"/>
    <w:rsid w:val="00263332"/>
    <w:rsid w:val="002634F5"/>
    <w:rsid w:val="00263513"/>
    <w:rsid w:val="0026387E"/>
    <w:rsid w:val="00263D57"/>
    <w:rsid w:val="00263D59"/>
    <w:rsid w:val="002644B6"/>
    <w:rsid w:val="00264704"/>
    <w:rsid w:val="002652BE"/>
    <w:rsid w:val="00265759"/>
    <w:rsid w:val="00265864"/>
    <w:rsid w:val="002658A9"/>
    <w:rsid w:val="00265C05"/>
    <w:rsid w:val="00265D78"/>
    <w:rsid w:val="00266706"/>
    <w:rsid w:val="00267548"/>
    <w:rsid w:val="00267B78"/>
    <w:rsid w:val="00267CB8"/>
    <w:rsid w:val="00267D85"/>
    <w:rsid w:val="00270832"/>
    <w:rsid w:val="002716CA"/>
    <w:rsid w:val="002716F0"/>
    <w:rsid w:val="00271A00"/>
    <w:rsid w:val="00272683"/>
    <w:rsid w:val="00272AF5"/>
    <w:rsid w:val="00274B67"/>
    <w:rsid w:val="00274D85"/>
    <w:rsid w:val="00275324"/>
    <w:rsid w:val="0027537F"/>
    <w:rsid w:val="002758F5"/>
    <w:rsid w:val="002759C7"/>
    <w:rsid w:val="00275F25"/>
    <w:rsid w:val="0027620E"/>
    <w:rsid w:val="002768D8"/>
    <w:rsid w:val="00276E8E"/>
    <w:rsid w:val="002800EF"/>
    <w:rsid w:val="002808D9"/>
    <w:rsid w:val="0028219A"/>
    <w:rsid w:val="00282613"/>
    <w:rsid w:val="00283023"/>
    <w:rsid w:val="00283233"/>
    <w:rsid w:val="002833C5"/>
    <w:rsid w:val="0028347D"/>
    <w:rsid w:val="00283918"/>
    <w:rsid w:val="00283C63"/>
    <w:rsid w:val="00283D23"/>
    <w:rsid w:val="00283E62"/>
    <w:rsid w:val="00283F23"/>
    <w:rsid w:val="0028488A"/>
    <w:rsid w:val="002852EB"/>
    <w:rsid w:val="00285428"/>
    <w:rsid w:val="002855D6"/>
    <w:rsid w:val="00285851"/>
    <w:rsid w:val="00285FBC"/>
    <w:rsid w:val="00286002"/>
    <w:rsid w:val="002866B9"/>
    <w:rsid w:val="002866BB"/>
    <w:rsid w:val="00286ED6"/>
    <w:rsid w:val="00286F59"/>
    <w:rsid w:val="00287204"/>
    <w:rsid w:val="00287B7B"/>
    <w:rsid w:val="00287B7F"/>
    <w:rsid w:val="00287D17"/>
    <w:rsid w:val="00290058"/>
    <w:rsid w:val="002904FA"/>
    <w:rsid w:val="0029103F"/>
    <w:rsid w:val="00291162"/>
    <w:rsid w:val="0029122A"/>
    <w:rsid w:val="0029190A"/>
    <w:rsid w:val="00293B0F"/>
    <w:rsid w:val="00293CC9"/>
    <w:rsid w:val="00293E43"/>
    <w:rsid w:val="0029426E"/>
    <w:rsid w:val="00294487"/>
    <w:rsid w:val="00294671"/>
    <w:rsid w:val="0029476B"/>
    <w:rsid w:val="00294B17"/>
    <w:rsid w:val="00294CB7"/>
    <w:rsid w:val="002952BD"/>
    <w:rsid w:val="00295393"/>
    <w:rsid w:val="00295781"/>
    <w:rsid w:val="002958C9"/>
    <w:rsid w:val="0029625E"/>
    <w:rsid w:val="002963A2"/>
    <w:rsid w:val="00296539"/>
    <w:rsid w:val="00296B8C"/>
    <w:rsid w:val="0029749D"/>
    <w:rsid w:val="0029752F"/>
    <w:rsid w:val="00297AEF"/>
    <w:rsid w:val="00297F3C"/>
    <w:rsid w:val="002A0250"/>
    <w:rsid w:val="002A02C6"/>
    <w:rsid w:val="002A05F9"/>
    <w:rsid w:val="002A067D"/>
    <w:rsid w:val="002A08DB"/>
    <w:rsid w:val="002A0986"/>
    <w:rsid w:val="002A18BE"/>
    <w:rsid w:val="002A1A23"/>
    <w:rsid w:val="002A1C2F"/>
    <w:rsid w:val="002A22A5"/>
    <w:rsid w:val="002A305B"/>
    <w:rsid w:val="002A359B"/>
    <w:rsid w:val="002A3C1B"/>
    <w:rsid w:val="002A4DB8"/>
    <w:rsid w:val="002A4FDF"/>
    <w:rsid w:val="002A67D1"/>
    <w:rsid w:val="002A6A2D"/>
    <w:rsid w:val="002A7457"/>
    <w:rsid w:val="002A7643"/>
    <w:rsid w:val="002A7AC5"/>
    <w:rsid w:val="002A7FE9"/>
    <w:rsid w:val="002B0000"/>
    <w:rsid w:val="002B003D"/>
    <w:rsid w:val="002B1B0A"/>
    <w:rsid w:val="002B1F17"/>
    <w:rsid w:val="002B342D"/>
    <w:rsid w:val="002B3B4C"/>
    <w:rsid w:val="002B3B9E"/>
    <w:rsid w:val="002B3C6F"/>
    <w:rsid w:val="002B3EEE"/>
    <w:rsid w:val="002B43E8"/>
    <w:rsid w:val="002B53DC"/>
    <w:rsid w:val="002B544C"/>
    <w:rsid w:val="002B598D"/>
    <w:rsid w:val="002B5A6C"/>
    <w:rsid w:val="002B6098"/>
    <w:rsid w:val="002B6554"/>
    <w:rsid w:val="002B6D88"/>
    <w:rsid w:val="002B72EA"/>
    <w:rsid w:val="002B74D4"/>
    <w:rsid w:val="002B7A96"/>
    <w:rsid w:val="002C0763"/>
    <w:rsid w:val="002C0C20"/>
    <w:rsid w:val="002C1023"/>
    <w:rsid w:val="002C11E2"/>
    <w:rsid w:val="002C241A"/>
    <w:rsid w:val="002C25AD"/>
    <w:rsid w:val="002C29FE"/>
    <w:rsid w:val="002C2B35"/>
    <w:rsid w:val="002C2B96"/>
    <w:rsid w:val="002C2CE1"/>
    <w:rsid w:val="002C2DBC"/>
    <w:rsid w:val="002C3B08"/>
    <w:rsid w:val="002C3C8D"/>
    <w:rsid w:val="002C3DCD"/>
    <w:rsid w:val="002C3E4C"/>
    <w:rsid w:val="002C4601"/>
    <w:rsid w:val="002C4B24"/>
    <w:rsid w:val="002C5220"/>
    <w:rsid w:val="002C5267"/>
    <w:rsid w:val="002C5542"/>
    <w:rsid w:val="002C585A"/>
    <w:rsid w:val="002C654D"/>
    <w:rsid w:val="002C715A"/>
    <w:rsid w:val="002C728D"/>
    <w:rsid w:val="002C765F"/>
    <w:rsid w:val="002C7AB6"/>
    <w:rsid w:val="002D002B"/>
    <w:rsid w:val="002D00BE"/>
    <w:rsid w:val="002D01E5"/>
    <w:rsid w:val="002D0382"/>
    <w:rsid w:val="002D0E7A"/>
    <w:rsid w:val="002D0F92"/>
    <w:rsid w:val="002D1649"/>
    <w:rsid w:val="002D1A64"/>
    <w:rsid w:val="002D1CA9"/>
    <w:rsid w:val="002D27BE"/>
    <w:rsid w:val="002D2E0C"/>
    <w:rsid w:val="002D3984"/>
    <w:rsid w:val="002D3EEE"/>
    <w:rsid w:val="002D452D"/>
    <w:rsid w:val="002D4618"/>
    <w:rsid w:val="002D464C"/>
    <w:rsid w:val="002D4902"/>
    <w:rsid w:val="002D4C32"/>
    <w:rsid w:val="002D535F"/>
    <w:rsid w:val="002D54A7"/>
    <w:rsid w:val="002D55B9"/>
    <w:rsid w:val="002D565E"/>
    <w:rsid w:val="002D5686"/>
    <w:rsid w:val="002D5C1B"/>
    <w:rsid w:val="002D5E1D"/>
    <w:rsid w:val="002D6167"/>
    <w:rsid w:val="002D6186"/>
    <w:rsid w:val="002D6207"/>
    <w:rsid w:val="002D6285"/>
    <w:rsid w:val="002D6EBA"/>
    <w:rsid w:val="002D71C7"/>
    <w:rsid w:val="002D736B"/>
    <w:rsid w:val="002D77B4"/>
    <w:rsid w:val="002D7A10"/>
    <w:rsid w:val="002D7D23"/>
    <w:rsid w:val="002E00DA"/>
    <w:rsid w:val="002E088D"/>
    <w:rsid w:val="002E0A71"/>
    <w:rsid w:val="002E0B84"/>
    <w:rsid w:val="002E1261"/>
    <w:rsid w:val="002E1AFB"/>
    <w:rsid w:val="002E245E"/>
    <w:rsid w:val="002E2DB4"/>
    <w:rsid w:val="002E3100"/>
    <w:rsid w:val="002E3344"/>
    <w:rsid w:val="002E3DC8"/>
    <w:rsid w:val="002E3F18"/>
    <w:rsid w:val="002E4467"/>
    <w:rsid w:val="002E5176"/>
    <w:rsid w:val="002E544F"/>
    <w:rsid w:val="002E666E"/>
    <w:rsid w:val="002E719D"/>
    <w:rsid w:val="002E71CE"/>
    <w:rsid w:val="002E73A8"/>
    <w:rsid w:val="002E762D"/>
    <w:rsid w:val="002E797F"/>
    <w:rsid w:val="002F0065"/>
    <w:rsid w:val="002F021B"/>
    <w:rsid w:val="002F095E"/>
    <w:rsid w:val="002F0C48"/>
    <w:rsid w:val="002F1159"/>
    <w:rsid w:val="002F12C4"/>
    <w:rsid w:val="002F1D45"/>
    <w:rsid w:val="002F2165"/>
    <w:rsid w:val="002F2575"/>
    <w:rsid w:val="002F2688"/>
    <w:rsid w:val="002F27DC"/>
    <w:rsid w:val="002F44A3"/>
    <w:rsid w:val="002F50C8"/>
    <w:rsid w:val="002F53D5"/>
    <w:rsid w:val="002F55A1"/>
    <w:rsid w:val="002F5780"/>
    <w:rsid w:val="002F57BD"/>
    <w:rsid w:val="002F5939"/>
    <w:rsid w:val="002F5DD5"/>
    <w:rsid w:val="002F63D1"/>
    <w:rsid w:val="002F63F0"/>
    <w:rsid w:val="002F6791"/>
    <w:rsid w:val="002F6D2A"/>
    <w:rsid w:val="002F751D"/>
    <w:rsid w:val="002F756A"/>
    <w:rsid w:val="00300145"/>
    <w:rsid w:val="00300AD0"/>
    <w:rsid w:val="00300D64"/>
    <w:rsid w:val="0030103B"/>
    <w:rsid w:val="0030134E"/>
    <w:rsid w:val="0030188E"/>
    <w:rsid w:val="00301934"/>
    <w:rsid w:val="00301C1C"/>
    <w:rsid w:val="00301DCF"/>
    <w:rsid w:val="00302263"/>
    <w:rsid w:val="003038A3"/>
    <w:rsid w:val="00304376"/>
    <w:rsid w:val="003046AA"/>
    <w:rsid w:val="0030486A"/>
    <w:rsid w:val="00305595"/>
    <w:rsid w:val="00306467"/>
    <w:rsid w:val="003068C8"/>
    <w:rsid w:val="00306D1F"/>
    <w:rsid w:val="00306E14"/>
    <w:rsid w:val="00307076"/>
    <w:rsid w:val="00310195"/>
    <w:rsid w:val="00310551"/>
    <w:rsid w:val="00310A15"/>
    <w:rsid w:val="00310EA3"/>
    <w:rsid w:val="00310F6C"/>
    <w:rsid w:val="00311198"/>
    <w:rsid w:val="00311BA6"/>
    <w:rsid w:val="00311D30"/>
    <w:rsid w:val="00312447"/>
    <w:rsid w:val="00312638"/>
    <w:rsid w:val="003128F3"/>
    <w:rsid w:val="00312AE9"/>
    <w:rsid w:val="0031307D"/>
    <w:rsid w:val="00313518"/>
    <w:rsid w:val="00314305"/>
    <w:rsid w:val="003147CB"/>
    <w:rsid w:val="00315192"/>
    <w:rsid w:val="003154A9"/>
    <w:rsid w:val="00316643"/>
    <w:rsid w:val="0031714F"/>
    <w:rsid w:val="003173DF"/>
    <w:rsid w:val="003174DD"/>
    <w:rsid w:val="00317B97"/>
    <w:rsid w:val="00317F62"/>
    <w:rsid w:val="003201F8"/>
    <w:rsid w:val="0032125A"/>
    <w:rsid w:val="00321E51"/>
    <w:rsid w:val="00322151"/>
    <w:rsid w:val="003221C7"/>
    <w:rsid w:val="00322AED"/>
    <w:rsid w:val="00322C2C"/>
    <w:rsid w:val="00322ED5"/>
    <w:rsid w:val="003230A5"/>
    <w:rsid w:val="00323698"/>
    <w:rsid w:val="00323845"/>
    <w:rsid w:val="00323FFC"/>
    <w:rsid w:val="0032411E"/>
    <w:rsid w:val="00324267"/>
    <w:rsid w:val="003253C6"/>
    <w:rsid w:val="00326103"/>
    <w:rsid w:val="00326F8D"/>
    <w:rsid w:val="00327ADC"/>
    <w:rsid w:val="00327AF0"/>
    <w:rsid w:val="00327F1F"/>
    <w:rsid w:val="003301E3"/>
    <w:rsid w:val="0033076A"/>
    <w:rsid w:val="00330782"/>
    <w:rsid w:val="003308BE"/>
    <w:rsid w:val="00330A95"/>
    <w:rsid w:val="0033127D"/>
    <w:rsid w:val="003317B8"/>
    <w:rsid w:val="00331B6F"/>
    <w:rsid w:val="00331CAE"/>
    <w:rsid w:val="00331EDC"/>
    <w:rsid w:val="00332085"/>
    <w:rsid w:val="00332485"/>
    <w:rsid w:val="0033255C"/>
    <w:rsid w:val="00332610"/>
    <w:rsid w:val="0033284A"/>
    <w:rsid w:val="00332998"/>
    <w:rsid w:val="00332D9D"/>
    <w:rsid w:val="0033354C"/>
    <w:rsid w:val="00333666"/>
    <w:rsid w:val="00333EA3"/>
    <w:rsid w:val="00333EE6"/>
    <w:rsid w:val="00334923"/>
    <w:rsid w:val="00334CF9"/>
    <w:rsid w:val="00334DA8"/>
    <w:rsid w:val="00334F21"/>
    <w:rsid w:val="00335390"/>
    <w:rsid w:val="00335FDA"/>
    <w:rsid w:val="003361A1"/>
    <w:rsid w:val="0033626E"/>
    <w:rsid w:val="00336BA0"/>
    <w:rsid w:val="00336EA7"/>
    <w:rsid w:val="00337410"/>
    <w:rsid w:val="00337508"/>
    <w:rsid w:val="00337846"/>
    <w:rsid w:val="00337AFC"/>
    <w:rsid w:val="0034024F"/>
    <w:rsid w:val="00340576"/>
    <w:rsid w:val="003408C0"/>
    <w:rsid w:val="00340BEE"/>
    <w:rsid w:val="00340D7E"/>
    <w:rsid w:val="003411C0"/>
    <w:rsid w:val="003429BC"/>
    <w:rsid w:val="00343D33"/>
    <w:rsid w:val="00344CA3"/>
    <w:rsid w:val="00344FC2"/>
    <w:rsid w:val="003459AF"/>
    <w:rsid w:val="00346046"/>
    <w:rsid w:val="0034670F"/>
    <w:rsid w:val="00346ABF"/>
    <w:rsid w:val="00346E52"/>
    <w:rsid w:val="00347748"/>
    <w:rsid w:val="00347D27"/>
    <w:rsid w:val="00347DC8"/>
    <w:rsid w:val="00347DD6"/>
    <w:rsid w:val="00347F5E"/>
    <w:rsid w:val="00350E11"/>
    <w:rsid w:val="00350EEB"/>
    <w:rsid w:val="00351549"/>
    <w:rsid w:val="00352116"/>
    <w:rsid w:val="003522FB"/>
    <w:rsid w:val="00352302"/>
    <w:rsid w:val="003528E5"/>
    <w:rsid w:val="0035294B"/>
    <w:rsid w:val="00353553"/>
    <w:rsid w:val="00353FBE"/>
    <w:rsid w:val="00354817"/>
    <w:rsid w:val="00355171"/>
    <w:rsid w:val="003556DC"/>
    <w:rsid w:val="003558D5"/>
    <w:rsid w:val="00355C11"/>
    <w:rsid w:val="00356C0A"/>
    <w:rsid w:val="00356CB6"/>
    <w:rsid w:val="003572A2"/>
    <w:rsid w:val="003573A9"/>
    <w:rsid w:val="00357CC7"/>
    <w:rsid w:val="003600C5"/>
    <w:rsid w:val="003600E1"/>
    <w:rsid w:val="00360540"/>
    <w:rsid w:val="00360CC4"/>
    <w:rsid w:val="00360CE1"/>
    <w:rsid w:val="00360D35"/>
    <w:rsid w:val="00360DD5"/>
    <w:rsid w:val="00360EB9"/>
    <w:rsid w:val="00361671"/>
    <w:rsid w:val="00361ADC"/>
    <w:rsid w:val="00361ED2"/>
    <w:rsid w:val="00362407"/>
    <w:rsid w:val="00362F66"/>
    <w:rsid w:val="00363200"/>
    <w:rsid w:val="00363367"/>
    <w:rsid w:val="0036336C"/>
    <w:rsid w:val="00363404"/>
    <w:rsid w:val="00363BD8"/>
    <w:rsid w:val="00363D01"/>
    <w:rsid w:val="00364B3E"/>
    <w:rsid w:val="00364CC8"/>
    <w:rsid w:val="0036543A"/>
    <w:rsid w:val="0036568A"/>
    <w:rsid w:val="003656CA"/>
    <w:rsid w:val="00365EB8"/>
    <w:rsid w:val="00366530"/>
    <w:rsid w:val="00367010"/>
    <w:rsid w:val="00367965"/>
    <w:rsid w:val="00367BD9"/>
    <w:rsid w:val="00370303"/>
    <w:rsid w:val="003714BE"/>
    <w:rsid w:val="00371842"/>
    <w:rsid w:val="00371F6E"/>
    <w:rsid w:val="0037243A"/>
    <w:rsid w:val="00372D83"/>
    <w:rsid w:val="00373A79"/>
    <w:rsid w:val="00373B27"/>
    <w:rsid w:val="0037456F"/>
    <w:rsid w:val="00374B11"/>
    <w:rsid w:val="00374CFA"/>
    <w:rsid w:val="00374F2C"/>
    <w:rsid w:val="00374F9B"/>
    <w:rsid w:val="00375009"/>
    <w:rsid w:val="003751F1"/>
    <w:rsid w:val="00376206"/>
    <w:rsid w:val="00376280"/>
    <w:rsid w:val="00376305"/>
    <w:rsid w:val="00376387"/>
    <w:rsid w:val="00376508"/>
    <w:rsid w:val="00377313"/>
    <w:rsid w:val="00377C7E"/>
    <w:rsid w:val="00377E40"/>
    <w:rsid w:val="0038012B"/>
    <w:rsid w:val="00380992"/>
    <w:rsid w:val="00381D4B"/>
    <w:rsid w:val="003825FA"/>
    <w:rsid w:val="003826C7"/>
    <w:rsid w:val="003828B3"/>
    <w:rsid w:val="00383018"/>
    <w:rsid w:val="0038376A"/>
    <w:rsid w:val="003838B3"/>
    <w:rsid w:val="003838DE"/>
    <w:rsid w:val="00383CC0"/>
    <w:rsid w:val="0038410B"/>
    <w:rsid w:val="003844A8"/>
    <w:rsid w:val="003848E7"/>
    <w:rsid w:val="00384D60"/>
    <w:rsid w:val="00384D6D"/>
    <w:rsid w:val="0038538E"/>
    <w:rsid w:val="0038596E"/>
    <w:rsid w:val="00385A39"/>
    <w:rsid w:val="00386929"/>
    <w:rsid w:val="00386AF1"/>
    <w:rsid w:val="00386BF8"/>
    <w:rsid w:val="00386CA7"/>
    <w:rsid w:val="0038781E"/>
    <w:rsid w:val="003879C3"/>
    <w:rsid w:val="00387B0A"/>
    <w:rsid w:val="00387EEE"/>
    <w:rsid w:val="00390290"/>
    <w:rsid w:val="0039062A"/>
    <w:rsid w:val="00390B13"/>
    <w:rsid w:val="00391025"/>
    <w:rsid w:val="003910F8"/>
    <w:rsid w:val="003911DF"/>
    <w:rsid w:val="003916CD"/>
    <w:rsid w:val="003917C7"/>
    <w:rsid w:val="0039207A"/>
    <w:rsid w:val="003925E0"/>
    <w:rsid w:val="00392610"/>
    <w:rsid w:val="00392709"/>
    <w:rsid w:val="00392841"/>
    <w:rsid w:val="00393BD5"/>
    <w:rsid w:val="003949A7"/>
    <w:rsid w:val="00394BDF"/>
    <w:rsid w:val="00394E1B"/>
    <w:rsid w:val="0039521C"/>
    <w:rsid w:val="003952DD"/>
    <w:rsid w:val="0039548B"/>
    <w:rsid w:val="003955DE"/>
    <w:rsid w:val="0039577D"/>
    <w:rsid w:val="003964D0"/>
    <w:rsid w:val="00396BC2"/>
    <w:rsid w:val="00396E31"/>
    <w:rsid w:val="003975C4"/>
    <w:rsid w:val="00397C9E"/>
    <w:rsid w:val="00397E5B"/>
    <w:rsid w:val="003A19C7"/>
    <w:rsid w:val="003A1B00"/>
    <w:rsid w:val="003A1CFE"/>
    <w:rsid w:val="003A221F"/>
    <w:rsid w:val="003A2CE2"/>
    <w:rsid w:val="003A2DFE"/>
    <w:rsid w:val="003A35EB"/>
    <w:rsid w:val="003A39A5"/>
    <w:rsid w:val="003A3B1E"/>
    <w:rsid w:val="003A425E"/>
    <w:rsid w:val="003A5254"/>
    <w:rsid w:val="003A5552"/>
    <w:rsid w:val="003A5C0A"/>
    <w:rsid w:val="003A6431"/>
    <w:rsid w:val="003A663E"/>
    <w:rsid w:val="003A6E7C"/>
    <w:rsid w:val="003A73BA"/>
    <w:rsid w:val="003A754B"/>
    <w:rsid w:val="003A7669"/>
    <w:rsid w:val="003A7C39"/>
    <w:rsid w:val="003A7D45"/>
    <w:rsid w:val="003A7EA8"/>
    <w:rsid w:val="003B0B5B"/>
    <w:rsid w:val="003B0CE4"/>
    <w:rsid w:val="003B0FB8"/>
    <w:rsid w:val="003B1264"/>
    <w:rsid w:val="003B1753"/>
    <w:rsid w:val="003B1962"/>
    <w:rsid w:val="003B1AA5"/>
    <w:rsid w:val="003B22B3"/>
    <w:rsid w:val="003B22E3"/>
    <w:rsid w:val="003B236A"/>
    <w:rsid w:val="003B2D8F"/>
    <w:rsid w:val="003B3470"/>
    <w:rsid w:val="003B3666"/>
    <w:rsid w:val="003B44FD"/>
    <w:rsid w:val="003B4BD7"/>
    <w:rsid w:val="003B4E85"/>
    <w:rsid w:val="003B4FEA"/>
    <w:rsid w:val="003B53B4"/>
    <w:rsid w:val="003B5489"/>
    <w:rsid w:val="003B560C"/>
    <w:rsid w:val="003B5A78"/>
    <w:rsid w:val="003B5B74"/>
    <w:rsid w:val="003B6698"/>
    <w:rsid w:val="003B66FF"/>
    <w:rsid w:val="003B796A"/>
    <w:rsid w:val="003B7DD4"/>
    <w:rsid w:val="003B7E0B"/>
    <w:rsid w:val="003C0150"/>
    <w:rsid w:val="003C01F6"/>
    <w:rsid w:val="003C0640"/>
    <w:rsid w:val="003C0FA7"/>
    <w:rsid w:val="003C14E5"/>
    <w:rsid w:val="003C19C4"/>
    <w:rsid w:val="003C1DFC"/>
    <w:rsid w:val="003C2306"/>
    <w:rsid w:val="003C2367"/>
    <w:rsid w:val="003C2839"/>
    <w:rsid w:val="003C29A0"/>
    <w:rsid w:val="003C29AE"/>
    <w:rsid w:val="003C2ADA"/>
    <w:rsid w:val="003C38B6"/>
    <w:rsid w:val="003C395B"/>
    <w:rsid w:val="003C4324"/>
    <w:rsid w:val="003C4417"/>
    <w:rsid w:val="003C44CF"/>
    <w:rsid w:val="003C4943"/>
    <w:rsid w:val="003C4A5A"/>
    <w:rsid w:val="003C4AD0"/>
    <w:rsid w:val="003C5116"/>
    <w:rsid w:val="003C5E53"/>
    <w:rsid w:val="003C5FAD"/>
    <w:rsid w:val="003C64E5"/>
    <w:rsid w:val="003C661E"/>
    <w:rsid w:val="003C667D"/>
    <w:rsid w:val="003C6686"/>
    <w:rsid w:val="003C6A84"/>
    <w:rsid w:val="003C6C21"/>
    <w:rsid w:val="003C6EA8"/>
    <w:rsid w:val="003C7535"/>
    <w:rsid w:val="003C78E0"/>
    <w:rsid w:val="003D0133"/>
    <w:rsid w:val="003D016B"/>
    <w:rsid w:val="003D018E"/>
    <w:rsid w:val="003D0291"/>
    <w:rsid w:val="003D0381"/>
    <w:rsid w:val="003D03E1"/>
    <w:rsid w:val="003D0638"/>
    <w:rsid w:val="003D08F7"/>
    <w:rsid w:val="003D2130"/>
    <w:rsid w:val="003D2446"/>
    <w:rsid w:val="003D32DF"/>
    <w:rsid w:val="003D39DA"/>
    <w:rsid w:val="003D3A89"/>
    <w:rsid w:val="003D3E00"/>
    <w:rsid w:val="003D3F00"/>
    <w:rsid w:val="003D3F28"/>
    <w:rsid w:val="003D4389"/>
    <w:rsid w:val="003D45CC"/>
    <w:rsid w:val="003D486E"/>
    <w:rsid w:val="003D55B4"/>
    <w:rsid w:val="003D590A"/>
    <w:rsid w:val="003D5D1D"/>
    <w:rsid w:val="003D5D83"/>
    <w:rsid w:val="003D6339"/>
    <w:rsid w:val="003D6427"/>
    <w:rsid w:val="003D6FC1"/>
    <w:rsid w:val="003D7099"/>
    <w:rsid w:val="003D73C3"/>
    <w:rsid w:val="003D761E"/>
    <w:rsid w:val="003E04FD"/>
    <w:rsid w:val="003E13B6"/>
    <w:rsid w:val="003E13D4"/>
    <w:rsid w:val="003E1AA1"/>
    <w:rsid w:val="003E2749"/>
    <w:rsid w:val="003E2EE8"/>
    <w:rsid w:val="003E31F8"/>
    <w:rsid w:val="003E3BF9"/>
    <w:rsid w:val="003E3C9B"/>
    <w:rsid w:val="003E3EDA"/>
    <w:rsid w:val="003E40DF"/>
    <w:rsid w:val="003E43AC"/>
    <w:rsid w:val="003E46FF"/>
    <w:rsid w:val="003E4D3F"/>
    <w:rsid w:val="003E517A"/>
    <w:rsid w:val="003E5241"/>
    <w:rsid w:val="003E528A"/>
    <w:rsid w:val="003E53EB"/>
    <w:rsid w:val="003E5408"/>
    <w:rsid w:val="003E5CDC"/>
    <w:rsid w:val="003E5DFF"/>
    <w:rsid w:val="003E6079"/>
    <w:rsid w:val="003E6091"/>
    <w:rsid w:val="003E631D"/>
    <w:rsid w:val="003E6651"/>
    <w:rsid w:val="003E6C92"/>
    <w:rsid w:val="003E6E06"/>
    <w:rsid w:val="003E6E31"/>
    <w:rsid w:val="003E6FCA"/>
    <w:rsid w:val="003E7334"/>
    <w:rsid w:val="003E763F"/>
    <w:rsid w:val="003E7982"/>
    <w:rsid w:val="003E79A6"/>
    <w:rsid w:val="003E7AD8"/>
    <w:rsid w:val="003F057A"/>
    <w:rsid w:val="003F1173"/>
    <w:rsid w:val="003F173D"/>
    <w:rsid w:val="003F27F5"/>
    <w:rsid w:val="003F29A4"/>
    <w:rsid w:val="003F2ED0"/>
    <w:rsid w:val="003F3247"/>
    <w:rsid w:val="003F345D"/>
    <w:rsid w:val="003F377E"/>
    <w:rsid w:val="003F4BC9"/>
    <w:rsid w:val="003F4BD0"/>
    <w:rsid w:val="003F4C9B"/>
    <w:rsid w:val="003F5760"/>
    <w:rsid w:val="003F5CF9"/>
    <w:rsid w:val="003F5D23"/>
    <w:rsid w:val="003F62E7"/>
    <w:rsid w:val="003F6321"/>
    <w:rsid w:val="003F6D8A"/>
    <w:rsid w:val="003F7013"/>
    <w:rsid w:val="003F7E20"/>
    <w:rsid w:val="0040001D"/>
    <w:rsid w:val="00400ABB"/>
    <w:rsid w:val="004010AC"/>
    <w:rsid w:val="00401931"/>
    <w:rsid w:val="004019C8"/>
    <w:rsid w:val="004023F7"/>
    <w:rsid w:val="00402B0F"/>
    <w:rsid w:val="00403969"/>
    <w:rsid w:val="004040D3"/>
    <w:rsid w:val="00404229"/>
    <w:rsid w:val="004043EB"/>
    <w:rsid w:val="004044D1"/>
    <w:rsid w:val="004056B9"/>
    <w:rsid w:val="00405A93"/>
    <w:rsid w:val="00405B9F"/>
    <w:rsid w:val="00405D0E"/>
    <w:rsid w:val="00406608"/>
    <w:rsid w:val="0040675F"/>
    <w:rsid w:val="004067B2"/>
    <w:rsid w:val="00406938"/>
    <w:rsid w:val="00406B97"/>
    <w:rsid w:val="00406D40"/>
    <w:rsid w:val="0041074E"/>
    <w:rsid w:val="004108A2"/>
    <w:rsid w:val="004111FF"/>
    <w:rsid w:val="00411A6A"/>
    <w:rsid w:val="00411AB4"/>
    <w:rsid w:val="00411D5C"/>
    <w:rsid w:val="0041225B"/>
    <w:rsid w:val="0041232A"/>
    <w:rsid w:val="00412CAC"/>
    <w:rsid w:val="004134FA"/>
    <w:rsid w:val="00413A07"/>
    <w:rsid w:val="00413FDF"/>
    <w:rsid w:val="004140CD"/>
    <w:rsid w:val="0041443E"/>
    <w:rsid w:val="004149CF"/>
    <w:rsid w:val="004152CA"/>
    <w:rsid w:val="00415318"/>
    <w:rsid w:val="004156B1"/>
    <w:rsid w:val="004158F9"/>
    <w:rsid w:val="00416869"/>
    <w:rsid w:val="00417203"/>
    <w:rsid w:val="00417315"/>
    <w:rsid w:val="004173BD"/>
    <w:rsid w:val="004173BF"/>
    <w:rsid w:val="00417E1A"/>
    <w:rsid w:val="004201C4"/>
    <w:rsid w:val="00420722"/>
    <w:rsid w:val="0042114B"/>
    <w:rsid w:val="00421203"/>
    <w:rsid w:val="00421250"/>
    <w:rsid w:val="0042133D"/>
    <w:rsid w:val="00421423"/>
    <w:rsid w:val="00421476"/>
    <w:rsid w:val="00421888"/>
    <w:rsid w:val="00421BFE"/>
    <w:rsid w:val="004220F5"/>
    <w:rsid w:val="004229D9"/>
    <w:rsid w:val="00422B45"/>
    <w:rsid w:val="00422BAC"/>
    <w:rsid w:val="0042318F"/>
    <w:rsid w:val="004234D9"/>
    <w:rsid w:val="00423B8A"/>
    <w:rsid w:val="004243F5"/>
    <w:rsid w:val="00425106"/>
    <w:rsid w:val="004251BE"/>
    <w:rsid w:val="00425231"/>
    <w:rsid w:val="004254A5"/>
    <w:rsid w:val="00425599"/>
    <w:rsid w:val="00425CE4"/>
    <w:rsid w:val="00425E83"/>
    <w:rsid w:val="00425E96"/>
    <w:rsid w:val="00426343"/>
    <w:rsid w:val="0042673E"/>
    <w:rsid w:val="00426ABE"/>
    <w:rsid w:val="00426B47"/>
    <w:rsid w:val="0042773C"/>
    <w:rsid w:val="00427D13"/>
    <w:rsid w:val="0043000B"/>
    <w:rsid w:val="0043031B"/>
    <w:rsid w:val="004309C4"/>
    <w:rsid w:val="004309DB"/>
    <w:rsid w:val="00430AE1"/>
    <w:rsid w:val="00430D3D"/>
    <w:rsid w:val="004313D9"/>
    <w:rsid w:val="004318B2"/>
    <w:rsid w:val="00431A10"/>
    <w:rsid w:val="0043284B"/>
    <w:rsid w:val="00432E24"/>
    <w:rsid w:val="0043321D"/>
    <w:rsid w:val="00433A2E"/>
    <w:rsid w:val="00433B06"/>
    <w:rsid w:val="00433BFC"/>
    <w:rsid w:val="00433E7A"/>
    <w:rsid w:val="00433EB9"/>
    <w:rsid w:val="00434BE0"/>
    <w:rsid w:val="00434FFC"/>
    <w:rsid w:val="00435A10"/>
    <w:rsid w:val="00435A66"/>
    <w:rsid w:val="00435D04"/>
    <w:rsid w:val="0043624E"/>
    <w:rsid w:val="00436292"/>
    <w:rsid w:val="0043632F"/>
    <w:rsid w:val="004364B8"/>
    <w:rsid w:val="00436678"/>
    <w:rsid w:val="00436B25"/>
    <w:rsid w:val="00436B4D"/>
    <w:rsid w:val="00436B5E"/>
    <w:rsid w:val="00437066"/>
    <w:rsid w:val="0043730D"/>
    <w:rsid w:val="004374DE"/>
    <w:rsid w:val="00437C6B"/>
    <w:rsid w:val="00437E8B"/>
    <w:rsid w:val="00437EDA"/>
    <w:rsid w:val="0044022F"/>
    <w:rsid w:val="00440AE9"/>
    <w:rsid w:val="00440CAA"/>
    <w:rsid w:val="004412C5"/>
    <w:rsid w:val="0044181F"/>
    <w:rsid w:val="00441B1F"/>
    <w:rsid w:val="00441B90"/>
    <w:rsid w:val="00441C10"/>
    <w:rsid w:val="00441D7C"/>
    <w:rsid w:val="00441FA7"/>
    <w:rsid w:val="004428C1"/>
    <w:rsid w:val="00442BD8"/>
    <w:rsid w:val="00442C9C"/>
    <w:rsid w:val="00442E73"/>
    <w:rsid w:val="00442F76"/>
    <w:rsid w:val="00443252"/>
    <w:rsid w:val="00443A53"/>
    <w:rsid w:val="00443A75"/>
    <w:rsid w:val="00443ED2"/>
    <w:rsid w:val="004441CC"/>
    <w:rsid w:val="00444242"/>
    <w:rsid w:val="0044459F"/>
    <w:rsid w:val="0044469B"/>
    <w:rsid w:val="00444C12"/>
    <w:rsid w:val="00444F1F"/>
    <w:rsid w:val="0044510D"/>
    <w:rsid w:val="00445466"/>
    <w:rsid w:val="004459DC"/>
    <w:rsid w:val="00445F76"/>
    <w:rsid w:val="00446629"/>
    <w:rsid w:val="00446652"/>
    <w:rsid w:val="00446B17"/>
    <w:rsid w:val="0044749C"/>
    <w:rsid w:val="00447567"/>
    <w:rsid w:val="00447691"/>
    <w:rsid w:val="00447B46"/>
    <w:rsid w:val="00447C26"/>
    <w:rsid w:val="00450003"/>
    <w:rsid w:val="0045005A"/>
    <w:rsid w:val="00450409"/>
    <w:rsid w:val="0045082A"/>
    <w:rsid w:val="00450A9C"/>
    <w:rsid w:val="00451266"/>
    <w:rsid w:val="00451534"/>
    <w:rsid w:val="00451609"/>
    <w:rsid w:val="004517B4"/>
    <w:rsid w:val="00451B29"/>
    <w:rsid w:val="00451C23"/>
    <w:rsid w:val="00451CF5"/>
    <w:rsid w:val="00451F6E"/>
    <w:rsid w:val="00452048"/>
    <w:rsid w:val="00452050"/>
    <w:rsid w:val="00452467"/>
    <w:rsid w:val="0045285C"/>
    <w:rsid w:val="004529C3"/>
    <w:rsid w:val="00452D58"/>
    <w:rsid w:val="00452EDD"/>
    <w:rsid w:val="004537BA"/>
    <w:rsid w:val="00453B09"/>
    <w:rsid w:val="00453E38"/>
    <w:rsid w:val="00454030"/>
    <w:rsid w:val="00454476"/>
    <w:rsid w:val="0045453D"/>
    <w:rsid w:val="004547F9"/>
    <w:rsid w:val="00454AB1"/>
    <w:rsid w:val="00454E4C"/>
    <w:rsid w:val="00454F68"/>
    <w:rsid w:val="004550AE"/>
    <w:rsid w:val="00455CCF"/>
    <w:rsid w:val="00455F11"/>
    <w:rsid w:val="00455F7C"/>
    <w:rsid w:val="00456145"/>
    <w:rsid w:val="00456CED"/>
    <w:rsid w:val="00456D24"/>
    <w:rsid w:val="00456F7E"/>
    <w:rsid w:val="004571D1"/>
    <w:rsid w:val="0045722E"/>
    <w:rsid w:val="0045729D"/>
    <w:rsid w:val="00457DA8"/>
    <w:rsid w:val="0046031C"/>
    <w:rsid w:val="00460A58"/>
    <w:rsid w:val="0046109A"/>
    <w:rsid w:val="00461863"/>
    <w:rsid w:val="00461D5D"/>
    <w:rsid w:val="00462BC7"/>
    <w:rsid w:val="00463759"/>
    <w:rsid w:val="004637E0"/>
    <w:rsid w:val="00464E71"/>
    <w:rsid w:val="00464F43"/>
    <w:rsid w:val="00465167"/>
    <w:rsid w:val="00465BC9"/>
    <w:rsid w:val="0046600E"/>
    <w:rsid w:val="004665E2"/>
    <w:rsid w:val="0046708C"/>
    <w:rsid w:val="00467309"/>
    <w:rsid w:val="00467C6E"/>
    <w:rsid w:val="00467EFC"/>
    <w:rsid w:val="00470791"/>
    <w:rsid w:val="004708AD"/>
    <w:rsid w:val="004710D3"/>
    <w:rsid w:val="00471314"/>
    <w:rsid w:val="00471670"/>
    <w:rsid w:val="00471EFE"/>
    <w:rsid w:val="00473821"/>
    <w:rsid w:val="00473966"/>
    <w:rsid w:val="004739CF"/>
    <w:rsid w:val="00473CF0"/>
    <w:rsid w:val="00474055"/>
    <w:rsid w:val="0047468F"/>
    <w:rsid w:val="004746F8"/>
    <w:rsid w:val="004747EF"/>
    <w:rsid w:val="00474A7C"/>
    <w:rsid w:val="0047570E"/>
    <w:rsid w:val="004764F5"/>
    <w:rsid w:val="00476524"/>
    <w:rsid w:val="00477111"/>
    <w:rsid w:val="0047759C"/>
    <w:rsid w:val="004777A7"/>
    <w:rsid w:val="0048015E"/>
    <w:rsid w:val="004804F3"/>
    <w:rsid w:val="00480561"/>
    <w:rsid w:val="004806D0"/>
    <w:rsid w:val="004809EF"/>
    <w:rsid w:val="00480CBB"/>
    <w:rsid w:val="00481571"/>
    <w:rsid w:val="0048189A"/>
    <w:rsid w:val="004818A9"/>
    <w:rsid w:val="004819B2"/>
    <w:rsid w:val="00481AA4"/>
    <w:rsid w:val="00483659"/>
    <w:rsid w:val="00483EEC"/>
    <w:rsid w:val="00483F85"/>
    <w:rsid w:val="004840AB"/>
    <w:rsid w:val="00484101"/>
    <w:rsid w:val="0048435C"/>
    <w:rsid w:val="0048444D"/>
    <w:rsid w:val="004846F7"/>
    <w:rsid w:val="00485231"/>
    <w:rsid w:val="00485996"/>
    <w:rsid w:val="004859E9"/>
    <w:rsid w:val="00486591"/>
    <w:rsid w:val="00486FB4"/>
    <w:rsid w:val="00487683"/>
    <w:rsid w:val="004876BF"/>
    <w:rsid w:val="004879A5"/>
    <w:rsid w:val="004903E2"/>
    <w:rsid w:val="004909A6"/>
    <w:rsid w:val="00490D71"/>
    <w:rsid w:val="0049108B"/>
    <w:rsid w:val="0049156A"/>
    <w:rsid w:val="00491787"/>
    <w:rsid w:val="00491BD8"/>
    <w:rsid w:val="00491D89"/>
    <w:rsid w:val="004928C4"/>
    <w:rsid w:val="00492BD6"/>
    <w:rsid w:val="00492C49"/>
    <w:rsid w:val="00492D64"/>
    <w:rsid w:val="00493745"/>
    <w:rsid w:val="00493792"/>
    <w:rsid w:val="004938C4"/>
    <w:rsid w:val="00493E07"/>
    <w:rsid w:val="00494EC6"/>
    <w:rsid w:val="004954E4"/>
    <w:rsid w:val="004957CB"/>
    <w:rsid w:val="0049583B"/>
    <w:rsid w:val="00495985"/>
    <w:rsid w:val="00495F28"/>
    <w:rsid w:val="00495FA3"/>
    <w:rsid w:val="0049624D"/>
    <w:rsid w:val="004963D0"/>
    <w:rsid w:val="004964AA"/>
    <w:rsid w:val="00496806"/>
    <w:rsid w:val="004968CE"/>
    <w:rsid w:val="00496DE7"/>
    <w:rsid w:val="00496E7A"/>
    <w:rsid w:val="00497007"/>
    <w:rsid w:val="0049726C"/>
    <w:rsid w:val="0049738B"/>
    <w:rsid w:val="004975A1"/>
    <w:rsid w:val="0049787E"/>
    <w:rsid w:val="00497883"/>
    <w:rsid w:val="00497D57"/>
    <w:rsid w:val="00497F18"/>
    <w:rsid w:val="00497FAD"/>
    <w:rsid w:val="004A00CB"/>
    <w:rsid w:val="004A01EB"/>
    <w:rsid w:val="004A1762"/>
    <w:rsid w:val="004A18A0"/>
    <w:rsid w:val="004A1FC3"/>
    <w:rsid w:val="004A219D"/>
    <w:rsid w:val="004A230C"/>
    <w:rsid w:val="004A233E"/>
    <w:rsid w:val="004A242D"/>
    <w:rsid w:val="004A26AD"/>
    <w:rsid w:val="004A28C1"/>
    <w:rsid w:val="004A3805"/>
    <w:rsid w:val="004A38A2"/>
    <w:rsid w:val="004A38B0"/>
    <w:rsid w:val="004A38C2"/>
    <w:rsid w:val="004A3BD4"/>
    <w:rsid w:val="004A3F6B"/>
    <w:rsid w:val="004A4459"/>
    <w:rsid w:val="004A4752"/>
    <w:rsid w:val="004A4A95"/>
    <w:rsid w:val="004A4AFC"/>
    <w:rsid w:val="004A4BC4"/>
    <w:rsid w:val="004A4F0B"/>
    <w:rsid w:val="004A4F7D"/>
    <w:rsid w:val="004A508C"/>
    <w:rsid w:val="004A535B"/>
    <w:rsid w:val="004A54EC"/>
    <w:rsid w:val="004A5DF8"/>
    <w:rsid w:val="004A6D58"/>
    <w:rsid w:val="004A6E5F"/>
    <w:rsid w:val="004A6FBD"/>
    <w:rsid w:val="004A700E"/>
    <w:rsid w:val="004A72BF"/>
    <w:rsid w:val="004A72FD"/>
    <w:rsid w:val="004A7319"/>
    <w:rsid w:val="004A74C1"/>
    <w:rsid w:val="004A7930"/>
    <w:rsid w:val="004A7D27"/>
    <w:rsid w:val="004A7E0D"/>
    <w:rsid w:val="004B0DC6"/>
    <w:rsid w:val="004B10E9"/>
    <w:rsid w:val="004B1105"/>
    <w:rsid w:val="004B1473"/>
    <w:rsid w:val="004B176F"/>
    <w:rsid w:val="004B18F9"/>
    <w:rsid w:val="004B1F03"/>
    <w:rsid w:val="004B1FF5"/>
    <w:rsid w:val="004B2111"/>
    <w:rsid w:val="004B3473"/>
    <w:rsid w:val="004B365F"/>
    <w:rsid w:val="004B39D8"/>
    <w:rsid w:val="004B41D0"/>
    <w:rsid w:val="004B485F"/>
    <w:rsid w:val="004B537C"/>
    <w:rsid w:val="004B541E"/>
    <w:rsid w:val="004B5919"/>
    <w:rsid w:val="004B6000"/>
    <w:rsid w:val="004B686D"/>
    <w:rsid w:val="004B6AD9"/>
    <w:rsid w:val="004B6BEA"/>
    <w:rsid w:val="004B6E52"/>
    <w:rsid w:val="004B7139"/>
    <w:rsid w:val="004B75F1"/>
    <w:rsid w:val="004B7ECA"/>
    <w:rsid w:val="004C0154"/>
    <w:rsid w:val="004C0F21"/>
    <w:rsid w:val="004C107C"/>
    <w:rsid w:val="004C1114"/>
    <w:rsid w:val="004C1D9E"/>
    <w:rsid w:val="004C2101"/>
    <w:rsid w:val="004C21CC"/>
    <w:rsid w:val="004C232F"/>
    <w:rsid w:val="004C28CD"/>
    <w:rsid w:val="004C3C4D"/>
    <w:rsid w:val="004C44E1"/>
    <w:rsid w:val="004C46A6"/>
    <w:rsid w:val="004C493C"/>
    <w:rsid w:val="004C4D4D"/>
    <w:rsid w:val="004C5199"/>
    <w:rsid w:val="004C59DE"/>
    <w:rsid w:val="004C5A37"/>
    <w:rsid w:val="004C5BBB"/>
    <w:rsid w:val="004C5CE3"/>
    <w:rsid w:val="004C5D8A"/>
    <w:rsid w:val="004C63C8"/>
    <w:rsid w:val="004C6520"/>
    <w:rsid w:val="004C6718"/>
    <w:rsid w:val="004C6A3C"/>
    <w:rsid w:val="004C6A43"/>
    <w:rsid w:val="004C6BAF"/>
    <w:rsid w:val="004C6C70"/>
    <w:rsid w:val="004C7263"/>
    <w:rsid w:val="004C72A8"/>
    <w:rsid w:val="004C7863"/>
    <w:rsid w:val="004C78F6"/>
    <w:rsid w:val="004C7FB1"/>
    <w:rsid w:val="004D01BB"/>
    <w:rsid w:val="004D0218"/>
    <w:rsid w:val="004D03F2"/>
    <w:rsid w:val="004D08E6"/>
    <w:rsid w:val="004D16DD"/>
    <w:rsid w:val="004D175C"/>
    <w:rsid w:val="004D2059"/>
    <w:rsid w:val="004D207D"/>
    <w:rsid w:val="004D2272"/>
    <w:rsid w:val="004D238A"/>
    <w:rsid w:val="004D29D1"/>
    <w:rsid w:val="004D2BA0"/>
    <w:rsid w:val="004D2F2D"/>
    <w:rsid w:val="004D39A2"/>
    <w:rsid w:val="004D3F21"/>
    <w:rsid w:val="004D45DD"/>
    <w:rsid w:val="004D506B"/>
    <w:rsid w:val="004D5257"/>
    <w:rsid w:val="004D5369"/>
    <w:rsid w:val="004D5A35"/>
    <w:rsid w:val="004D604D"/>
    <w:rsid w:val="004D62FE"/>
    <w:rsid w:val="004D723D"/>
    <w:rsid w:val="004D7A78"/>
    <w:rsid w:val="004D7E13"/>
    <w:rsid w:val="004E0378"/>
    <w:rsid w:val="004E0D82"/>
    <w:rsid w:val="004E0F84"/>
    <w:rsid w:val="004E0FBA"/>
    <w:rsid w:val="004E1137"/>
    <w:rsid w:val="004E1540"/>
    <w:rsid w:val="004E195C"/>
    <w:rsid w:val="004E1E9C"/>
    <w:rsid w:val="004E3695"/>
    <w:rsid w:val="004E38E8"/>
    <w:rsid w:val="004E3D7A"/>
    <w:rsid w:val="004E3FBF"/>
    <w:rsid w:val="004E4038"/>
    <w:rsid w:val="004E41A7"/>
    <w:rsid w:val="004E4778"/>
    <w:rsid w:val="004E5103"/>
    <w:rsid w:val="004E53A1"/>
    <w:rsid w:val="004E555C"/>
    <w:rsid w:val="004E566F"/>
    <w:rsid w:val="004E5698"/>
    <w:rsid w:val="004E5B84"/>
    <w:rsid w:val="004E5C83"/>
    <w:rsid w:val="004E5E95"/>
    <w:rsid w:val="004E648B"/>
    <w:rsid w:val="004E761C"/>
    <w:rsid w:val="004F0019"/>
    <w:rsid w:val="004F014D"/>
    <w:rsid w:val="004F0283"/>
    <w:rsid w:val="004F02D1"/>
    <w:rsid w:val="004F051B"/>
    <w:rsid w:val="004F055F"/>
    <w:rsid w:val="004F0608"/>
    <w:rsid w:val="004F0CFC"/>
    <w:rsid w:val="004F11C0"/>
    <w:rsid w:val="004F174C"/>
    <w:rsid w:val="004F21BC"/>
    <w:rsid w:val="004F2244"/>
    <w:rsid w:val="004F28F0"/>
    <w:rsid w:val="004F2AD8"/>
    <w:rsid w:val="004F2EE3"/>
    <w:rsid w:val="004F3757"/>
    <w:rsid w:val="004F394E"/>
    <w:rsid w:val="004F3C55"/>
    <w:rsid w:val="004F445B"/>
    <w:rsid w:val="004F48E4"/>
    <w:rsid w:val="004F4DFC"/>
    <w:rsid w:val="004F51F0"/>
    <w:rsid w:val="004F5236"/>
    <w:rsid w:val="004F53C2"/>
    <w:rsid w:val="004F55EA"/>
    <w:rsid w:val="004F5857"/>
    <w:rsid w:val="004F5DC1"/>
    <w:rsid w:val="004F60BF"/>
    <w:rsid w:val="004F65F0"/>
    <w:rsid w:val="004F668E"/>
    <w:rsid w:val="004F6D98"/>
    <w:rsid w:val="004F6DE7"/>
    <w:rsid w:val="004F6FC5"/>
    <w:rsid w:val="004F71A5"/>
    <w:rsid w:val="004F74C3"/>
    <w:rsid w:val="004F7515"/>
    <w:rsid w:val="004F7619"/>
    <w:rsid w:val="004F7859"/>
    <w:rsid w:val="004F7AD4"/>
    <w:rsid w:val="004F7B5C"/>
    <w:rsid w:val="004F7F70"/>
    <w:rsid w:val="00500BCB"/>
    <w:rsid w:val="00500DC0"/>
    <w:rsid w:val="00501473"/>
    <w:rsid w:val="0050187B"/>
    <w:rsid w:val="00501A2F"/>
    <w:rsid w:val="0050244F"/>
    <w:rsid w:val="00502740"/>
    <w:rsid w:val="005027D1"/>
    <w:rsid w:val="00503A1B"/>
    <w:rsid w:val="005047C9"/>
    <w:rsid w:val="00504F92"/>
    <w:rsid w:val="005052A2"/>
    <w:rsid w:val="00505658"/>
    <w:rsid w:val="00505B2A"/>
    <w:rsid w:val="00505FB8"/>
    <w:rsid w:val="005060C1"/>
    <w:rsid w:val="00506363"/>
    <w:rsid w:val="00506523"/>
    <w:rsid w:val="00506525"/>
    <w:rsid w:val="00506B5C"/>
    <w:rsid w:val="00506DD4"/>
    <w:rsid w:val="0050722D"/>
    <w:rsid w:val="005077CD"/>
    <w:rsid w:val="00507CEC"/>
    <w:rsid w:val="00507ED8"/>
    <w:rsid w:val="005107A8"/>
    <w:rsid w:val="005114A3"/>
    <w:rsid w:val="005118EB"/>
    <w:rsid w:val="005119DD"/>
    <w:rsid w:val="00511BE7"/>
    <w:rsid w:val="00511E0E"/>
    <w:rsid w:val="005124FD"/>
    <w:rsid w:val="00512553"/>
    <w:rsid w:val="00513276"/>
    <w:rsid w:val="00513350"/>
    <w:rsid w:val="005137A2"/>
    <w:rsid w:val="00513AB7"/>
    <w:rsid w:val="00514779"/>
    <w:rsid w:val="005148DA"/>
    <w:rsid w:val="00515204"/>
    <w:rsid w:val="00515486"/>
    <w:rsid w:val="00515A9F"/>
    <w:rsid w:val="00515C23"/>
    <w:rsid w:val="00515E28"/>
    <w:rsid w:val="0051609A"/>
    <w:rsid w:val="005161F1"/>
    <w:rsid w:val="0051637E"/>
    <w:rsid w:val="00516855"/>
    <w:rsid w:val="005171A3"/>
    <w:rsid w:val="005173E0"/>
    <w:rsid w:val="0051748A"/>
    <w:rsid w:val="005174FE"/>
    <w:rsid w:val="00520366"/>
    <w:rsid w:val="00520B6B"/>
    <w:rsid w:val="00520E96"/>
    <w:rsid w:val="0052276A"/>
    <w:rsid w:val="00522C3C"/>
    <w:rsid w:val="0052312B"/>
    <w:rsid w:val="005231A2"/>
    <w:rsid w:val="00523AB0"/>
    <w:rsid w:val="00524146"/>
    <w:rsid w:val="00524779"/>
    <w:rsid w:val="00524B49"/>
    <w:rsid w:val="00524BF6"/>
    <w:rsid w:val="00524EF0"/>
    <w:rsid w:val="00525076"/>
    <w:rsid w:val="00525240"/>
    <w:rsid w:val="005253E3"/>
    <w:rsid w:val="00525E03"/>
    <w:rsid w:val="005264C5"/>
    <w:rsid w:val="00526737"/>
    <w:rsid w:val="0052682D"/>
    <w:rsid w:val="00526C3C"/>
    <w:rsid w:val="00526C8A"/>
    <w:rsid w:val="00527059"/>
    <w:rsid w:val="00527782"/>
    <w:rsid w:val="005278B3"/>
    <w:rsid w:val="00527983"/>
    <w:rsid w:val="00527BB6"/>
    <w:rsid w:val="0053020D"/>
    <w:rsid w:val="0053063E"/>
    <w:rsid w:val="00530816"/>
    <w:rsid w:val="00530CF6"/>
    <w:rsid w:val="00531092"/>
    <w:rsid w:val="00531E88"/>
    <w:rsid w:val="005323FE"/>
    <w:rsid w:val="00532B59"/>
    <w:rsid w:val="00532EA1"/>
    <w:rsid w:val="005342C5"/>
    <w:rsid w:val="005344DB"/>
    <w:rsid w:val="00534C78"/>
    <w:rsid w:val="0053520F"/>
    <w:rsid w:val="0053537B"/>
    <w:rsid w:val="00535594"/>
    <w:rsid w:val="005356B7"/>
    <w:rsid w:val="00535E5A"/>
    <w:rsid w:val="00536326"/>
    <w:rsid w:val="00536398"/>
    <w:rsid w:val="00536613"/>
    <w:rsid w:val="00536B63"/>
    <w:rsid w:val="00536BD1"/>
    <w:rsid w:val="00537715"/>
    <w:rsid w:val="0054020D"/>
    <w:rsid w:val="0054030B"/>
    <w:rsid w:val="00540430"/>
    <w:rsid w:val="00540582"/>
    <w:rsid w:val="00540622"/>
    <w:rsid w:val="0054087B"/>
    <w:rsid w:val="00540E0A"/>
    <w:rsid w:val="00541032"/>
    <w:rsid w:val="005414DC"/>
    <w:rsid w:val="005418E6"/>
    <w:rsid w:val="0054198A"/>
    <w:rsid w:val="00542660"/>
    <w:rsid w:val="00542698"/>
    <w:rsid w:val="00542B67"/>
    <w:rsid w:val="00542BCA"/>
    <w:rsid w:val="00542CBD"/>
    <w:rsid w:val="005433CC"/>
    <w:rsid w:val="00543534"/>
    <w:rsid w:val="0054396C"/>
    <w:rsid w:val="00543DB7"/>
    <w:rsid w:val="00543FBC"/>
    <w:rsid w:val="00544110"/>
    <w:rsid w:val="00544B99"/>
    <w:rsid w:val="00545277"/>
    <w:rsid w:val="0054551B"/>
    <w:rsid w:val="00545BCA"/>
    <w:rsid w:val="0054659C"/>
    <w:rsid w:val="00546911"/>
    <w:rsid w:val="005469A9"/>
    <w:rsid w:val="0054718D"/>
    <w:rsid w:val="0054757E"/>
    <w:rsid w:val="00547C9E"/>
    <w:rsid w:val="005505B1"/>
    <w:rsid w:val="005508FE"/>
    <w:rsid w:val="00550AF5"/>
    <w:rsid w:val="00550C64"/>
    <w:rsid w:val="00550CA9"/>
    <w:rsid w:val="00550F73"/>
    <w:rsid w:val="005519A4"/>
    <w:rsid w:val="00551A84"/>
    <w:rsid w:val="0055255C"/>
    <w:rsid w:val="00552A4D"/>
    <w:rsid w:val="00552D9F"/>
    <w:rsid w:val="005530E3"/>
    <w:rsid w:val="00553B39"/>
    <w:rsid w:val="00553E62"/>
    <w:rsid w:val="005540A3"/>
    <w:rsid w:val="005543FE"/>
    <w:rsid w:val="00554414"/>
    <w:rsid w:val="0055452C"/>
    <w:rsid w:val="0055487A"/>
    <w:rsid w:val="00554ABF"/>
    <w:rsid w:val="00554C2C"/>
    <w:rsid w:val="005550F9"/>
    <w:rsid w:val="005552C1"/>
    <w:rsid w:val="00555396"/>
    <w:rsid w:val="0055551E"/>
    <w:rsid w:val="005556D3"/>
    <w:rsid w:val="00555A8E"/>
    <w:rsid w:val="00555F1F"/>
    <w:rsid w:val="0055672F"/>
    <w:rsid w:val="00556DFC"/>
    <w:rsid w:val="0055705C"/>
    <w:rsid w:val="00557E1F"/>
    <w:rsid w:val="0055AB55"/>
    <w:rsid w:val="005603F9"/>
    <w:rsid w:val="00560C3D"/>
    <w:rsid w:val="00560DD3"/>
    <w:rsid w:val="00560E78"/>
    <w:rsid w:val="00561571"/>
    <w:rsid w:val="005619F4"/>
    <w:rsid w:val="00561A71"/>
    <w:rsid w:val="00561BB7"/>
    <w:rsid w:val="00561FB8"/>
    <w:rsid w:val="0056267F"/>
    <w:rsid w:val="00562778"/>
    <w:rsid w:val="00562F41"/>
    <w:rsid w:val="0056313E"/>
    <w:rsid w:val="00563217"/>
    <w:rsid w:val="00563EFE"/>
    <w:rsid w:val="00564427"/>
    <w:rsid w:val="00564C0A"/>
    <w:rsid w:val="00564CE0"/>
    <w:rsid w:val="00565047"/>
    <w:rsid w:val="005653F0"/>
    <w:rsid w:val="00565980"/>
    <w:rsid w:val="005659C0"/>
    <w:rsid w:val="00565BFA"/>
    <w:rsid w:val="0056600F"/>
    <w:rsid w:val="0056633E"/>
    <w:rsid w:val="00566736"/>
    <w:rsid w:val="0056702A"/>
    <w:rsid w:val="005670D4"/>
    <w:rsid w:val="00567323"/>
    <w:rsid w:val="0056754B"/>
    <w:rsid w:val="00567FF2"/>
    <w:rsid w:val="005701AF"/>
    <w:rsid w:val="00570416"/>
    <w:rsid w:val="0057072E"/>
    <w:rsid w:val="00570B7A"/>
    <w:rsid w:val="00570C13"/>
    <w:rsid w:val="00570FDA"/>
    <w:rsid w:val="00571999"/>
    <w:rsid w:val="00571A0D"/>
    <w:rsid w:val="00571BEC"/>
    <w:rsid w:val="00571D9B"/>
    <w:rsid w:val="0057256F"/>
    <w:rsid w:val="00572657"/>
    <w:rsid w:val="00572A2B"/>
    <w:rsid w:val="00572CF2"/>
    <w:rsid w:val="00573125"/>
    <w:rsid w:val="00573A5B"/>
    <w:rsid w:val="00573FD1"/>
    <w:rsid w:val="00574178"/>
    <w:rsid w:val="005741FF"/>
    <w:rsid w:val="00574CE8"/>
    <w:rsid w:val="00574D70"/>
    <w:rsid w:val="00574F7B"/>
    <w:rsid w:val="0057555B"/>
    <w:rsid w:val="0057559D"/>
    <w:rsid w:val="00575A39"/>
    <w:rsid w:val="00575BB2"/>
    <w:rsid w:val="00575D7B"/>
    <w:rsid w:val="00575F91"/>
    <w:rsid w:val="00576017"/>
    <w:rsid w:val="00576BD5"/>
    <w:rsid w:val="00577053"/>
    <w:rsid w:val="00577400"/>
    <w:rsid w:val="00577A82"/>
    <w:rsid w:val="00577F69"/>
    <w:rsid w:val="00580F32"/>
    <w:rsid w:val="005817E4"/>
    <w:rsid w:val="00582639"/>
    <w:rsid w:val="005828A9"/>
    <w:rsid w:val="00582FBF"/>
    <w:rsid w:val="00583680"/>
    <w:rsid w:val="00583784"/>
    <w:rsid w:val="00583B25"/>
    <w:rsid w:val="00583FBE"/>
    <w:rsid w:val="00584293"/>
    <w:rsid w:val="005843F7"/>
    <w:rsid w:val="00584685"/>
    <w:rsid w:val="005846AC"/>
    <w:rsid w:val="0058495C"/>
    <w:rsid w:val="00584AA5"/>
    <w:rsid w:val="00584C7D"/>
    <w:rsid w:val="0058565F"/>
    <w:rsid w:val="00585929"/>
    <w:rsid w:val="00585BC2"/>
    <w:rsid w:val="00585E72"/>
    <w:rsid w:val="00587722"/>
    <w:rsid w:val="00587CD2"/>
    <w:rsid w:val="00590227"/>
    <w:rsid w:val="005904BA"/>
    <w:rsid w:val="005904C6"/>
    <w:rsid w:val="005905E8"/>
    <w:rsid w:val="005906EC"/>
    <w:rsid w:val="00590A05"/>
    <w:rsid w:val="00591496"/>
    <w:rsid w:val="00591568"/>
    <w:rsid w:val="00591621"/>
    <w:rsid w:val="00591684"/>
    <w:rsid w:val="00591FA0"/>
    <w:rsid w:val="0059257D"/>
    <w:rsid w:val="00592955"/>
    <w:rsid w:val="00593968"/>
    <w:rsid w:val="00593D36"/>
    <w:rsid w:val="00594BE7"/>
    <w:rsid w:val="00594E58"/>
    <w:rsid w:val="00595366"/>
    <w:rsid w:val="005958D5"/>
    <w:rsid w:val="00595B8E"/>
    <w:rsid w:val="00595FBC"/>
    <w:rsid w:val="00596021"/>
    <w:rsid w:val="0059633A"/>
    <w:rsid w:val="00596510"/>
    <w:rsid w:val="005966CA"/>
    <w:rsid w:val="00596A63"/>
    <w:rsid w:val="00596D15"/>
    <w:rsid w:val="005970F9"/>
    <w:rsid w:val="00597129"/>
    <w:rsid w:val="005976C9"/>
    <w:rsid w:val="005977A4"/>
    <w:rsid w:val="0059790A"/>
    <w:rsid w:val="00597A2A"/>
    <w:rsid w:val="00597C5D"/>
    <w:rsid w:val="00597E9C"/>
    <w:rsid w:val="005A0078"/>
    <w:rsid w:val="005A01CC"/>
    <w:rsid w:val="005A0492"/>
    <w:rsid w:val="005A0551"/>
    <w:rsid w:val="005A0BFD"/>
    <w:rsid w:val="005A0C2D"/>
    <w:rsid w:val="005A10A7"/>
    <w:rsid w:val="005A1297"/>
    <w:rsid w:val="005A135E"/>
    <w:rsid w:val="005A1652"/>
    <w:rsid w:val="005A1726"/>
    <w:rsid w:val="005A185F"/>
    <w:rsid w:val="005A285A"/>
    <w:rsid w:val="005A29DC"/>
    <w:rsid w:val="005A29EC"/>
    <w:rsid w:val="005A3307"/>
    <w:rsid w:val="005A3C7D"/>
    <w:rsid w:val="005A4ACB"/>
    <w:rsid w:val="005A5242"/>
    <w:rsid w:val="005A54C7"/>
    <w:rsid w:val="005A55D9"/>
    <w:rsid w:val="005A5612"/>
    <w:rsid w:val="005A5C13"/>
    <w:rsid w:val="005A5DE1"/>
    <w:rsid w:val="005A6165"/>
    <w:rsid w:val="005A6352"/>
    <w:rsid w:val="005A698B"/>
    <w:rsid w:val="005A6A12"/>
    <w:rsid w:val="005A6ABA"/>
    <w:rsid w:val="005A6B3E"/>
    <w:rsid w:val="005A7004"/>
    <w:rsid w:val="005A7849"/>
    <w:rsid w:val="005A7AC6"/>
    <w:rsid w:val="005A7DDA"/>
    <w:rsid w:val="005A7E15"/>
    <w:rsid w:val="005A7EC0"/>
    <w:rsid w:val="005B01EB"/>
    <w:rsid w:val="005B05B0"/>
    <w:rsid w:val="005B06C8"/>
    <w:rsid w:val="005B0A11"/>
    <w:rsid w:val="005B0B2B"/>
    <w:rsid w:val="005B0C28"/>
    <w:rsid w:val="005B17A1"/>
    <w:rsid w:val="005B1E23"/>
    <w:rsid w:val="005B1E4F"/>
    <w:rsid w:val="005B2237"/>
    <w:rsid w:val="005B2648"/>
    <w:rsid w:val="005B293C"/>
    <w:rsid w:val="005B2A46"/>
    <w:rsid w:val="005B3109"/>
    <w:rsid w:val="005B37DD"/>
    <w:rsid w:val="005B3FBA"/>
    <w:rsid w:val="005B4204"/>
    <w:rsid w:val="005B44CA"/>
    <w:rsid w:val="005B4F27"/>
    <w:rsid w:val="005B51E3"/>
    <w:rsid w:val="005B532F"/>
    <w:rsid w:val="005B5ED1"/>
    <w:rsid w:val="005B6014"/>
    <w:rsid w:val="005B6BCE"/>
    <w:rsid w:val="005B6E5B"/>
    <w:rsid w:val="005B7B4A"/>
    <w:rsid w:val="005C04F3"/>
    <w:rsid w:val="005C052A"/>
    <w:rsid w:val="005C069F"/>
    <w:rsid w:val="005C0727"/>
    <w:rsid w:val="005C07FE"/>
    <w:rsid w:val="005C0B44"/>
    <w:rsid w:val="005C0D58"/>
    <w:rsid w:val="005C138F"/>
    <w:rsid w:val="005C1C79"/>
    <w:rsid w:val="005C1CCE"/>
    <w:rsid w:val="005C1E1B"/>
    <w:rsid w:val="005C22A0"/>
    <w:rsid w:val="005C22BC"/>
    <w:rsid w:val="005C2394"/>
    <w:rsid w:val="005C2CC6"/>
    <w:rsid w:val="005C36AE"/>
    <w:rsid w:val="005C3B0C"/>
    <w:rsid w:val="005C4174"/>
    <w:rsid w:val="005C4D57"/>
    <w:rsid w:val="005C5BE1"/>
    <w:rsid w:val="005C5C0A"/>
    <w:rsid w:val="005C5D99"/>
    <w:rsid w:val="005C654C"/>
    <w:rsid w:val="005C6622"/>
    <w:rsid w:val="005C66FC"/>
    <w:rsid w:val="005C681D"/>
    <w:rsid w:val="005C6B0C"/>
    <w:rsid w:val="005C756A"/>
    <w:rsid w:val="005C7C50"/>
    <w:rsid w:val="005D0027"/>
    <w:rsid w:val="005D0E23"/>
    <w:rsid w:val="005D0E58"/>
    <w:rsid w:val="005D11C0"/>
    <w:rsid w:val="005D1445"/>
    <w:rsid w:val="005D1586"/>
    <w:rsid w:val="005D1BD0"/>
    <w:rsid w:val="005D2539"/>
    <w:rsid w:val="005D25DF"/>
    <w:rsid w:val="005D27F3"/>
    <w:rsid w:val="005D2820"/>
    <w:rsid w:val="005D2F33"/>
    <w:rsid w:val="005D34B9"/>
    <w:rsid w:val="005D397D"/>
    <w:rsid w:val="005D3AF7"/>
    <w:rsid w:val="005D3CBE"/>
    <w:rsid w:val="005D43EF"/>
    <w:rsid w:val="005D44E3"/>
    <w:rsid w:val="005D46E0"/>
    <w:rsid w:val="005D53FD"/>
    <w:rsid w:val="005D542D"/>
    <w:rsid w:val="005D573C"/>
    <w:rsid w:val="005D58A5"/>
    <w:rsid w:val="005D5F95"/>
    <w:rsid w:val="005D61E6"/>
    <w:rsid w:val="005D620B"/>
    <w:rsid w:val="005D6467"/>
    <w:rsid w:val="005D6A5D"/>
    <w:rsid w:val="005D7257"/>
    <w:rsid w:val="005D73EF"/>
    <w:rsid w:val="005D798C"/>
    <w:rsid w:val="005D7B4A"/>
    <w:rsid w:val="005D7B60"/>
    <w:rsid w:val="005D7C1B"/>
    <w:rsid w:val="005D7E2A"/>
    <w:rsid w:val="005E0D78"/>
    <w:rsid w:val="005E1041"/>
    <w:rsid w:val="005E146F"/>
    <w:rsid w:val="005E18F9"/>
    <w:rsid w:val="005E1910"/>
    <w:rsid w:val="005E1BA3"/>
    <w:rsid w:val="005E3469"/>
    <w:rsid w:val="005E3A44"/>
    <w:rsid w:val="005E3AB6"/>
    <w:rsid w:val="005E3D3B"/>
    <w:rsid w:val="005E4832"/>
    <w:rsid w:val="005E4AAF"/>
    <w:rsid w:val="005E4F4A"/>
    <w:rsid w:val="005E51C6"/>
    <w:rsid w:val="005E588F"/>
    <w:rsid w:val="005E5A80"/>
    <w:rsid w:val="005E5C7C"/>
    <w:rsid w:val="005E5EE9"/>
    <w:rsid w:val="005E600B"/>
    <w:rsid w:val="005E623E"/>
    <w:rsid w:val="005E628D"/>
    <w:rsid w:val="005E662E"/>
    <w:rsid w:val="005E68F0"/>
    <w:rsid w:val="005E6C9C"/>
    <w:rsid w:val="005E6E18"/>
    <w:rsid w:val="005E6ED5"/>
    <w:rsid w:val="005E6FD7"/>
    <w:rsid w:val="005E7D97"/>
    <w:rsid w:val="005F0940"/>
    <w:rsid w:val="005F0DA9"/>
    <w:rsid w:val="005F1431"/>
    <w:rsid w:val="005F1882"/>
    <w:rsid w:val="005F1EA3"/>
    <w:rsid w:val="005F21D4"/>
    <w:rsid w:val="005F2421"/>
    <w:rsid w:val="005F3189"/>
    <w:rsid w:val="005F343A"/>
    <w:rsid w:val="005F3617"/>
    <w:rsid w:val="005F44C8"/>
    <w:rsid w:val="005F52A6"/>
    <w:rsid w:val="005F55CC"/>
    <w:rsid w:val="005F5AC0"/>
    <w:rsid w:val="005F5F7F"/>
    <w:rsid w:val="005F741E"/>
    <w:rsid w:val="005F7CBE"/>
    <w:rsid w:val="005F7CF2"/>
    <w:rsid w:val="00600139"/>
    <w:rsid w:val="00600361"/>
    <w:rsid w:val="00600914"/>
    <w:rsid w:val="00600B5B"/>
    <w:rsid w:val="00600EDA"/>
    <w:rsid w:val="0060141C"/>
    <w:rsid w:val="006015AB"/>
    <w:rsid w:val="006017B6"/>
    <w:rsid w:val="00601E2C"/>
    <w:rsid w:val="006020C2"/>
    <w:rsid w:val="006021E2"/>
    <w:rsid w:val="0060259B"/>
    <w:rsid w:val="006026E1"/>
    <w:rsid w:val="00603014"/>
    <w:rsid w:val="00603236"/>
    <w:rsid w:val="006033C2"/>
    <w:rsid w:val="0060346D"/>
    <w:rsid w:val="006034E6"/>
    <w:rsid w:val="0060354B"/>
    <w:rsid w:val="006035D1"/>
    <w:rsid w:val="006036FF"/>
    <w:rsid w:val="00603774"/>
    <w:rsid w:val="00604B45"/>
    <w:rsid w:val="00605232"/>
    <w:rsid w:val="00605401"/>
    <w:rsid w:val="0060560B"/>
    <w:rsid w:val="00605996"/>
    <w:rsid w:val="006059B3"/>
    <w:rsid w:val="006064B6"/>
    <w:rsid w:val="0060673E"/>
    <w:rsid w:val="006068B2"/>
    <w:rsid w:val="00606F1E"/>
    <w:rsid w:val="0060709C"/>
    <w:rsid w:val="00607669"/>
    <w:rsid w:val="006076B7"/>
    <w:rsid w:val="00607B70"/>
    <w:rsid w:val="00607B78"/>
    <w:rsid w:val="00607E71"/>
    <w:rsid w:val="00610D10"/>
    <w:rsid w:val="00610D2D"/>
    <w:rsid w:val="00610D32"/>
    <w:rsid w:val="0061112D"/>
    <w:rsid w:val="006115E5"/>
    <w:rsid w:val="00611861"/>
    <w:rsid w:val="00611C74"/>
    <w:rsid w:val="00611E5B"/>
    <w:rsid w:val="0061259F"/>
    <w:rsid w:val="006125DA"/>
    <w:rsid w:val="00612E7D"/>
    <w:rsid w:val="006132AF"/>
    <w:rsid w:val="006135F6"/>
    <w:rsid w:val="00613796"/>
    <w:rsid w:val="006139F4"/>
    <w:rsid w:val="00613CA8"/>
    <w:rsid w:val="00613FA7"/>
    <w:rsid w:val="006140A7"/>
    <w:rsid w:val="00614278"/>
    <w:rsid w:val="0061448E"/>
    <w:rsid w:val="00614906"/>
    <w:rsid w:val="0061498B"/>
    <w:rsid w:val="00614C7E"/>
    <w:rsid w:val="00614E61"/>
    <w:rsid w:val="006162D0"/>
    <w:rsid w:val="006163C6"/>
    <w:rsid w:val="00616505"/>
    <w:rsid w:val="0061684F"/>
    <w:rsid w:val="00616D32"/>
    <w:rsid w:val="00616D78"/>
    <w:rsid w:val="00616F1F"/>
    <w:rsid w:val="00616FB7"/>
    <w:rsid w:val="00617320"/>
    <w:rsid w:val="0061747F"/>
    <w:rsid w:val="006176BA"/>
    <w:rsid w:val="006179FA"/>
    <w:rsid w:val="00617B7B"/>
    <w:rsid w:val="00620638"/>
    <w:rsid w:val="00620F1E"/>
    <w:rsid w:val="00621417"/>
    <w:rsid w:val="00621636"/>
    <w:rsid w:val="00621792"/>
    <w:rsid w:val="00621CB5"/>
    <w:rsid w:val="00622566"/>
    <w:rsid w:val="00623530"/>
    <w:rsid w:val="00623744"/>
    <w:rsid w:val="006238A4"/>
    <w:rsid w:val="00623CD5"/>
    <w:rsid w:val="00623D36"/>
    <w:rsid w:val="00624045"/>
    <w:rsid w:val="0062408B"/>
    <w:rsid w:val="006244BD"/>
    <w:rsid w:val="0062483C"/>
    <w:rsid w:val="0062487B"/>
    <w:rsid w:val="00624A67"/>
    <w:rsid w:val="00624B17"/>
    <w:rsid w:val="0062526E"/>
    <w:rsid w:val="00625D48"/>
    <w:rsid w:val="00625E81"/>
    <w:rsid w:val="006265A8"/>
    <w:rsid w:val="00626A2B"/>
    <w:rsid w:val="00626B6A"/>
    <w:rsid w:val="0062706B"/>
    <w:rsid w:val="006271FC"/>
    <w:rsid w:val="0062768B"/>
    <w:rsid w:val="006301B1"/>
    <w:rsid w:val="00630A03"/>
    <w:rsid w:val="00630CB2"/>
    <w:rsid w:val="0063120E"/>
    <w:rsid w:val="00631450"/>
    <w:rsid w:val="00631768"/>
    <w:rsid w:val="00631E31"/>
    <w:rsid w:val="00632D46"/>
    <w:rsid w:val="006331E9"/>
    <w:rsid w:val="006336F9"/>
    <w:rsid w:val="00633984"/>
    <w:rsid w:val="00633F25"/>
    <w:rsid w:val="00633F9F"/>
    <w:rsid w:val="00634370"/>
    <w:rsid w:val="00634440"/>
    <w:rsid w:val="0063464D"/>
    <w:rsid w:val="006348F8"/>
    <w:rsid w:val="00634BE1"/>
    <w:rsid w:val="00634F27"/>
    <w:rsid w:val="00634FCD"/>
    <w:rsid w:val="006350A6"/>
    <w:rsid w:val="0063571C"/>
    <w:rsid w:val="00636031"/>
    <w:rsid w:val="0063641F"/>
    <w:rsid w:val="00636B8E"/>
    <w:rsid w:val="00637549"/>
    <w:rsid w:val="00637685"/>
    <w:rsid w:val="00637693"/>
    <w:rsid w:val="00637760"/>
    <w:rsid w:val="00640FD6"/>
    <w:rsid w:val="00641194"/>
    <w:rsid w:val="00641674"/>
    <w:rsid w:val="00641D53"/>
    <w:rsid w:val="00641F2C"/>
    <w:rsid w:val="00643176"/>
    <w:rsid w:val="006431EA"/>
    <w:rsid w:val="006434BD"/>
    <w:rsid w:val="006435F6"/>
    <w:rsid w:val="006439FE"/>
    <w:rsid w:val="00643A30"/>
    <w:rsid w:val="006440EB"/>
    <w:rsid w:val="00644B91"/>
    <w:rsid w:val="0064512C"/>
    <w:rsid w:val="0064556D"/>
    <w:rsid w:val="006455C9"/>
    <w:rsid w:val="006459FC"/>
    <w:rsid w:val="00645D52"/>
    <w:rsid w:val="00645EBD"/>
    <w:rsid w:val="00646000"/>
    <w:rsid w:val="0064647C"/>
    <w:rsid w:val="00646A44"/>
    <w:rsid w:val="00646C37"/>
    <w:rsid w:val="006473C8"/>
    <w:rsid w:val="00647FA8"/>
    <w:rsid w:val="00650395"/>
    <w:rsid w:val="00650F7A"/>
    <w:rsid w:val="00650F7E"/>
    <w:rsid w:val="00651487"/>
    <w:rsid w:val="006516FE"/>
    <w:rsid w:val="00651E2D"/>
    <w:rsid w:val="0065270C"/>
    <w:rsid w:val="00652D1E"/>
    <w:rsid w:val="00652E40"/>
    <w:rsid w:val="00653276"/>
    <w:rsid w:val="00653AF3"/>
    <w:rsid w:val="00653CCD"/>
    <w:rsid w:val="0065419D"/>
    <w:rsid w:val="00655421"/>
    <w:rsid w:val="00655A0B"/>
    <w:rsid w:val="00655C42"/>
    <w:rsid w:val="006566F2"/>
    <w:rsid w:val="006573F6"/>
    <w:rsid w:val="00657666"/>
    <w:rsid w:val="0065790A"/>
    <w:rsid w:val="006604DF"/>
    <w:rsid w:val="006608FB"/>
    <w:rsid w:val="00660A55"/>
    <w:rsid w:val="00660A7C"/>
    <w:rsid w:val="00660A9E"/>
    <w:rsid w:val="00660B0F"/>
    <w:rsid w:val="00660D79"/>
    <w:rsid w:val="00661CA6"/>
    <w:rsid w:val="00661F7D"/>
    <w:rsid w:val="00664351"/>
    <w:rsid w:val="00664406"/>
    <w:rsid w:val="00664765"/>
    <w:rsid w:val="006648DC"/>
    <w:rsid w:val="00664A7B"/>
    <w:rsid w:val="00664BC0"/>
    <w:rsid w:val="00665518"/>
    <w:rsid w:val="006659B8"/>
    <w:rsid w:val="006659C8"/>
    <w:rsid w:val="00666018"/>
    <w:rsid w:val="006660BB"/>
    <w:rsid w:val="006666E8"/>
    <w:rsid w:val="00666DFC"/>
    <w:rsid w:val="00667259"/>
    <w:rsid w:val="00667424"/>
    <w:rsid w:val="00667AE6"/>
    <w:rsid w:val="00667B3E"/>
    <w:rsid w:val="00671169"/>
    <w:rsid w:val="00671173"/>
    <w:rsid w:val="00671ACA"/>
    <w:rsid w:val="00672CF8"/>
    <w:rsid w:val="00672E4B"/>
    <w:rsid w:val="00672EDF"/>
    <w:rsid w:val="00672FBD"/>
    <w:rsid w:val="006734E2"/>
    <w:rsid w:val="00673723"/>
    <w:rsid w:val="00673BD6"/>
    <w:rsid w:val="00674236"/>
    <w:rsid w:val="00674E9A"/>
    <w:rsid w:val="00675218"/>
    <w:rsid w:val="0067522E"/>
    <w:rsid w:val="00675253"/>
    <w:rsid w:val="006752C9"/>
    <w:rsid w:val="00675C94"/>
    <w:rsid w:val="00675FA3"/>
    <w:rsid w:val="00676134"/>
    <w:rsid w:val="006763EB"/>
    <w:rsid w:val="0067692F"/>
    <w:rsid w:val="00676C6F"/>
    <w:rsid w:val="00676CA4"/>
    <w:rsid w:val="00676D26"/>
    <w:rsid w:val="00676EB1"/>
    <w:rsid w:val="006772B7"/>
    <w:rsid w:val="00677383"/>
    <w:rsid w:val="006775BD"/>
    <w:rsid w:val="006775F2"/>
    <w:rsid w:val="00677850"/>
    <w:rsid w:val="00677859"/>
    <w:rsid w:val="00677B46"/>
    <w:rsid w:val="00677CA0"/>
    <w:rsid w:val="00677F31"/>
    <w:rsid w:val="006807CE"/>
    <w:rsid w:val="006809B4"/>
    <w:rsid w:val="006809E7"/>
    <w:rsid w:val="00680AB7"/>
    <w:rsid w:val="00680D21"/>
    <w:rsid w:val="00680E37"/>
    <w:rsid w:val="006815BF"/>
    <w:rsid w:val="00681860"/>
    <w:rsid w:val="006819A3"/>
    <w:rsid w:val="00681A5A"/>
    <w:rsid w:val="00681C3D"/>
    <w:rsid w:val="006820B5"/>
    <w:rsid w:val="006824C6"/>
    <w:rsid w:val="00682749"/>
    <w:rsid w:val="00682B37"/>
    <w:rsid w:val="006836A6"/>
    <w:rsid w:val="00683E05"/>
    <w:rsid w:val="00684275"/>
    <w:rsid w:val="0068463F"/>
    <w:rsid w:val="006847BD"/>
    <w:rsid w:val="00685182"/>
    <w:rsid w:val="00685945"/>
    <w:rsid w:val="00685A74"/>
    <w:rsid w:val="00685C3D"/>
    <w:rsid w:val="00685CFC"/>
    <w:rsid w:val="00686150"/>
    <w:rsid w:val="0068665B"/>
    <w:rsid w:val="0068687A"/>
    <w:rsid w:val="00686D18"/>
    <w:rsid w:val="00686ED7"/>
    <w:rsid w:val="00687989"/>
    <w:rsid w:val="0069046F"/>
    <w:rsid w:val="00690A2E"/>
    <w:rsid w:val="00690D04"/>
    <w:rsid w:val="00691822"/>
    <w:rsid w:val="006920D1"/>
    <w:rsid w:val="006923D0"/>
    <w:rsid w:val="0069253D"/>
    <w:rsid w:val="006929A2"/>
    <w:rsid w:val="00692AB1"/>
    <w:rsid w:val="00692DDF"/>
    <w:rsid w:val="00693796"/>
    <w:rsid w:val="006939C7"/>
    <w:rsid w:val="006939D8"/>
    <w:rsid w:val="00693A3E"/>
    <w:rsid w:val="00693B2F"/>
    <w:rsid w:val="00693E66"/>
    <w:rsid w:val="006940B8"/>
    <w:rsid w:val="00694730"/>
    <w:rsid w:val="00695095"/>
    <w:rsid w:val="00696201"/>
    <w:rsid w:val="006967E1"/>
    <w:rsid w:val="00696CE0"/>
    <w:rsid w:val="00696D2D"/>
    <w:rsid w:val="00697814"/>
    <w:rsid w:val="00697EDA"/>
    <w:rsid w:val="006A091E"/>
    <w:rsid w:val="006A12AC"/>
    <w:rsid w:val="006A1357"/>
    <w:rsid w:val="006A19DA"/>
    <w:rsid w:val="006A1BFF"/>
    <w:rsid w:val="006A1D95"/>
    <w:rsid w:val="006A2A93"/>
    <w:rsid w:val="006A36B0"/>
    <w:rsid w:val="006A3CD4"/>
    <w:rsid w:val="006A4455"/>
    <w:rsid w:val="006A48D3"/>
    <w:rsid w:val="006A4B1B"/>
    <w:rsid w:val="006A4EC5"/>
    <w:rsid w:val="006A5244"/>
    <w:rsid w:val="006A53D1"/>
    <w:rsid w:val="006A55EB"/>
    <w:rsid w:val="006A5613"/>
    <w:rsid w:val="006A62E3"/>
    <w:rsid w:val="006A6499"/>
    <w:rsid w:val="006A6947"/>
    <w:rsid w:val="006A6EB6"/>
    <w:rsid w:val="006A704C"/>
    <w:rsid w:val="006A74E0"/>
    <w:rsid w:val="006A7CCC"/>
    <w:rsid w:val="006B0575"/>
    <w:rsid w:val="006B07ED"/>
    <w:rsid w:val="006B0877"/>
    <w:rsid w:val="006B12FB"/>
    <w:rsid w:val="006B161C"/>
    <w:rsid w:val="006B187E"/>
    <w:rsid w:val="006B303B"/>
    <w:rsid w:val="006B337A"/>
    <w:rsid w:val="006B3948"/>
    <w:rsid w:val="006B3A00"/>
    <w:rsid w:val="006B4303"/>
    <w:rsid w:val="006B43EE"/>
    <w:rsid w:val="006B47F5"/>
    <w:rsid w:val="006B4C1B"/>
    <w:rsid w:val="006B5115"/>
    <w:rsid w:val="006B6C69"/>
    <w:rsid w:val="006B6E79"/>
    <w:rsid w:val="006B7198"/>
    <w:rsid w:val="006B719E"/>
    <w:rsid w:val="006B7644"/>
    <w:rsid w:val="006B7B2B"/>
    <w:rsid w:val="006C006D"/>
    <w:rsid w:val="006C0B02"/>
    <w:rsid w:val="006C14F1"/>
    <w:rsid w:val="006C196D"/>
    <w:rsid w:val="006C1A1F"/>
    <w:rsid w:val="006C1BF0"/>
    <w:rsid w:val="006C2824"/>
    <w:rsid w:val="006C2EDA"/>
    <w:rsid w:val="006C30E0"/>
    <w:rsid w:val="006C3610"/>
    <w:rsid w:val="006C3A19"/>
    <w:rsid w:val="006C3DDF"/>
    <w:rsid w:val="006C404A"/>
    <w:rsid w:val="006C44E2"/>
    <w:rsid w:val="006C467C"/>
    <w:rsid w:val="006C4DCE"/>
    <w:rsid w:val="006C571A"/>
    <w:rsid w:val="006C600B"/>
    <w:rsid w:val="006C67DD"/>
    <w:rsid w:val="006C6CF8"/>
    <w:rsid w:val="006C7309"/>
    <w:rsid w:val="006C74A2"/>
    <w:rsid w:val="006C783A"/>
    <w:rsid w:val="006C78C0"/>
    <w:rsid w:val="006C7C59"/>
    <w:rsid w:val="006C7D61"/>
    <w:rsid w:val="006C7E7F"/>
    <w:rsid w:val="006D068A"/>
    <w:rsid w:val="006D0A19"/>
    <w:rsid w:val="006D102B"/>
    <w:rsid w:val="006D10B0"/>
    <w:rsid w:val="006D10BB"/>
    <w:rsid w:val="006D1B48"/>
    <w:rsid w:val="006D1BCC"/>
    <w:rsid w:val="006D2CD5"/>
    <w:rsid w:val="006D2F2A"/>
    <w:rsid w:val="006D31EE"/>
    <w:rsid w:val="006D37A8"/>
    <w:rsid w:val="006D3934"/>
    <w:rsid w:val="006D3B38"/>
    <w:rsid w:val="006D4176"/>
    <w:rsid w:val="006D496B"/>
    <w:rsid w:val="006D4C69"/>
    <w:rsid w:val="006D4D71"/>
    <w:rsid w:val="006D56EB"/>
    <w:rsid w:val="006D589C"/>
    <w:rsid w:val="006D5BBC"/>
    <w:rsid w:val="006D7303"/>
    <w:rsid w:val="006D7525"/>
    <w:rsid w:val="006D763A"/>
    <w:rsid w:val="006E00CE"/>
    <w:rsid w:val="006E07D2"/>
    <w:rsid w:val="006E10B9"/>
    <w:rsid w:val="006E1376"/>
    <w:rsid w:val="006E1DF4"/>
    <w:rsid w:val="006E1EB3"/>
    <w:rsid w:val="006E1EC7"/>
    <w:rsid w:val="006E2562"/>
    <w:rsid w:val="006E2A1D"/>
    <w:rsid w:val="006E2F09"/>
    <w:rsid w:val="006E3201"/>
    <w:rsid w:val="006E3316"/>
    <w:rsid w:val="006E33E6"/>
    <w:rsid w:val="006E380E"/>
    <w:rsid w:val="006E3937"/>
    <w:rsid w:val="006E3C6E"/>
    <w:rsid w:val="006E45AB"/>
    <w:rsid w:val="006E471B"/>
    <w:rsid w:val="006E52F5"/>
    <w:rsid w:val="006E5462"/>
    <w:rsid w:val="006E566C"/>
    <w:rsid w:val="006E62EF"/>
    <w:rsid w:val="006E65DF"/>
    <w:rsid w:val="006E6714"/>
    <w:rsid w:val="006E725A"/>
    <w:rsid w:val="006E7734"/>
    <w:rsid w:val="006E79B0"/>
    <w:rsid w:val="006F04AE"/>
    <w:rsid w:val="006F04D5"/>
    <w:rsid w:val="006F12B4"/>
    <w:rsid w:val="006F192F"/>
    <w:rsid w:val="006F19F2"/>
    <w:rsid w:val="006F220D"/>
    <w:rsid w:val="006F251B"/>
    <w:rsid w:val="006F2637"/>
    <w:rsid w:val="006F2AB7"/>
    <w:rsid w:val="006F33B7"/>
    <w:rsid w:val="006F3DBE"/>
    <w:rsid w:val="006F3F65"/>
    <w:rsid w:val="006F4129"/>
    <w:rsid w:val="006F431E"/>
    <w:rsid w:val="006F4791"/>
    <w:rsid w:val="006F483F"/>
    <w:rsid w:val="006F4B80"/>
    <w:rsid w:val="006F4E1F"/>
    <w:rsid w:val="006F5052"/>
    <w:rsid w:val="006F5114"/>
    <w:rsid w:val="006F5697"/>
    <w:rsid w:val="006F60B3"/>
    <w:rsid w:val="006F69FA"/>
    <w:rsid w:val="006F6B85"/>
    <w:rsid w:val="006F6D77"/>
    <w:rsid w:val="006F6F35"/>
    <w:rsid w:val="006F765A"/>
    <w:rsid w:val="006F79A8"/>
    <w:rsid w:val="00700549"/>
    <w:rsid w:val="007007FF"/>
    <w:rsid w:val="00700A2F"/>
    <w:rsid w:val="0070171F"/>
    <w:rsid w:val="00701A7F"/>
    <w:rsid w:val="0070203B"/>
    <w:rsid w:val="00702716"/>
    <w:rsid w:val="0070299A"/>
    <w:rsid w:val="007032B9"/>
    <w:rsid w:val="00703717"/>
    <w:rsid w:val="0070379B"/>
    <w:rsid w:val="00703AE6"/>
    <w:rsid w:val="007041EF"/>
    <w:rsid w:val="007042F0"/>
    <w:rsid w:val="007043D3"/>
    <w:rsid w:val="00705386"/>
    <w:rsid w:val="0070572A"/>
    <w:rsid w:val="007058E0"/>
    <w:rsid w:val="00705AF6"/>
    <w:rsid w:val="00705E43"/>
    <w:rsid w:val="00705FA4"/>
    <w:rsid w:val="00706005"/>
    <w:rsid w:val="00706DE4"/>
    <w:rsid w:val="00707138"/>
    <w:rsid w:val="0070714E"/>
    <w:rsid w:val="007078B0"/>
    <w:rsid w:val="00707A98"/>
    <w:rsid w:val="00707E6D"/>
    <w:rsid w:val="00710217"/>
    <w:rsid w:val="00710539"/>
    <w:rsid w:val="007105FC"/>
    <w:rsid w:val="00710B11"/>
    <w:rsid w:val="0071172F"/>
    <w:rsid w:val="00711846"/>
    <w:rsid w:val="007119A2"/>
    <w:rsid w:val="00712184"/>
    <w:rsid w:val="007123EC"/>
    <w:rsid w:val="0071298D"/>
    <w:rsid w:val="007133B9"/>
    <w:rsid w:val="00713482"/>
    <w:rsid w:val="007135A5"/>
    <w:rsid w:val="00713BA7"/>
    <w:rsid w:val="00713BBE"/>
    <w:rsid w:val="00713F54"/>
    <w:rsid w:val="0071447D"/>
    <w:rsid w:val="0071474D"/>
    <w:rsid w:val="007147C4"/>
    <w:rsid w:val="0071483B"/>
    <w:rsid w:val="00714B00"/>
    <w:rsid w:val="00714CB5"/>
    <w:rsid w:val="00714E10"/>
    <w:rsid w:val="00715F42"/>
    <w:rsid w:val="00715F45"/>
    <w:rsid w:val="00715F86"/>
    <w:rsid w:val="007162CE"/>
    <w:rsid w:val="00716CB3"/>
    <w:rsid w:val="00717B1C"/>
    <w:rsid w:val="00717BC6"/>
    <w:rsid w:val="00717F29"/>
    <w:rsid w:val="00717F4B"/>
    <w:rsid w:val="00720417"/>
    <w:rsid w:val="00720B9E"/>
    <w:rsid w:val="007213ED"/>
    <w:rsid w:val="00722230"/>
    <w:rsid w:val="007226E2"/>
    <w:rsid w:val="007227F9"/>
    <w:rsid w:val="007228C8"/>
    <w:rsid w:val="00722BD7"/>
    <w:rsid w:val="0072323C"/>
    <w:rsid w:val="007238BE"/>
    <w:rsid w:val="00723988"/>
    <w:rsid w:val="00723BB7"/>
    <w:rsid w:val="00723C7C"/>
    <w:rsid w:val="00723DAF"/>
    <w:rsid w:val="0072409B"/>
    <w:rsid w:val="007240B1"/>
    <w:rsid w:val="00724653"/>
    <w:rsid w:val="0072508F"/>
    <w:rsid w:val="00725816"/>
    <w:rsid w:val="00725A65"/>
    <w:rsid w:val="00725FAD"/>
    <w:rsid w:val="0072619E"/>
    <w:rsid w:val="007262D9"/>
    <w:rsid w:val="007267CB"/>
    <w:rsid w:val="007269CD"/>
    <w:rsid w:val="00727155"/>
    <w:rsid w:val="00727363"/>
    <w:rsid w:val="007300CF"/>
    <w:rsid w:val="00730937"/>
    <w:rsid w:val="007309AA"/>
    <w:rsid w:val="00730A12"/>
    <w:rsid w:val="00730A70"/>
    <w:rsid w:val="00730EF4"/>
    <w:rsid w:val="00731372"/>
    <w:rsid w:val="007314FA"/>
    <w:rsid w:val="00731F7B"/>
    <w:rsid w:val="0073208D"/>
    <w:rsid w:val="007324C0"/>
    <w:rsid w:val="0073279E"/>
    <w:rsid w:val="007327CC"/>
    <w:rsid w:val="00732FC7"/>
    <w:rsid w:val="007337C4"/>
    <w:rsid w:val="00733A9F"/>
    <w:rsid w:val="00733AF5"/>
    <w:rsid w:val="00733DC6"/>
    <w:rsid w:val="00733E9A"/>
    <w:rsid w:val="0073424B"/>
    <w:rsid w:val="00734AE5"/>
    <w:rsid w:val="00734B19"/>
    <w:rsid w:val="00734C11"/>
    <w:rsid w:val="00734C74"/>
    <w:rsid w:val="00734ED8"/>
    <w:rsid w:val="00734F93"/>
    <w:rsid w:val="00735073"/>
    <w:rsid w:val="00735183"/>
    <w:rsid w:val="007353F4"/>
    <w:rsid w:val="0073554B"/>
    <w:rsid w:val="00735574"/>
    <w:rsid w:val="007356FC"/>
    <w:rsid w:val="007365F1"/>
    <w:rsid w:val="00736AFA"/>
    <w:rsid w:val="00736B30"/>
    <w:rsid w:val="00736FBD"/>
    <w:rsid w:val="00737062"/>
    <w:rsid w:val="007372DB"/>
    <w:rsid w:val="007377F5"/>
    <w:rsid w:val="00737F1C"/>
    <w:rsid w:val="00740077"/>
    <w:rsid w:val="0074024C"/>
    <w:rsid w:val="00740538"/>
    <w:rsid w:val="00740F1C"/>
    <w:rsid w:val="00741753"/>
    <w:rsid w:val="00741C17"/>
    <w:rsid w:val="007423E4"/>
    <w:rsid w:val="007428C2"/>
    <w:rsid w:val="00742D2F"/>
    <w:rsid w:val="00742E20"/>
    <w:rsid w:val="00743633"/>
    <w:rsid w:val="0074415F"/>
    <w:rsid w:val="007443A8"/>
    <w:rsid w:val="00744541"/>
    <w:rsid w:val="007447B7"/>
    <w:rsid w:val="00744BC6"/>
    <w:rsid w:val="00744BDC"/>
    <w:rsid w:val="007454DF"/>
    <w:rsid w:val="00746628"/>
    <w:rsid w:val="00746880"/>
    <w:rsid w:val="0074690B"/>
    <w:rsid w:val="00746B03"/>
    <w:rsid w:val="00746FC3"/>
    <w:rsid w:val="00747937"/>
    <w:rsid w:val="00747BBB"/>
    <w:rsid w:val="00750121"/>
    <w:rsid w:val="00750355"/>
    <w:rsid w:val="007507B0"/>
    <w:rsid w:val="00751133"/>
    <w:rsid w:val="00751CE0"/>
    <w:rsid w:val="0075221D"/>
    <w:rsid w:val="0075227E"/>
    <w:rsid w:val="0075237A"/>
    <w:rsid w:val="007524F3"/>
    <w:rsid w:val="0075271C"/>
    <w:rsid w:val="007527FE"/>
    <w:rsid w:val="0075287F"/>
    <w:rsid w:val="00752A46"/>
    <w:rsid w:val="00752F7E"/>
    <w:rsid w:val="00752FBB"/>
    <w:rsid w:val="00753488"/>
    <w:rsid w:val="0075444D"/>
    <w:rsid w:val="00754AB3"/>
    <w:rsid w:val="00754F30"/>
    <w:rsid w:val="0075531C"/>
    <w:rsid w:val="00755419"/>
    <w:rsid w:val="007559A3"/>
    <w:rsid w:val="007559FC"/>
    <w:rsid w:val="00756C06"/>
    <w:rsid w:val="0075710B"/>
    <w:rsid w:val="0075715F"/>
    <w:rsid w:val="00760763"/>
    <w:rsid w:val="00760B03"/>
    <w:rsid w:val="007610A3"/>
    <w:rsid w:val="007610D8"/>
    <w:rsid w:val="0076133D"/>
    <w:rsid w:val="0076161F"/>
    <w:rsid w:val="0076192C"/>
    <w:rsid w:val="0076233C"/>
    <w:rsid w:val="007628F9"/>
    <w:rsid w:val="007631CD"/>
    <w:rsid w:val="00763281"/>
    <w:rsid w:val="007641F7"/>
    <w:rsid w:val="00765668"/>
    <w:rsid w:val="00765BFA"/>
    <w:rsid w:val="00765CE0"/>
    <w:rsid w:val="00766D03"/>
    <w:rsid w:val="00766FCA"/>
    <w:rsid w:val="00767C6C"/>
    <w:rsid w:val="00770014"/>
    <w:rsid w:val="0077018C"/>
    <w:rsid w:val="00770FA2"/>
    <w:rsid w:val="007716B9"/>
    <w:rsid w:val="007716E8"/>
    <w:rsid w:val="00772226"/>
    <w:rsid w:val="00772F2E"/>
    <w:rsid w:val="00773265"/>
    <w:rsid w:val="007734DE"/>
    <w:rsid w:val="00773B55"/>
    <w:rsid w:val="00774E02"/>
    <w:rsid w:val="007752FA"/>
    <w:rsid w:val="00775812"/>
    <w:rsid w:val="00775B38"/>
    <w:rsid w:val="00775B5A"/>
    <w:rsid w:val="0077617B"/>
    <w:rsid w:val="007764FB"/>
    <w:rsid w:val="0077668B"/>
    <w:rsid w:val="00777341"/>
    <w:rsid w:val="00777C05"/>
    <w:rsid w:val="00777D74"/>
    <w:rsid w:val="007800A5"/>
    <w:rsid w:val="00780DE8"/>
    <w:rsid w:val="007810C2"/>
    <w:rsid w:val="00782459"/>
    <w:rsid w:val="00782CBC"/>
    <w:rsid w:val="00782D01"/>
    <w:rsid w:val="0078338E"/>
    <w:rsid w:val="007837DC"/>
    <w:rsid w:val="0078388E"/>
    <w:rsid w:val="007841C0"/>
    <w:rsid w:val="00784228"/>
    <w:rsid w:val="007842F7"/>
    <w:rsid w:val="0078466D"/>
    <w:rsid w:val="0078467B"/>
    <w:rsid w:val="00784851"/>
    <w:rsid w:val="00784D27"/>
    <w:rsid w:val="00785722"/>
    <w:rsid w:val="007861F5"/>
    <w:rsid w:val="007868B1"/>
    <w:rsid w:val="00786D0B"/>
    <w:rsid w:val="00787C16"/>
    <w:rsid w:val="00790420"/>
    <w:rsid w:val="00790791"/>
    <w:rsid w:val="00790A2E"/>
    <w:rsid w:val="00790AF0"/>
    <w:rsid w:val="00790D6C"/>
    <w:rsid w:val="00790FEB"/>
    <w:rsid w:val="007913B0"/>
    <w:rsid w:val="007916BE"/>
    <w:rsid w:val="007923FF"/>
    <w:rsid w:val="007927D6"/>
    <w:rsid w:val="00792E77"/>
    <w:rsid w:val="00793627"/>
    <w:rsid w:val="00793938"/>
    <w:rsid w:val="00793D7B"/>
    <w:rsid w:val="00794BB6"/>
    <w:rsid w:val="00794BC0"/>
    <w:rsid w:val="00794F23"/>
    <w:rsid w:val="007954F0"/>
    <w:rsid w:val="00795538"/>
    <w:rsid w:val="0079576F"/>
    <w:rsid w:val="0079594B"/>
    <w:rsid w:val="00796002"/>
    <w:rsid w:val="00796557"/>
    <w:rsid w:val="00796A0B"/>
    <w:rsid w:val="00796A50"/>
    <w:rsid w:val="00796AF9"/>
    <w:rsid w:val="00796CC3"/>
    <w:rsid w:val="007971B5"/>
    <w:rsid w:val="007974E2"/>
    <w:rsid w:val="00797C89"/>
    <w:rsid w:val="007A0137"/>
    <w:rsid w:val="007A094A"/>
    <w:rsid w:val="007A0D79"/>
    <w:rsid w:val="007A0FFD"/>
    <w:rsid w:val="007A111C"/>
    <w:rsid w:val="007A1532"/>
    <w:rsid w:val="007A1767"/>
    <w:rsid w:val="007A31A9"/>
    <w:rsid w:val="007A3214"/>
    <w:rsid w:val="007A32BE"/>
    <w:rsid w:val="007A3AED"/>
    <w:rsid w:val="007A529A"/>
    <w:rsid w:val="007A55E4"/>
    <w:rsid w:val="007A57C4"/>
    <w:rsid w:val="007A5A7D"/>
    <w:rsid w:val="007A61C5"/>
    <w:rsid w:val="007A61D4"/>
    <w:rsid w:val="007A6272"/>
    <w:rsid w:val="007A6623"/>
    <w:rsid w:val="007A680D"/>
    <w:rsid w:val="007A6F8C"/>
    <w:rsid w:val="007A7E1E"/>
    <w:rsid w:val="007B03DB"/>
    <w:rsid w:val="007B0576"/>
    <w:rsid w:val="007B0AC5"/>
    <w:rsid w:val="007B0D6A"/>
    <w:rsid w:val="007B1247"/>
    <w:rsid w:val="007B1733"/>
    <w:rsid w:val="007B1CBD"/>
    <w:rsid w:val="007B203F"/>
    <w:rsid w:val="007B2529"/>
    <w:rsid w:val="007B28E5"/>
    <w:rsid w:val="007B37ED"/>
    <w:rsid w:val="007B3D9A"/>
    <w:rsid w:val="007B4F70"/>
    <w:rsid w:val="007B50D6"/>
    <w:rsid w:val="007B54CB"/>
    <w:rsid w:val="007B5B31"/>
    <w:rsid w:val="007B5D4C"/>
    <w:rsid w:val="007B5D7D"/>
    <w:rsid w:val="007B6751"/>
    <w:rsid w:val="007B692A"/>
    <w:rsid w:val="007B6997"/>
    <w:rsid w:val="007B6BF9"/>
    <w:rsid w:val="007B6C1D"/>
    <w:rsid w:val="007B755C"/>
    <w:rsid w:val="007B7A49"/>
    <w:rsid w:val="007B7DB4"/>
    <w:rsid w:val="007B7EAF"/>
    <w:rsid w:val="007C014D"/>
    <w:rsid w:val="007C044B"/>
    <w:rsid w:val="007C2202"/>
    <w:rsid w:val="007C2EEC"/>
    <w:rsid w:val="007C33A1"/>
    <w:rsid w:val="007C3458"/>
    <w:rsid w:val="007C35F7"/>
    <w:rsid w:val="007C3635"/>
    <w:rsid w:val="007C3716"/>
    <w:rsid w:val="007C3973"/>
    <w:rsid w:val="007C3CDD"/>
    <w:rsid w:val="007C4429"/>
    <w:rsid w:val="007C5006"/>
    <w:rsid w:val="007C5257"/>
    <w:rsid w:val="007C528D"/>
    <w:rsid w:val="007C5560"/>
    <w:rsid w:val="007C5707"/>
    <w:rsid w:val="007C58B1"/>
    <w:rsid w:val="007C58CF"/>
    <w:rsid w:val="007C5A99"/>
    <w:rsid w:val="007C5D21"/>
    <w:rsid w:val="007C5E2C"/>
    <w:rsid w:val="007C63E7"/>
    <w:rsid w:val="007C647C"/>
    <w:rsid w:val="007C7607"/>
    <w:rsid w:val="007C763F"/>
    <w:rsid w:val="007C79A9"/>
    <w:rsid w:val="007C7CEB"/>
    <w:rsid w:val="007C7D63"/>
    <w:rsid w:val="007D00C6"/>
    <w:rsid w:val="007D0223"/>
    <w:rsid w:val="007D023C"/>
    <w:rsid w:val="007D041C"/>
    <w:rsid w:val="007D0628"/>
    <w:rsid w:val="007D0AA4"/>
    <w:rsid w:val="007D0F4B"/>
    <w:rsid w:val="007D10C9"/>
    <w:rsid w:val="007D173E"/>
    <w:rsid w:val="007D1EE8"/>
    <w:rsid w:val="007D21B0"/>
    <w:rsid w:val="007D230A"/>
    <w:rsid w:val="007D2573"/>
    <w:rsid w:val="007D2EEC"/>
    <w:rsid w:val="007D3580"/>
    <w:rsid w:val="007D3B04"/>
    <w:rsid w:val="007D3C7D"/>
    <w:rsid w:val="007D4404"/>
    <w:rsid w:val="007D4CF5"/>
    <w:rsid w:val="007D4D0E"/>
    <w:rsid w:val="007D4EAB"/>
    <w:rsid w:val="007D547A"/>
    <w:rsid w:val="007D5982"/>
    <w:rsid w:val="007D5C86"/>
    <w:rsid w:val="007D5EF2"/>
    <w:rsid w:val="007D66CE"/>
    <w:rsid w:val="007D6B8B"/>
    <w:rsid w:val="007D6E1D"/>
    <w:rsid w:val="007D7B78"/>
    <w:rsid w:val="007D7BBE"/>
    <w:rsid w:val="007E05E9"/>
    <w:rsid w:val="007E08E0"/>
    <w:rsid w:val="007E0D62"/>
    <w:rsid w:val="007E11EA"/>
    <w:rsid w:val="007E188E"/>
    <w:rsid w:val="007E18C6"/>
    <w:rsid w:val="007E1953"/>
    <w:rsid w:val="007E1E44"/>
    <w:rsid w:val="007E200C"/>
    <w:rsid w:val="007E228B"/>
    <w:rsid w:val="007E24B0"/>
    <w:rsid w:val="007E250A"/>
    <w:rsid w:val="007E265C"/>
    <w:rsid w:val="007E2E61"/>
    <w:rsid w:val="007E3058"/>
    <w:rsid w:val="007E3726"/>
    <w:rsid w:val="007E386E"/>
    <w:rsid w:val="007E398B"/>
    <w:rsid w:val="007E3C35"/>
    <w:rsid w:val="007E3C94"/>
    <w:rsid w:val="007E4279"/>
    <w:rsid w:val="007E484C"/>
    <w:rsid w:val="007E4861"/>
    <w:rsid w:val="007E4BFC"/>
    <w:rsid w:val="007E4C34"/>
    <w:rsid w:val="007E4D4C"/>
    <w:rsid w:val="007E5C5C"/>
    <w:rsid w:val="007E701D"/>
    <w:rsid w:val="007E7331"/>
    <w:rsid w:val="007E7829"/>
    <w:rsid w:val="007F0448"/>
    <w:rsid w:val="007F07E5"/>
    <w:rsid w:val="007F0E82"/>
    <w:rsid w:val="007F0EED"/>
    <w:rsid w:val="007F17D1"/>
    <w:rsid w:val="007F1D5D"/>
    <w:rsid w:val="007F246C"/>
    <w:rsid w:val="007F28F3"/>
    <w:rsid w:val="007F2AC2"/>
    <w:rsid w:val="007F2C2F"/>
    <w:rsid w:val="007F306C"/>
    <w:rsid w:val="007F308B"/>
    <w:rsid w:val="007F31AB"/>
    <w:rsid w:val="007F34BF"/>
    <w:rsid w:val="007F37E3"/>
    <w:rsid w:val="007F4844"/>
    <w:rsid w:val="007F4CD4"/>
    <w:rsid w:val="007F4CEE"/>
    <w:rsid w:val="007F4D4A"/>
    <w:rsid w:val="007F4DD1"/>
    <w:rsid w:val="007F5003"/>
    <w:rsid w:val="007F5164"/>
    <w:rsid w:val="007F5E40"/>
    <w:rsid w:val="007F5E92"/>
    <w:rsid w:val="007F611B"/>
    <w:rsid w:val="007F67AB"/>
    <w:rsid w:val="007F6DF4"/>
    <w:rsid w:val="007F7464"/>
    <w:rsid w:val="007F799D"/>
    <w:rsid w:val="00800433"/>
    <w:rsid w:val="00800EC2"/>
    <w:rsid w:val="008017C1"/>
    <w:rsid w:val="0080181E"/>
    <w:rsid w:val="00801EB2"/>
    <w:rsid w:val="00802B28"/>
    <w:rsid w:val="00802B69"/>
    <w:rsid w:val="00802B84"/>
    <w:rsid w:val="00803719"/>
    <w:rsid w:val="00804118"/>
    <w:rsid w:val="00804C82"/>
    <w:rsid w:val="00804D66"/>
    <w:rsid w:val="00805076"/>
    <w:rsid w:val="0080524F"/>
    <w:rsid w:val="00805415"/>
    <w:rsid w:val="008057FC"/>
    <w:rsid w:val="00806834"/>
    <w:rsid w:val="00806CCF"/>
    <w:rsid w:val="00806F54"/>
    <w:rsid w:val="00806FC0"/>
    <w:rsid w:val="00807CFF"/>
    <w:rsid w:val="00807F9E"/>
    <w:rsid w:val="008102D7"/>
    <w:rsid w:val="00810A1E"/>
    <w:rsid w:val="00810AEE"/>
    <w:rsid w:val="00810F3C"/>
    <w:rsid w:val="0081105C"/>
    <w:rsid w:val="00811286"/>
    <w:rsid w:val="00811813"/>
    <w:rsid w:val="00811976"/>
    <w:rsid w:val="00812766"/>
    <w:rsid w:val="00813071"/>
    <w:rsid w:val="008130BF"/>
    <w:rsid w:val="00813A04"/>
    <w:rsid w:val="00813D10"/>
    <w:rsid w:val="0081411C"/>
    <w:rsid w:val="008145D5"/>
    <w:rsid w:val="0081483E"/>
    <w:rsid w:val="00814D3E"/>
    <w:rsid w:val="008151DB"/>
    <w:rsid w:val="00815488"/>
    <w:rsid w:val="00815983"/>
    <w:rsid w:val="00815A33"/>
    <w:rsid w:val="008160B1"/>
    <w:rsid w:val="00816F24"/>
    <w:rsid w:val="00817D7E"/>
    <w:rsid w:val="0082022F"/>
    <w:rsid w:val="00820653"/>
    <w:rsid w:val="00820AAC"/>
    <w:rsid w:val="008210CC"/>
    <w:rsid w:val="008211D9"/>
    <w:rsid w:val="008217B7"/>
    <w:rsid w:val="008217E0"/>
    <w:rsid w:val="0082219C"/>
    <w:rsid w:val="008227BD"/>
    <w:rsid w:val="00822AA4"/>
    <w:rsid w:val="00822C58"/>
    <w:rsid w:val="00823EB8"/>
    <w:rsid w:val="00824370"/>
    <w:rsid w:val="0082445C"/>
    <w:rsid w:val="00824837"/>
    <w:rsid w:val="00824938"/>
    <w:rsid w:val="00825B0D"/>
    <w:rsid w:val="00825FEA"/>
    <w:rsid w:val="00826409"/>
    <w:rsid w:val="00826462"/>
    <w:rsid w:val="008266C7"/>
    <w:rsid w:val="00826796"/>
    <w:rsid w:val="00826D3A"/>
    <w:rsid w:val="008270C7"/>
    <w:rsid w:val="008272BA"/>
    <w:rsid w:val="008272C3"/>
    <w:rsid w:val="00827599"/>
    <w:rsid w:val="00827DDE"/>
    <w:rsid w:val="00827EB0"/>
    <w:rsid w:val="00827ECE"/>
    <w:rsid w:val="008300E1"/>
    <w:rsid w:val="00830164"/>
    <w:rsid w:val="00830DBA"/>
    <w:rsid w:val="00830DD5"/>
    <w:rsid w:val="008316CA"/>
    <w:rsid w:val="00831A1A"/>
    <w:rsid w:val="00831D81"/>
    <w:rsid w:val="00831DA6"/>
    <w:rsid w:val="008326F0"/>
    <w:rsid w:val="0083289A"/>
    <w:rsid w:val="0083405B"/>
    <w:rsid w:val="0083410E"/>
    <w:rsid w:val="0083482E"/>
    <w:rsid w:val="00834D25"/>
    <w:rsid w:val="00834D96"/>
    <w:rsid w:val="00835153"/>
    <w:rsid w:val="00835A89"/>
    <w:rsid w:val="00835C5A"/>
    <w:rsid w:val="008364F0"/>
    <w:rsid w:val="00836795"/>
    <w:rsid w:val="00836DA1"/>
    <w:rsid w:val="00836E33"/>
    <w:rsid w:val="00836E5D"/>
    <w:rsid w:val="00837CE8"/>
    <w:rsid w:val="00840ACA"/>
    <w:rsid w:val="00840C2F"/>
    <w:rsid w:val="0084166D"/>
    <w:rsid w:val="008419C9"/>
    <w:rsid w:val="00841C82"/>
    <w:rsid w:val="00841D60"/>
    <w:rsid w:val="0084246E"/>
    <w:rsid w:val="008425BB"/>
    <w:rsid w:val="00842A11"/>
    <w:rsid w:val="00842C33"/>
    <w:rsid w:val="00842EF7"/>
    <w:rsid w:val="00843024"/>
    <w:rsid w:val="00843730"/>
    <w:rsid w:val="00844E9B"/>
    <w:rsid w:val="00845278"/>
    <w:rsid w:val="008461F2"/>
    <w:rsid w:val="0084626D"/>
    <w:rsid w:val="0084684B"/>
    <w:rsid w:val="00846D8D"/>
    <w:rsid w:val="00847295"/>
    <w:rsid w:val="008475AC"/>
    <w:rsid w:val="00847C7D"/>
    <w:rsid w:val="00847EE8"/>
    <w:rsid w:val="008503F6"/>
    <w:rsid w:val="00850639"/>
    <w:rsid w:val="00850E60"/>
    <w:rsid w:val="008510D6"/>
    <w:rsid w:val="008513B9"/>
    <w:rsid w:val="00852885"/>
    <w:rsid w:val="0085290B"/>
    <w:rsid w:val="00852FCD"/>
    <w:rsid w:val="00853708"/>
    <w:rsid w:val="00854AE2"/>
    <w:rsid w:val="00854C3B"/>
    <w:rsid w:val="00854CF5"/>
    <w:rsid w:val="008552D8"/>
    <w:rsid w:val="0085532C"/>
    <w:rsid w:val="00855A1A"/>
    <w:rsid w:val="008564EB"/>
    <w:rsid w:val="0085652F"/>
    <w:rsid w:val="008566B8"/>
    <w:rsid w:val="00856C23"/>
    <w:rsid w:val="00856D5D"/>
    <w:rsid w:val="00857CDA"/>
    <w:rsid w:val="00860153"/>
    <w:rsid w:val="00860B82"/>
    <w:rsid w:val="0086119F"/>
    <w:rsid w:val="008614F1"/>
    <w:rsid w:val="008617AB"/>
    <w:rsid w:val="008619CB"/>
    <w:rsid w:val="00862743"/>
    <w:rsid w:val="008629E2"/>
    <w:rsid w:val="008630DB"/>
    <w:rsid w:val="008631D7"/>
    <w:rsid w:val="00863C41"/>
    <w:rsid w:val="00864519"/>
    <w:rsid w:val="008651FB"/>
    <w:rsid w:val="00865480"/>
    <w:rsid w:val="00865AB1"/>
    <w:rsid w:val="0086616C"/>
    <w:rsid w:val="0086650F"/>
    <w:rsid w:val="008668B9"/>
    <w:rsid w:val="00866BAD"/>
    <w:rsid w:val="00866C11"/>
    <w:rsid w:val="00867064"/>
    <w:rsid w:val="0086784D"/>
    <w:rsid w:val="00868442"/>
    <w:rsid w:val="00870194"/>
    <w:rsid w:val="0087025D"/>
    <w:rsid w:val="0087063C"/>
    <w:rsid w:val="0087078C"/>
    <w:rsid w:val="00870E00"/>
    <w:rsid w:val="00871792"/>
    <w:rsid w:val="00871A75"/>
    <w:rsid w:val="00871B94"/>
    <w:rsid w:val="00872852"/>
    <w:rsid w:val="00872E50"/>
    <w:rsid w:val="0087329E"/>
    <w:rsid w:val="00873905"/>
    <w:rsid w:val="00873C45"/>
    <w:rsid w:val="008740CF"/>
    <w:rsid w:val="00874785"/>
    <w:rsid w:val="00874972"/>
    <w:rsid w:val="00874A8C"/>
    <w:rsid w:val="00874F9C"/>
    <w:rsid w:val="0087563F"/>
    <w:rsid w:val="008759F5"/>
    <w:rsid w:val="00875FFB"/>
    <w:rsid w:val="00876D58"/>
    <w:rsid w:val="0087718C"/>
    <w:rsid w:val="0087762F"/>
    <w:rsid w:val="0087792A"/>
    <w:rsid w:val="00877D28"/>
    <w:rsid w:val="00880B78"/>
    <w:rsid w:val="00880EC9"/>
    <w:rsid w:val="00881219"/>
    <w:rsid w:val="008815C5"/>
    <w:rsid w:val="00881808"/>
    <w:rsid w:val="008819C1"/>
    <w:rsid w:val="008820C0"/>
    <w:rsid w:val="008821D1"/>
    <w:rsid w:val="0088244E"/>
    <w:rsid w:val="008824A8"/>
    <w:rsid w:val="00882AD1"/>
    <w:rsid w:val="00882BF3"/>
    <w:rsid w:val="00883F33"/>
    <w:rsid w:val="00883F6E"/>
    <w:rsid w:val="0088421A"/>
    <w:rsid w:val="0088422A"/>
    <w:rsid w:val="008842A4"/>
    <w:rsid w:val="008845DF"/>
    <w:rsid w:val="008846ED"/>
    <w:rsid w:val="00884792"/>
    <w:rsid w:val="00884895"/>
    <w:rsid w:val="0088494D"/>
    <w:rsid w:val="00884C42"/>
    <w:rsid w:val="00884D13"/>
    <w:rsid w:val="00885453"/>
    <w:rsid w:val="0088566B"/>
    <w:rsid w:val="00885937"/>
    <w:rsid w:val="00885DE1"/>
    <w:rsid w:val="00886069"/>
    <w:rsid w:val="008866B3"/>
    <w:rsid w:val="00886919"/>
    <w:rsid w:val="00886AE2"/>
    <w:rsid w:val="00886D2E"/>
    <w:rsid w:val="00886F75"/>
    <w:rsid w:val="008877D3"/>
    <w:rsid w:val="00887B2B"/>
    <w:rsid w:val="00887C83"/>
    <w:rsid w:val="0089038F"/>
    <w:rsid w:val="008904EF"/>
    <w:rsid w:val="008905DB"/>
    <w:rsid w:val="00890A8C"/>
    <w:rsid w:val="00890EC7"/>
    <w:rsid w:val="008915CF"/>
    <w:rsid w:val="008916DE"/>
    <w:rsid w:val="00891783"/>
    <w:rsid w:val="008917AD"/>
    <w:rsid w:val="00891D4F"/>
    <w:rsid w:val="008926C3"/>
    <w:rsid w:val="00892873"/>
    <w:rsid w:val="00892957"/>
    <w:rsid w:val="00892FF6"/>
    <w:rsid w:val="0089463C"/>
    <w:rsid w:val="00894CBF"/>
    <w:rsid w:val="008955F4"/>
    <w:rsid w:val="00895D92"/>
    <w:rsid w:val="00895FD3"/>
    <w:rsid w:val="008961B5"/>
    <w:rsid w:val="00896328"/>
    <w:rsid w:val="00896975"/>
    <w:rsid w:val="00896C7A"/>
    <w:rsid w:val="00897728"/>
    <w:rsid w:val="00897C8C"/>
    <w:rsid w:val="00897E16"/>
    <w:rsid w:val="00897EF4"/>
    <w:rsid w:val="008A05BE"/>
    <w:rsid w:val="008A0890"/>
    <w:rsid w:val="008A089F"/>
    <w:rsid w:val="008A08CF"/>
    <w:rsid w:val="008A093B"/>
    <w:rsid w:val="008A0FF8"/>
    <w:rsid w:val="008A252E"/>
    <w:rsid w:val="008A26DE"/>
    <w:rsid w:val="008A2706"/>
    <w:rsid w:val="008A272F"/>
    <w:rsid w:val="008A2A3D"/>
    <w:rsid w:val="008A321B"/>
    <w:rsid w:val="008A3B5D"/>
    <w:rsid w:val="008A4040"/>
    <w:rsid w:val="008A409C"/>
    <w:rsid w:val="008A40E7"/>
    <w:rsid w:val="008A41B4"/>
    <w:rsid w:val="008A4685"/>
    <w:rsid w:val="008A468C"/>
    <w:rsid w:val="008A4BC0"/>
    <w:rsid w:val="008A4F2E"/>
    <w:rsid w:val="008A515F"/>
    <w:rsid w:val="008A51EE"/>
    <w:rsid w:val="008A53F3"/>
    <w:rsid w:val="008A559A"/>
    <w:rsid w:val="008A5727"/>
    <w:rsid w:val="008A5799"/>
    <w:rsid w:val="008A5963"/>
    <w:rsid w:val="008A5B12"/>
    <w:rsid w:val="008A5D50"/>
    <w:rsid w:val="008A61AE"/>
    <w:rsid w:val="008A6B9D"/>
    <w:rsid w:val="008A7E87"/>
    <w:rsid w:val="008B03B0"/>
    <w:rsid w:val="008B04D4"/>
    <w:rsid w:val="008B0FEA"/>
    <w:rsid w:val="008B18AD"/>
    <w:rsid w:val="008B1A15"/>
    <w:rsid w:val="008B1B9A"/>
    <w:rsid w:val="008B1BF8"/>
    <w:rsid w:val="008B1F86"/>
    <w:rsid w:val="008B2A44"/>
    <w:rsid w:val="008B2A8A"/>
    <w:rsid w:val="008B30EE"/>
    <w:rsid w:val="008B3146"/>
    <w:rsid w:val="008B3547"/>
    <w:rsid w:val="008B39D1"/>
    <w:rsid w:val="008B55EC"/>
    <w:rsid w:val="008B56F2"/>
    <w:rsid w:val="008B5911"/>
    <w:rsid w:val="008B5BB6"/>
    <w:rsid w:val="008B63B8"/>
    <w:rsid w:val="008B63FF"/>
    <w:rsid w:val="008B655B"/>
    <w:rsid w:val="008B6990"/>
    <w:rsid w:val="008B71ED"/>
    <w:rsid w:val="008B7AE0"/>
    <w:rsid w:val="008B7B41"/>
    <w:rsid w:val="008B7DA5"/>
    <w:rsid w:val="008B7F74"/>
    <w:rsid w:val="008C046C"/>
    <w:rsid w:val="008C0709"/>
    <w:rsid w:val="008C0804"/>
    <w:rsid w:val="008C0BE9"/>
    <w:rsid w:val="008C18F2"/>
    <w:rsid w:val="008C25BA"/>
    <w:rsid w:val="008C2A1E"/>
    <w:rsid w:val="008C36E8"/>
    <w:rsid w:val="008C3976"/>
    <w:rsid w:val="008C3F5D"/>
    <w:rsid w:val="008C41BC"/>
    <w:rsid w:val="008C5B21"/>
    <w:rsid w:val="008C5E13"/>
    <w:rsid w:val="008C5E80"/>
    <w:rsid w:val="008C6A2A"/>
    <w:rsid w:val="008C7111"/>
    <w:rsid w:val="008C789F"/>
    <w:rsid w:val="008C7A41"/>
    <w:rsid w:val="008C7A79"/>
    <w:rsid w:val="008C7F9A"/>
    <w:rsid w:val="008D002B"/>
    <w:rsid w:val="008D0341"/>
    <w:rsid w:val="008D04B9"/>
    <w:rsid w:val="008D0E9D"/>
    <w:rsid w:val="008D1856"/>
    <w:rsid w:val="008D2342"/>
    <w:rsid w:val="008D2402"/>
    <w:rsid w:val="008D281D"/>
    <w:rsid w:val="008D28DA"/>
    <w:rsid w:val="008D2A9D"/>
    <w:rsid w:val="008D30F9"/>
    <w:rsid w:val="008D39D6"/>
    <w:rsid w:val="008D3B1B"/>
    <w:rsid w:val="008D3CC5"/>
    <w:rsid w:val="008D4345"/>
    <w:rsid w:val="008D456F"/>
    <w:rsid w:val="008D4DF1"/>
    <w:rsid w:val="008D5028"/>
    <w:rsid w:val="008D550A"/>
    <w:rsid w:val="008D55CF"/>
    <w:rsid w:val="008D574E"/>
    <w:rsid w:val="008D583C"/>
    <w:rsid w:val="008D6439"/>
    <w:rsid w:val="008D6A6C"/>
    <w:rsid w:val="008D6AB6"/>
    <w:rsid w:val="008D6DE1"/>
    <w:rsid w:val="008D719F"/>
    <w:rsid w:val="008D7231"/>
    <w:rsid w:val="008D7452"/>
    <w:rsid w:val="008D7A22"/>
    <w:rsid w:val="008D7FCC"/>
    <w:rsid w:val="008E01A8"/>
    <w:rsid w:val="008E038C"/>
    <w:rsid w:val="008E04A4"/>
    <w:rsid w:val="008E0BAC"/>
    <w:rsid w:val="008E0C42"/>
    <w:rsid w:val="008E0F3C"/>
    <w:rsid w:val="008E1285"/>
    <w:rsid w:val="008E1511"/>
    <w:rsid w:val="008E20BB"/>
    <w:rsid w:val="008E2BD2"/>
    <w:rsid w:val="008E2CFA"/>
    <w:rsid w:val="008E327F"/>
    <w:rsid w:val="008E33EB"/>
    <w:rsid w:val="008E3400"/>
    <w:rsid w:val="008E3745"/>
    <w:rsid w:val="008E4267"/>
    <w:rsid w:val="008E4617"/>
    <w:rsid w:val="008E477D"/>
    <w:rsid w:val="008E477F"/>
    <w:rsid w:val="008E47B7"/>
    <w:rsid w:val="008E4ABD"/>
    <w:rsid w:val="008E4C41"/>
    <w:rsid w:val="008E5362"/>
    <w:rsid w:val="008E5DC2"/>
    <w:rsid w:val="008E5FE7"/>
    <w:rsid w:val="008E6238"/>
    <w:rsid w:val="008E6418"/>
    <w:rsid w:val="008E646C"/>
    <w:rsid w:val="008E69E5"/>
    <w:rsid w:val="008E6F52"/>
    <w:rsid w:val="008E72C7"/>
    <w:rsid w:val="008E79F2"/>
    <w:rsid w:val="008E7AEF"/>
    <w:rsid w:val="008E7BD5"/>
    <w:rsid w:val="008E7CC4"/>
    <w:rsid w:val="008F0587"/>
    <w:rsid w:val="008F05BF"/>
    <w:rsid w:val="008F08BE"/>
    <w:rsid w:val="008F0DF8"/>
    <w:rsid w:val="008F135D"/>
    <w:rsid w:val="008F1817"/>
    <w:rsid w:val="008F1840"/>
    <w:rsid w:val="008F19B5"/>
    <w:rsid w:val="008F318D"/>
    <w:rsid w:val="008F34B3"/>
    <w:rsid w:val="008F35D0"/>
    <w:rsid w:val="008F3E2F"/>
    <w:rsid w:val="008F4149"/>
    <w:rsid w:val="008F4367"/>
    <w:rsid w:val="008F446D"/>
    <w:rsid w:val="008F447F"/>
    <w:rsid w:val="008F4EE9"/>
    <w:rsid w:val="008F4F6A"/>
    <w:rsid w:val="008F680D"/>
    <w:rsid w:val="008F706F"/>
    <w:rsid w:val="008F7354"/>
    <w:rsid w:val="008F770A"/>
    <w:rsid w:val="008F7EC8"/>
    <w:rsid w:val="008F7F5D"/>
    <w:rsid w:val="009001F9"/>
    <w:rsid w:val="009005A8"/>
    <w:rsid w:val="009007E4"/>
    <w:rsid w:val="00900A6B"/>
    <w:rsid w:val="00900C64"/>
    <w:rsid w:val="00901B5E"/>
    <w:rsid w:val="0090258B"/>
    <w:rsid w:val="009026F1"/>
    <w:rsid w:val="00902B9C"/>
    <w:rsid w:val="00902DF5"/>
    <w:rsid w:val="009031DC"/>
    <w:rsid w:val="00903489"/>
    <w:rsid w:val="009035CB"/>
    <w:rsid w:val="00903C45"/>
    <w:rsid w:val="00904115"/>
    <w:rsid w:val="00904242"/>
    <w:rsid w:val="009044EE"/>
    <w:rsid w:val="00905886"/>
    <w:rsid w:val="0090598C"/>
    <w:rsid w:val="00905A62"/>
    <w:rsid w:val="00905B1B"/>
    <w:rsid w:val="00905BB3"/>
    <w:rsid w:val="00905D69"/>
    <w:rsid w:val="00905E69"/>
    <w:rsid w:val="00905E9C"/>
    <w:rsid w:val="00905F03"/>
    <w:rsid w:val="00906131"/>
    <w:rsid w:val="00906FF3"/>
    <w:rsid w:val="00907390"/>
    <w:rsid w:val="00907CBA"/>
    <w:rsid w:val="00907D11"/>
    <w:rsid w:val="00907D54"/>
    <w:rsid w:val="00907F66"/>
    <w:rsid w:val="0091049C"/>
    <w:rsid w:val="00910ADE"/>
    <w:rsid w:val="00910BF4"/>
    <w:rsid w:val="00910E0C"/>
    <w:rsid w:val="0091186A"/>
    <w:rsid w:val="00911AF7"/>
    <w:rsid w:val="009121FB"/>
    <w:rsid w:val="0091232D"/>
    <w:rsid w:val="00912E42"/>
    <w:rsid w:val="00912F67"/>
    <w:rsid w:val="00913007"/>
    <w:rsid w:val="0091321A"/>
    <w:rsid w:val="00913467"/>
    <w:rsid w:val="00913728"/>
    <w:rsid w:val="009139EA"/>
    <w:rsid w:val="009141F5"/>
    <w:rsid w:val="00914821"/>
    <w:rsid w:val="00914BB5"/>
    <w:rsid w:val="00914CDF"/>
    <w:rsid w:val="00915640"/>
    <w:rsid w:val="009156F0"/>
    <w:rsid w:val="009157D5"/>
    <w:rsid w:val="00915909"/>
    <w:rsid w:val="00915DAB"/>
    <w:rsid w:val="00915EB3"/>
    <w:rsid w:val="0091682C"/>
    <w:rsid w:val="0091695E"/>
    <w:rsid w:val="00916AA5"/>
    <w:rsid w:val="00916B5F"/>
    <w:rsid w:val="00916C83"/>
    <w:rsid w:val="00916FB0"/>
    <w:rsid w:val="00917CCE"/>
    <w:rsid w:val="00920E6C"/>
    <w:rsid w:val="00921210"/>
    <w:rsid w:val="00921658"/>
    <w:rsid w:val="0092176E"/>
    <w:rsid w:val="00922388"/>
    <w:rsid w:val="00922A01"/>
    <w:rsid w:val="00923527"/>
    <w:rsid w:val="00923C7E"/>
    <w:rsid w:val="00923EDC"/>
    <w:rsid w:val="0092472F"/>
    <w:rsid w:val="009268C8"/>
    <w:rsid w:val="00926BC1"/>
    <w:rsid w:val="00926CD8"/>
    <w:rsid w:val="00927084"/>
    <w:rsid w:val="0092736C"/>
    <w:rsid w:val="00927BB7"/>
    <w:rsid w:val="00927C5B"/>
    <w:rsid w:val="00930C58"/>
    <w:rsid w:val="0093171A"/>
    <w:rsid w:val="00931B74"/>
    <w:rsid w:val="00931E1B"/>
    <w:rsid w:val="009321B9"/>
    <w:rsid w:val="009324C1"/>
    <w:rsid w:val="00932787"/>
    <w:rsid w:val="00932D82"/>
    <w:rsid w:val="0093333C"/>
    <w:rsid w:val="0093368C"/>
    <w:rsid w:val="00934CC8"/>
    <w:rsid w:val="00934E42"/>
    <w:rsid w:val="00934FB1"/>
    <w:rsid w:val="00935037"/>
    <w:rsid w:val="0093512B"/>
    <w:rsid w:val="0093622E"/>
    <w:rsid w:val="009363D0"/>
    <w:rsid w:val="009364B5"/>
    <w:rsid w:val="00936540"/>
    <w:rsid w:val="00936CFA"/>
    <w:rsid w:val="00936D22"/>
    <w:rsid w:val="00936F66"/>
    <w:rsid w:val="00936F6C"/>
    <w:rsid w:val="009377A7"/>
    <w:rsid w:val="00937890"/>
    <w:rsid w:val="00937F24"/>
    <w:rsid w:val="009403CC"/>
    <w:rsid w:val="00940691"/>
    <w:rsid w:val="00940811"/>
    <w:rsid w:val="00940948"/>
    <w:rsid w:val="00940ACC"/>
    <w:rsid w:val="00940E73"/>
    <w:rsid w:val="00941758"/>
    <w:rsid w:val="0094196F"/>
    <w:rsid w:val="00942076"/>
    <w:rsid w:val="0094213B"/>
    <w:rsid w:val="00942865"/>
    <w:rsid w:val="00943D7A"/>
    <w:rsid w:val="009445F1"/>
    <w:rsid w:val="00944B59"/>
    <w:rsid w:val="00944CAC"/>
    <w:rsid w:val="00944CB0"/>
    <w:rsid w:val="0094516D"/>
    <w:rsid w:val="00945477"/>
    <w:rsid w:val="009454AA"/>
    <w:rsid w:val="009455E6"/>
    <w:rsid w:val="00945F78"/>
    <w:rsid w:val="00946718"/>
    <w:rsid w:val="00946881"/>
    <w:rsid w:val="00946E09"/>
    <w:rsid w:val="00946F7E"/>
    <w:rsid w:val="0094738E"/>
    <w:rsid w:val="009476A4"/>
    <w:rsid w:val="00947B97"/>
    <w:rsid w:val="00950016"/>
    <w:rsid w:val="00950116"/>
    <w:rsid w:val="0095026C"/>
    <w:rsid w:val="00950A49"/>
    <w:rsid w:val="00950F7A"/>
    <w:rsid w:val="00951232"/>
    <w:rsid w:val="00951579"/>
    <w:rsid w:val="00951F41"/>
    <w:rsid w:val="009522C5"/>
    <w:rsid w:val="009524FB"/>
    <w:rsid w:val="00952D0D"/>
    <w:rsid w:val="0095338E"/>
    <w:rsid w:val="00953998"/>
    <w:rsid w:val="00953F20"/>
    <w:rsid w:val="009544CC"/>
    <w:rsid w:val="009547A3"/>
    <w:rsid w:val="009556AC"/>
    <w:rsid w:val="00955769"/>
    <w:rsid w:val="009558B0"/>
    <w:rsid w:val="00955939"/>
    <w:rsid w:val="009560A4"/>
    <w:rsid w:val="00956201"/>
    <w:rsid w:val="00956A64"/>
    <w:rsid w:val="00956E39"/>
    <w:rsid w:val="009578F7"/>
    <w:rsid w:val="0096055A"/>
    <w:rsid w:val="00960835"/>
    <w:rsid w:val="00960C64"/>
    <w:rsid w:val="00960F50"/>
    <w:rsid w:val="009610D4"/>
    <w:rsid w:val="009618E4"/>
    <w:rsid w:val="00961E3C"/>
    <w:rsid w:val="009621F5"/>
    <w:rsid w:val="00962C3C"/>
    <w:rsid w:val="00963058"/>
    <w:rsid w:val="0096329C"/>
    <w:rsid w:val="009633A3"/>
    <w:rsid w:val="009635FC"/>
    <w:rsid w:val="00963678"/>
    <w:rsid w:val="00963C47"/>
    <w:rsid w:val="009643D1"/>
    <w:rsid w:val="0096465D"/>
    <w:rsid w:val="009649C8"/>
    <w:rsid w:val="00964D8B"/>
    <w:rsid w:val="009653C9"/>
    <w:rsid w:val="009654F5"/>
    <w:rsid w:val="00965BA3"/>
    <w:rsid w:val="00966CCD"/>
    <w:rsid w:val="00966F3D"/>
    <w:rsid w:val="0096718F"/>
    <w:rsid w:val="0096735E"/>
    <w:rsid w:val="00967864"/>
    <w:rsid w:val="00967A82"/>
    <w:rsid w:val="00967DD3"/>
    <w:rsid w:val="009710A8"/>
    <w:rsid w:val="00971A4C"/>
    <w:rsid w:val="00971A50"/>
    <w:rsid w:val="0097222F"/>
    <w:rsid w:val="00972789"/>
    <w:rsid w:val="00972E70"/>
    <w:rsid w:val="00972F43"/>
    <w:rsid w:val="00973068"/>
    <w:rsid w:val="009731D4"/>
    <w:rsid w:val="0097326B"/>
    <w:rsid w:val="009737D6"/>
    <w:rsid w:val="00973A58"/>
    <w:rsid w:val="00973E6B"/>
    <w:rsid w:val="009740BC"/>
    <w:rsid w:val="009747B6"/>
    <w:rsid w:val="009748AD"/>
    <w:rsid w:val="00974B13"/>
    <w:rsid w:val="00974BC6"/>
    <w:rsid w:val="00974E14"/>
    <w:rsid w:val="00974EDA"/>
    <w:rsid w:val="00974FE3"/>
    <w:rsid w:val="009757EC"/>
    <w:rsid w:val="009761CD"/>
    <w:rsid w:val="00976959"/>
    <w:rsid w:val="009769A7"/>
    <w:rsid w:val="009769F4"/>
    <w:rsid w:val="00976A8B"/>
    <w:rsid w:val="00976FA9"/>
    <w:rsid w:val="009771A9"/>
    <w:rsid w:val="00980000"/>
    <w:rsid w:val="00980037"/>
    <w:rsid w:val="009800B3"/>
    <w:rsid w:val="009800D4"/>
    <w:rsid w:val="009814B9"/>
    <w:rsid w:val="00981C07"/>
    <w:rsid w:val="00981C41"/>
    <w:rsid w:val="00982312"/>
    <w:rsid w:val="0098239B"/>
    <w:rsid w:val="009834DC"/>
    <w:rsid w:val="00983C1D"/>
    <w:rsid w:val="0098402E"/>
    <w:rsid w:val="00984688"/>
    <w:rsid w:val="009846BE"/>
    <w:rsid w:val="009848C1"/>
    <w:rsid w:val="00984D77"/>
    <w:rsid w:val="00985109"/>
    <w:rsid w:val="00985335"/>
    <w:rsid w:val="00985542"/>
    <w:rsid w:val="00985954"/>
    <w:rsid w:val="009861A4"/>
    <w:rsid w:val="009862F6"/>
    <w:rsid w:val="0098642A"/>
    <w:rsid w:val="009866B5"/>
    <w:rsid w:val="00986C33"/>
    <w:rsid w:val="00986CDB"/>
    <w:rsid w:val="009873B1"/>
    <w:rsid w:val="009876AD"/>
    <w:rsid w:val="009877A5"/>
    <w:rsid w:val="0099021D"/>
    <w:rsid w:val="00990290"/>
    <w:rsid w:val="009902FF"/>
    <w:rsid w:val="0099095A"/>
    <w:rsid w:val="00990AC8"/>
    <w:rsid w:val="00990D8B"/>
    <w:rsid w:val="00990FA4"/>
    <w:rsid w:val="00991412"/>
    <w:rsid w:val="00991C5C"/>
    <w:rsid w:val="00991C73"/>
    <w:rsid w:val="0099217C"/>
    <w:rsid w:val="0099237C"/>
    <w:rsid w:val="009924DF"/>
    <w:rsid w:val="00992F4E"/>
    <w:rsid w:val="009934AC"/>
    <w:rsid w:val="0099403A"/>
    <w:rsid w:val="009943BB"/>
    <w:rsid w:val="009946F2"/>
    <w:rsid w:val="00994802"/>
    <w:rsid w:val="009948FE"/>
    <w:rsid w:val="00994951"/>
    <w:rsid w:val="009949AF"/>
    <w:rsid w:val="00994A48"/>
    <w:rsid w:val="00994BCD"/>
    <w:rsid w:val="009952F9"/>
    <w:rsid w:val="00995E3B"/>
    <w:rsid w:val="00996373"/>
    <w:rsid w:val="009964A3"/>
    <w:rsid w:val="009965A0"/>
    <w:rsid w:val="009967A1"/>
    <w:rsid w:val="0099684E"/>
    <w:rsid w:val="00996E1C"/>
    <w:rsid w:val="00997A48"/>
    <w:rsid w:val="00997D4E"/>
    <w:rsid w:val="00997E06"/>
    <w:rsid w:val="00997E70"/>
    <w:rsid w:val="009A03BE"/>
    <w:rsid w:val="009A08A2"/>
    <w:rsid w:val="009A1315"/>
    <w:rsid w:val="009A1917"/>
    <w:rsid w:val="009A1C80"/>
    <w:rsid w:val="009A1FAF"/>
    <w:rsid w:val="009A21FE"/>
    <w:rsid w:val="009A23E4"/>
    <w:rsid w:val="009A2F40"/>
    <w:rsid w:val="009A32EC"/>
    <w:rsid w:val="009A3AFE"/>
    <w:rsid w:val="009A3EA6"/>
    <w:rsid w:val="009A45AE"/>
    <w:rsid w:val="009A54D0"/>
    <w:rsid w:val="009A595B"/>
    <w:rsid w:val="009A5A32"/>
    <w:rsid w:val="009A5CE6"/>
    <w:rsid w:val="009A65F6"/>
    <w:rsid w:val="009A6A03"/>
    <w:rsid w:val="009A6FE3"/>
    <w:rsid w:val="009A73A8"/>
    <w:rsid w:val="009A79F3"/>
    <w:rsid w:val="009A7A58"/>
    <w:rsid w:val="009A7D60"/>
    <w:rsid w:val="009A7E9B"/>
    <w:rsid w:val="009B04A8"/>
    <w:rsid w:val="009B07BB"/>
    <w:rsid w:val="009B0AD9"/>
    <w:rsid w:val="009B19F9"/>
    <w:rsid w:val="009B1CA2"/>
    <w:rsid w:val="009B1E60"/>
    <w:rsid w:val="009B1F0E"/>
    <w:rsid w:val="009B1FC6"/>
    <w:rsid w:val="009B1FE6"/>
    <w:rsid w:val="009B2709"/>
    <w:rsid w:val="009B2D21"/>
    <w:rsid w:val="009B35B7"/>
    <w:rsid w:val="009B3A47"/>
    <w:rsid w:val="009B3C11"/>
    <w:rsid w:val="009B3D2C"/>
    <w:rsid w:val="009B3F9D"/>
    <w:rsid w:val="009B418C"/>
    <w:rsid w:val="009B42A8"/>
    <w:rsid w:val="009B445A"/>
    <w:rsid w:val="009B4A7E"/>
    <w:rsid w:val="009B4CA6"/>
    <w:rsid w:val="009B541E"/>
    <w:rsid w:val="009B59D2"/>
    <w:rsid w:val="009B5DDC"/>
    <w:rsid w:val="009B6181"/>
    <w:rsid w:val="009B6434"/>
    <w:rsid w:val="009B7150"/>
    <w:rsid w:val="009B7A2D"/>
    <w:rsid w:val="009B7BAE"/>
    <w:rsid w:val="009BE190"/>
    <w:rsid w:val="009C0007"/>
    <w:rsid w:val="009C0058"/>
    <w:rsid w:val="009C0569"/>
    <w:rsid w:val="009C0C71"/>
    <w:rsid w:val="009C0E09"/>
    <w:rsid w:val="009C1241"/>
    <w:rsid w:val="009C1418"/>
    <w:rsid w:val="009C142F"/>
    <w:rsid w:val="009C198C"/>
    <w:rsid w:val="009C1A14"/>
    <w:rsid w:val="009C1A4B"/>
    <w:rsid w:val="009C342B"/>
    <w:rsid w:val="009C385B"/>
    <w:rsid w:val="009C424F"/>
    <w:rsid w:val="009C42DA"/>
    <w:rsid w:val="009C4549"/>
    <w:rsid w:val="009C45A7"/>
    <w:rsid w:val="009C45F2"/>
    <w:rsid w:val="009C4BE9"/>
    <w:rsid w:val="009C4BF2"/>
    <w:rsid w:val="009C5869"/>
    <w:rsid w:val="009C58BA"/>
    <w:rsid w:val="009C58D5"/>
    <w:rsid w:val="009C5C02"/>
    <w:rsid w:val="009C5E9D"/>
    <w:rsid w:val="009C6059"/>
    <w:rsid w:val="009C63D4"/>
    <w:rsid w:val="009C6819"/>
    <w:rsid w:val="009C6C00"/>
    <w:rsid w:val="009C739C"/>
    <w:rsid w:val="009C73D5"/>
    <w:rsid w:val="009C740B"/>
    <w:rsid w:val="009C7A51"/>
    <w:rsid w:val="009C7E75"/>
    <w:rsid w:val="009C7FEB"/>
    <w:rsid w:val="009D02DC"/>
    <w:rsid w:val="009D074E"/>
    <w:rsid w:val="009D0B17"/>
    <w:rsid w:val="009D0BCC"/>
    <w:rsid w:val="009D1929"/>
    <w:rsid w:val="009D1CA7"/>
    <w:rsid w:val="009D1F4B"/>
    <w:rsid w:val="009D2A21"/>
    <w:rsid w:val="009D30A9"/>
    <w:rsid w:val="009D3109"/>
    <w:rsid w:val="009D3329"/>
    <w:rsid w:val="009D3520"/>
    <w:rsid w:val="009D3721"/>
    <w:rsid w:val="009D3778"/>
    <w:rsid w:val="009D3AC5"/>
    <w:rsid w:val="009D3DF5"/>
    <w:rsid w:val="009D3EB5"/>
    <w:rsid w:val="009D3FE0"/>
    <w:rsid w:val="009D4C1F"/>
    <w:rsid w:val="009D6140"/>
    <w:rsid w:val="009D6207"/>
    <w:rsid w:val="009D639D"/>
    <w:rsid w:val="009D68C7"/>
    <w:rsid w:val="009D712D"/>
    <w:rsid w:val="009D73AB"/>
    <w:rsid w:val="009D7AEF"/>
    <w:rsid w:val="009D7DEC"/>
    <w:rsid w:val="009E003D"/>
    <w:rsid w:val="009E03BF"/>
    <w:rsid w:val="009E059E"/>
    <w:rsid w:val="009E05F1"/>
    <w:rsid w:val="009E063F"/>
    <w:rsid w:val="009E07C1"/>
    <w:rsid w:val="009E0894"/>
    <w:rsid w:val="009E0913"/>
    <w:rsid w:val="009E094A"/>
    <w:rsid w:val="009E0E2E"/>
    <w:rsid w:val="009E1DF6"/>
    <w:rsid w:val="009E2B57"/>
    <w:rsid w:val="009E2FC4"/>
    <w:rsid w:val="009E3141"/>
    <w:rsid w:val="009E32B4"/>
    <w:rsid w:val="009E375D"/>
    <w:rsid w:val="009E3CB7"/>
    <w:rsid w:val="009E4BB0"/>
    <w:rsid w:val="009E4F1E"/>
    <w:rsid w:val="009E4FF0"/>
    <w:rsid w:val="009E5780"/>
    <w:rsid w:val="009E5877"/>
    <w:rsid w:val="009E5896"/>
    <w:rsid w:val="009E58A5"/>
    <w:rsid w:val="009E5943"/>
    <w:rsid w:val="009E6825"/>
    <w:rsid w:val="009E6BCE"/>
    <w:rsid w:val="009E6EAE"/>
    <w:rsid w:val="009E77D7"/>
    <w:rsid w:val="009E7C95"/>
    <w:rsid w:val="009E7D8C"/>
    <w:rsid w:val="009E7FF0"/>
    <w:rsid w:val="009F1BD4"/>
    <w:rsid w:val="009F2306"/>
    <w:rsid w:val="009F28FF"/>
    <w:rsid w:val="009F37E9"/>
    <w:rsid w:val="009F3AF1"/>
    <w:rsid w:val="009F3D65"/>
    <w:rsid w:val="009F3FA8"/>
    <w:rsid w:val="009F427F"/>
    <w:rsid w:val="009F45D0"/>
    <w:rsid w:val="009F4AF6"/>
    <w:rsid w:val="009F4B50"/>
    <w:rsid w:val="009F536C"/>
    <w:rsid w:val="009F5620"/>
    <w:rsid w:val="009F5698"/>
    <w:rsid w:val="009F5A41"/>
    <w:rsid w:val="009F66C7"/>
    <w:rsid w:val="009F67A2"/>
    <w:rsid w:val="009F6EDC"/>
    <w:rsid w:val="009F70E3"/>
    <w:rsid w:val="00A001CD"/>
    <w:rsid w:val="00A00360"/>
    <w:rsid w:val="00A0040A"/>
    <w:rsid w:val="00A007C3"/>
    <w:rsid w:val="00A00D8A"/>
    <w:rsid w:val="00A0120B"/>
    <w:rsid w:val="00A01467"/>
    <w:rsid w:val="00A02143"/>
    <w:rsid w:val="00A025BB"/>
    <w:rsid w:val="00A02B72"/>
    <w:rsid w:val="00A02F90"/>
    <w:rsid w:val="00A035A3"/>
    <w:rsid w:val="00A0378E"/>
    <w:rsid w:val="00A037C9"/>
    <w:rsid w:val="00A03FEE"/>
    <w:rsid w:val="00A04347"/>
    <w:rsid w:val="00A048F7"/>
    <w:rsid w:val="00A04D38"/>
    <w:rsid w:val="00A053D4"/>
    <w:rsid w:val="00A05435"/>
    <w:rsid w:val="00A05461"/>
    <w:rsid w:val="00A05577"/>
    <w:rsid w:val="00A055E8"/>
    <w:rsid w:val="00A055F5"/>
    <w:rsid w:val="00A064C0"/>
    <w:rsid w:val="00A06891"/>
    <w:rsid w:val="00A06CBC"/>
    <w:rsid w:val="00A07033"/>
    <w:rsid w:val="00A0765F"/>
    <w:rsid w:val="00A07846"/>
    <w:rsid w:val="00A07AD0"/>
    <w:rsid w:val="00A07B93"/>
    <w:rsid w:val="00A07DCA"/>
    <w:rsid w:val="00A105A8"/>
    <w:rsid w:val="00A10710"/>
    <w:rsid w:val="00A10C6F"/>
    <w:rsid w:val="00A110F2"/>
    <w:rsid w:val="00A116E5"/>
    <w:rsid w:val="00A11E75"/>
    <w:rsid w:val="00A12513"/>
    <w:rsid w:val="00A12646"/>
    <w:rsid w:val="00A12ADD"/>
    <w:rsid w:val="00A1389E"/>
    <w:rsid w:val="00A13957"/>
    <w:rsid w:val="00A13A83"/>
    <w:rsid w:val="00A13A95"/>
    <w:rsid w:val="00A142DD"/>
    <w:rsid w:val="00A14597"/>
    <w:rsid w:val="00A14838"/>
    <w:rsid w:val="00A15709"/>
    <w:rsid w:val="00A15771"/>
    <w:rsid w:val="00A15B58"/>
    <w:rsid w:val="00A15D92"/>
    <w:rsid w:val="00A16000"/>
    <w:rsid w:val="00A16824"/>
    <w:rsid w:val="00A16A10"/>
    <w:rsid w:val="00A16C96"/>
    <w:rsid w:val="00A16EAD"/>
    <w:rsid w:val="00A16FCF"/>
    <w:rsid w:val="00A17FA1"/>
    <w:rsid w:val="00A1FA49"/>
    <w:rsid w:val="00A20C4C"/>
    <w:rsid w:val="00A20DFC"/>
    <w:rsid w:val="00A20E84"/>
    <w:rsid w:val="00A211AB"/>
    <w:rsid w:val="00A214CC"/>
    <w:rsid w:val="00A2160D"/>
    <w:rsid w:val="00A2188F"/>
    <w:rsid w:val="00A21A62"/>
    <w:rsid w:val="00A22899"/>
    <w:rsid w:val="00A22A1B"/>
    <w:rsid w:val="00A22B11"/>
    <w:rsid w:val="00A22B2D"/>
    <w:rsid w:val="00A22B9D"/>
    <w:rsid w:val="00A22CB1"/>
    <w:rsid w:val="00A22CDC"/>
    <w:rsid w:val="00A22D9C"/>
    <w:rsid w:val="00A23500"/>
    <w:rsid w:val="00A23758"/>
    <w:rsid w:val="00A23AB2"/>
    <w:rsid w:val="00A23CEB"/>
    <w:rsid w:val="00A2410B"/>
    <w:rsid w:val="00A2452F"/>
    <w:rsid w:val="00A245E0"/>
    <w:rsid w:val="00A24C38"/>
    <w:rsid w:val="00A251C5"/>
    <w:rsid w:val="00A256C8"/>
    <w:rsid w:val="00A25922"/>
    <w:rsid w:val="00A25ED2"/>
    <w:rsid w:val="00A26005"/>
    <w:rsid w:val="00A262C9"/>
    <w:rsid w:val="00A2661C"/>
    <w:rsid w:val="00A2672F"/>
    <w:rsid w:val="00A2681D"/>
    <w:rsid w:val="00A26A42"/>
    <w:rsid w:val="00A27286"/>
    <w:rsid w:val="00A273E3"/>
    <w:rsid w:val="00A27915"/>
    <w:rsid w:val="00A27B02"/>
    <w:rsid w:val="00A27CF0"/>
    <w:rsid w:val="00A30615"/>
    <w:rsid w:val="00A30819"/>
    <w:rsid w:val="00A308E9"/>
    <w:rsid w:val="00A30C09"/>
    <w:rsid w:val="00A30D62"/>
    <w:rsid w:val="00A31841"/>
    <w:rsid w:val="00A318F9"/>
    <w:rsid w:val="00A32589"/>
    <w:rsid w:val="00A325B3"/>
    <w:rsid w:val="00A3288D"/>
    <w:rsid w:val="00A32994"/>
    <w:rsid w:val="00A32A35"/>
    <w:rsid w:val="00A33044"/>
    <w:rsid w:val="00A3314B"/>
    <w:rsid w:val="00A331CB"/>
    <w:rsid w:val="00A33B28"/>
    <w:rsid w:val="00A33C94"/>
    <w:rsid w:val="00A3423E"/>
    <w:rsid w:val="00A343E3"/>
    <w:rsid w:val="00A347B3"/>
    <w:rsid w:val="00A34844"/>
    <w:rsid w:val="00A3494B"/>
    <w:rsid w:val="00A349AF"/>
    <w:rsid w:val="00A34CC5"/>
    <w:rsid w:val="00A35082"/>
    <w:rsid w:val="00A35598"/>
    <w:rsid w:val="00A35707"/>
    <w:rsid w:val="00A35763"/>
    <w:rsid w:val="00A359A0"/>
    <w:rsid w:val="00A35D0B"/>
    <w:rsid w:val="00A35DD7"/>
    <w:rsid w:val="00A360A6"/>
    <w:rsid w:val="00A36CBA"/>
    <w:rsid w:val="00A370E0"/>
    <w:rsid w:val="00A373F8"/>
    <w:rsid w:val="00A37851"/>
    <w:rsid w:val="00A37B12"/>
    <w:rsid w:val="00A400C7"/>
    <w:rsid w:val="00A40270"/>
    <w:rsid w:val="00A40C14"/>
    <w:rsid w:val="00A410E7"/>
    <w:rsid w:val="00A411B6"/>
    <w:rsid w:val="00A414A0"/>
    <w:rsid w:val="00A41A0C"/>
    <w:rsid w:val="00A42106"/>
    <w:rsid w:val="00A42442"/>
    <w:rsid w:val="00A43315"/>
    <w:rsid w:val="00A43951"/>
    <w:rsid w:val="00A43B3D"/>
    <w:rsid w:val="00A43D4C"/>
    <w:rsid w:val="00A44048"/>
    <w:rsid w:val="00A441AC"/>
    <w:rsid w:val="00A44314"/>
    <w:rsid w:val="00A44A9F"/>
    <w:rsid w:val="00A44C3B"/>
    <w:rsid w:val="00A450C9"/>
    <w:rsid w:val="00A45143"/>
    <w:rsid w:val="00A455AD"/>
    <w:rsid w:val="00A4693F"/>
    <w:rsid w:val="00A46C59"/>
    <w:rsid w:val="00A4724B"/>
    <w:rsid w:val="00A4727B"/>
    <w:rsid w:val="00A4781B"/>
    <w:rsid w:val="00A4789F"/>
    <w:rsid w:val="00A478D4"/>
    <w:rsid w:val="00A479EA"/>
    <w:rsid w:val="00A47A29"/>
    <w:rsid w:val="00A47AEE"/>
    <w:rsid w:val="00A47E8E"/>
    <w:rsid w:val="00A50AAB"/>
    <w:rsid w:val="00A50AB7"/>
    <w:rsid w:val="00A50B59"/>
    <w:rsid w:val="00A50E64"/>
    <w:rsid w:val="00A512F6"/>
    <w:rsid w:val="00A51F27"/>
    <w:rsid w:val="00A523ED"/>
    <w:rsid w:val="00A5352F"/>
    <w:rsid w:val="00A535F6"/>
    <w:rsid w:val="00A5384F"/>
    <w:rsid w:val="00A53E1F"/>
    <w:rsid w:val="00A53FBD"/>
    <w:rsid w:val="00A540A1"/>
    <w:rsid w:val="00A54187"/>
    <w:rsid w:val="00A54512"/>
    <w:rsid w:val="00A54A02"/>
    <w:rsid w:val="00A54B3E"/>
    <w:rsid w:val="00A54E12"/>
    <w:rsid w:val="00A55064"/>
    <w:rsid w:val="00A5508F"/>
    <w:rsid w:val="00A551C1"/>
    <w:rsid w:val="00A55424"/>
    <w:rsid w:val="00A5552E"/>
    <w:rsid w:val="00A55544"/>
    <w:rsid w:val="00A55BBA"/>
    <w:rsid w:val="00A55EC1"/>
    <w:rsid w:val="00A56242"/>
    <w:rsid w:val="00A56500"/>
    <w:rsid w:val="00A56690"/>
    <w:rsid w:val="00A56698"/>
    <w:rsid w:val="00A56A48"/>
    <w:rsid w:val="00A56B4C"/>
    <w:rsid w:val="00A56F56"/>
    <w:rsid w:val="00A57A2C"/>
    <w:rsid w:val="00A57CB5"/>
    <w:rsid w:val="00A57EAE"/>
    <w:rsid w:val="00A6137A"/>
    <w:rsid w:val="00A614F8"/>
    <w:rsid w:val="00A618DA"/>
    <w:rsid w:val="00A61BA7"/>
    <w:rsid w:val="00A62056"/>
    <w:rsid w:val="00A62074"/>
    <w:rsid w:val="00A620C4"/>
    <w:rsid w:val="00A6216A"/>
    <w:rsid w:val="00A622AD"/>
    <w:rsid w:val="00A62397"/>
    <w:rsid w:val="00A62479"/>
    <w:rsid w:val="00A624D1"/>
    <w:rsid w:val="00A625B5"/>
    <w:rsid w:val="00A628F1"/>
    <w:rsid w:val="00A62EF3"/>
    <w:rsid w:val="00A630A2"/>
    <w:rsid w:val="00A6319A"/>
    <w:rsid w:val="00A635C5"/>
    <w:rsid w:val="00A644D8"/>
    <w:rsid w:val="00A645CE"/>
    <w:rsid w:val="00A649E1"/>
    <w:rsid w:val="00A656E7"/>
    <w:rsid w:val="00A65820"/>
    <w:rsid w:val="00A65964"/>
    <w:rsid w:val="00A6618D"/>
    <w:rsid w:val="00A66372"/>
    <w:rsid w:val="00A66376"/>
    <w:rsid w:val="00A6647C"/>
    <w:rsid w:val="00A66803"/>
    <w:rsid w:val="00A66940"/>
    <w:rsid w:val="00A66D9B"/>
    <w:rsid w:val="00A66D9F"/>
    <w:rsid w:val="00A67215"/>
    <w:rsid w:val="00A67395"/>
    <w:rsid w:val="00A67655"/>
    <w:rsid w:val="00A678A3"/>
    <w:rsid w:val="00A67DA4"/>
    <w:rsid w:val="00A70228"/>
    <w:rsid w:val="00A705D3"/>
    <w:rsid w:val="00A7088C"/>
    <w:rsid w:val="00A708E4"/>
    <w:rsid w:val="00A70B55"/>
    <w:rsid w:val="00A70E27"/>
    <w:rsid w:val="00A70FDF"/>
    <w:rsid w:val="00A71E3A"/>
    <w:rsid w:val="00A722A0"/>
    <w:rsid w:val="00A7248B"/>
    <w:rsid w:val="00A72767"/>
    <w:rsid w:val="00A72A08"/>
    <w:rsid w:val="00A72AE5"/>
    <w:rsid w:val="00A72DFF"/>
    <w:rsid w:val="00A731CC"/>
    <w:rsid w:val="00A734FF"/>
    <w:rsid w:val="00A73565"/>
    <w:rsid w:val="00A73981"/>
    <w:rsid w:val="00A74088"/>
    <w:rsid w:val="00A74E13"/>
    <w:rsid w:val="00A75191"/>
    <w:rsid w:val="00A752B2"/>
    <w:rsid w:val="00A75503"/>
    <w:rsid w:val="00A7578E"/>
    <w:rsid w:val="00A75A6C"/>
    <w:rsid w:val="00A75DEC"/>
    <w:rsid w:val="00A76563"/>
    <w:rsid w:val="00A76A59"/>
    <w:rsid w:val="00A76FB0"/>
    <w:rsid w:val="00A7735E"/>
    <w:rsid w:val="00A77A9B"/>
    <w:rsid w:val="00A77FBE"/>
    <w:rsid w:val="00A80BD3"/>
    <w:rsid w:val="00A81149"/>
    <w:rsid w:val="00A81296"/>
    <w:rsid w:val="00A8137A"/>
    <w:rsid w:val="00A81574"/>
    <w:rsid w:val="00A817F3"/>
    <w:rsid w:val="00A81C40"/>
    <w:rsid w:val="00A82136"/>
    <w:rsid w:val="00A82304"/>
    <w:rsid w:val="00A82785"/>
    <w:rsid w:val="00A82C7A"/>
    <w:rsid w:val="00A82D9C"/>
    <w:rsid w:val="00A83128"/>
    <w:rsid w:val="00A832FD"/>
    <w:rsid w:val="00A83383"/>
    <w:rsid w:val="00A83497"/>
    <w:rsid w:val="00A838E8"/>
    <w:rsid w:val="00A84360"/>
    <w:rsid w:val="00A84D82"/>
    <w:rsid w:val="00A84E96"/>
    <w:rsid w:val="00A85321"/>
    <w:rsid w:val="00A853AE"/>
    <w:rsid w:val="00A857F8"/>
    <w:rsid w:val="00A858FD"/>
    <w:rsid w:val="00A86688"/>
    <w:rsid w:val="00A86974"/>
    <w:rsid w:val="00A86E66"/>
    <w:rsid w:val="00A86EE7"/>
    <w:rsid w:val="00A907A4"/>
    <w:rsid w:val="00A91337"/>
    <w:rsid w:val="00A91460"/>
    <w:rsid w:val="00A91773"/>
    <w:rsid w:val="00A91DB1"/>
    <w:rsid w:val="00A91E59"/>
    <w:rsid w:val="00A92D51"/>
    <w:rsid w:val="00A93C68"/>
    <w:rsid w:val="00A93C8E"/>
    <w:rsid w:val="00A93D3E"/>
    <w:rsid w:val="00A93F28"/>
    <w:rsid w:val="00A94825"/>
    <w:rsid w:val="00A94A1C"/>
    <w:rsid w:val="00A9568F"/>
    <w:rsid w:val="00A95A73"/>
    <w:rsid w:val="00A95DEE"/>
    <w:rsid w:val="00A95F28"/>
    <w:rsid w:val="00A95F3F"/>
    <w:rsid w:val="00A96600"/>
    <w:rsid w:val="00A96B9F"/>
    <w:rsid w:val="00A96EFC"/>
    <w:rsid w:val="00AA0195"/>
    <w:rsid w:val="00AA03A0"/>
    <w:rsid w:val="00AA0DCF"/>
    <w:rsid w:val="00AA18CA"/>
    <w:rsid w:val="00AA194D"/>
    <w:rsid w:val="00AA1D51"/>
    <w:rsid w:val="00AA2083"/>
    <w:rsid w:val="00AA3484"/>
    <w:rsid w:val="00AA3A0C"/>
    <w:rsid w:val="00AA3A48"/>
    <w:rsid w:val="00AA3C05"/>
    <w:rsid w:val="00AA3C3A"/>
    <w:rsid w:val="00AA462A"/>
    <w:rsid w:val="00AA486F"/>
    <w:rsid w:val="00AA55BA"/>
    <w:rsid w:val="00AA570D"/>
    <w:rsid w:val="00AA5DE9"/>
    <w:rsid w:val="00AA60E5"/>
    <w:rsid w:val="00AA60ED"/>
    <w:rsid w:val="00AA68C5"/>
    <w:rsid w:val="00AA734B"/>
    <w:rsid w:val="00AA73DF"/>
    <w:rsid w:val="00AA7C01"/>
    <w:rsid w:val="00AA7D55"/>
    <w:rsid w:val="00AB0A98"/>
    <w:rsid w:val="00AB0FA2"/>
    <w:rsid w:val="00AB0FF7"/>
    <w:rsid w:val="00AB0FFF"/>
    <w:rsid w:val="00AB11D8"/>
    <w:rsid w:val="00AB1710"/>
    <w:rsid w:val="00AB1BC5"/>
    <w:rsid w:val="00AB1D46"/>
    <w:rsid w:val="00AB2014"/>
    <w:rsid w:val="00AB2311"/>
    <w:rsid w:val="00AB23E0"/>
    <w:rsid w:val="00AB2B78"/>
    <w:rsid w:val="00AB2F15"/>
    <w:rsid w:val="00AB319A"/>
    <w:rsid w:val="00AB33BD"/>
    <w:rsid w:val="00AB3EAC"/>
    <w:rsid w:val="00AB425F"/>
    <w:rsid w:val="00AB47EE"/>
    <w:rsid w:val="00AB48D0"/>
    <w:rsid w:val="00AB4C89"/>
    <w:rsid w:val="00AB4FE1"/>
    <w:rsid w:val="00AB5516"/>
    <w:rsid w:val="00AB56A7"/>
    <w:rsid w:val="00AB59EC"/>
    <w:rsid w:val="00AB604B"/>
    <w:rsid w:val="00AB60FA"/>
    <w:rsid w:val="00AB62ED"/>
    <w:rsid w:val="00AB67BF"/>
    <w:rsid w:val="00AB6DBA"/>
    <w:rsid w:val="00AB71D6"/>
    <w:rsid w:val="00AB7538"/>
    <w:rsid w:val="00AB7AB1"/>
    <w:rsid w:val="00AB7E4D"/>
    <w:rsid w:val="00AB7EE7"/>
    <w:rsid w:val="00AB7F17"/>
    <w:rsid w:val="00AC01B4"/>
    <w:rsid w:val="00AC0239"/>
    <w:rsid w:val="00AC0923"/>
    <w:rsid w:val="00AC093D"/>
    <w:rsid w:val="00AC1005"/>
    <w:rsid w:val="00AC123B"/>
    <w:rsid w:val="00AC1413"/>
    <w:rsid w:val="00AC165A"/>
    <w:rsid w:val="00AC1F0E"/>
    <w:rsid w:val="00AC222F"/>
    <w:rsid w:val="00AC230D"/>
    <w:rsid w:val="00AC2397"/>
    <w:rsid w:val="00AC2765"/>
    <w:rsid w:val="00AC3205"/>
    <w:rsid w:val="00AC344C"/>
    <w:rsid w:val="00AC3978"/>
    <w:rsid w:val="00AC39CB"/>
    <w:rsid w:val="00AC3BF7"/>
    <w:rsid w:val="00AC3FE7"/>
    <w:rsid w:val="00AC4855"/>
    <w:rsid w:val="00AC4A8C"/>
    <w:rsid w:val="00AC521D"/>
    <w:rsid w:val="00AC57BE"/>
    <w:rsid w:val="00AC5893"/>
    <w:rsid w:val="00AC5AEB"/>
    <w:rsid w:val="00AC5B06"/>
    <w:rsid w:val="00AC5DD1"/>
    <w:rsid w:val="00AC68E5"/>
    <w:rsid w:val="00AC6ADB"/>
    <w:rsid w:val="00AC6B44"/>
    <w:rsid w:val="00AC6FDC"/>
    <w:rsid w:val="00AC7107"/>
    <w:rsid w:val="00AC7545"/>
    <w:rsid w:val="00AC7943"/>
    <w:rsid w:val="00AD0BBD"/>
    <w:rsid w:val="00AD0E0B"/>
    <w:rsid w:val="00AD1DE7"/>
    <w:rsid w:val="00AD1F07"/>
    <w:rsid w:val="00AD23B9"/>
    <w:rsid w:val="00AD2965"/>
    <w:rsid w:val="00AD2B23"/>
    <w:rsid w:val="00AD2B27"/>
    <w:rsid w:val="00AD34A8"/>
    <w:rsid w:val="00AD38C4"/>
    <w:rsid w:val="00AD3A4B"/>
    <w:rsid w:val="00AD3BE3"/>
    <w:rsid w:val="00AD3C01"/>
    <w:rsid w:val="00AD3C0B"/>
    <w:rsid w:val="00AD41D5"/>
    <w:rsid w:val="00AD48B3"/>
    <w:rsid w:val="00AD4983"/>
    <w:rsid w:val="00AD4B6D"/>
    <w:rsid w:val="00AD4B9C"/>
    <w:rsid w:val="00AD4EFE"/>
    <w:rsid w:val="00AD5086"/>
    <w:rsid w:val="00AD536A"/>
    <w:rsid w:val="00AD578B"/>
    <w:rsid w:val="00AD5E1F"/>
    <w:rsid w:val="00AD694D"/>
    <w:rsid w:val="00AD6D15"/>
    <w:rsid w:val="00AD6E9E"/>
    <w:rsid w:val="00AD6FD0"/>
    <w:rsid w:val="00AD7289"/>
    <w:rsid w:val="00AD7516"/>
    <w:rsid w:val="00AD7F05"/>
    <w:rsid w:val="00AD7F84"/>
    <w:rsid w:val="00AE05FE"/>
    <w:rsid w:val="00AE08BA"/>
    <w:rsid w:val="00AE0B53"/>
    <w:rsid w:val="00AE10F2"/>
    <w:rsid w:val="00AE112B"/>
    <w:rsid w:val="00AE13B0"/>
    <w:rsid w:val="00AE142F"/>
    <w:rsid w:val="00AE1738"/>
    <w:rsid w:val="00AE1AB4"/>
    <w:rsid w:val="00AE1D9B"/>
    <w:rsid w:val="00AE1FDE"/>
    <w:rsid w:val="00AE2021"/>
    <w:rsid w:val="00AE20DC"/>
    <w:rsid w:val="00AE23F1"/>
    <w:rsid w:val="00AE2999"/>
    <w:rsid w:val="00AE29D0"/>
    <w:rsid w:val="00AE2A49"/>
    <w:rsid w:val="00AE2DE6"/>
    <w:rsid w:val="00AE2E38"/>
    <w:rsid w:val="00AE2F82"/>
    <w:rsid w:val="00AE3260"/>
    <w:rsid w:val="00AE330C"/>
    <w:rsid w:val="00AE34F2"/>
    <w:rsid w:val="00AE368C"/>
    <w:rsid w:val="00AE3CD0"/>
    <w:rsid w:val="00AE3F27"/>
    <w:rsid w:val="00AE43B6"/>
    <w:rsid w:val="00AE4457"/>
    <w:rsid w:val="00AE47B0"/>
    <w:rsid w:val="00AE5133"/>
    <w:rsid w:val="00AE57F5"/>
    <w:rsid w:val="00AE598E"/>
    <w:rsid w:val="00AE5C45"/>
    <w:rsid w:val="00AE6429"/>
    <w:rsid w:val="00AE6469"/>
    <w:rsid w:val="00AE68EF"/>
    <w:rsid w:val="00AE6A13"/>
    <w:rsid w:val="00AE7629"/>
    <w:rsid w:val="00AE79EA"/>
    <w:rsid w:val="00AF0017"/>
    <w:rsid w:val="00AF051E"/>
    <w:rsid w:val="00AF0AFF"/>
    <w:rsid w:val="00AF112B"/>
    <w:rsid w:val="00AF234C"/>
    <w:rsid w:val="00AF25BB"/>
    <w:rsid w:val="00AF2622"/>
    <w:rsid w:val="00AF287F"/>
    <w:rsid w:val="00AF3241"/>
    <w:rsid w:val="00AF34EF"/>
    <w:rsid w:val="00AF35F6"/>
    <w:rsid w:val="00AF369D"/>
    <w:rsid w:val="00AF36C1"/>
    <w:rsid w:val="00AF3BEF"/>
    <w:rsid w:val="00AF4090"/>
    <w:rsid w:val="00AF4119"/>
    <w:rsid w:val="00AF45E2"/>
    <w:rsid w:val="00AF4656"/>
    <w:rsid w:val="00AF4BC2"/>
    <w:rsid w:val="00AF4DF4"/>
    <w:rsid w:val="00AF53B3"/>
    <w:rsid w:val="00AF6565"/>
    <w:rsid w:val="00AF659D"/>
    <w:rsid w:val="00AF67D6"/>
    <w:rsid w:val="00AF73B8"/>
    <w:rsid w:val="00AF75D4"/>
    <w:rsid w:val="00AF7AF8"/>
    <w:rsid w:val="00AF7F8F"/>
    <w:rsid w:val="00B00356"/>
    <w:rsid w:val="00B004DA"/>
    <w:rsid w:val="00B00709"/>
    <w:rsid w:val="00B00969"/>
    <w:rsid w:val="00B00C55"/>
    <w:rsid w:val="00B01806"/>
    <w:rsid w:val="00B018DE"/>
    <w:rsid w:val="00B01E83"/>
    <w:rsid w:val="00B022B5"/>
    <w:rsid w:val="00B02963"/>
    <w:rsid w:val="00B02B20"/>
    <w:rsid w:val="00B02D9F"/>
    <w:rsid w:val="00B035F9"/>
    <w:rsid w:val="00B046E9"/>
    <w:rsid w:val="00B04C38"/>
    <w:rsid w:val="00B051B0"/>
    <w:rsid w:val="00B05265"/>
    <w:rsid w:val="00B052EA"/>
    <w:rsid w:val="00B05F75"/>
    <w:rsid w:val="00B06854"/>
    <w:rsid w:val="00B06960"/>
    <w:rsid w:val="00B072D4"/>
    <w:rsid w:val="00B0747E"/>
    <w:rsid w:val="00B076C6"/>
    <w:rsid w:val="00B07AD0"/>
    <w:rsid w:val="00B07B74"/>
    <w:rsid w:val="00B1003E"/>
    <w:rsid w:val="00B10403"/>
    <w:rsid w:val="00B104BA"/>
    <w:rsid w:val="00B10E64"/>
    <w:rsid w:val="00B113DD"/>
    <w:rsid w:val="00B124F8"/>
    <w:rsid w:val="00B1287B"/>
    <w:rsid w:val="00B12CC5"/>
    <w:rsid w:val="00B12D2B"/>
    <w:rsid w:val="00B12E62"/>
    <w:rsid w:val="00B12E9F"/>
    <w:rsid w:val="00B13098"/>
    <w:rsid w:val="00B1353B"/>
    <w:rsid w:val="00B13F69"/>
    <w:rsid w:val="00B141DA"/>
    <w:rsid w:val="00B1424B"/>
    <w:rsid w:val="00B14794"/>
    <w:rsid w:val="00B14938"/>
    <w:rsid w:val="00B14C4B"/>
    <w:rsid w:val="00B14CD8"/>
    <w:rsid w:val="00B14FE5"/>
    <w:rsid w:val="00B15D42"/>
    <w:rsid w:val="00B15D8A"/>
    <w:rsid w:val="00B15DA7"/>
    <w:rsid w:val="00B15F83"/>
    <w:rsid w:val="00B165F3"/>
    <w:rsid w:val="00B1697B"/>
    <w:rsid w:val="00B16EAC"/>
    <w:rsid w:val="00B17990"/>
    <w:rsid w:val="00B17B3D"/>
    <w:rsid w:val="00B17B64"/>
    <w:rsid w:val="00B20696"/>
    <w:rsid w:val="00B2082C"/>
    <w:rsid w:val="00B2097A"/>
    <w:rsid w:val="00B20F40"/>
    <w:rsid w:val="00B2121B"/>
    <w:rsid w:val="00B218B9"/>
    <w:rsid w:val="00B2191C"/>
    <w:rsid w:val="00B21D36"/>
    <w:rsid w:val="00B22076"/>
    <w:rsid w:val="00B222EB"/>
    <w:rsid w:val="00B22748"/>
    <w:rsid w:val="00B228B5"/>
    <w:rsid w:val="00B2298B"/>
    <w:rsid w:val="00B22BF7"/>
    <w:rsid w:val="00B22C27"/>
    <w:rsid w:val="00B22E9D"/>
    <w:rsid w:val="00B22EFB"/>
    <w:rsid w:val="00B2334F"/>
    <w:rsid w:val="00B23AC0"/>
    <w:rsid w:val="00B23F0B"/>
    <w:rsid w:val="00B24271"/>
    <w:rsid w:val="00B24311"/>
    <w:rsid w:val="00B243CC"/>
    <w:rsid w:val="00B248A3"/>
    <w:rsid w:val="00B249B2"/>
    <w:rsid w:val="00B24A2B"/>
    <w:rsid w:val="00B24B23"/>
    <w:rsid w:val="00B24D1A"/>
    <w:rsid w:val="00B24D30"/>
    <w:rsid w:val="00B2518F"/>
    <w:rsid w:val="00B254F9"/>
    <w:rsid w:val="00B25F88"/>
    <w:rsid w:val="00B2613F"/>
    <w:rsid w:val="00B26710"/>
    <w:rsid w:val="00B26FE7"/>
    <w:rsid w:val="00B2708D"/>
    <w:rsid w:val="00B27634"/>
    <w:rsid w:val="00B27B23"/>
    <w:rsid w:val="00B27D16"/>
    <w:rsid w:val="00B27E04"/>
    <w:rsid w:val="00B27F53"/>
    <w:rsid w:val="00B301A2"/>
    <w:rsid w:val="00B3054C"/>
    <w:rsid w:val="00B30DF4"/>
    <w:rsid w:val="00B30E02"/>
    <w:rsid w:val="00B31068"/>
    <w:rsid w:val="00B31457"/>
    <w:rsid w:val="00B3172B"/>
    <w:rsid w:val="00B31755"/>
    <w:rsid w:val="00B3185B"/>
    <w:rsid w:val="00B318CD"/>
    <w:rsid w:val="00B31939"/>
    <w:rsid w:val="00B31CF1"/>
    <w:rsid w:val="00B325AF"/>
    <w:rsid w:val="00B329E7"/>
    <w:rsid w:val="00B33387"/>
    <w:rsid w:val="00B3348D"/>
    <w:rsid w:val="00B33822"/>
    <w:rsid w:val="00B34C22"/>
    <w:rsid w:val="00B34D3D"/>
    <w:rsid w:val="00B34F59"/>
    <w:rsid w:val="00B35241"/>
    <w:rsid w:val="00B35437"/>
    <w:rsid w:val="00B358E3"/>
    <w:rsid w:val="00B35C09"/>
    <w:rsid w:val="00B35E6C"/>
    <w:rsid w:val="00B369ED"/>
    <w:rsid w:val="00B36DA6"/>
    <w:rsid w:val="00B36DE6"/>
    <w:rsid w:val="00B371CE"/>
    <w:rsid w:val="00B3744A"/>
    <w:rsid w:val="00B378B8"/>
    <w:rsid w:val="00B37950"/>
    <w:rsid w:val="00B37B3B"/>
    <w:rsid w:val="00B37C43"/>
    <w:rsid w:val="00B4032D"/>
    <w:rsid w:val="00B4049D"/>
    <w:rsid w:val="00B404A0"/>
    <w:rsid w:val="00B40543"/>
    <w:rsid w:val="00B4056E"/>
    <w:rsid w:val="00B408DD"/>
    <w:rsid w:val="00B40AAC"/>
    <w:rsid w:val="00B40B9E"/>
    <w:rsid w:val="00B40C51"/>
    <w:rsid w:val="00B40E00"/>
    <w:rsid w:val="00B40EC0"/>
    <w:rsid w:val="00B40F81"/>
    <w:rsid w:val="00B4131A"/>
    <w:rsid w:val="00B4151C"/>
    <w:rsid w:val="00B415C4"/>
    <w:rsid w:val="00B41A17"/>
    <w:rsid w:val="00B41AF3"/>
    <w:rsid w:val="00B42050"/>
    <w:rsid w:val="00B426AA"/>
    <w:rsid w:val="00B42879"/>
    <w:rsid w:val="00B428B1"/>
    <w:rsid w:val="00B42BE3"/>
    <w:rsid w:val="00B43091"/>
    <w:rsid w:val="00B43648"/>
    <w:rsid w:val="00B43F8C"/>
    <w:rsid w:val="00B44ADF"/>
    <w:rsid w:val="00B452DD"/>
    <w:rsid w:val="00B4602F"/>
    <w:rsid w:val="00B46815"/>
    <w:rsid w:val="00B46A3D"/>
    <w:rsid w:val="00B46C2E"/>
    <w:rsid w:val="00B46FF7"/>
    <w:rsid w:val="00B470FF"/>
    <w:rsid w:val="00B472A2"/>
    <w:rsid w:val="00B4771B"/>
    <w:rsid w:val="00B47AC4"/>
    <w:rsid w:val="00B47F3E"/>
    <w:rsid w:val="00B5072A"/>
    <w:rsid w:val="00B50CFE"/>
    <w:rsid w:val="00B50E79"/>
    <w:rsid w:val="00B51052"/>
    <w:rsid w:val="00B5173C"/>
    <w:rsid w:val="00B518CF"/>
    <w:rsid w:val="00B52146"/>
    <w:rsid w:val="00B52CFC"/>
    <w:rsid w:val="00B52F88"/>
    <w:rsid w:val="00B53452"/>
    <w:rsid w:val="00B53525"/>
    <w:rsid w:val="00B53A55"/>
    <w:rsid w:val="00B54003"/>
    <w:rsid w:val="00B54232"/>
    <w:rsid w:val="00B54AEA"/>
    <w:rsid w:val="00B54B9F"/>
    <w:rsid w:val="00B54EC9"/>
    <w:rsid w:val="00B552FA"/>
    <w:rsid w:val="00B5536D"/>
    <w:rsid w:val="00B55616"/>
    <w:rsid w:val="00B5596F"/>
    <w:rsid w:val="00B55AAD"/>
    <w:rsid w:val="00B55B7F"/>
    <w:rsid w:val="00B5611F"/>
    <w:rsid w:val="00B57E7D"/>
    <w:rsid w:val="00B57FC5"/>
    <w:rsid w:val="00B60B90"/>
    <w:rsid w:val="00B611B8"/>
    <w:rsid w:val="00B616D6"/>
    <w:rsid w:val="00B616DC"/>
    <w:rsid w:val="00B61C09"/>
    <w:rsid w:val="00B61C73"/>
    <w:rsid w:val="00B61C8B"/>
    <w:rsid w:val="00B61D0A"/>
    <w:rsid w:val="00B61D27"/>
    <w:rsid w:val="00B61DBE"/>
    <w:rsid w:val="00B61EDC"/>
    <w:rsid w:val="00B62150"/>
    <w:rsid w:val="00B62203"/>
    <w:rsid w:val="00B6258E"/>
    <w:rsid w:val="00B62A17"/>
    <w:rsid w:val="00B64090"/>
    <w:rsid w:val="00B64159"/>
    <w:rsid w:val="00B64578"/>
    <w:rsid w:val="00B64810"/>
    <w:rsid w:val="00B657C6"/>
    <w:rsid w:val="00B65883"/>
    <w:rsid w:val="00B66AC2"/>
    <w:rsid w:val="00B66BE4"/>
    <w:rsid w:val="00B6702D"/>
    <w:rsid w:val="00B67398"/>
    <w:rsid w:val="00B67795"/>
    <w:rsid w:val="00B67C35"/>
    <w:rsid w:val="00B70364"/>
    <w:rsid w:val="00B70928"/>
    <w:rsid w:val="00B70A3A"/>
    <w:rsid w:val="00B70BF2"/>
    <w:rsid w:val="00B71419"/>
    <w:rsid w:val="00B71684"/>
    <w:rsid w:val="00B717E8"/>
    <w:rsid w:val="00B71F68"/>
    <w:rsid w:val="00B72106"/>
    <w:rsid w:val="00B722B0"/>
    <w:rsid w:val="00B722DA"/>
    <w:rsid w:val="00B7265D"/>
    <w:rsid w:val="00B72C56"/>
    <w:rsid w:val="00B7435E"/>
    <w:rsid w:val="00B7448D"/>
    <w:rsid w:val="00B747C7"/>
    <w:rsid w:val="00B74928"/>
    <w:rsid w:val="00B74DA1"/>
    <w:rsid w:val="00B7511E"/>
    <w:rsid w:val="00B75750"/>
    <w:rsid w:val="00B75B39"/>
    <w:rsid w:val="00B75C3D"/>
    <w:rsid w:val="00B7616B"/>
    <w:rsid w:val="00B76394"/>
    <w:rsid w:val="00B77FCE"/>
    <w:rsid w:val="00B80677"/>
    <w:rsid w:val="00B812C8"/>
    <w:rsid w:val="00B813E0"/>
    <w:rsid w:val="00B81452"/>
    <w:rsid w:val="00B81F35"/>
    <w:rsid w:val="00B82161"/>
    <w:rsid w:val="00B8265E"/>
    <w:rsid w:val="00B83BDA"/>
    <w:rsid w:val="00B84304"/>
    <w:rsid w:val="00B8433C"/>
    <w:rsid w:val="00B84847"/>
    <w:rsid w:val="00B84BA0"/>
    <w:rsid w:val="00B84BA1"/>
    <w:rsid w:val="00B84FE1"/>
    <w:rsid w:val="00B850C9"/>
    <w:rsid w:val="00B852B4"/>
    <w:rsid w:val="00B85819"/>
    <w:rsid w:val="00B85B1D"/>
    <w:rsid w:val="00B85FDF"/>
    <w:rsid w:val="00B868A3"/>
    <w:rsid w:val="00B86DDE"/>
    <w:rsid w:val="00B87213"/>
    <w:rsid w:val="00B8743F"/>
    <w:rsid w:val="00B87A98"/>
    <w:rsid w:val="00B87B2E"/>
    <w:rsid w:val="00B9030A"/>
    <w:rsid w:val="00B915AE"/>
    <w:rsid w:val="00B91BFA"/>
    <w:rsid w:val="00B926F9"/>
    <w:rsid w:val="00B92800"/>
    <w:rsid w:val="00B929E1"/>
    <w:rsid w:val="00B92D03"/>
    <w:rsid w:val="00B93278"/>
    <w:rsid w:val="00B93D89"/>
    <w:rsid w:val="00B941CA"/>
    <w:rsid w:val="00B94292"/>
    <w:rsid w:val="00B94293"/>
    <w:rsid w:val="00B94555"/>
    <w:rsid w:val="00B94847"/>
    <w:rsid w:val="00B9509A"/>
    <w:rsid w:val="00B953DF"/>
    <w:rsid w:val="00B95471"/>
    <w:rsid w:val="00B9554D"/>
    <w:rsid w:val="00B957CF"/>
    <w:rsid w:val="00B95ED9"/>
    <w:rsid w:val="00B95FC8"/>
    <w:rsid w:val="00B9604B"/>
    <w:rsid w:val="00B960B8"/>
    <w:rsid w:val="00B96B2B"/>
    <w:rsid w:val="00B96C8A"/>
    <w:rsid w:val="00B970D1"/>
    <w:rsid w:val="00B97422"/>
    <w:rsid w:val="00B97887"/>
    <w:rsid w:val="00B978CB"/>
    <w:rsid w:val="00BA01AE"/>
    <w:rsid w:val="00BA01EB"/>
    <w:rsid w:val="00BA07E7"/>
    <w:rsid w:val="00BA08C5"/>
    <w:rsid w:val="00BA0BCE"/>
    <w:rsid w:val="00BA1199"/>
    <w:rsid w:val="00BA1427"/>
    <w:rsid w:val="00BA1667"/>
    <w:rsid w:val="00BA17EA"/>
    <w:rsid w:val="00BA1A12"/>
    <w:rsid w:val="00BA1BF2"/>
    <w:rsid w:val="00BA2278"/>
    <w:rsid w:val="00BA291E"/>
    <w:rsid w:val="00BA2943"/>
    <w:rsid w:val="00BA2AF1"/>
    <w:rsid w:val="00BA2EE8"/>
    <w:rsid w:val="00BA2F69"/>
    <w:rsid w:val="00BA3011"/>
    <w:rsid w:val="00BA31BF"/>
    <w:rsid w:val="00BA3DE8"/>
    <w:rsid w:val="00BA484F"/>
    <w:rsid w:val="00BA50B2"/>
    <w:rsid w:val="00BA51DD"/>
    <w:rsid w:val="00BA5773"/>
    <w:rsid w:val="00BA5983"/>
    <w:rsid w:val="00BA6213"/>
    <w:rsid w:val="00BA65DB"/>
    <w:rsid w:val="00BA6955"/>
    <w:rsid w:val="00BA6C0F"/>
    <w:rsid w:val="00BA793E"/>
    <w:rsid w:val="00BA79CB"/>
    <w:rsid w:val="00BB005A"/>
    <w:rsid w:val="00BB00E4"/>
    <w:rsid w:val="00BB063A"/>
    <w:rsid w:val="00BB0913"/>
    <w:rsid w:val="00BB0CD5"/>
    <w:rsid w:val="00BB0FB1"/>
    <w:rsid w:val="00BB1BB8"/>
    <w:rsid w:val="00BB1BC5"/>
    <w:rsid w:val="00BB1D9F"/>
    <w:rsid w:val="00BB200C"/>
    <w:rsid w:val="00BB2325"/>
    <w:rsid w:val="00BB296D"/>
    <w:rsid w:val="00BB39B3"/>
    <w:rsid w:val="00BB39CC"/>
    <w:rsid w:val="00BB43D4"/>
    <w:rsid w:val="00BB4848"/>
    <w:rsid w:val="00BB531B"/>
    <w:rsid w:val="00BB550B"/>
    <w:rsid w:val="00BB589C"/>
    <w:rsid w:val="00BB6479"/>
    <w:rsid w:val="00BB6C65"/>
    <w:rsid w:val="00BB6C87"/>
    <w:rsid w:val="00BB6CD5"/>
    <w:rsid w:val="00BB6FCD"/>
    <w:rsid w:val="00BB76DC"/>
    <w:rsid w:val="00BB7B4F"/>
    <w:rsid w:val="00BBAB3A"/>
    <w:rsid w:val="00BC01D9"/>
    <w:rsid w:val="00BC08D7"/>
    <w:rsid w:val="00BC146A"/>
    <w:rsid w:val="00BC1C0C"/>
    <w:rsid w:val="00BC1D65"/>
    <w:rsid w:val="00BC20AD"/>
    <w:rsid w:val="00BC24B1"/>
    <w:rsid w:val="00BC2809"/>
    <w:rsid w:val="00BC3043"/>
    <w:rsid w:val="00BC349B"/>
    <w:rsid w:val="00BC3CB5"/>
    <w:rsid w:val="00BC4829"/>
    <w:rsid w:val="00BC48C4"/>
    <w:rsid w:val="00BC4B49"/>
    <w:rsid w:val="00BC4FFC"/>
    <w:rsid w:val="00BC5244"/>
    <w:rsid w:val="00BC52C2"/>
    <w:rsid w:val="00BC5A4B"/>
    <w:rsid w:val="00BC5CBC"/>
    <w:rsid w:val="00BC6034"/>
    <w:rsid w:val="00BC617D"/>
    <w:rsid w:val="00BC7803"/>
    <w:rsid w:val="00BD0295"/>
    <w:rsid w:val="00BD02AE"/>
    <w:rsid w:val="00BD054F"/>
    <w:rsid w:val="00BD076C"/>
    <w:rsid w:val="00BD09EF"/>
    <w:rsid w:val="00BD0B52"/>
    <w:rsid w:val="00BD12C2"/>
    <w:rsid w:val="00BD1E99"/>
    <w:rsid w:val="00BD1F75"/>
    <w:rsid w:val="00BD270A"/>
    <w:rsid w:val="00BD2C99"/>
    <w:rsid w:val="00BD2CDB"/>
    <w:rsid w:val="00BD3435"/>
    <w:rsid w:val="00BD3478"/>
    <w:rsid w:val="00BD35FF"/>
    <w:rsid w:val="00BD3904"/>
    <w:rsid w:val="00BD41C6"/>
    <w:rsid w:val="00BD5DA3"/>
    <w:rsid w:val="00BD659A"/>
    <w:rsid w:val="00BD65FD"/>
    <w:rsid w:val="00BD68C8"/>
    <w:rsid w:val="00BD6DDA"/>
    <w:rsid w:val="00BD6E42"/>
    <w:rsid w:val="00BD7252"/>
    <w:rsid w:val="00BD7A92"/>
    <w:rsid w:val="00BD7E29"/>
    <w:rsid w:val="00BD7E81"/>
    <w:rsid w:val="00BE02FC"/>
    <w:rsid w:val="00BE0747"/>
    <w:rsid w:val="00BE0C59"/>
    <w:rsid w:val="00BE188C"/>
    <w:rsid w:val="00BE1C48"/>
    <w:rsid w:val="00BE20D6"/>
    <w:rsid w:val="00BE212A"/>
    <w:rsid w:val="00BE2BBB"/>
    <w:rsid w:val="00BE3E87"/>
    <w:rsid w:val="00BE3EC0"/>
    <w:rsid w:val="00BE41F4"/>
    <w:rsid w:val="00BE47A2"/>
    <w:rsid w:val="00BE4B76"/>
    <w:rsid w:val="00BE525C"/>
    <w:rsid w:val="00BE529C"/>
    <w:rsid w:val="00BE5A13"/>
    <w:rsid w:val="00BE6667"/>
    <w:rsid w:val="00BE6B3B"/>
    <w:rsid w:val="00BE6D91"/>
    <w:rsid w:val="00BE75DA"/>
    <w:rsid w:val="00BF0695"/>
    <w:rsid w:val="00BF1640"/>
    <w:rsid w:val="00BF183B"/>
    <w:rsid w:val="00BF19EB"/>
    <w:rsid w:val="00BF1AFC"/>
    <w:rsid w:val="00BF22B1"/>
    <w:rsid w:val="00BF22BD"/>
    <w:rsid w:val="00BF24D4"/>
    <w:rsid w:val="00BF27AA"/>
    <w:rsid w:val="00BF2A9D"/>
    <w:rsid w:val="00BF2B94"/>
    <w:rsid w:val="00BF2DFF"/>
    <w:rsid w:val="00BF2EC5"/>
    <w:rsid w:val="00BF3030"/>
    <w:rsid w:val="00BF4057"/>
    <w:rsid w:val="00BF4AAB"/>
    <w:rsid w:val="00BF5057"/>
    <w:rsid w:val="00BF5C6E"/>
    <w:rsid w:val="00BF7237"/>
    <w:rsid w:val="00BF777D"/>
    <w:rsid w:val="00BF789F"/>
    <w:rsid w:val="00C00ED2"/>
    <w:rsid w:val="00C013F1"/>
    <w:rsid w:val="00C01453"/>
    <w:rsid w:val="00C0196B"/>
    <w:rsid w:val="00C01EE5"/>
    <w:rsid w:val="00C021E3"/>
    <w:rsid w:val="00C0313B"/>
    <w:rsid w:val="00C03598"/>
    <w:rsid w:val="00C035B3"/>
    <w:rsid w:val="00C04222"/>
    <w:rsid w:val="00C046D0"/>
    <w:rsid w:val="00C048BB"/>
    <w:rsid w:val="00C04971"/>
    <w:rsid w:val="00C049AD"/>
    <w:rsid w:val="00C04A96"/>
    <w:rsid w:val="00C0508E"/>
    <w:rsid w:val="00C050FD"/>
    <w:rsid w:val="00C057B0"/>
    <w:rsid w:val="00C05D2F"/>
    <w:rsid w:val="00C05E81"/>
    <w:rsid w:val="00C06365"/>
    <w:rsid w:val="00C063AA"/>
    <w:rsid w:val="00C06450"/>
    <w:rsid w:val="00C06970"/>
    <w:rsid w:val="00C06ABB"/>
    <w:rsid w:val="00C06B72"/>
    <w:rsid w:val="00C06F05"/>
    <w:rsid w:val="00C07124"/>
    <w:rsid w:val="00C076BC"/>
    <w:rsid w:val="00C077B5"/>
    <w:rsid w:val="00C07A55"/>
    <w:rsid w:val="00C07A97"/>
    <w:rsid w:val="00C07CF4"/>
    <w:rsid w:val="00C07D81"/>
    <w:rsid w:val="00C11017"/>
    <w:rsid w:val="00C1174E"/>
    <w:rsid w:val="00C119B7"/>
    <w:rsid w:val="00C11C30"/>
    <w:rsid w:val="00C11F8F"/>
    <w:rsid w:val="00C11FE3"/>
    <w:rsid w:val="00C120B4"/>
    <w:rsid w:val="00C12BBA"/>
    <w:rsid w:val="00C13381"/>
    <w:rsid w:val="00C13400"/>
    <w:rsid w:val="00C13728"/>
    <w:rsid w:val="00C13DD1"/>
    <w:rsid w:val="00C1418E"/>
    <w:rsid w:val="00C14BBC"/>
    <w:rsid w:val="00C14C99"/>
    <w:rsid w:val="00C15030"/>
    <w:rsid w:val="00C151D9"/>
    <w:rsid w:val="00C156CE"/>
    <w:rsid w:val="00C15752"/>
    <w:rsid w:val="00C15F87"/>
    <w:rsid w:val="00C16597"/>
    <w:rsid w:val="00C17192"/>
    <w:rsid w:val="00C17258"/>
    <w:rsid w:val="00C17320"/>
    <w:rsid w:val="00C173D5"/>
    <w:rsid w:val="00C17446"/>
    <w:rsid w:val="00C17CA4"/>
    <w:rsid w:val="00C203C9"/>
    <w:rsid w:val="00C2051B"/>
    <w:rsid w:val="00C2085B"/>
    <w:rsid w:val="00C2093C"/>
    <w:rsid w:val="00C20C6C"/>
    <w:rsid w:val="00C21151"/>
    <w:rsid w:val="00C2150F"/>
    <w:rsid w:val="00C21741"/>
    <w:rsid w:val="00C21E9C"/>
    <w:rsid w:val="00C2229F"/>
    <w:rsid w:val="00C22BB7"/>
    <w:rsid w:val="00C22DA2"/>
    <w:rsid w:val="00C22E73"/>
    <w:rsid w:val="00C22FF7"/>
    <w:rsid w:val="00C239E4"/>
    <w:rsid w:val="00C23A18"/>
    <w:rsid w:val="00C23C72"/>
    <w:rsid w:val="00C23DC4"/>
    <w:rsid w:val="00C24178"/>
    <w:rsid w:val="00C24DDD"/>
    <w:rsid w:val="00C24F11"/>
    <w:rsid w:val="00C24F86"/>
    <w:rsid w:val="00C25453"/>
    <w:rsid w:val="00C2548F"/>
    <w:rsid w:val="00C255D6"/>
    <w:rsid w:val="00C258E0"/>
    <w:rsid w:val="00C26052"/>
    <w:rsid w:val="00C262F8"/>
    <w:rsid w:val="00C26555"/>
    <w:rsid w:val="00C2655E"/>
    <w:rsid w:val="00C26864"/>
    <w:rsid w:val="00C269DD"/>
    <w:rsid w:val="00C26E94"/>
    <w:rsid w:val="00C2717E"/>
    <w:rsid w:val="00C274A3"/>
    <w:rsid w:val="00C278E7"/>
    <w:rsid w:val="00C27A71"/>
    <w:rsid w:val="00C27A87"/>
    <w:rsid w:val="00C27C61"/>
    <w:rsid w:val="00C303B8"/>
    <w:rsid w:val="00C30584"/>
    <w:rsid w:val="00C308B4"/>
    <w:rsid w:val="00C30CE9"/>
    <w:rsid w:val="00C30F6B"/>
    <w:rsid w:val="00C312BF"/>
    <w:rsid w:val="00C315F1"/>
    <w:rsid w:val="00C318E2"/>
    <w:rsid w:val="00C31A49"/>
    <w:rsid w:val="00C31E8E"/>
    <w:rsid w:val="00C31F61"/>
    <w:rsid w:val="00C32C1C"/>
    <w:rsid w:val="00C3352C"/>
    <w:rsid w:val="00C33694"/>
    <w:rsid w:val="00C339AE"/>
    <w:rsid w:val="00C33BCD"/>
    <w:rsid w:val="00C33BD2"/>
    <w:rsid w:val="00C33DF0"/>
    <w:rsid w:val="00C344AA"/>
    <w:rsid w:val="00C34672"/>
    <w:rsid w:val="00C348FB"/>
    <w:rsid w:val="00C34B54"/>
    <w:rsid w:val="00C354D9"/>
    <w:rsid w:val="00C355F6"/>
    <w:rsid w:val="00C35726"/>
    <w:rsid w:val="00C35E96"/>
    <w:rsid w:val="00C36704"/>
    <w:rsid w:val="00C367AC"/>
    <w:rsid w:val="00C36971"/>
    <w:rsid w:val="00C369F7"/>
    <w:rsid w:val="00C36AD6"/>
    <w:rsid w:val="00C3728D"/>
    <w:rsid w:val="00C372EF"/>
    <w:rsid w:val="00C37744"/>
    <w:rsid w:val="00C37E74"/>
    <w:rsid w:val="00C4045B"/>
    <w:rsid w:val="00C40991"/>
    <w:rsid w:val="00C40B07"/>
    <w:rsid w:val="00C413E1"/>
    <w:rsid w:val="00C41C60"/>
    <w:rsid w:val="00C41D18"/>
    <w:rsid w:val="00C4266B"/>
    <w:rsid w:val="00C427FC"/>
    <w:rsid w:val="00C42A87"/>
    <w:rsid w:val="00C432A0"/>
    <w:rsid w:val="00C435AF"/>
    <w:rsid w:val="00C43ACB"/>
    <w:rsid w:val="00C44404"/>
    <w:rsid w:val="00C4479F"/>
    <w:rsid w:val="00C45437"/>
    <w:rsid w:val="00C45602"/>
    <w:rsid w:val="00C45642"/>
    <w:rsid w:val="00C459B5"/>
    <w:rsid w:val="00C46AC0"/>
    <w:rsid w:val="00C46B15"/>
    <w:rsid w:val="00C47138"/>
    <w:rsid w:val="00C471A9"/>
    <w:rsid w:val="00C4772A"/>
    <w:rsid w:val="00C47DCB"/>
    <w:rsid w:val="00C47F01"/>
    <w:rsid w:val="00C4E6CB"/>
    <w:rsid w:val="00C50572"/>
    <w:rsid w:val="00C50675"/>
    <w:rsid w:val="00C50D59"/>
    <w:rsid w:val="00C5158B"/>
    <w:rsid w:val="00C51934"/>
    <w:rsid w:val="00C51C7F"/>
    <w:rsid w:val="00C5241A"/>
    <w:rsid w:val="00C52A5E"/>
    <w:rsid w:val="00C52AC9"/>
    <w:rsid w:val="00C52CA7"/>
    <w:rsid w:val="00C5331A"/>
    <w:rsid w:val="00C533D4"/>
    <w:rsid w:val="00C5343D"/>
    <w:rsid w:val="00C5369D"/>
    <w:rsid w:val="00C538F5"/>
    <w:rsid w:val="00C53FE4"/>
    <w:rsid w:val="00C56B0C"/>
    <w:rsid w:val="00C56E2F"/>
    <w:rsid w:val="00C56E9A"/>
    <w:rsid w:val="00C5702E"/>
    <w:rsid w:val="00C57148"/>
    <w:rsid w:val="00C57A32"/>
    <w:rsid w:val="00C57C61"/>
    <w:rsid w:val="00C60364"/>
    <w:rsid w:val="00C60854"/>
    <w:rsid w:val="00C6093B"/>
    <w:rsid w:val="00C60C40"/>
    <w:rsid w:val="00C60E8F"/>
    <w:rsid w:val="00C61B80"/>
    <w:rsid w:val="00C61E0A"/>
    <w:rsid w:val="00C61EAD"/>
    <w:rsid w:val="00C62134"/>
    <w:rsid w:val="00C62301"/>
    <w:rsid w:val="00C62CE1"/>
    <w:rsid w:val="00C62E64"/>
    <w:rsid w:val="00C638E6"/>
    <w:rsid w:val="00C639ED"/>
    <w:rsid w:val="00C63A1F"/>
    <w:rsid w:val="00C63C8C"/>
    <w:rsid w:val="00C640B7"/>
    <w:rsid w:val="00C6469C"/>
    <w:rsid w:val="00C64784"/>
    <w:rsid w:val="00C64BA0"/>
    <w:rsid w:val="00C64DEA"/>
    <w:rsid w:val="00C6519C"/>
    <w:rsid w:val="00C6523E"/>
    <w:rsid w:val="00C653B2"/>
    <w:rsid w:val="00C65AED"/>
    <w:rsid w:val="00C65BFB"/>
    <w:rsid w:val="00C65C47"/>
    <w:rsid w:val="00C65EFA"/>
    <w:rsid w:val="00C66721"/>
    <w:rsid w:val="00C6699F"/>
    <w:rsid w:val="00C67743"/>
    <w:rsid w:val="00C679CE"/>
    <w:rsid w:val="00C67A75"/>
    <w:rsid w:val="00C70196"/>
    <w:rsid w:val="00C70671"/>
    <w:rsid w:val="00C706C6"/>
    <w:rsid w:val="00C7099F"/>
    <w:rsid w:val="00C7130F"/>
    <w:rsid w:val="00C716DE"/>
    <w:rsid w:val="00C71E97"/>
    <w:rsid w:val="00C722B3"/>
    <w:rsid w:val="00C72AC2"/>
    <w:rsid w:val="00C73094"/>
    <w:rsid w:val="00C73A88"/>
    <w:rsid w:val="00C74560"/>
    <w:rsid w:val="00C753C6"/>
    <w:rsid w:val="00C755A8"/>
    <w:rsid w:val="00C75642"/>
    <w:rsid w:val="00C75C0C"/>
    <w:rsid w:val="00C75E00"/>
    <w:rsid w:val="00C76379"/>
    <w:rsid w:val="00C7687B"/>
    <w:rsid w:val="00C7695D"/>
    <w:rsid w:val="00C76D38"/>
    <w:rsid w:val="00C77689"/>
    <w:rsid w:val="00C77E3E"/>
    <w:rsid w:val="00C800EF"/>
    <w:rsid w:val="00C8019A"/>
    <w:rsid w:val="00C805B0"/>
    <w:rsid w:val="00C807B9"/>
    <w:rsid w:val="00C80F99"/>
    <w:rsid w:val="00C81237"/>
    <w:rsid w:val="00C81CD3"/>
    <w:rsid w:val="00C81ED9"/>
    <w:rsid w:val="00C82098"/>
    <w:rsid w:val="00C823CA"/>
    <w:rsid w:val="00C823F0"/>
    <w:rsid w:val="00C825B7"/>
    <w:rsid w:val="00C82774"/>
    <w:rsid w:val="00C82A17"/>
    <w:rsid w:val="00C82AC0"/>
    <w:rsid w:val="00C82D1A"/>
    <w:rsid w:val="00C82ED6"/>
    <w:rsid w:val="00C83073"/>
    <w:rsid w:val="00C83587"/>
    <w:rsid w:val="00C84242"/>
    <w:rsid w:val="00C845F7"/>
    <w:rsid w:val="00C848FF"/>
    <w:rsid w:val="00C85086"/>
    <w:rsid w:val="00C85198"/>
    <w:rsid w:val="00C85422"/>
    <w:rsid w:val="00C857BA"/>
    <w:rsid w:val="00C857EB"/>
    <w:rsid w:val="00C859AE"/>
    <w:rsid w:val="00C8664A"/>
    <w:rsid w:val="00C86DA7"/>
    <w:rsid w:val="00C875F8"/>
    <w:rsid w:val="00C875FB"/>
    <w:rsid w:val="00C90091"/>
    <w:rsid w:val="00C911C4"/>
    <w:rsid w:val="00C911E6"/>
    <w:rsid w:val="00C91F21"/>
    <w:rsid w:val="00C92058"/>
    <w:rsid w:val="00C923E7"/>
    <w:rsid w:val="00C92496"/>
    <w:rsid w:val="00C9264F"/>
    <w:rsid w:val="00C927A6"/>
    <w:rsid w:val="00C9284D"/>
    <w:rsid w:val="00C92A8A"/>
    <w:rsid w:val="00C92F41"/>
    <w:rsid w:val="00C933BB"/>
    <w:rsid w:val="00C9360E"/>
    <w:rsid w:val="00C93C1D"/>
    <w:rsid w:val="00C93D00"/>
    <w:rsid w:val="00C94188"/>
    <w:rsid w:val="00C944C3"/>
    <w:rsid w:val="00C94EEA"/>
    <w:rsid w:val="00C952AF"/>
    <w:rsid w:val="00C95625"/>
    <w:rsid w:val="00C95787"/>
    <w:rsid w:val="00C95C64"/>
    <w:rsid w:val="00C96057"/>
    <w:rsid w:val="00C97254"/>
    <w:rsid w:val="00C97791"/>
    <w:rsid w:val="00C9799E"/>
    <w:rsid w:val="00C97F3C"/>
    <w:rsid w:val="00C97F62"/>
    <w:rsid w:val="00C97F7F"/>
    <w:rsid w:val="00CA084E"/>
    <w:rsid w:val="00CA08AF"/>
    <w:rsid w:val="00CA1157"/>
    <w:rsid w:val="00CA1489"/>
    <w:rsid w:val="00CA162D"/>
    <w:rsid w:val="00CA23C3"/>
    <w:rsid w:val="00CA25E5"/>
    <w:rsid w:val="00CA29A5"/>
    <w:rsid w:val="00CA308F"/>
    <w:rsid w:val="00CA3363"/>
    <w:rsid w:val="00CA3417"/>
    <w:rsid w:val="00CA351D"/>
    <w:rsid w:val="00CA3630"/>
    <w:rsid w:val="00CA40D3"/>
    <w:rsid w:val="00CA4371"/>
    <w:rsid w:val="00CA4EDB"/>
    <w:rsid w:val="00CA4FE8"/>
    <w:rsid w:val="00CA50FE"/>
    <w:rsid w:val="00CA5138"/>
    <w:rsid w:val="00CA572F"/>
    <w:rsid w:val="00CA58C6"/>
    <w:rsid w:val="00CA613C"/>
    <w:rsid w:val="00CA67CE"/>
    <w:rsid w:val="00CA6873"/>
    <w:rsid w:val="00CA68C5"/>
    <w:rsid w:val="00CA6932"/>
    <w:rsid w:val="00CA6B1B"/>
    <w:rsid w:val="00CA6BA8"/>
    <w:rsid w:val="00CA6C23"/>
    <w:rsid w:val="00CA6FAE"/>
    <w:rsid w:val="00CA77E7"/>
    <w:rsid w:val="00CA7B6C"/>
    <w:rsid w:val="00CA7EE4"/>
    <w:rsid w:val="00CB0871"/>
    <w:rsid w:val="00CB28A1"/>
    <w:rsid w:val="00CB2AEF"/>
    <w:rsid w:val="00CB2F2E"/>
    <w:rsid w:val="00CB2FDB"/>
    <w:rsid w:val="00CB35CC"/>
    <w:rsid w:val="00CB3B84"/>
    <w:rsid w:val="00CB4B55"/>
    <w:rsid w:val="00CB4E3A"/>
    <w:rsid w:val="00CB58CA"/>
    <w:rsid w:val="00CB61B2"/>
    <w:rsid w:val="00CB635F"/>
    <w:rsid w:val="00CB639C"/>
    <w:rsid w:val="00CB6953"/>
    <w:rsid w:val="00CB7362"/>
    <w:rsid w:val="00CB788E"/>
    <w:rsid w:val="00CB7957"/>
    <w:rsid w:val="00CB7A74"/>
    <w:rsid w:val="00CB7C75"/>
    <w:rsid w:val="00CB7D58"/>
    <w:rsid w:val="00CB7DDF"/>
    <w:rsid w:val="00CB7E70"/>
    <w:rsid w:val="00CC0466"/>
    <w:rsid w:val="00CC06CE"/>
    <w:rsid w:val="00CC15D8"/>
    <w:rsid w:val="00CC1636"/>
    <w:rsid w:val="00CC1F5C"/>
    <w:rsid w:val="00CC20B0"/>
    <w:rsid w:val="00CC2B3A"/>
    <w:rsid w:val="00CC2CCD"/>
    <w:rsid w:val="00CC2D63"/>
    <w:rsid w:val="00CC2F55"/>
    <w:rsid w:val="00CC3117"/>
    <w:rsid w:val="00CC3149"/>
    <w:rsid w:val="00CC34A1"/>
    <w:rsid w:val="00CC3935"/>
    <w:rsid w:val="00CC3AEC"/>
    <w:rsid w:val="00CC3BFC"/>
    <w:rsid w:val="00CC3E4B"/>
    <w:rsid w:val="00CC3F15"/>
    <w:rsid w:val="00CC4576"/>
    <w:rsid w:val="00CC4764"/>
    <w:rsid w:val="00CC4B2B"/>
    <w:rsid w:val="00CC511D"/>
    <w:rsid w:val="00CC545B"/>
    <w:rsid w:val="00CC5AF1"/>
    <w:rsid w:val="00CC5B19"/>
    <w:rsid w:val="00CC6428"/>
    <w:rsid w:val="00CC6433"/>
    <w:rsid w:val="00CC6A46"/>
    <w:rsid w:val="00CC6B8E"/>
    <w:rsid w:val="00CC6BB7"/>
    <w:rsid w:val="00CC7105"/>
    <w:rsid w:val="00CC751D"/>
    <w:rsid w:val="00CC79C6"/>
    <w:rsid w:val="00CC7B93"/>
    <w:rsid w:val="00CD067D"/>
    <w:rsid w:val="00CD0F43"/>
    <w:rsid w:val="00CD0F6C"/>
    <w:rsid w:val="00CD16F0"/>
    <w:rsid w:val="00CD196D"/>
    <w:rsid w:val="00CD2199"/>
    <w:rsid w:val="00CD2867"/>
    <w:rsid w:val="00CD2B33"/>
    <w:rsid w:val="00CD2BD1"/>
    <w:rsid w:val="00CD2F4C"/>
    <w:rsid w:val="00CD388F"/>
    <w:rsid w:val="00CD3F8F"/>
    <w:rsid w:val="00CD4602"/>
    <w:rsid w:val="00CD4D06"/>
    <w:rsid w:val="00CD4DDF"/>
    <w:rsid w:val="00CD4ECD"/>
    <w:rsid w:val="00CD4F92"/>
    <w:rsid w:val="00CD5961"/>
    <w:rsid w:val="00CD6156"/>
    <w:rsid w:val="00CD6549"/>
    <w:rsid w:val="00CD6E3F"/>
    <w:rsid w:val="00CD6EEC"/>
    <w:rsid w:val="00CD6FF6"/>
    <w:rsid w:val="00CD70C2"/>
    <w:rsid w:val="00CD73C2"/>
    <w:rsid w:val="00CD74D6"/>
    <w:rsid w:val="00CD7672"/>
    <w:rsid w:val="00CD77D4"/>
    <w:rsid w:val="00CD79E6"/>
    <w:rsid w:val="00CE078C"/>
    <w:rsid w:val="00CE0F23"/>
    <w:rsid w:val="00CE134C"/>
    <w:rsid w:val="00CE1F91"/>
    <w:rsid w:val="00CE282C"/>
    <w:rsid w:val="00CE2BA0"/>
    <w:rsid w:val="00CE2C19"/>
    <w:rsid w:val="00CE2D83"/>
    <w:rsid w:val="00CE2FF2"/>
    <w:rsid w:val="00CE306B"/>
    <w:rsid w:val="00CE30D5"/>
    <w:rsid w:val="00CE33E2"/>
    <w:rsid w:val="00CE3B7C"/>
    <w:rsid w:val="00CE4644"/>
    <w:rsid w:val="00CE50E1"/>
    <w:rsid w:val="00CE51BE"/>
    <w:rsid w:val="00CE53DF"/>
    <w:rsid w:val="00CE53FD"/>
    <w:rsid w:val="00CE564B"/>
    <w:rsid w:val="00CE5706"/>
    <w:rsid w:val="00CE583A"/>
    <w:rsid w:val="00CE6072"/>
    <w:rsid w:val="00CE62A0"/>
    <w:rsid w:val="00CE68B5"/>
    <w:rsid w:val="00CE6B93"/>
    <w:rsid w:val="00CE6EC6"/>
    <w:rsid w:val="00CE7023"/>
    <w:rsid w:val="00CE71F3"/>
    <w:rsid w:val="00CE78DB"/>
    <w:rsid w:val="00CF0424"/>
    <w:rsid w:val="00CF0F28"/>
    <w:rsid w:val="00CF16AD"/>
    <w:rsid w:val="00CF1962"/>
    <w:rsid w:val="00CF19EC"/>
    <w:rsid w:val="00CF1D1F"/>
    <w:rsid w:val="00CF2395"/>
    <w:rsid w:val="00CF2792"/>
    <w:rsid w:val="00CF283E"/>
    <w:rsid w:val="00CF3157"/>
    <w:rsid w:val="00CF3C53"/>
    <w:rsid w:val="00CF3DBD"/>
    <w:rsid w:val="00CF4523"/>
    <w:rsid w:val="00CF5031"/>
    <w:rsid w:val="00CF5270"/>
    <w:rsid w:val="00CF5867"/>
    <w:rsid w:val="00CF5AE5"/>
    <w:rsid w:val="00CF5F77"/>
    <w:rsid w:val="00CF6E88"/>
    <w:rsid w:val="00CF71C4"/>
    <w:rsid w:val="00CF7D66"/>
    <w:rsid w:val="00CF7FE9"/>
    <w:rsid w:val="00D00131"/>
    <w:rsid w:val="00D0029F"/>
    <w:rsid w:val="00D00995"/>
    <w:rsid w:val="00D009F9"/>
    <w:rsid w:val="00D01019"/>
    <w:rsid w:val="00D02B76"/>
    <w:rsid w:val="00D02B8E"/>
    <w:rsid w:val="00D036E9"/>
    <w:rsid w:val="00D03B9C"/>
    <w:rsid w:val="00D03D47"/>
    <w:rsid w:val="00D0509E"/>
    <w:rsid w:val="00D05139"/>
    <w:rsid w:val="00D0539D"/>
    <w:rsid w:val="00D055AE"/>
    <w:rsid w:val="00D055DF"/>
    <w:rsid w:val="00D056D5"/>
    <w:rsid w:val="00D05DCA"/>
    <w:rsid w:val="00D05E01"/>
    <w:rsid w:val="00D05FC5"/>
    <w:rsid w:val="00D0609F"/>
    <w:rsid w:val="00D0686B"/>
    <w:rsid w:val="00D06B60"/>
    <w:rsid w:val="00D06D61"/>
    <w:rsid w:val="00D07308"/>
    <w:rsid w:val="00D10393"/>
    <w:rsid w:val="00D10982"/>
    <w:rsid w:val="00D109B8"/>
    <w:rsid w:val="00D10C9F"/>
    <w:rsid w:val="00D11BD3"/>
    <w:rsid w:val="00D136EF"/>
    <w:rsid w:val="00D13804"/>
    <w:rsid w:val="00D13A3C"/>
    <w:rsid w:val="00D13D0D"/>
    <w:rsid w:val="00D14605"/>
    <w:rsid w:val="00D1476A"/>
    <w:rsid w:val="00D149B0"/>
    <w:rsid w:val="00D155F6"/>
    <w:rsid w:val="00D15781"/>
    <w:rsid w:val="00D15E1D"/>
    <w:rsid w:val="00D16565"/>
    <w:rsid w:val="00D16674"/>
    <w:rsid w:val="00D16CBF"/>
    <w:rsid w:val="00D16CEF"/>
    <w:rsid w:val="00D16DC7"/>
    <w:rsid w:val="00D16E75"/>
    <w:rsid w:val="00D1703E"/>
    <w:rsid w:val="00D173C2"/>
    <w:rsid w:val="00D17AD2"/>
    <w:rsid w:val="00D17EA8"/>
    <w:rsid w:val="00D20082"/>
    <w:rsid w:val="00D204CD"/>
    <w:rsid w:val="00D205F2"/>
    <w:rsid w:val="00D21691"/>
    <w:rsid w:val="00D21901"/>
    <w:rsid w:val="00D21AB4"/>
    <w:rsid w:val="00D220FE"/>
    <w:rsid w:val="00D223BF"/>
    <w:rsid w:val="00D23506"/>
    <w:rsid w:val="00D23546"/>
    <w:rsid w:val="00D2386A"/>
    <w:rsid w:val="00D23BDD"/>
    <w:rsid w:val="00D24816"/>
    <w:rsid w:val="00D24BA2"/>
    <w:rsid w:val="00D25C5A"/>
    <w:rsid w:val="00D266E6"/>
    <w:rsid w:val="00D26CB3"/>
    <w:rsid w:val="00D26FDA"/>
    <w:rsid w:val="00D272F8"/>
    <w:rsid w:val="00D27767"/>
    <w:rsid w:val="00D2C373"/>
    <w:rsid w:val="00D30055"/>
    <w:rsid w:val="00D30A18"/>
    <w:rsid w:val="00D319DB"/>
    <w:rsid w:val="00D31F4E"/>
    <w:rsid w:val="00D32DE3"/>
    <w:rsid w:val="00D32E69"/>
    <w:rsid w:val="00D336CB"/>
    <w:rsid w:val="00D33F57"/>
    <w:rsid w:val="00D340A5"/>
    <w:rsid w:val="00D346E3"/>
    <w:rsid w:val="00D3474E"/>
    <w:rsid w:val="00D3476B"/>
    <w:rsid w:val="00D3503F"/>
    <w:rsid w:val="00D35255"/>
    <w:rsid w:val="00D35839"/>
    <w:rsid w:val="00D35C62"/>
    <w:rsid w:val="00D35DF7"/>
    <w:rsid w:val="00D35FA7"/>
    <w:rsid w:val="00D35FC5"/>
    <w:rsid w:val="00D36050"/>
    <w:rsid w:val="00D3695B"/>
    <w:rsid w:val="00D37555"/>
    <w:rsid w:val="00D37B32"/>
    <w:rsid w:val="00D37E44"/>
    <w:rsid w:val="00D40305"/>
    <w:rsid w:val="00D40474"/>
    <w:rsid w:val="00D40633"/>
    <w:rsid w:val="00D40D67"/>
    <w:rsid w:val="00D41213"/>
    <w:rsid w:val="00D41B53"/>
    <w:rsid w:val="00D41E11"/>
    <w:rsid w:val="00D42048"/>
    <w:rsid w:val="00D42092"/>
    <w:rsid w:val="00D42839"/>
    <w:rsid w:val="00D42EC4"/>
    <w:rsid w:val="00D4373D"/>
    <w:rsid w:val="00D4497D"/>
    <w:rsid w:val="00D44A89"/>
    <w:rsid w:val="00D44C9F"/>
    <w:rsid w:val="00D44D92"/>
    <w:rsid w:val="00D45892"/>
    <w:rsid w:val="00D4589C"/>
    <w:rsid w:val="00D458EA"/>
    <w:rsid w:val="00D45A7C"/>
    <w:rsid w:val="00D45AD7"/>
    <w:rsid w:val="00D45C95"/>
    <w:rsid w:val="00D45DA4"/>
    <w:rsid w:val="00D45E8A"/>
    <w:rsid w:val="00D46090"/>
    <w:rsid w:val="00D46510"/>
    <w:rsid w:val="00D46607"/>
    <w:rsid w:val="00D46E6F"/>
    <w:rsid w:val="00D46F21"/>
    <w:rsid w:val="00D47002"/>
    <w:rsid w:val="00D474DB"/>
    <w:rsid w:val="00D47531"/>
    <w:rsid w:val="00D50182"/>
    <w:rsid w:val="00D50697"/>
    <w:rsid w:val="00D50A4A"/>
    <w:rsid w:val="00D50D5C"/>
    <w:rsid w:val="00D5168A"/>
    <w:rsid w:val="00D51AD1"/>
    <w:rsid w:val="00D51CC5"/>
    <w:rsid w:val="00D52094"/>
    <w:rsid w:val="00D52480"/>
    <w:rsid w:val="00D52FEC"/>
    <w:rsid w:val="00D5312D"/>
    <w:rsid w:val="00D53C59"/>
    <w:rsid w:val="00D53F22"/>
    <w:rsid w:val="00D540F4"/>
    <w:rsid w:val="00D54169"/>
    <w:rsid w:val="00D55A5B"/>
    <w:rsid w:val="00D55B86"/>
    <w:rsid w:val="00D55D17"/>
    <w:rsid w:val="00D55D5D"/>
    <w:rsid w:val="00D5623A"/>
    <w:rsid w:val="00D5665B"/>
    <w:rsid w:val="00D56AE5"/>
    <w:rsid w:val="00D56B53"/>
    <w:rsid w:val="00D56C98"/>
    <w:rsid w:val="00D57431"/>
    <w:rsid w:val="00D57434"/>
    <w:rsid w:val="00D57800"/>
    <w:rsid w:val="00D579B3"/>
    <w:rsid w:val="00D57E2A"/>
    <w:rsid w:val="00D605EC"/>
    <w:rsid w:val="00D610BD"/>
    <w:rsid w:val="00D6121C"/>
    <w:rsid w:val="00D61397"/>
    <w:rsid w:val="00D61A8F"/>
    <w:rsid w:val="00D62037"/>
    <w:rsid w:val="00D62103"/>
    <w:rsid w:val="00D62172"/>
    <w:rsid w:val="00D622AF"/>
    <w:rsid w:val="00D6263F"/>
    <w:rsid w:val="00D62CD1"/>
    <w:rsid w:val="00D62D3A"/>
    <w:rsid w:val="00D635DC"/>
    <w:rsid w:val="00D635F4"/>
    <w:rsid w:val="00D63B02"/>
    <w:rsid w:val="00D63D3E"/>
    <w:rsid w:val="00D63E4A"/>
    <w:rsid w:val="00D6409B"/>
    <w:rsid w:val="00D64238"/>
    <w:rsid w:val="00D643E8"/>
    <w:rsid w:val="00D647AF"/>
    <w:rsid w:val="00D64E8B"/>
    <w:rsid w:val="00D64F5E"/>
    <w:rsid w:val="00D6559F"/>
    <w:rsid w:val="00D659BA"/>
    <w:rsid w:val="00D661B6"/>
    <w:rsid w:val="00D667A8"/>
    <w:rsid w:val="00D66C4A"/>
    <w:rsid w:val="00D6780E"/>
    <w:rsid w:val="00D6794D"/>
    <w:rsid w:val="00D679EB"/>
    <w:rsid w:val="00D67F27"/>
    <w:rsid w:val="00D70364"/>
    <w:rsid w:val="00D70A60"/>
    <w:rsid w:val="00D70AB8"/>
    <w:rsid w:val="00D70CB4"/>
    <w:rsid w:val="00D70F98"/>
    <w:rsid w:val="00D7146F"/>
    <w:rsid w:val="00D71504"/>
    <w:rsid w:val="00D721C1"/>
    <w:rsid w:val="00D72890"/>
    <w:rsid w:val="00D72DA3"/>
    <w:rsid w:val="00D731F0"/>
    <w:rsid w:val="00D73B46"/>
    <w:rsid w:val="00D73CDA"/>
    <w:rsid w:val="00D74D86"/>
    <w:rsid w:val="00D74F69"/>
    <w:rsid w:val="00D7590C"/>
    <w:rsid w:val="00D75CA4"/>
    <w:rsid w:val="00D75D18"/>
    <w:rsid w:val="00D75D3E"/>
    <w:rsid w:val="00D7634E"/>
    <w:rsid w:val="00D76DF8"/>
    <w:rsid w:val="00D8009B"/>
    <w:rsid w:val="00D8030B"/>
    <w:rsid w:val="00D806CD"/>
    <w:rsid w:val="00D807E1"/>
    <w:rsid w:val="00D80986"/>
    <w:rsid w:val="00D80ADB"/>
    <w:rsid w:val="00D80C4F"/>
    <w:rsid w:val="00D80DA6"/>
    <w:rsid w:val="00D81323"/>
    <w:rsid w:val="00D82066"/>
    <w:rsid w:val="00D82309"/>
    <w:rsid w:val="00D83A3E"/>
    <w:rsid w:val="00D84182"/>
    <w:rsid w:val="00D843D8"/>
    <w:rsid w:val="00D84FCD"/>
    <w:rsid w:val="00D851D5"/>
    <w:rsid w:val="00D8521A"/>
    <w:rsid w:val="00D852B7"/>
    <w:rsid w:val="00D85B13"/>
    <w:rsid w:val="00D85FF4"/>
    <w:rsid w:val="00D86C92"/>
    <w:rsid w:val="00D86F2C"/>
    <w:rsid w:val="00D87016"/>
    <w:rsid w:val="00D87044"/>
    <w:rsid w:val="00D873C4"/>
    <w:rsid w:val="00D87673"/>
    <w:rsid w:val="00D90345"/>
    <w:rsid w:val="00D907BE"/>
    <w:rsid w:val="00D90AB3"/>
    <w:rsid w:val="00D90C9B"/>
    <w:rsid w:val="00D912EF"/>
    <w:rsid w:val="00D91AB2"/>
    <w:rsid w:val="00D91B34"/>
    <w:rsid w:val="00D9260D"/>
    <w:rsid w:val="00D9298D"/>
    <w:rsid w:val="00D92A70"/>
    <w:rsid w:val="00D92BB7"/>
    <w:rsid w:val="00D9338C"/>
    <w:rsid w:val="00D93AE1"/>
    <w:rsid w:val="00D942EF"/>
    <w:rsid w:val="00D94A82"/>
    <w:rsid w:val="00D94D14"/>
    <w:rsid w:val="00D94F60"/>
    <w:rsid w:val="00D9600B"/>
    <w:rsid w:val="00D97030"/>
    <w:rsid w:val="00D97644"/>
    <w:rsid w:val="00D977FE"/>
    <w:rsid w:val="00D97A3E"/>
    <w:rsid w:val="00D97D88"/>
    <w:rsid w:val="00D97FB5"/>
    <w:rsid w:val="00DA0048"/>
    <w:rsid w:val="00DA0061"/>
    <w:rsid w:val="00DA07E2"/>
    <w:rsid w:val="00DA0AB3"/>
    <w:rsid w:val="00DA115C"/>
    <w:rsid w:val="00DA15D2"/>
    <w:rsid w:val="00DA1ABA"/>
    <w:rsid w:val="00DA1D37"/>
    <w:rsid w:val="00DA2133"/>
    <w:rsid w:val="00DA24FE"/>
    <w:rsid w:val="00DA3230"/>
    <w:rsid w:val="00DA3373"/>
    <w:rsid w:val="00DA3500"/>
    <w:rsid w:val="00DA3874"/>
    <w:rsid w:val="00DA3934"/>
    <w:rsid w:val="00DA3B1F"/>
    <w:rsid w:val="00DA42A7"/>
    <w:rsid w:val="00DA557A"/>
    <w:rsid w:val="00DA5821"/>
    <w:rsid w:val="00DA5D22"/>
    <w:rsid w:val="00DA5DC5"/>
    <w:rsid w:val="00DA62D8"/>
    <w:rsid w:val="00DA6424"/>
    <w:rsid w:val="00DA657F"/>
    <w:rsid w:val="00DA7AA3"/>
    <w:rsid w:val="00DA7FC7"/>
    <w:rsid w:val="00DB00D0"/>
    <w:rsid w:val="00DB0273"/>
    <w:rsid w:val="00DB0432"/>
    <w:rsid w:val="00DB0729"/>
    <w:rsid w:val="00DB082E"/>
    <w:rsid w:val="00DB10F8"/>
    <w:rsid w:val="00DB1147"/>
    <w:rsid w:val="00DB1A31"/>
    <w:rsid w:val="00DB1C1B"/>
    <w:rsid w:val="00DB21E9"/>
    <w:rsid w:val="00DB255D"/>
    <w:rsid w:val="00DB279E"/>
    <w:rsid w:val="00DB2E82"/>
    <w:rsid w:val="00DB393B"/>
    <w:rsid w:val="00DB4070"/>
    <w:rsid w:val="00DB42F6"/>
    <w:rsid w:val="00DB457F"/>
    <w:rsid w:val="00DB4979"/>
    <w:rsid w:val="00DB4D58"/>
    <w:rsid w:val="00DB5134"/>
    <w:rsid w:val="00DB5339"/>
    <w:rsid w:val="00DB5358"/>
    <w:rsid w:val="00DB580B"/>
    <w:rsid w:val="00DB59D6"/>
    <w:rsid w:val="00DB5F98"/>
    <w:rsid w:val="00DB6275"/>
    <w:rsid w:val="00DB62C0"/>
    <w:rsid w:val="00DB64D9"/>
    <w:rsid w:val="00DB65F2"/>
    <w:rsid w:val="00DB6A43"/>
    <w:rsid w:val="00DB7081"/>
    <w:rsid w:val="00DB7B0E"/>
    <w:rsid w:val="00DB7E56"/>
    <w:rsid w:val="00DB7EFA"/>
    <w:rsid w:val="00DC0064"/>
    <w:rsid w:val="00DC00B3"/>
    <w:rsid w:val="00DC03B4"/>
    <w:rsid w:val="00DC0517"/>
    <w:rsid w:val="00DC0E1C"/>
    <w:rsid w:val="00DC1108"/>
    <w:rsid w:val="00DC1405"/>
    <w:rsid w:val="00DC144E"/>
    <w:rsid w:val="00DC150A"/>
    <w:rsid w:val="00DC2793"/>
    <w:rsid w:val="00DC29A6"/>
    <w:rsid w:val="00DC2C4A"/>
    <w:rsid w:val="00DC2E88"/>
    <w:rsid w:val="00DC331F"/>
    <w:rsid w:val="00DC35EE"/>
    <w:rsid w:val="00DC36E8"/>
    <w:rsid w:val="00DC3F37"/>
    <w:rsid w:val="00DC4302"/>
    <w:rsid w:val="00DC4453"/>
    <w:rsid w:val="00DC4546"/>
    <w:rsid w:val="00DC4890"/>
    <w:rsid w:val="00DC4BCF"/>
    <w:rsid w:val="00DC5518"/>
    <w:rsid w:val="00DC5567"/>
    <w:rsid w:val="00DC5CFE"/>
    <w:rsid w:val="00DC5DDA"/>
    <w:rsid w:val="00DC6E34"/>
    <w:rsid w:val="00DC7501"/>
    <w:rsid w:val="00DD003B"/>
    <w:rsid w:val="00DD009A"/>
    <w:rsid w:val="00DD0AB1"/>
    <w:rsid w:val="00DD0AFF"/>
    <w:rsid w:val="00DD14AD"/>
    <w:rsid w:val="00DD14EE"/>
    <w:rsid w:val="00DD254C"/>
    <w:rsid w:val="00DD30AE"/>
    <w:rsid w:val="00DD34F0"/>
    <w:rsid w:val="00DD3B41"/>
    <w:rsid w:val="00DD3CB8"/>
    <w:rsid w:val="00DD4092"/>
    <w:rsid w:val="00DD41E8"/>
    <w:rsid w:val="00DD493D"/>
    <w:rsid w:val="00DD4AE2"/>
    <w:rsid w:val="00DD4C68"/>
    <w:rsid w:val="00DD5754"/>
    <w:rsid w:val="00DD58E7"/>
    <w:rsid w:val="00DD6320"/>
    <w:rsid w:val="00DD6964"/>
    <w:rsid w:val="00DD6F3E"/>
    <w:rsid w:val="00DD7254"/>
    <w:rsid w:val="00DD72BC"/>
    <w:rsid w:val="00DD74BB"/>
    <w:rsid w:val="00DD7A16"/>
    <w:rsid w:val="00DD7A2A"/>
    <w:rsid w:val="00DE02AE"/>
    <w:rsid w:val="00DE110F"/>
    <w:rsid w:val="00DE13D7"/>
    <w:rsid w:val="00DE19DE"/>
    <w:rsid w:val="00DE1D3E"/>
    <w:rsid w:val="00DE20EE"/>
    <w:rsid w:val="00DE2D46"/>
    <w:rsid w:val="00DE2DA7"/>
    <w:rsid w:val="00DE2E97"/>
    <w:rsid w:val="00DE304D"/>
    <w:rsid w:val="00DE3350"/>
    <w:rsid w:val="00DE36E5"/>
    <w:rsid w:val="00DE3834"/>
    <w:rsid w:val="00DE39F9"/>
    <w:rsid w:val="00DE3B24"/>
    <w:rsid w:val="00DE4748"/>
    <w:rsid w:val="00DE546F"/>
    <w:rsid w:val="00DE54B1"/>
    <w:rsid w:val="00DE559C"/>
    <w:rsid w:val="00DE5898"/>
    <w:rsid w:val="00DE5909"/>
    <w:rsid w:val="00DE60EC"/>
    <w:rsid w:val="00DE6C00"/>
    <w:rsid w:val="00DE75C1"/>
    <w:rsid w:val="00DE78DA"/>
    <w:rsid w:val="00DE7D59"/>
    <w:rsid w:val="00DF02F1"/>
    <w:rsid w:val="00DF0946"/>
    <w:rsid w:val="00DF158F"/>
    <w:rsid w:val="00DF1648"/>
    <w:rsid w:val="00DF1866"/>
    <w:rsid w:val="00DF1A34"/>
    <w:rsid w:val="00DF2217"/>
    <w:rsid w:val="00DF2259"/>
    <w:rsid w:val="00DF2418"/>
    <w:rsid w:val="00DF262F"/>
    <w:rsid w:val="00DF263C"/>
    <w:rsid w:val="00DF2AE3"/>
    <w:rsid w:val="00DF3AB1"/>
    <w:rsid w:val="00DF4208"/>
    <w:rsid w:val="00DF446B"/>
    <w:rsid w:val="00DF4586"/>
    <w:rsid w:val="00DF4660"/>
    <w:rsid w:val="00DF4A84"/>
    <w:rsid w:val="00DF4F27"/>
    <w:rsid w:val="00DF5083"/>
    <w:rsid w:val="00DF52C9"/>
    <w:rsid w:val="00DF53EA"/>
    <w:rsid w:val="00DF5D78"/>
    <w:rsid w:val="00DF5DD5"/>
    <w:rsid w:val="00DF5E9A"/>
    <w:rsid w:val="00DF5FCE"/>
    <w:rsid w:val="00DF6B69"/>
    <w:rsid w:val="00DF6BD7"/>
    <w:rsid w:val="00DF6CE4"/>
    <w:rsid w:val="00DF761B"/>
    <w:rsid w:val="00DF7C65"/>
    <w:rsid w:val="00DF7EFC"/>
    <w:rsid w:val="00DF7F6B"/>
    <w:rsid w:val="00E01235"/>
    <w:rsid w:val="00E0134D"/>
    <w:rsid w:val="00E01542"/>
    <w:rsid w:val="00E01623"/>
    <w:rsid w:val="00E0177A"/>
    <w:rsid w:val="00E01EFB"/>
    <w:rsid w:val="00E0253F"/>
    <w:rsid w:val="00E025BC"/>
    <w:rsid w:val="00E02696"/>
    <w:rsid w:val="00E027DB"/>
    <w:rsid w:val="00E0295B"/>
    <w:rsid w:val="00E02B22"/>
    <w:rsid w:val="00E0312D"/>
    <w:rsid w:val="00E03724"/>
    <w:rsid w:val="00E047A7"/>
    <w:rsid w:val="00E0522E"/>
    <w:rsid w:val="00E0534C"/>
    <w:rsid w:val="00E053D0"/>
    <w:rsid w:val="00E05761"/>
    <w:rsid w:val="00E05A87"/>
    <w:rsid w:val="00E05D7D"/>
    <w:rsid w:val="00E06160"/>
    <w:rsid w:val="00E062AA"/>
    <w:rsid w:val="00E064D5"/>
    <w:rsid w:val="00E0661E"/>
    <w:rsid w:val="00E066B7"/>
    <w:rsid w:val="00E06A10"/>
    <w:rsid w:val="00E06B03"/>
    <w:rsid w:val="00E078DE"/>
    <w:rsid w:val="00E07FD4"/>
    <w:rsid w:val="00E10247"/>
    <w:rsid w:val="00E10397"/>
    <w:rsid w:val="00E104A0"/>
    <w:rsid w:val="00E11026"/>
    <w:rsid w:val="00E111E6"/>
    <w:rsid w:val="00E11377"/>
    <w:rsid w:val="00E11380"/>
    <w:rsid w:val="00E113C5"/>
    <w:rsid w:val="00E1173F"/>
    <w:rsid w:val="00E11A5C"/>
    <w:rsid w:val="00E11F4C"/>
    <w:rsid w:val="00E122FA"/>
    <w:rsid w:val="00E136F3"/>
    <w:rsid w:val="00E13E47"/>
    <w:rsid w:val="00E1407A"/>
    <w:rsid w:val="00E141FA"/>
    <w:rsid w:val="00E1448B"/>
    <w:rsid w:val="00E14494"/>
    <w:rsid w:val="00E1468E"/>
    <w:rsid w:val="00E14DED"/>
    <w:rsid w:val="00E15796"/>
    <w:rsid w:val="00E15FA0"/>
    <w:rsid w:val="00E160C4"/>
    <w:rsid w:val="00E1622F"/>
    <w:rsid w:val="00E163CD"/>
    <w:rsid w:val="00E1663A"/>
    <w:rsid w:val="00E17052"/>
    <w:rsid w:val="00E1720A"/>
    <w:rsid w:val="00E17273"/>
    <w:rsid w:val="00E20200"/>
    <w:rsid w:val="00E203DD"/>
    <w:rsid w:val="00E2061A"/>
    <w:rsid w:val="00E20D6B"/>
    <w:rsid w:val="00E213BE"/>
    <w:rsid w:val="00E213E8"/>
    <w:rsid w:val="00E2145E"/>
    <w:rsid w:val="00E2180C"/>
    <w:rsid w:val="00E21A19"/>
    <w:rsid w:val="00E21B17"/>
    <w:rsid w:val="00E21D1E"/>
    <w:rsid w:val="00E223DF"/>
    <w:rsid w:val="00E223E2"/>
    <w:rsid w:val="00E226A9"/>
    <w:rsid w:val="00E22D15"/>
    <w:rsid w:val="00E22DA3"/>
    <w:rsid w:val="00E2312D"/>
    <w:rsid w:val="00E23D60"/>
    <w:rsid w:val="00E23F2B"/>
    <w:rsid w:val="00E240C3"/>
    <w:rsid w:val="00E2422D"/>
    <w:rsid w:val="00E25A51"/>
    <w:rsid w:val="00E25DDA"/>
    <w:rsid w:val="00E26247"/>
    <w:rsid w:val="00E27119"/>
    <w:rsid w:val="00E2726E"/>
    <w:rsid w:val="00E27449"/>
    <w:rsid w:val="00E278DD"/>
    <w:rsid w:val="00E27A1B"/>
    <w:rsid w:val="00E30235"/>
    <w:rsid w:val="00E30460"/>
    <w:rsid w:val="00E304EA"/>
    <w:rsid w:val="00E30583"/>
    <w:rsid w:val="00E30866"/>
    <w:rsid w:val="00E30967"/>
    <w:rsid w:val="00E3141B"/>
    <w:rsid w:val="00E3145D"/>
    <w:rsid w:val="00E31510"/>
    <w:rsid w:val="00E316CA"/>
    <w:rsid w:val="00E31723"/>
    <w:rsid w:val="00E319A9"/>
    <w:rsid w:val="00E31A07"/>
    <w:rsid w:val="00E31BC3"/>
    <w:rsid w:val="00E32393"/>
    <w:rsid w:val="00E33001"/>
    <w:rsid w:val="00E3318C"/>
    <w:rsid w:val="00E332A2"/>
    <w:rsid w:val="00E33A3E"/>
    <w:rsid w:val="00E33FC7"/>
    <w:rsid w:val="00E341A0"/>
    <w:rsid w:val="00E348BC"/>
    <w:rsid w:val="00E34E7E"/>
    <w:rsid w:val="00E35E8D"/>
    <w:rsid w:val="00E36495"/>
    <w:rsid w:val="00E36886"/>
    <w:rsid w:val="00E368E5"/>
    <w:rsid w:val="00E36B48"/>
    <w:rsid w:val="00E36D54"/>
    <w:rsid w:val="00E37919"/>
    <w:rsid w:val="00E37BC5"/>
    <w:rsid w:val="00E37F50"/>
    <w:rsid w:val="00E37FFA"/>
    <w:rsid w:val="00E40480"/>
    <w:rsid w:val="00E40A4B"/>
    <w:rsid w:val="00E40DBA"/>
    <w:rsid w:val="00E40FAA"/>
    <w:rsid w:val="00E41350"/>
    <w:rsid w:val="00E4171C"/>
    <w:rsid w:val="00E41755"/>
    <w:rsid w:val="00E41AE9"/>
    <w:rsid w:val="00E4213C"/>
    <w:rsid w:val="00E423E7"/>
    <w:rsid w:val="00E43100"/>
    <w:rsid w:val="00E43307"/>
    <w:rsid w:val="00E43B57"/>
    <w:rsid w:val="00E43CE7"/>
    <w:rsid w:val="00E4425A"/>
    <w:rsid w:val="00E446B3"/>
    <w:rsid w:val="00E446EA"/>
    <w:rsid w:val="00E44EA6"/>
    <w:rsid w:val="00E44EBB"/>
    <w:rsid w:val="00E459D7"/>
    <w:rsid w:val="00E45AD3"/>
    <w:rsid w:val="00E45CC9"/>
    <w:rsid w:val="00E45D64"/>
    <w:rsid w:val="00E461D4"/>
    <w:rsid w:val="00E464C5"/>
    <w:rsid w:val="00E46E5C"/>
    <w:rsid w:val="00E47015"/>
    <w:rsid w:val="00E470B2"/>
    <w:rsid w:val="00E4745C"/>
    <w:rsid w:val="00E47810"/>
    <w:rsid w:val="00E479D2"/>
    <w:rsid w:val="00E47D6C"/>
    <w:rsid w:val="00E50252"/>
    <w:rsid w:val="00E502FB"/>
    <w:rsid w:val="00E50639"/>
    <w:rsid w:val="00E51184"/>
    <w:rsid w:val="00E51843"/>
    <w:rsid w:val="00E519C1"/>
    <w:rsid w:val="00E5216D"/>
    <w:rsid w:val="00E523BE"/>
    <w:rsid w:val="00E52537"/>
    <w:rsid w:val="00E5273E"/>
    <w:rsid w:val="00E52864"/>
    <w:rsid w:val="00E52B78"/>
    <w:rsid w:val="00E52D27"/>
    <w:rsid w:val="00E52F3A"/>
    <w:rsid w:val="00E53135"/>
    <w:rsid w:val="00E537E4"/>
    <w:rsid w:val="00E53E98"/>
    <w:rsid w:val="00E545AB"/>
    <w:rsid w:val="00E548D9"/>
    <w:rsid w:val="00E54A1D"/>
    <w:rsid w:val="00E54B91"/>
    <w:rsid w:val="00E54BC2"/>
    <w:rsid w:val="00E55A1B"/>
    <w:rsid w:val="00E55C01"/>
    <w:rsid w:val="00E564CC"/>
    <w:rsid w:val="00E56558"/>
    <w:rsid w:val="00E5655D"/>
    <w:rsid w:val="00E56699"/>
    <w:rsid w:val="00E56922"/>
    <w:rsid w:val="00E56931"/>
    <w:rsid w:val="00E56A07"/>
    <w:rsid w:val="00E56DA9"/>
    <w:rsid w:val="00E56F72"/>
    <w:rsid w:val="00E5731F"/>
    <w:rsid w:val="00E575E6"/>
    <w:rsid w:val="00E60245"/>
    <w:rsid w:val="00E608E3"/>
    <w:rsid w:val="00E60D67"/>
    <w:rsid w:val="00E60FDC"/>
    <w:rsid w:val="00E610AC"/>
    <w:rsid w:val="00E61267"/>
    <w:rsid w:val="00E6162B"/>
    <w:rsid w:val="00E617A5"/>
    <w:rsid w:val="00E61D9C"/>
    <w:rsid w:val="00E62122"/>
    <w:rsid w:val="00E6314B"/>
    <w:rsid w:val="00E631DA"/>
    <w:rsid w:val="00E63354"/>
    <w:rsid w:val="00E63483"/>
    <w:rsid w:val="00E63A79"/>
    <w:rsid w:val="00E63BC7"/>
    <w:rsid w:val="00E63CDD"/>
    <w:rsid w:val="00E642D9"/>
    <w:rsid w:val="00E65080"/>
    <w:rsid w:val="00E6520F"/>
    <w:rsid w:val="00E65630"/>
    <w:rsid w:val="00E65CAE"/>
    <w:rsid w:val="00E66C1C"/>
    <w:rsid w:val="00E66C77"/>
    <w:rsid w:val="00E66F17"/>
    <w:rsid w:val="00E66FE6"/>
    <w:rsid w:val="00E670FA"/>
    <w:rsid w:val="00E67388"/>
    <w:rsid w:val="00E67617"/>
    <w:rsid w:val="00E67E7C"/>
    <w:rsid w:val="00E67FFC"/>
    <w:rsid w:val="00E70440"/>
    <w:rsid w:val="00E705CC"/>
    <w:rsid w:val="00E70638"/>
    <w:rsid w:val="00E7084B"/>
    <w:rsid w:val="00E70B77"/>
    <w:rsid w:val="00E713F9"/>
    <w:rsid w:val="00E714F3"/>
    <w:rsid w:val="00E71813"/>
    <w:rsid w:val="00E71AA8"/>
    <w:rsid w:val="00E7270E"/>
    <w:rsid w:val="00E728A9"/>
    <w:rsid w:val="00E73398"/>
    <w:rsid w:val="00E7342A"/>
    <w:rsid w:val="00E7343D"/>
    <w:rsid w:val="00E737A0"/>
    <w:rsid w:val="00E743C0"/>
    <w:rsid w:val="00E74490"/>
    <w:rsid w:val="00E74891"/>
    <w:rsid w:val="00E74ED4"/>
    <w:rsid w:val="00E75A0D"/>
    <w:rsid w:val="00E75AA7"/>
    <w:rsid w:val="00E75C45"/>
    <w:rsid w:val="00E75DC6"/>
    <w:rsid w:val="00E761AD"/>
    <w:rsid w:val="00E76E07"/>
    <w:rsid w:val="00E76E6A"/>
    <w:rsid w:val="00E76FE4"/>
    <w:rsid w:val="00E77A30"/>
    <w:rsid w:val="00E8002F"/>
    <w:rsid w:val="00E8045D"/>
    <w:rsid w:val="00E8076C"/>
    <w:rsid w:val="00E80B37"/>
    <w:rsid w:val="00E80E98"/>
    <w:rsid w:val="00E815F6"/>
    <w:rsid w:val="00E816E0"/>
    <w:rsid w:val="00E81D1A"/>
    <w:rsid w:val="00E81DB2"/>
    <w:rsid w:val="00E8235F"/>
    <w:rsid w:val="00E828D2"/>
    <w:rsid w:val="00E828F2"/>
    <w:rsid w:val="00E828F3"/>
    <w:rsid w:val="00E830F6"/>
    <w:rsid w:val="00E835E4"/>
    <w:rsid w:val="00E83642"/>
    <w:rsid w:val="00E8375F"/>
    <w:rsid w:val="00E83818"/>
    <w:rsid w:val="00E839D2"/>
    <w:rsid w:val="00E83B60"/>
    <w:rsid w:val="00E83E69"/>
    <w:rsid w:val="00E8414C"/>
    <w:rsid w:val="00E84242"/>
    <w:rsid w:val="00E84618"/>
    <w:rsid w:val="00E84621"/>
    <w:rsid w:val="00E846A4"/>
    <w:rsid w:val="00E84BCF"/>
    <w:rsid w:val="00E84F08"/>
    <w:rsid w:val="00E8532F"/>
    <w:rsid w:val="00E85760"/>
    <w:rsid w:val="00E85EBA"/>
    <w:rsid w:val="00E85F23"/>
    <w:rsid w:val="00E867FB"/>
    <w:rsid w:val="00E86861"/>
    <w:rsid w:val="00E86D0A"/>
    <w:rsid w:val="00E87C44"/>
    <w:rsid w:val="00E87F70"/>
    <w:rsid w:val="00E87FB7"/>
    <w:rsid w:val="00E90880"/>
    <w:rsid w:val="00E909F5"/>
    <w:rsid w:val="00E910D0"/>
    <w:rsid w:val="00E91363"/>
    <w:rsid w:val="00E913B3"/>
    <w:rsid w:val="00E917DB"/>
    <w:rsid w:val="00E9182B"/>
    <w:rsid w:val="00E91BC9"/>
    <w:rsid w:val="00E91C22"/>
    <w:rsid w:val="00E921CF"/>
    <w:rsid w:val="00E92277"/>
    <w:rsid w:val="00E923D8"/>
    <w:rsid w:val="00E927B0"/>
    <w:rsid w:val="00E927B8"/>
    <w:rsid w:val="00E927E4"/>
    <w:rsid w:val="00E929E0"/>
    <w:rsid w:val="00E93429"/>
    <w:rsid w:val="00E9346C"/>
    <w:rsid w:val="00E935A9"/>
    <w:rsid w:val="00E935DD"/>
    <w:rsid w:val="00E935E5"/>
    <w:rsid w:val="00E93866"/>
    <w:rsid w:val="00E9480E"/>
    <w:rsid w:val="00E948E4"/>
    <w:rsid w:val="00E94C54"/>
    <w:rsid w:val="00E94D06"/>
    <w:rsid w:val="00E94E6D"/>
    <w:rsid w:val="00E95087"/>
    <w:rsid w:val="00E95E25"/>
    <w:rsid w:val="00E96275"/>
    <w:rsid w:val="00E96346"/>
    <w:rsid w:val="00E9678D"/>
    <w:rsid w:val="00E96871"/>
    <w:rsid w:val="00E96E4E"/>
    <w:rsid w:val="00E975C2"/>
    <w:rsid w:val="00EA0C6A"/>
    <w:rsid w:val="00EA0C94"/>
    <w:rsid w:val="00EA0FDC"/>
    <w:rsid w:val="00EA166E"/>
    <w:rsid w:val="00EA1B41"/>
    <w:rsid w:val="00EA1BE9"/>
    <w:rsid w:val="00EA22C9"/>
    <w:rsid w:val="00EA2D04"/>
    <w:rsid w:val="00EA30AB"/>
    <w:rsid w:val="00EA30F4"/>
    <w:rsid w:val="00EA3623"/>
    <w:rsid w:val="00EA3670"/>
    <w:rsid w:val="00EA3D41"/>
    <w:rsid w:val="00EA3FF4"/>
    <w:rsid w:val="00EA4886"/>
    <w:rsid w:val="00EA511D"/>
    <w:rsid w:val="00EA516F"/>
    <w:rsid w:val="00EA523F"/>
    <w:rsid w:val="00EA56AD"/>
    <w:rsid w:val="00EA5894"/>
    <w:rsid w:val="00EA5B9D"/>
    <w:rsid w:val="00EA5E45"/>
    <w:rsid w:val="00EA6122"/>
    <w:rsid w:val="00EA6ABE"/>
    <w:rsid w:val="00EA7016"/>
    <w:rsid w:val="00EA7364"/>
    <w:rsid w:val="00EA7AF6"/>
    <w:rsid w:val="00EB04C7"/>
    <w:rsid w:val="00EB0C34"/>
    <w:rsid w:val="00EB0D18"/>
    <w:rsid w:val="00EB16AF"/>
    <w:rsid w:val="00EB1875"/>
    <w:rsid w:val="00EB1BC5"/>
    <w:rsid w:val="00EB1DD2"/>
    <w:rsid w:val="00EB1F01"/>
    <w:rsid w:val="00EB2036"/>
    <w:rsid w:val="00EB29BF"/>
    <w:rsid w:val="00EB2B1A"/>
    <w:rsid w:val="00EB2B1F"/>
    <w:rsid w:val="00EB2BA0"/>
    <w:rsid w:val="00EB2BB6"/>
    <w:rsid w:val="00EB2BD5"/>
    <w:rsid w:val="00EB2D2F"/>
    <w:rsid w:val="00EB32A5"/>
    <w:rsid w:val="00EB3885"/>
    <w:rsid w:val="00EB38C6"/>
    <w:rsid w:val="00EB3AB3"/>
    <w:rsid w:val="00EB3FB7"/>
    <w:rsid w:val="00EB4558"/>
    <w:rsid w:val="00EB456E"/>
    <w:rsid w:val="00EB4680"/>
    <w:rsid w:val="00EB4856"/>
    <w:rsid w:val="00EB4895"/>
    <w:rsid w:val="00EB4CA1"/>
    <w:rsid w:val="00EB4DD3"/>
    <w:rsid w:val="00EB4E52"/>
    <w:rsid w:val="00EB4E93"/>
    <w:rsid w:val="00EB560F"/>
    <w:rsid w:val="00EB565D"/>
    <w:rsid w:val="00EB5776"/>
    <w:rsid w:val="00EB6D07"/>
    <w:rsid w:val="00EB6E26"/>
    <w:rsid w:val="00EB729D"/>
    <w:rsid w:val="00EB7377"/>
    <w:rsid w:val="00EB7A69"/>
    <w:rsid w:val="00EB7C35"/>
    <w:rsid w:val="00EC00E5"/>
    <w:rsid w:val="00EC0207"/>
    <w:rsid w:val="00EC0278"/>
    <w:rsid w:val="00EC0572"/>
    <w:rsid w:val="00EC2E82"/>
    <w:rsid w:val="00EC2F90"/>
    <w:rsid w:val="00EC312D"/>
    <w:rsid w:val="00EC3389"/>
    <w:rsid w:val="00EC372F"/>
    <w:rsid w:val="00EC3D98"/>
    <w:rsid w:val="00EC4188"/>
    <w:rsid w:val="00EC44BF"/>
    <w:rsid w:val="00EC4BE9"/>
    <w:rsid w:val="00EC5455"/>
    <w:rsid w:val="00EC5885"/>
    <w:rsid w:val="00EC5B95"/>
    <w:rsid w:val="00EC5D29"/>
    <w:rsid w:val="00EC60A5"/>
    <w:rsid w:val="00EC6539"/>
    <w:rsid w:val="00EC672D"/>
    <w:rsid w:val="00EC6883"/>
    <w:rsid w:val="00EC6A3E"/>
    <w:rsid w:val="00EC7595"/>
    <w:rsid w:val="00EC75F2"/>
    <w:rsid w:val="00EC764C"/>
    <w:rsid w:val="00EC7A34"/>
    <w:rsid w:val="00ED08D7"/>
    <w:rsid w:val="00ED0AA1"/>
    <w:rsid w:val="00ED0D2E"/>
    <w:rsid w:val="00ED1133"/>
    <w:rsid w:val="00ED13D4"/>
    <w:rsid w:val="00ED1576"/>
    <w:rsid w:val="00ED1BC9"/>
    <w:rsid w:val="00ED1F26"/>
    <w:rsid w:val="00ED266A"/>
    <w:rsid w:val="00ED26A8"/>
    <w:rsid w:val="00ED2844"/>
    <w:rsid w:val="00ED2880"/>
    <w:rsid w:val="00ED2AC0"/>
    <w:rsid w:val="00ED3B62"/>
    <w:rsid w:val="00ED3BB5"/>
    <w:rsid w:val="00ED3E55"/>
    <w:rsid w:val="00ED42C8"/>
    <w:rsid w:val="00ED4A03"/>
    <w:rsid w:val="00ED4F95"/>
    <w:rsid w:val="00ED531A"/>
    <w:rsid w:val="00ED543D"/>
    <w:rsid w:val="00ED567B"/>
    <w:rsid w:val="00ED5AF3"/>
    <w:rsid w:val="00ED6490"/>
    <w:rsid w:val="00ED6A5F"/>
    <w:rsid w:val="00ED740E"/>
    <w:rsid w:val="00ED7595"/>
    <w:rsid w:val="00ED75A8"/>
    <w:rsid w:val="00ED7E0C"/>
    <w:rsid w:val="00EE075B"/>
    <w:rsid w:val="00EE10E5"/>
    <w:rsid w:val="00EE13BC"/>
    <w:rsid w:val="00EE1CDC"/>
    <w:rsid w:val="00EE1D6D"/>
    <w:rsid w:val="00EE3606"/>
    <w:rsid w:val="00EE366B"/>
    <w:rsid w:val="00EE4113"/>
    <w:rsid w:val="00EE4352"/>
    <w:rsid w:val="00EE5DC9"/>
    <w:rsid w:val="00EE7416"/>
    <w:rsid w:val="00EE748A"/>
    <w:rsid w:val="00EE770C"/>
    <w:rsid w:val="00EE7DB2"/>
    <w:rsid w:val="00EEB859"/>
    <w:rsid w:val="00EF02AF"/>
    <w:rsid w:val="00EF02E3"/>
    <w:rsid w:val="00EF0619"/>
    <w:rsid w:val="00EF0974"/>
    <w:rsid w:val="00EF0A05"/>
    <w:rsid w:val="00EF0A59"/>
    <w:rsid w:val="00EF0CDD"/>
    <w:rsid w:val="00EF1383"/>
    <w:rsid w:val="00EF177B"/>
    <w:rsid w:val="00EF1A5F"/>
    <w:rsid w:val="00EF1E34"/>
    <w:rsid w:val="00EF221A"/>
    <w:rsid w:val="00EF229C"/>
    <w:rsid w:val="00EF2C2E"/>
    <w:rsid w:val="00EF2D8F"/>
    <w:rsid w:val="00EF2DBE"/>
    <w:rsid w:val="00EF2F0C"/>
    <w:rsid w:val="00EF309E"/>
    <w:rsid w:val="00EF3BCB"/>
    <w:rsid w:val="00EF3E7E"/>
    <w:rsid w:val="00EF3ED1"/>
    <w:rsid w:val="00EF3FB4"/>
    <w:rsid w:val="00EF41E1"/>
    <w:rsid w:val="00EF4B2F"/>
    <w:rsid w:val="00EF554B"/>
    <w:rsid w:val="00EF5666"/>
    <w:rsid w:val="00EF58FF"/>
    <w:rsid w:val="00EF5E52"/>
    <w:rsid w:val="00EF5FF2"/>
    <w:rsid w:val="00EF6168"/>
    <w:rsid w:val="00EF671A"/>
    <w:rsid w:val="00EF6B29"/>
    <w:rsid w:val="00EF6B7E"/>
    <w:rsid w:val="00EF6E86"/>
    <w:rsid w:val="00EF74D8"/>
    <w:rsid w:val="00EF7A65"/>
    <w:rsid w:val="00F0041C"/>
    <w:rsid w:val="00F004E5"/>
    <w:rsid w:val="00F00634"/>
    <w:rsid w:val="00F00888"/>
    <w:rsid w:val="00F00B4F"/>
    <w:rsid w:val="00F016F0"/>
    <w:rsid w:val="00F01A3A"/>
    <w:rsid w:val="00F01B62"/>
    <w:rsid w:val="00F02866"/>
    <w:rsid w:val="00F029D2"/>
    <w:rsid w:val="00F02DB9"/>
    <w:rsid w:val="00F03304"/>
    <w:rsid w:val="00F038BE"/>
    <w:rsid w:val="00F03B30"/>
    <w:rsid w:val="00F04CC7"/>
    <w:rsid w:val="00F04E94"/>
    <w:rsid w:val="00F05335"/>
    <w:rsid w:val="00F05782"/>
    <w:rsid w:val="00F05D76"/>
    <w:rsid w:val="00F05F52"/>
    <w:rsid w:val="00F06F14"/>
    <w:rsid w:val="00F075A1"/>
    <w:rsid w:val="00F10101"/>
    <w:rsid w:val="00F109EA"/>
    <w:rsid w:val="00F113F1"/>
    <w:rsid w:val="00F116C2"/>
    <w:rsid w:val="00F12867"/>
    <w:rsid w:val="00F12CEA"/>
    <w:rsid w:val="00F12D54"/>
    <w:rsid w:val="00F13197"/>
    <w:rsid w:val="00F1370A"/>
    <w:rsid w:val="00F137CB"/>
    <w:rsid w:val="00F1392A"/>
    <w:rsid w:val="00F143D4"/>
    <w:rsid w:val="00F14883"/>
    <w:rsid w:val="00F14916"/>
    <w:rsid w:val="00F14AA3"/>
    <w:rsid w:val="00F14B2D"/>
    <w:rsid w:val="00F14DCB"/>
    <w:rsid w:val="00F15104"/>
    <w:rsid w:val="00F15978"/>
    <w:rsid w:val="00F15B7E"/>
    <w:rsid w:val="00F15EEE"/>
    <w:rsid w:val="00F1634B"/>
    <w:rsid w:val="00F16381"/>
    <w:rsid w:val="00F16475"/>
    <w:rsid w:val="00F164C6"/>
    <w:rsid w:val="00F168DB"/>
    <w:rsid w:val="00F16FE5"/>
    <w:rsid w:val="00F1745E"/>
    <w:rsid w:val="00F20956"/>
    <w:rsid w:val="00F20ADC"/>
    <w:rsid w:val="00F20BDD"/>
    <w:rsid w:val="00F210DD"/>
    <w:rsid w:val="00F2159C"/>
    <w:rsid w:val="00F21A2A"/>
    <w:rsid w:val="00F222B7"/>
    <w:rsid w:val="00F22914"/>
    <w:rsid w:val="00F22B6F"/>
    <w:rsid w:val="00F22CCF"/>
    <w:rsid w:val="00F22FF7"/>
    <w:rsid w:val="00F23459"/>
    <w:rsid w:val="00F2345D"/>
    <w:rsid w:val="00F234E0"/>
    <w:rsid w:val="00F235EC"/>
    <w:rsid w:val="00F237CE"/>
    <w:rsid w:val="00F23ED9"/>
    <w:rsid w:val="00F2401F"/>
    <w:rsid w:val="00F2423C"/>
    <w:rsid w:val="00F24277"/>
    <w:rsid w:val="00F245E2"/>
    <w:rsid w:val="00F24739"/>
    <w:rsid w:val="00F25968"/>
    <w:rsid w:val="00F2602F"/>
    <w:rsid w:val="00F26978"/>
    <w:rsid w:val="00F27B84"/>
    <w:rsid w:val="00F302A6"/>
    <w:rsid w:val="00F304C8"/>
    <w:rsid w:val="00F305D3"/>
    <w:rsid w:val="00F30902"/>
    <w:rsid w:val="00F30B06"/>
    <w:rsid w:val="00F313A2"/>
    <w:rsid w:val="00F3182C"/>
    <w:rsid w:val="00F31A3A"/>
    <w:rsid w:val="00F31AE7"/>
    <w:rsid w:val="00F31B07"/>
    <w:rsid w:val="00F3200E"/>
    <w:rsid w:val="00F3226C"/>
    <w:rsid w:val="00F32483"/>
    <w:rsid w:val="00F3265E"/>
    <w:rsid w:val="00F326A8"/>
    <w:rsid w:val="00F3287A"/>
    <w:rsid w:val="00F33394"/>
    <w:rsid w:val="00F336DE"/>
    <w:rsid w:val="00F339C4"/>
    <w:rsid w:val="00F33AF8"/>
    <w:rsid w:val="00F33DDE"/>
    <w:rsid w:val="00F33EE6"/>
    <w:rsid w:val="00F344A8"/>
    <w:rsid w:val="00F34881"/>
    <w:rsid w:val="00F34CA2"/>
    <w:rsid w:val="00F34E9C"/>
    <w:rsid w:val="00F34EA3"/>
    <w:rsid w:val="00F34F43"/>
    <w:rsid w:val="00F352EC"/>
    <w:rsid w:val="00F35CF1"/>
    <w:rsid w:val="00F36025"/>
    <w:rsid w:val="00F3624C"/>
    <w:rsid w:val="00F364DA"/>
    <w:rsid w:val="00F365BD"/>
    <w:rsid w:val="00F367CE"/>
    <w:rsid w:val="00F374BA"/>
    <w:rsid w:val="00F37669"/>
    <w:rsid w:val="00F37B4D"/>
    <w:rsid w:val="00F37B77"/>
    <w:rsid w:val="00F37D89"/>
    <w:rsid w:val="00F37E24"/>
    <w:rsid w:val="00F37E2F"/>
    <w:rsid w:val="00F37E6D"/>
    <w:rsid w:val="00F4030C"/>
    <w:rsid w:val="00F40ECF"/>
    <w:rsid w:val="00F40FED"/>
    <w:rsid w:val="00F41110"/>
    <w:rsid w:val="00F41403"/>
    <w:rsid w:val="00F418EC"/>
    <w:rsid w:val="00F418FF"/>
    <w:rsid w:val="00F41ADC"/>
    <w:rsid w:val="00F41B17"/>
    <w:rsid w:val="00F42267"/>
    <w:rsid w:val="00F422E1"/>
    <w:rsid w:val="00F422E4"/>
    <w:rsid w:val="00F423FC"/>
    <w:rsid w:val="00F42772"/>
    <w:rsid w:val="00F434C0"/>
    <w:rsid w:val="00F43BE0"/>
    <w:rsid w:val="00F43C37"/>
    <w:rsid w:val="00F43CE4"/>
    <w:rsid w:val="00F44056"/>
    <w:rsid w:val="00F4488B"/>
    <w:rsid w:val="00F44C53"/>
    <w:rsid w:val="00F45554"/>
    <w:rsid w:val="00F460D6"/>
    <w:rsid w:val="00F47158"/>
    <w:rsid w:val="00F471C1"/>
    <w:rsid w:val="00F471EA"/>
    <w:rsid w:val="00F474FD"/>
    <w:rsid w:val="00F476FC"/>
    <w:rsid w:val="00F47AFF"/>
    <w:rsid w:val="00F5005F"/>
    <w:rsid w:val="00F50529"/>
    <w:rsid w:val="00F50635"/>
    <w:rsid w:val="00F50E45"/>
    <w:rsid w:val="00F50F70"/>
    <w:rsid w:val="00F515BB"/>
    <w:rsid w:val="00F51831"/>
    <w:rsid w:val="00F5197A"/>
    <w:rsid w:val="00F5197E"/>
    <w:rsid w:val="00F519FB"/>
    <w:rsid w:val="00F51C19"/>
    <w:rsid w:val="00F520BF"/>
    <w:rsid w:val="00F525E5"/>
    <w:rsid w:val="00F5321A"/>
    <w:rsid w:val="00F53D59"/>
    <w:rsid w:val="00F53EE9"/>
    <w:rsid w:val="00F54136"/>
    <w:rsid w:val="00F54441"/>
    <w:rsid w:val="00F54725"/>
    <w:rsid w:val="00F558A3"/>
    <w:rsid w:val="00F5615F"/>
    <w:rsid w:val="00F56465"/>
    <w:rsid w:val="00F56602"/>
    <w:rsid w:val="00F56638"/>
    <w:rsid w:val="00F56938"/>
    <w:rsid w:val="00F56973"/>
    <w:rsid w:val="00F57003"/>
    <w:rsid w:val="00F5710C"/>
    <w:rsid w:val="00F57547"/>
    <w:rsid w:val="00F57F2E"/>
    <w:rsid w:val="00F60035"/>
    <w:rsid w:val="00F601C0"/>
    <w:rsid w:val="00F6098A"/>
    <w:rsid w:val="00F621A4"/>
    <w:rsid w:val="00F625B8"/>
    <w:rsid w:val="00F6317F"/>
    <w:rsid w:val="00F63C28"/>
    <w:rsid w:val="00F63D48"/>
    <w:rsid w:val="00F64134"/>
    <w:rsid w:val="00F645DE"/>
    <w:rsid w:val="00F647B3"/>
    <w:rsid w:val="00F649B2"/>
    <w:rsid w:val="00F64A7C"/>
    <w:rsid w:val="00F64E5B"/>
    <w:rsid w:val="00F651B3"/>
    <w:rsid w:val="00F65858"/>
    <w:rsid w:val="00F65C77"/>
    <w:rsid w:val="00F65CFA"/>
    <w:rsid w:val="00F666C3"/>
    <w:rsid w:val="00F66975"/>
    <w:rsid w:val="00F66AD6"/>
    <w:rsid w:val="00F66C69"/>
    <w:rsid w:val="00F66E84"/>
    <w:rsid w:val="00F66EC3"/>
    <w:rsid w:val="00F67106"/>
    <w:rsid w:val="00F70197"/>
    <w:rsid w:val="00F702FA"/>
    <w:rsid w:val="00F70533"/>
    <w:rsid w:val="00F7070D"/>
    <w:rsid w:val="00F70AD0"/>
    <w:rsid w:val="00F70DFE"/>
    <w:rsid w:val="00F70F96"/>
    <w:rsid w:val="00F7110F"/>
    <w:rsid w:val="00F712B4"/>
    <w:rsid w:val="00F717B2"/>
    <w:rsid w:val="00F71B84"/>
    <w:rsid w:val="00F71C5D"/>
    <w:rsid w:val="00F72186"/>
    <w:rsid w:val="00F7266F"/>
    <w:rsid w:val="00F729FA"/>
    <w:rsid w:val="00F73838"/>
    <w:rsid w:val="00F7412C"/>
    <w:rsid w:val="00F746F7"/>
    <w:rsid w:val="00F7478D"/>
    <w:rsid w:val="00F74790"/>
    <w:rsid w:val="00F74CBB"/>
    <w:rsid w:val="00F74E15"/>
    <w:rsid w:val="00F74E3E"/>
    <w:rsid w:val="00F74EE0"/>
    <w:rsid w:val="00F754C8"/>
    <w:rsid w:val="00F75690"/>
    <w:rsid w:val="00F75C50"/>
    <w:rsid w:val="00F76474"/>
    <w:rsid w:val="00F77267"/>
    <w:rsid w:val="00F7780F"/>
    <w:rsid w:val="00F77819"/>
    <w:rsid w:val="00F8004A"/>
    <w:rsid w:val="00F805F8"/>
    <w:rsid w:val="00F80F6D"/>
    <w:rsid w:val="00F81477"/>
    <w:rsid w:val="00F82E2E"/>
    <w:rsid w:val="00F82F03"/>
    <w:rsid w:val="00F83160"/>
    <w:rsid w:val="00F83334"/>
    <w:rsid w:val="00F835B0"/>
    <w:rsid w:val="00F8379B"/>
    <w:rsid w:val="00F839E5"/>
    <w:rsid w:val="00F83AAA"/>
    <w:rsid w:val="00F83ADA"/>
    <w:rsid w:val="00F8427A"/>
    <w:rsid w:val="00F84454"/>
    <w:rsid w:val="00F84579"/>
    <w:rsid w:val="00F847C0"/>
    <w:rsid w:val="00F84AB8"/>
    <w:rsid w:val="00F850E3"/>
    <w:rsid w:val="00F85896"/>
    <w:rsid w:val="00F85FC5"/>
    <w:rsid w:val="00F86067"/>
    <w:rsid w:val="00F8643D"/>
    <w:rsid w:val="00F86686"/>
    <w:rsid w:val="00F86A46"/>
    <w:rsid w:val="00F86FC8"/>
    <w:rsid w:val="00F8709D"/>
    <w:rsid w:val="00F87686"/>
    <w:rsid w:val="00F8794C"/>
    <w:rsid w:val="00F8797E"/>
    <w:rsid w:val="00F87B85"/>
    <w:rsid w:val="00F87E5A"/>
    <w:rsid w:val="00F9009F"/>
    <w:rsid w:val="00F90426"/>
    <w:rsid w:val="00F904D0"/>
    <w:rsid w:val="00F907BB"/>
    <w:rsid w:val="00F908F3"/>
    <w:rsid w:val="00F90D79"/>
    <w:rsid w:val="00F91A93"/>
    <w:rsid w:val="00F91BF7"/>
    <w:rsid w:val="00F92155"/>
    <w:rsid w:val="00F92278"/>
    <w:rsid w:val="00F923DF"/>
    <w:rsid w:val="00F926AF"/>
    <w:rsid w:val="00F926D0"/>
    <w:rsid w:val="00F929F4"/>
    <w:rsid w:val="00F92CF1"/>
    <w:rsid w:val="00F92D64"/>
    <w:rsid w:val="00F92D83"/>
    <w:rsid w:val="00F92DDC"/>
    <w:rsid w:val="00F93569"/>
    <w:rsid w:val="00F937FC"/>
    <w:rsid w:val="00F93F99"/>
    <w:rsid w:val="00F9400F"/>
    <w:rsid w:val="00F943E3"/>
    <w:rsid w:val="00F94951"/>
    <w:rsid w:val="00F94CFD"/>
    <w:rsid w:val="00F94E4D"/>
    <w:rsid w:val="00F953D2"/>
    <w:rsid w:val="00F95470"/>
    <w:rsid w:val="00F9562E"/>
    <w:rsid w:val="00F9588F"/>
    <w:rsid w:val="00F95924"/>
    <w:rsid w:val="00F961A7"/>
    <w:rsid w:val="00F96D77"/>
    <w:rsid w:val="00F96FB5"/>
    <w:rsid w:val="00F972AA"/>
    <w:rsid w:val="00F978C5"/>
    <w:rsid w:val="00F97A8E"/>
    <w:rsid w:val="00FA0D79"/>
    <w:rsid w:val="00FA1699"/>
    <w:rsid w:val="00FA16D9"/>
    <w:rsid w:val="00FA233A"/>
    <w:rsid w:val="00FA242E"/>
    <w:rsid w:val="00FA2620"/>
    <w:rsid w:val="00FA2FAE"/>
    <w:rsid w:val="00FA311F"/>
    <w:rsid w:val="00FA481E"/>
    <w:rsid w:val="00FA4BB8"/>
    <w:rsid w:val="00FA4E90"/>
    <w:rsid w:val="00FA4ED4"/>
    <w:rsid w:val="00FA5317"/>
    <w:rsid w:val="00FA5CED"/>
    <w:rsid w:val="00FA5DC9"/>
    <w:rsid w:val="00FA6085"/>
    <w:rsid w:val="00FA64A7"/>
    <w:rsid w:val="00FA65EB"/>
    <w:rsid w:val="00FB0718"/>
    <w:rsid w:val="00FB0C0D"/>
    <w:rsid w:val="00FB0CB2"/>
    <w:rsid w:val="00FB0EF3"/>
    <w:rsid w:val="00FB12D6"/>
    <w:rsid w:val="00FB16FD"/>
    <w:rsid w:val="00FB1D31"/>
    <w:rsid w:val="00FB2298"/>
    <w:rsid w:val="00FB2781"/>
    <w:rsid w:val="00FB2837"/>
    <w:rsid w:val="00FB2C4D"/>
    <w:rsid w:val="00FB2D77"/>
    <w:rsid w:val="00FB2EEE"/>
    <w:rsid w:val="00FB3246"/>
    <w:rsid w:val="00FB4044"/>
    <w:rsid w:val="00FB40D0"/>
    <w:rsid w:val="00FB42B0"/>
    <w:rsid w:val="00FB42F3"/>
    <w:rsid w:val="00FB4714"/>
    <w:rsid w:val="00FB47EC"/>
    <w:rsid w:val="00FB49B6"/>
    <w:rsid w:val="00FB49D4"/>
    <w:rsid w:val="00FB4AFE"/>
    <w:rsid w:val="00FB4B76"/>
    <w:rsid w:val="00FB4E54"/>
    <w:rsid w:val="00FB62B7"/>
    <w:rsid w:val="00FB62C4"/>
    <w:rsid w:val="00FB689C"/>
    <w:rsid w:val="00FB6C31"/>
    <w:rsid w:val="00FB6FA2"/>
    <w:rsid w:val="00FB7150"/>
    <w:rsid w:val="00FB71DA"/>
    <w:rsid w:val="00FB7469"/>
    <w:rsid w:val="00FB75B3"/>
    <w:rsid w:val="00FB7650"/>
    <w:rsid w:val="00FB7804"/>
    <w:rsid w:val="00FB7C5E"/>
    <w:rsid w:val="00FB7D8D"/>
    <w:rsid w:val="00FB7FDA"/>
    <w:rsid w:val="00FB829D"/>
    <w:rsid w:val="00FC0010"/>
    <w:rsid w:val="00FC030F"/>
    <w:rsid w:val="00FC06C9"/>
    <w:rsid w:val="00FC0A02"/>
    <w:rsid w:val="00FC0E89"/>
    <w:rsid w:val="00FC101B"/>
    <w:rsid w:val="00FC1740"/>
    <w:rsid w:val="00FC17EE"/>
    <w:rsid w:val="00FC1970"/>
    <w:rsid w:val="00FC27A0"/>
    <w:rsid w:val="00FC2EDD"/>
    <w:rsid w:val="00FC3483"/>
    <w:rsid w:val="00FC36F4"/>
    <w:rsid w:val="00FC3EBF"/>
    <w:rsid w:val="00FC41C2"/>
    <w:rsid w:val="00FC4A06"/>
    <w:rsid w:val="00FC4BF9"/>
    <w:rsid w:val="00FC60FB"/>
    <w:rsid w:val="00FC6116"/>
    <w:rsid w:val="00FC616D"/>
    <w:rsid w:val="00FC68C0"/>
    <w:rsid w:val="00FC70B4"/>
    <w:rsid w:val="00FC70C9"/>
    <w:rsid w:val="00FC7558"/>
    <w:rsid w:val="00FC7582"/>
    <w:rsid w:val="00FC788E"/>
    <w:rsid w:val="00FC7D34"/>
    <w:rsid w:val="00FD0594"/>
    <w:rsid w:val="00FD0662"/>
    <w:rsid w:val="00FD0A93"/>
    <w:rsid w:val="00FD0D4F"/>
    <w:rsid w:val="00FD123A"/>
    <w:rsid w:val="00FD1323"/>
    <w:rsid w:val="00FD1352"/>
    <w:rsid w:val="00FD1505"/>
    <w:rsid w:val="00FD1B18"/>
    <w:rsid w:val="00FD1DA7"/>
    <w:rsid w:val="00FD20F7"/>
    <w:rsid w:val="00FD333D"/>
    <w:rsid w:val="00FD37F7"/>
    <w:rsid w:val="00FD40A5"/>
    <w:rsid w:val="00FD425E"/>
    <w:rsid w:val="00FD4774"/>
    <w:rsid w:val="00FD4E04"/>
    <w:rsid w:val="00FD6294"/>
    <w:rsid w:val="00FD667B"/>
    <w:rsid w:val="00FD675F"/>
    <w:rsid w:val="00FD6A06"/>
    <w:rsid w:val="00FD7276"/>
    <w:rsid w:val="00FD763D"/>
    <w:rsid w:val="00FD7702"/>
    <w:rsid w:val="00FD77DE"/>
    <w:rsid w:val="00FD7AB3"/>
    <w:rsid w:val="00FD7B71"/>
    <w:rsid w:val="00FE01BF"/>
    <w:rsid w:val="00FE02A0"/>
    <w:rsid w:val="00FE0757"/>
    <w:rsid w:val="00FE07BC"/>
    <w:rsid w:val="00FE0AD0"/>
    <w:rsid w:val="00FE11D5"/>
    <w:rsid w:val="00FE138C"/>
    <w:rsid w:val="00FE1DDA"/>
    <w:rsid w:val="00FE2413"/>
    <w:rsid w:val="00FE2B15"/>
    <w:rsid w:val="00FE2C35"/>
    <w:rsid w:val="00FE2F12"/>
    <w:rsid w:val="00FE3B63"/>
    <w:rsid w:val="00FE3C9C"/>
    <w:rsid w:val="00FE3EF7"/>
    <w:rsid w:val="00FE45FC"/>
    <w:rsid w:val="00FE4B88"/>
    <w:rsid w:val="00FE4D7E"/>
    <w:rsid w:val="00FE523E"/>
    <w:rsid w:val="00FE5446"/>
    <w:rsid w:val="00FE555D"/>
    <w:rsid w:val="00FE5A37"/>
    <w:rsid w:val="00FE5E44"/>
    <w:rsid w:val="00FE6408"/>
    <w:rsid w:val="00FE6502"/>
    <w:rsid w:val="00FE6C42"/>
    <w:rsid w:val="00FE71EC"/>
    <w:rsid w:val="00FE722E"/>
    <w:rsid w:val="00FE7A1F"/>
    <w:rsid w:val="00FE7CED"/>
    <w:rsid w:val="00FE7E48"/>
    <w:rsid w:val="00FF03CA"/>
    <w:rsid w:val="00FF0599"/>
    <w:rsid w:val="00FF0E15"/>
    <w:rsid w:val="00FF0E71"/>
    <w:rsid w:val="00FF0FA7"/>
    <w:rsid w:val="00FF1662"/>
    <w:rsid w:val="00FF1D2E"/>
    <w:rsid w:val="00FF2773"/>
    <w:rsid w:val="00FF2855"/>
    <w:rsid w:val="00FF2A2F"/>
    <w:rsid w:val="00FF2AC3"/>
    <w:rsid w:val="00FF371E"/>
    <w:rsid w:val="00FF399F"/>
    <w:rsid w:val="00FF4126"/>
    <w:rsid w:val="00FF4DE3"/>
    <w:rsid w:val="00FF5627"/>
    <w:rsid w:val="00FF627D"/>
    <w:rsid w:val="00FF6499"/>
    <w:rsid w:val="00FF6787"/>
    <w:rsid w:val="00FF6B1E"/>
    <w:rsid w:val="00FF6E5F"/>
    <w:rsid w:val="00FF7344"/>
    <w:rsid w:val="00FF75A5"/>
    <w:rsid w:val="00FF7864"/>
    <w:rsid w:val="00FF7A46"/>
    <w:rsid w:val="00FF7CB1"/>
    <w:rsid w:val="0110AC77"/>
    <w:rsid w:val="011ECCAA"/>
    <w:rsid w:val="0121CE84"/>
    <w:rsid w:val="01285C16"/>
    <w:rsid w:val="012EFFD3"/>
    <w:rsid w:val="013D141F"/>
    <w:rsid w:val="01438BDB"/>
    <w:rsid w:val="015B2209"/>
    <w:rsid w:val="016C18FC"/>
    <w:rsid w:val="016DBFBE"/>
    <w:rsid w:val="017B9695"/>
    <w:rsid w:val="01936A87"/>
    <w:rsid w:val="01AA306D"/>
    <w:rsid w:val="01C34080"/>
    <w:rsid w:val="01D3AB4E"/>
    <w:rsid w:val="01D72000"/>
    <w:rsid w:val="01DE1D6E"/>
    <w:rsid w:val="01DEF713"/>
    <w:rsid w:val="01E76950"/>
    <w:rsid w:val="01F50593"/>
    <w:rsid w:val="01F87E24"/>
    <w:rsid w:val="021CEE41"/>
    <w:rsid w:val="0226E9A2"/>
    <w:rsid w:val="02274CC3"/>
    <w:rsid w:val="02285FE5"/>
    <w:rsid w:val="022CFF1C"/>
    <w:rsid w:val="0235A28A"/>
    <w:rsid w:val="02440B5D"/>
    <w:rsid w:val="02508996"/>
    <w:rsid w:val="0250B96A"/>
    <w:rsid w:val="02599A79"/>
    <w:rsid w:val="025F510E"/>
    <w:rsid w:val="02684E9D"/>
    <w:rsid w:val="026DBDD9"/>
    <w:rsid w:val="027AEC3E"/>
    <w:rsid w:val="027B6156"/>
    <w:rsid w:val="028DE84D"/>
    <w:rsid w:val="02929352"/>
    <w:rsid w:val="029A8501"/>
    <w:rsid w:val="029C2556"/>
    <w:rsid w:val="02B23EFD"/>
    <w:rsid w:val="02C6A653"/>
    <w:rsid w:val="02E5BDFE"/>
    <w:rsid w:val="030D28BA"/>
    <w:rsid w:val="0314E64C"/>
    <w:rsid w:val="0316FF90"/>
    <w:rsid w:val="031B3290"/>
    <w:rsid w:val="0343CF80"/>
    <w:rsid w:val="0348CC18"/>
    <w:rsid w:val="035F10E1"/>
    <w:rsid w:val="0362E8BB"/>
    <w:rsid w:val="03646F76"/>
    <w:rsid w:val="036A220F"/>
    <w:rsid w:val="036A8FD5"/>
    <w:rsid w:val="037DCE3A"/>
    <w:rsid w:val="038C91E4"/>
    <w:rsid w:val="038C9E94"/>
    <w:rsid w:val="038D7D38"/>
    <w:rsid w:val="03903DA2"/>
    <w:rsid w:val="039A285A"/>
    <w:rsid w:val="03B0B560"/>
    <w:rsid w:val="03C91B96"/>
    <w:rsid w:val="03CDE993"/>
    <w:rsid w:val="03D78069"/>
    <w:rsid w:val="03DA77BF"/>
    <w:rsid w:val="03DF3786"/>
    <w:rsid w:val="03F56E18"/>
    <w:rsid w:val="040223BF"/>
    <w:rsid w:val="0409A7AD"/>
    <w:rsid w:val="04209E4B"/>
    <w:rsid w:val="042598E9"/>
    <w:rsid w:val="04307408"/>
    <w:rsid w:val="0436D97A"/>
    <w:rsid w:val="0438684B"/>
    <w:rsid w:val="0451DFD4"/>
    <w:rsid w:val="04596F46"/>
    <w:rsid w:val="046785EB"/>
    <w:rsid w:val="0468DFC9"/>
    <w:rsid w:val="04751251"/>
    <w:rsid w:val="04885CD7"/>
    <w:rsid w:val="04895FA6"/>
    <w:rsid w:val="049CE6B9"/>
    <w:rsid w:val="04BDBBFB"/>
    <w:rsid w:val="0506C75A"/>
    <w:rsid w:val="05343CAD"/>
    <w:rsid w:val="053562F7"/>
    <w:rsid w:val="05610DB2"/>
    <w:rsid w:val="057EFF28"/>
    <w:rsid w:val="057F3286"/>
    <w:rsid w:val="058BD08F"/>
    <w:rsid w:val="058CBE8F"/>
    <w:rsid w:val="058F9AD5"/>
    <w:rsid w:val="05913B3B"/>
    <w:rsid w:val="0597C70E"/>
    <w:rsid w:val="059AF38B"/>
    <w:rsid w:val="059EA159"/>
    <w:rsid w:val="05AF9F89"/>
    <w:rsid w:val="05B6034E"/>
    <w:rsid w:val="05C032DE"/>
    <w:rsid w:val="05C2BC51"/>
    <w:rsid w:val="05CEC279"/>
    <w:rsid w:val="05F44B2E"/>
    <w:rsid w:val="05F53FA7"/>
    <w:rsid w:val="05FBFFF6"/>
    <w:rsid w:val="05FF45E6"/>
    <w:rsid w:val="0603CB28"/>
    <w:rsid w:val="0628ED42"/>
    <w:rsid w:val="06303297"/>
    <w:rsid w:val="064D2C0F"/>
    <w:rsid w:val="065538CA"/>
    <w:rsid w:val="0659E1DE"/>
    <w:rsid w:val="0675DC08"/>
    <w:rsid w:val="06774B52"/>
    <w:rsid w:val="06889101"/>
    <w:rsid w:val="069554AD"/>
    <w:rsid w:val="06ACE6DC"/>
    <w:rsid w:val="06B39E3F"/>
    <w:rsid w:val="06B541EF"/>
    <w:rsid w:val="06B5FBC3"/>
    <w:rsid w:val="06BCADF5"/>
    <w:rsid w:val="06C423F3"/>
    <w:rsid w:val="06CB1964"/>
    <w:rsid w:val="06CF8D1C"/>
    <w:rsid w:val="06D00D0E"/>
    <w:rsid w:val="06D0A781"/>
    <w:rsid w:val="06DDD0D5"/>
    <w:rsid w:val="06ED63FC"/>
    <w:rsid w:val="06F3966C"/>
    <w:rsid w:val="070AE1DA"/>
    <w:rsid w:val="0718468E"/>
    <w:rsid w:val="071D2F0F"/>
    <w:rsid w:val="07210D1A"/>
    <w:rsid w:val="0723E4A7"/>
    <w:rsid w:val="07373065"/>
    <w:rsid w:val="073BBFC0"/>
    <w:rsid w:val="0748D7A6"/>
    <w:rsid w:val="0753B447"/>
    <w:rsid w:val="075B7204"/>
    <w:rsid w:val="075E87BE"/>
    <w:rsid w:val="07717AFF"/>
    <w:rsid w:val="077716C0"/>
    <w:rsid w:val="078D3358"/>
    <w:rsid w:val="07A6CD70"/>
    <w:rsid w:val="07ACB313"/>
    <w:rsid w:val="07C6CC2E"/>
    <w:rsid w:val="07C9DC92"/>
    <w:rsid w:val="07CE4D1B"/>
    <w:rsid w:val="07D3D991"/>
    <w:rsid w:val="07E0DE59"/>
    <w:rsid w:val="07F07B12"/>
    <w:rsid w:val="07F1092B"/>
    <w:rsid w:val="07F2E3E6"/>
    <w:rsid w:val="07F66B5B"/>
    <w:rsid w:val="07FC6F59"/>
    <w:rsid w:val="08006CFA"/>
    <w:rsid w:val="080725B3"/>
    <w:rsid w:val="080F879B"/>
    <w:rsid w:val="081E0EF1"/>
    <w:rsid w:val="0820704B"/>
    <w:rsid w:val="08455CD8"/>
    <w:rsid w:val="0848B73D"/>
    <w:rsid w:val="086076FF"/>
    <w:rsid w:val="0869E76F"/>
    <w:rsid w:val="08780091"/>
    <w:rsid w:val="088A8353"/>
    <w:rsid w:val="0899A8A8"/>
    <w:rsid w:val="08A1D4C2"/>
    <w:rsid w:val="08A952BA"/>
    <w:rsid w:val="08B5B39D"/>
    <w:rsid w:val="08B8C4C6"/>
    <w:rsid w:val="08BCDD7B"/>
    <w:rsid w:val="08C78B81"/>
    <w:rsid w:val="08DFE3E3"/>
    <w:rsid w:val="08E9E5AE"/>
    <w:rsid w:val="08EA83EE"/>
    <w:rsid w:val="08F065FC"/>
    <w:rsid w:val="08FA1A49"/>
    <w:rsid w:val="09036FA9"/>
    <w:rsid w:val="0908F614"/>
    <w:rsid w:val="090FAD24"/>
    <w:rsid w:val="091A4F4C"/>
    <w:rsid w:val="0928C910"/>
    <w:rsid w:val="09356D5A"/>
    <w:rsid w:val="093A97D2"/>
    <w:rsid w:val="095E9B7D"/>
    <w:rsid w:val="096890C3"/>
    <w:rsid w:val="096E995B"/>
    <w:rsid w:val="09745A45"/>
    <w:rsid w:val="09781749"/>
    <w:rsid w:val="097BE57E"/>
    <w:rsid w:val="097D7B71"/>
    <w:rsid w:val="0984A4ED"/>
    <w:rsid w:val="098A2322"/>
    <w:rsid w:val="09908E9C"/>
    <w:rsid w:val="09A68B80"/>
    <w:rsid w:val="09CE3A95"/>
    <w:rsid w:val="09CFCED6"/>
    <w:rsid w:val="09D003CD"/>
    <w:rsid w:val="09F54AD8"/>
    <w:rsid w:val="09FC90E2"/>
    <w:rsid w:val="0A015855"/>
    <w:rsid w:val="0A0CBEC8"/>
    <w:rsid w:val="0A1047F4"/>
    <w:rsid w:val="0A13D0F2"/>
    <w:rsid w:val="0A1A371D"/>
    <w:rsid w:val="0A1D24C8"/>
    <w:rsid w:val="0A256C96"/>
    <w:rsid w:val="0A2B51E8"/>
    <w:rsid w:val="0A36C196"/>
    <w:rsid w:val="0A484528"/>
    <w:rsid w:val="0A4B8401"/>
    <w:rsid w:val="0A8487E5"/>
    <w:rsid w:val="0A8B7FB7"/>
    <w:rsid w:val="0A9B61D2"/>
    <w:rsid w:val="0AA3122D"/>
    <w:rsid w:val="0AB0BC95"/>
    <w:rsid w:val="0AB0F0B3"/>
    <w:rsid w:val="0ABC475F"/>
    <w:rsid w:val="0AC8DA88"/>
    <w:rsid w:val="0AD3F014"/>
    <w:rsid w:val="0B0721D4"/>
    <w:rsid w:val="0B086ADC"/>
    <w:rsid w:val="0B1856B8"/>
    <w:rsid w:val="0B186E5C"/>
    <w:rsid w:val="0B19AA18"/>
    <w:rsid w:val="0B28A9ED"/>
    <w:rsid w:val="0B4BF412"/>
    <w:rsid w:val="0B5F8099"/>
    <w:rsid w:val="0B656E52"/>
    <w:rsid w:val="0B657A5D"/>
    <w:rsid w:val="0B68B9A2"/>
    <w:rsid w:val="0B87373F"/>
    <w:rsid w:val="0B8943BC"/>
    <w:rsid w:val="0B8F33A6"/>
    <w:rsid w:val="0BA88F29"/>
    <w:rsid w:val="0BB908C6"/>
    <w:rsid w:val="0BC2A392"/>
    <w:rsid w:val="0BC33D07"/>
    <w:rsid w:val="0BCCD2A8"/>
    <w:rsid w:val="0BCE6E15"/>
    <w:rsid w:val="0BD6D214"/>
    <w:rsid w:val="0BD8239E"/>
    <w:rsid w:val="0BDF2F2C"/>
    <w:rsid w:val="0BEC5F83"/>
    <w:rsid w:val="0BF38599"/>
    <w:rsid w:val="0C0562CE"/>
    <w:rsid w:val="0C15CB85"/>
    <w:rsid w:val="0C3C24AA"/>
    <w:rsid w:val="0C516C6D"/>
    <w:rsid w:val="0C5B8E22"/>
    <w:rsid w:val="0C630D80"/>
    <w:rsid w:val="0C63FBDE"/>
    <w:rsid w:val="0C7361DF"/>
    <w:rsid w:val="0C8221CF"/>
    <w:rsid w:val="0CA79F36"/>
    <w:rsid w:val="0CF6C14B"/>
    <w:rsid w:val="0CFE80A1"/>
    <w:rsid w:val="0CFF5CB2"/>
    <w:rsid w:val="0D02DB94"/>
    <w:rsid w:val="0D126120"/>
    <w:rsid w:val="0D6998D4"/>
    <w:rsid w:val="0D83A3E6"/>
    <w:rsid w:val="0D87095B"/>
    <w:rsid w:val="0D97A600"/>
    <w:rsid w:val="0D9BF810"/>
    <w:rsid w:val="0DF2874A"/>
    <w:rsid w:val="0DFAED78"/>
    <w:rsid w:val="0E000723"/>
    <w:rsid w:val="0E0D82D9"/>
    <w:rsid w:val="0E0F66AE"/>
    <w:rsid w:val="0E1A00B9"/>
    <w:rsid w:val="0E1C5477"/>
    <w:rsid w:val="0E260AE2"/>
    <w:rsid w:val="0E33EFE1"/>
    <w:rsid w:val="0E3BE5E0"/>
    <w:rsid w:val="0E5FFD1B"/>
    <w:rsid w:val="0E6719E5"/>
    <w:rsid w:val="0E6D1EF4"/>
    <w:rsid w:val="0E868227"/>
    <w:rsid w:val="0E89CB6D"/>
    <w:rsid w:val="0EA2C5DF"/>
    <w:rsid w:val="0EB6C85B"/>
    <w:rsid w:val="0EC03E22"/>
    <w:rsid w:val="0EC8B77F"/>
    <w:rsid w:val="0ECCFC10"/>
    <w:rsid w:val="0ED7D038"/>
    <w:rsid w:val="0EDB1EF3"/>
    <w:rsid w:val="0EE025E5"/>
    <w:rsid w:val="0EE5B76C"/>
    <w:rsid w:val="0EF021A3"/>
    <w:rsid w:val="0EF2042D"/>
    <w:rsid w:val="0EF80677"/>
    <w:rsid w:val="0F03E539"/>
    <w:rsid w:val="0F0B09F6"/>
    <w:rsid w:val="0F1A14D1"/>
    <w:rsid w:val="0F2489C9"/>
    <w:rsid w:val="0F37C871"/>
    <w:rsid w:val="0F41042B"/>
    <w:rsid w:val="0F439DDA"/>
    <w:rsid w:val="0F4FA578"/>
    <w:rsid w:val="0F654F3E"/>
    <w:rsid w:val="0F69521D"/>
    <w:rsid w:val="0F6F5360"/>
    <w:rsid w:val="0F709EE6"/>
    <w:rsid w:val="0F7563EC"/>
    <w:rsid w:val="0F987287"/>
    <w:rsid w:val="0FB1235A"/>
    <w:rsid w:val="0FB9C291"/>
    <w:rsid w:val="0FC20430"/>
    <w:rsid w:val="0FCE88A4"/>
    <w:rsid w:val="0FCFC8FD"/>
    <w:rsid w:val="0FD3C02F"/>
    <w:rsid w:val="0FEB19BA"/>
    <w:rsid w:val="0FEC3C1A"/>
    <w:rsid w:val="0FF02D3F"/>
    <w:rsid w:val="0FF046EF"/>
    <w:rsid w:val="10017D40"/>
    <w:rsid w:val="101BF3E3"/>
    <w:rsid w:val="102FE71B"/>
    <w:rsid w:val="1055A9FC"/>
    <w:rsid w:val="10667052"/>
    <w:rsid w:val="10704C7E"/>
    <w:rsid w:val="107DCCFF"/>
    <w:rsid w:val="10B5EDA6"/>
    <w:rsid w:val="10BDBEEC"/>
    <w:rsid w:val="10C65D89"/>
    <w:rsid w:val="10ED7B0D"/>
    <w:rsid w:val="10EF5662"/>
    <w:rsid w:val="10F70A9F"/>
    <w:rsid w:val="110876AC"/>
    <w:rsid w:val="11232F63"/>
    <w:rsid w:val="112DFD26"/>
    <w:rsid w:val="11386D20"/>
    <w:rsid w:val="11391D62"/>
    <w:rsid w:val="1140CAD4"/>
    <w:rsid w:val="11643015"/>
    <w:rsid w:val="116C9837"/>
    <w:rsid w:val="117F2E9E"/>
    <w:rsid w:val="1183EFD4"/>
    <w:rsid w:val="11842544"/>
    <w:rsid w:val="1184C1BB"/>
    <w:rsid w:val="118D246E"/>
    <w:rsid w:val="118D2560"/>
    <w:rsid w:val="1195601B"/>
    <w:rsid w:val="11A720D9"/>
    <w:rsid w:val="11BF4EE0"/>
    <w:rsid w:val="11C54A1C"/>
    <w:rsid w:val="11C564D1"/>
    <w:rsid w:val="11C6106F"/>
    <w:rsid w:val="12084391"/>
    <w:rsid w:val="1211F493"/>
    <w:rsid w:val="121CBD9F"/>
    <w:rsid w:val="121DE9A8"/>
    <w:rsid w:val="1259D49A"/>
    <w:rsid w:val="125B22D9"/>
    <w:rsid w:val="1278FD41"/>
    <w:rsid w:val="1286A34D"/>
    <w:rsid w:val="129FB521"/>
    <w:rsid w:val="12A0F2DF"/>
    <w:rsid w:val="12A389F2"/>
    <w:rsid w:val="12A744FC"/>
    <w:rsid w:val="12A74FC1"/>
    <w:rsid w:val="12A826F1"/>
    <w:rsid w:val="12B5BBE4"/>
    <w:rsid w:val="12B75159"/>
    <w:rsid w:val="12CA9242"/>
    <w:rsid w:val="12CC3E6F"/>
    <w:rsid w:val="12CF1FCF"/>
    <w:rsid w:val="12EBE496"/>
    <w:rsid w:val="12F5440D"/>
    <w:rsid w:val="12F56963"/>
    <w:rsid w:val="12FAB4F0"/>
    <w:rsid w:val="13033924"/>
    <w:rsid w:val="13086898"/>
    <w:rsid w:val="130FA9A6"/>
    <w:rsid w:val="1353F32E"/>
    <w:rsid w:val="137633CD"/>
    <w:rsid w:val="1379E21A"/>
    <w:rsid w:val="13826268"/>
    <w:rsid w:val="13858595"/>
    <w:rsid w:val="138ACE96"/>
    <w:rsid w:val="138F871E"/>
    <w:rsid w:val="13A5AB2D"/>
    <w:rsid w:val="13B6C6C3"/>
    <w:rsid w:val="13D16AAA"/>
    <w:rsid w:val="13E8ACD9"/>
    <w:rsid w:val="13F393CA"/>
    <w:rsid w:val="13F4D881"/>
    <w:rsid w:val="13F6F33A"/>
    <w:rsid w:val="13FF132C"/>
    <w:rsid w:val="14009537"/>
    <w:rsid w:val="14033E56"/>
    <w:rsid w:val="14056E12"/>
    <w:rsid w:val="143109DC"/>
    <w:rsid w:val="1432168C"/>
    <w:rsid w:val="14352DC7"/>
    <w:rsid w:val="1446C4FF"/>
    <w:rsid w:val="144FCF41"/>
    <w:rsid w:val="145E382C"/>
    <w:rsid w:val="145F7221"/>
    <w:rsid w:val="146734A5"/>
    <w:rsid w:val="1469F9F5"/>
    <w:rsid w:val="147ED269"/>
    <w:rsid w:val="148CD3F4"/>
    <w:rsid w:val="14968551"/>
    <w:rsid w:val="1498B44E"/>
    <w:rsid w:val="149913F9"/>
    <w:rsid w:val="14BCF63A"/>
    <w:rsid w:val="14DD0FF5"/>
    <w:rsid w:val="14E1318C"/>
    <w:rsid w:val="14EB8076"/>
    <w:rsid w:val="14F141F2"/>
    <w:rsid w:val="1516C46B"/>
    <w:rsid w:val="15197AB5"/>
    <w:rsid w:val="1521392C"/>
    <w:rsid w:val="1554091C"/>
    <w:rsid w:val="155BB0BA"/>
    <w:rsid w:val="1565BD80"/>
    <w:rsid w:val="1568721A"/>
    <w:rsid w:val="156CE31E"/>
    <w:rsid w:val="1577D026"/>
    <w:rsid w:val="157AFCA8"/>
    <w:rsid w:val="1580F7F5"/>
    <w:rsid w:val="158DC093"/>
    <w:rsid w:val="159A8E55"/>
    <w:rsid w:val="15C01180"/>
    <w:rsid w:val="15C4D5B7"/>
    <w:rsid w:val="15C69711"/>
    <w:rsid w:val="15DEF2FE"/>
    <w:rsid w:val="15E02F52"/>
    <w:rsid w:val="15E62FFF"/>
    <w:rsid w:val="15E63A2B"/>
    <w:rsid w:val="15E9F8FF"/>
    <w:rsid w:val="15EFF6C3"/>
    <w:rsid w:val="16036A2B"/>
    <w:rsid w:val="1604F920"/>
    <w:rsid w:val="1605CA56"/>
    <w:rsid w:val="161279C5"/>
    <w:rsid w:val="16193472"/>
    <w:rsid w:val="161D64B5"/>
    <w:rsid w:val="16238FB0"/>
    <w:rsid w:val="162618C3"/>
    <w:rsid w:val="16312455"/>
    <w:rsid w:val="164E98CE"/>
    <w:rsid w:val="164EBCBE"/>
    <w:rsid w:val="164F184A"/>
    <w:rsid w:val="16566F17"/>
    <w:rsid w:val="165A2365"/>
    <w:rsid w:val="165DFCCA"/>
    <w:rsid w:val="1668D13E"/>
    <w:rsid w:val="166FBBBD"/>
    <w:rsid w:val="167AFEBE"/>
    <w:rsid w:val="16880BFC"/>
    <w:rsid w:val="168E852D"/>
    <w:rsid w:val="168F4484"/>
    <w:rsid w:val="16D557C7"/>
    <w:rsid w:val="16D67EBB"/>
    <w:rsid w:val="16F27B0E"/>
    <w:rsid w:val="16F281F6"/>
    <w:rsid w:val="17041F8F"/>
    <w:rsid w:val="1704F612"/>
    <w:rsid w:val="170DC26A"/>
    <w:rsid w:val="171216C1"/>
    <w:rsid w:val="1718A027"/>
    <w:rsid w:val="171C7735"/>
    <w:rsid w:val="17204B58"/>
    <w:rsid w:val="172BC07B"/>
    <w:rsid w:val="173D0D47"/>
    <w:rsid w:val="1742DA56"/>
    <w:rsid w:val="17440795"/>
    <w:rsid w:val="1760D8DD"/>
    <w:rsid w:val="17865E33"/>
    <w:rsid w:val="17A19AB7"/>
    <w:rsid w:val="17B4604C"/>
    <w:rsid w:val="17BDACD9"/>
    <w:rsid w:val="17C45799"/>
    <w:rsid w:val="17D07F3A"/>
    <w:rsid w:val="17D53088"/>
    <w:rsid w:val="17D95EC6"/>
    <w:rsid w:val="17FA2F59"/>
    <w:rsid w:val="18058057"/>
    <w:rsid w:val="18074DD2"/>
    <w:rsid w:val="180CE275"/>
    <w:rsid w:val="18158766"/>
    <w:rsid w:val="18174D3D"/>
    <w:rsid w:val="181E31B4"/>
    <w:rsid w:val="18246E0B"/>
    <w:rsid w:val="182A6578"/>
    <w:rsid w:val="1890F46A"/>
    <w:rsid w:val="18A14F33"/>
    <w:rsid w:val="18A7DD9D"/>
    <w:rsid w:val="18AA0E44"/>
    <w:rsid w:val="18ACE343"/>
    <w:rsid w:val="18BA2E45"/>
    <w:rsid w:val="18CBD516"/>
    <w:rsid w:val="18CC0CFB"/>
    <w:rsid w:val="18D6646E"/>
    <w:rsid w:val="18F5A171"/>
    <w:rsid w:val="18FCCAA3"/>
    <w:rsid w:val="1900AEB2"/>
    <w:rsid w:val="19077476"/>
    <w:rsid w:val="190842ED"/>
    <w:rsid w:val="193128A6"/>
    <w:rsid w:val="193EA86A"/>
    <w:rsid w:val="1941FDBD"/>
    <w:rsid w:val="1945B8AA"/>
    <w:rsid w:val="19460563"/>
    <w:rsid w:val="196A7F76"/>
    <w:rsid w:val="198D79BC"/>
    <w:rsid w:val="1996A342"/>
    <w:rsid w:val="19A07200"/>
    <w:rsid w:val="19B57138"/>
    <w:rsid w:val="19BF2F02"/>
    <w:rsid w:val="19C7D587"/>
    <w:rsid w:val="19E0787E"/>
    <w:rsid w:val="19F033A3"/>
    <w:rsid w:val="1A05006B"/>
    <w:rsid w:val="1A056C32"/>
    <w:rsid w:val="1A0DAB5E"/>
    <w:rsid w:val="1A26A637"/>
    <w:rsid w:val="1A3922ED"/>
    <w:rsid w:val="1A46BD77"/>
    <w:rsid w:val="1A5AA082"/>
    <w:rsid w:val="1A659157"/>
    <w:rsid w:val="1A65BE22"/>
    <w:rsid w:val="1A7796BC"/>
    <w:rsid w:val="1A7A7B18"/>
    <w:rsid w:val="1A8F9FA2"/>
    <w:rsid w:val="1A9A92E6"/>
    <w:rsid w:val="1A9BB91D"/>
    <w:rsid w:val="1AA53128"/>
    <w:rsid w:val="1AB3A075"/>
    <w:rsid w:val="1ABBF799"/>
    <w:rsid w:val="1AC67888"/>
    <w:rsid w:val="1AC83740"/>
    <w:rsid w:val="1AFF3E43"/>
    <w:rsid w:val="1B14B667"/>
    <w:rsid w:val="1B1AEBF2"/>
    <w:rsid w:val="1B2DECD6"/>
    <w:rsid w:val="1B32799F"/>
    <w:rsid w:val="1B340350"/>
    <w:rsid w:val="1B423C6A"/>
    <w:rsid w:val="1B472315"/>
    <w:rsid w:val="1B796CD1"/>
    <w:rsid w:val="1B7A9CCE"/>
    <w:rsid w:val="1B88640D"/>
    <w:rsid w:val="1BA4CBDB"/>
    <w:rsid w:val="1BA59559"/>
    <w:rsid w:val="1BAA4936"/>
    <w:rsid w:val="1BC0F1A1"/>
    <w:rsid w:val="1BE33DE1"/>
    <w:rsid w:val="1BECFAB0"/>
    <w:rsid w:val="1C008750"/>
    <w:rsid w:val="1C06AE32"/>
    <w:rsid w:val="1C0C7576"/>
    <w:rsid w:val="1C233E8F"/>
    <w:rsid w:val="1C3E25DE"/>
    <w:rsid w:val="1C8CF864"/>
    <w:rsid w:val="1CA3B9B2"/>
    <w:rsid w:val="1CA945A3"/>
    <w:rsid w:val="1CC50118"/>
    <w:rsid w:val="1CE00048"/>
    <w:rsid w:val="1CF541C6"/>
    <w:rsid w:val="1CFD635D"/>
    <w:rsid w:val="1CFD81A8"/>
    <w:rsid w:val="1CFE02E3"/>
    <w:rsid w:val="1D0B12E9"/>
    <w:rsid w:val="1D2378D0"/>
    <w:rsid w:val="1D364F34"/>
    <w:rsid w:val="1D4A2AB9"/>
    <w:rsid w:val="1D536EA6"/>
    <w:rsid w:val="1D5F2D5E"/>
    <w:rsid w:val="1D64984F"/>
    <w:rsid w:val="1D7FE18E"/>
    <w:rsid w:val="1D8011FE"/>
    <w:rsid w:val="1D80692C"/>
    <w:rsid w:val="1D8757C1"/>
    <w:rsid w:val="1D8E765A"/>
    <w:rsid w:val="1DA3300B"/>
    <w:rsid w:val="1DABD3B3"/>
    <w:rsid w:val="1DAF713D"/>
    <w:rsid w:val="1DD667A7"/>
    <w:rsid w:val="1DE42273"/>
    <w:rsid w:val="1DF338E9"/>
    <w:rsid w:val="1DF8628E"/>
    <w:rsid w:val="1E03BAC6"/>
    <w:rsid w:val="1E25CF80"/>
    <w:rsid w:val="1E271D57"/>
    <w:rsid w:val="1E2EFBE4"/>
    <w:rsid w:val="1E3C0721"/>
    <w:rsid w:val="1E4AF15D"/>
    <w:rsid w:val="1E5073E0"/>
    <w:rsid w:val="1E6A1A61"/>
    <w:rsid w:val="1E73E323"/>
    <w:rsid w:val="1E7BD0A9"/>
    <w:rsid w:val="1E804A8F"/>
    <w:rsid w:val="1E888BD1"/>
    <w:rsid w:val="1E8AA4C7"/>
    <w:rsid w:val="1E97F461"/>
    <w:rsid w:val="1EA33468"/>
    <w:rsid w:val="1EA8FBA1"/>
    <w:rsid w:val="1EB0452A"/>
    <w:rsid w:val="1ED90D47"/>
    <w:rsid w:val="1EED52BF"/>
    <w:rsid w:val="1EFEC51F"/>
    <w:rsid w:val="1F076B53"/>
    <w:rsid w:val="1F127EF0"/>
    <w:rsid w:val="1F21385C"/>
    <w:rsid w:val="1F2490D1"/>
    <w:rsid w:val="1F2D970D"/>
    <w:rsid w:val="1F3AB377"/>
    <w:rsid w:val="1F509417"/>
    <w:rsid w:val="1F623431"/>
    <w:rsid w:val="1F668369"/>
    <w:rsid w:val="1F717A84"/>
    <w:rsid w:val="1F77B8DA"/>
    <w:rsid w:val="1F89017D"/>
    <w:rsid w:val="1FA04B78"/>
    <w:rsid w:val="1FABC7C7"/>
    <w:rsid w:val="1FCFF240"/>
    <w:rsid w:val="1FDF070C"/>
    <w:rsid w:val="1FE4CB29"/>
    <w:rsid w:val="2002AE46"/>
    <w:rsid w:val="200E5A3F"/>
    <w:rsid w:val="201C54B1"/>
    <w:rsid w:val="207891D5"/>
    <w:rsid w:val="207E1D5F"/>
    <w:rsid w:val="2094F54D"/>
    <w:rsid w:val="20B052BD"/>
    <w:rsid w:val="20B803C2"/>
    <w:rsid w:val="20C2B971"/>
    <w:rsid w:val="20CAEAC6"/>
    <w:rsid w:val="20D88DCC"/>
    <w:rsid w:val="20EE3A79"/>
    <w:rsid w:val="20FD8E49"/>
    <w:rsid w:val="20FEB25A"/>
    <w:rsid w:val="210253CA"/>
    <w:rsid w:val="2110F0FD"/>
    <w:rsid w:val="212B1E22"/>
    <w:rsid w:val="212DA0A8"/>
    <w:rsid w:val="2151E6BE"/>
    <w:rsid w:val="215BDFFC"/>
    <w:rsid w:val="215C90C6"/>
    <w:rsid w:val="21600C0E"/>
    <w:rsid w:val="21633A7E"/>
    <w:rsid w:val="2168FC6A"/>
    <w:rsid w:val="21762AC0"/>
    <w:rsid w:val="2191B52F"/>
    <w:rsid w:val="21A23694"/>
    <w:rsid w:val="21A92D9C"/>
    <w:rsid w:val="21B1188A"/>
    <w:rsid w:val="21BA23E7"/>
    <w:rsid w:val="21F02BA1"/>
    <w:rsid w:val="22116FC8"/>
    <w:rsid w:val="22139052"/>
    <w:rsid w:val="22223D13"/>
    <w:rsid w:val="22243B4B"/>
    <w:rsid w:val="222C7E95"/>
    <w:rsid w:val="22408EC9"/>
    <w:rsid w:val="2243FD72"/>
    <w:rsid w:val="22524913"/>
    <w:rsid w:val="2253A6DD"/>
    <w:rsid w:val="2265EFCA"/>
    <w:rsid w:val="226D0E1B"/>
    <w:rsid w:val="22BD5CB5"/>
    <w:rsid w:val="2307DFC0"/>
    <w:rsid w:val="234CE8EB"/>
    <w:rsid w:val="235AADD8"/>
    <w:rsid w:val="23607CA3"/>
    <w:rsid w:val="2370CD55"/>
    <w:rsid w:val="237DD741"/>
    <w:rsid w:val="2384FBB9"/>
    <w:rsid w:val="239A83D9"/>
    <w:rsid w:val="239DF3A8"/>
    <w:rsid w:val="23A050C8"/>
    <w:rsid w:val="23A85C1B"/>
    <w:rsid w:val="23AAE15D"/>
    <w:rsid w:val="23AF59A5"/>
    <w:rsid w:val="23BCB406"/>
    <w:rsid w:val="23C0D550"/>
    <w:rsid w:val="23C89DDD"/>
    <w:rsid w:val="23DF3B53"/>
    <w:rsid w:val="23E6A6D5"/>
    <w:rsid w:val="24087B7F"/>
    <w:rsid w:val="240DA49E"/>
    <w:rsid w:val="24139B29"/>
    <w:rsid w:val="242412E6"/>
    <w:rsid w:val="242C67B8"/>
    <w:rsid w:val="243459DC"/>
    <w:rsid w:val="2440B930"/>
    <w:rsid w:val="24488D82"/>
    <w:rsid w:val="24498EFB"/>
    <w:rsid w:val="245A3C6C"/>
    <w:rsid w:val="246D2B17"/>
    <w:rsid w:val="2473B1BA"/>
    <w:rsid w:val="247E1563"/>
    <w:rsid w:val="24A788FF"/>
    <w:rsid w:val="24B24636"/>
    <w:rsid w:val="24B84402"/>
    <w:rsid w:val="24BD32D4"/>
    <w:rsid w:val="24BFF043"/>
    <w:rsid w:val="24D41756"/>
    <w:rsid w:val="24D96B39"/>
    <w:rsid w:val="24ED3412"/>
    <w:rsid w:val="24EE93AD"/>
    <w:rsid w:val="24F40E6B"/>
    <w:rsid w:val="24FAE4C8"/>
    <w:rsid w:val="2504946F"/>
    <w:rsid w:val="25082FA9"/>
    <w:rsid w:val="252CA66E"/>
    <w:rsid w:val="253BE8D4"/>
    <w:rsid w:val="2555AB64"/>
    <w:rsid w:val="255F61D2"/>
    <w:rsid w:val="2563B5B8"/>
    <w:rsid w:val="256B25FE"/>
    <w:rsid w:val="25731884"/>
    <w:rsid w:val="25787357"/>
    <w:rsid w:val="25805753"/>
    <w:rsid w:val="258DF8D3"/>
    <w:rsid w:val="25987FB5"/>
    <w:rsid w:val="25A08C68"/>
    <w:rsid w:val="25B856B4"/>
    <w:rsid w:val="25BAFC1C"/>
    <w:rsid w:val="25C8C2D6"/>
    <w:rsid w:val="25DEF150"/>
    <w:rsid w:val="25E696CE"/>
    <w:rsid w:val="260897B9"/>
    <w:rsid w:val="2627CC22"/>
    <w:rsid w:val="263B1ED7"/>
    <w:rsid w:val="263D5E29"/>
    <w:rsid w:val="2643F374"/>
    <w:rsid w:val="264E8CE2"/>
    <w:rsid w:val="26504022"/>
    <w:rsid w:val="265125F1"/>
    <w:rsid w:val="26590335"/>
    <w:rsid w:val="2663829E"/>
    <w:rsid w:val="266728D3"/>
    <w:rsid w:val="2689ADE0"/>
    <w:rsid w:val="268E63F7"/>
    <w:rsid w:val="268EC0C1"/>
    <w:rsid w:val="26A3651B"/>
    <w:rsid w:val="26AA0324"/>
    <w:rsid w:val="26B49A76"/>
    <w:rsid w:val="26BE3810"/>
    <w:rsid w:val="26C984D2"/>
    <w:rsid w:val="26DFFCDD"/>
    <w:rsid w:val="26E3B94D"/>
    <w:rsid w:val="26E9DE94"/>
    <w:rsid w:val="26F9A751"/>
    <w:rsid w:val="27133C8F"/>
    <w:rsid w:val="273CA4C7"/>
    <w:rsid w:val="274ADDE1"/>
    <w:rsid w:val="274DBAB2"/>
    <w:rsid w:val="2763EF99"/>
    <w:rsid w:val="278E4A6D"/>
    <w:rsid w:val="2799A0B0"/>
    <w:rsid w:val="27AF1009"/>
    <w:rsid w:val="27B49E88"/>
    <w:rsid w:val="27BDC6DB"/>
    <w:rsid w:val="27BFAC07"/>
    <w:rsid w:val="27CBD4E0"/>
    <w:rsid w:val="27DFC3D5"/>
    <w:rsid w:val="27F29693"/>
    <w:rsid w:val="27F8071B"/>
    <w:rsid w:val="2804D4EB"/>
    <w:rsid w:val="282F044C"/>
    <w:rsid w:val="2856F097"/>
    <w:rsid w:val="2867AFDE"/>
    <w:rsid w:val="286890D7"/>
    <w:rsid w:val="28782BE8"/>
    <w:rsid w:val="28783781"/>
    <w:rsid w:val="287A453F"/>
    <w:rsid w:val="287F7194"/>
    <w:rsid w:val="288B34BD"/>
    <w:rsid w:val="289143FD"/>
    <w:rsid w:val="28A0AC27"/>
    <w:rsid w:val="28A12B3D"/>
    <w:rsid w:val="28A6F41E"/>
    <w:rsid w:val="28B01419"/>
    <w:rsid w:val="28B0697F"/>
    <w:rsid w:val="28BAEA7F"/>
    <w:rsid w:val="28C77EE4"/>
    <w:rsid w:val="28DAC52F"/>
    <w:rsid w:val="28DF862E"/>
    <w:rsid w:val="28E36672"/>
    <w:rsid w:val="28EE30C7"/>
    <w:rsid w:val="28F5D0B8"/>
    <w:rsid w:val="28F608B0"/>
    <w:rsid w:val="2902A607"/>
    <w:rsid w:val="29135927"/>
    <w:rsid w:val="29142A7C"/>
    <w:rsid w:val="29268DB8"/>
    <w:rsid w:val="292C3D56"/>
    <w:rsid w:val="29372AB5"/>
    <w:rsid w:val="293D8584"/>
    <w:rsid w:val="29478D8F"/>
    <w:rsid w:val="2949183A"/>
    <w:rsid w:val="29618F5A"/>
    <w:rsid w:val="299BA4AD"/>
    <w:rsid w:val="29A7E649"/>
    <w:rsid w:val="29AA7686"/>
    <w:rsid w:val="29AA9748"/>
    <w:rsid w:val="29BD4489"/>
    <w:rsid w:val="29C163A7"/>
    <w:rsid w:val="29C1E9D0"/>
    <w:rsid w:val="29C449ED"/>
    <w:rsid w:val="29D2497D"/>
    <w:rsid w:val="29D48B1C"/>
    <w:rsid w:val="29ED6438"/>
    <w:rsid w:val="29F07566"/>
    <w:rsid w:val="29F7333A"/>
    <w:rsid w:val="2A0AD12C"/>
    <w:rsid w:val="2A4DC10D"/>
    <w:rsid w:val="2A8C49DE"/>
    <w:rsid w:val="2AA04689"/>
    <w:rsid w:val="2AA9058B"/>
    <w:rsid w:val="2AD1B412"/>
    <w:rsid w:val="2AE67CD6"/>
    <w:rsid w:val="2B0BE1D8"/>
    <w:rsid w:val="2B104C08"/>
    <w:rsid w:val="2B314576"/>
    <w:rsid w:val="2B32FC1A"/>
    <w:rsid w:val="2B437542"/>
    <w:rsid w:val="2B442A92"/>
    <w:rsid w:val="2B48FDAC"/>
    <w:rsid w:val="2B4D775A"/>
    <w:rsid w:val="2B5DF48C"/>
    <w:rsid w:val="2B672013"/>
    <w:rsid w:val="2B70E777"/>
    <w:rsid w:val="2B8198BA"/>
    <w:rsid w:val="2B82966E"/>
    <w:rsid w:val="2B87884B"/>
    <w:rsid w:val="2B8C5F2D"/>
    <w:rsid w:val="2B8E0FB8"/>
    <w:rsid w:val="2B8E469E"/>
    <w:rsid w:val="2B8ED5A2"/>
    <w:rsid w:val="2B90088E"/>
    <w:rsid w:val="2B92880A"/>
    <w:rsid w:val="2B9AEE07"/>
    <w:rsid w:val="2BB6C0DA"/>
    <w:rsid w:val="2BC83E3D"/>
    <w:rsid w:val="2BC8D9F1"/>
    <w:rsid w:val="2BEF8C36"/>
    <w:rsid w:val="2C034F50"/>
    <w:rsid w:val="2C1A17C7"/>
    <w:rsid w:val="2C1C047D"/>
    <w:rsid w:val="2C201214"/>
    <w:rsid w:val="2C42DE9A"/>
    <w:rsid w:val="2C4EC2A7"/>
    <w:rsid w:val="2C5013E1"/>
    <w:rsid w:val="2C5B133B"/>
    <w:rsid w:val="2C728A9C"/>
    <w:rsid w:val="2C7E5312"/>
    <w:rsid w:val="2C984C66"/>
    <w:rsid w:val="2CAEEC1A"/>
    <w:rsid w:val="2CB2AD8A"/>
    <w:rsid w:val="2CBCBD8B"/>
    <w:rsid w:val="2CBEE383"/>
    <w:rsid w:val="2CC00F49"/>
    <w:rsid w:val="2CC4DDEC"/>
    <w:rsid w:val="2CC78AC2"/>
    <w:rsid w:val="2CD62BC2"/>
    <w:rsid w:val="2D2950EC"/>
    <w:rsid w:val="2D3775E6"/>
    <w:rsid w:val="2D384B50"/>
    <w:rsid w:val="2D51F12A"/>
    <w:rsid w:val="2D5BB300"/>
    <w:rsid w:val="2D5EBF71"/>
    <w:rsid w:val="2D8E8450"/>
    <w:rsid w:val="2D8E8B09"/>
    <w:rsid w:val="2DAD4BE7"/>
    <w:rsid w:val="2DB68EA6"/>
    <w:rsid w:val="2DCAF1DC"/>
    <w:rsid w:val="2DD21820"/>
    <w:rsid w:val="2DE6C1E9"/>
    <w:rsid w:val="2DE78E24"/>
    <w:rsid w:val="2E118EB0"/>
    <w:rsid w:val="2E1493B1"/>
    <w:rsid w:val="2E2D085F"/>
    <w:rsid w:val="2E2EED8B"/>
    <w:rsid w:val="2E350DBE"/>
    <w:rsid w:val="2E3D4BD3"/>
    <w:rsid w:val="2E4BE8DC"/>
    <w:rsid w:val="2E4F0559"/>
    <w:rsid w:val="2E60515C"/>
    <w:rsid w:val="2E61858B"/>
    <w:rsid w:val="2E627C0A"/>
    <w:rsid w:val="2E6D5D83"/>
    <w:rsid w:val="2E732DCA"/>
    <w:rsid w:val="2E7723DA"/>
    <w:rsid w:val="2E77CB97"/>
    <w:rsid w:val="2E78CC16"/>
    <w:rsid w:val="2E86D36C"/>
    <w:rsid w:val="2E8B49ED"/>
    <w:rsid w:val="2E8BC05F"/>
    <w:rsid w:val="2E92355B"/>
    <w:rsid w:val="2EA8B617"/>
    <w:rsid w:val="2EA9E811"/>
    <w:rsid w:val="2EAE69F5"/>
    <w:rsid w:val="2EAF2377"/>
    <w:rsid w:val="2EBDD596"/>
    <w:rsid w:val="2EC62208"/>
    <w:rsid w:val="2ECFCCB5"/>
    <w:rsid w:val="2ED17174"/>
    <w:rsid w:val="2ED5C2BB"/>
    <w:rsid w:val="2EF79892"/>
    <w:rsid w:val="2F1B5F72"/>
    <w:rsid w:val="2F27E336"/>
    <w:rsid w:val="2F2C29F8"/>
    <w:rsid w:val="2F394463"/>
    <w:rsid w:val="2F4C3BB0"/>
    <w:rsid w:val="2F5CAD9A"/>
    <w:rsid w:val="2F62DD54"/>
    <w:rsid w:val="2F68E020"/>
    <w:rsid w:val="2F6F1A5F"/>
    <w:rsid w:val="2F811F6D"/>
    <w:rsid w:val="2F89C224"/>
    <w:rsid w:val="2F955F98"/>
    <w:rsid w:val="2FA7AB3C"/>
    <w:rsid w:val="2FAAE44B"/>
    <w:rsid w:val="2FC5DC23"/>
    <w:rsid w:val="2FE04367"/>
    <w:rsid w:val="2FED0717"/>
    <w:rsid w:val="2FED9A54"/>
    <w:rsid w:val="3000D724"/>
    <w:rsid w:val="300F6CA0"/>
    <w:rsid w:val="3011BA9D"/>
    <w:rsid w:val="301A05FC"/>
    <w:rsid w:val="30223CC4"/>
    <w:rsid w:val="30301F5B"/>
    <w:rsid w:val="303312AB"/>
    <w:rsid w:val="30560791"/>
    <w:rsid w:val="30693FB2"/>
    <w:rsid w:val="3079E892"/>
    <w:rsid w:val="3090F855"/>
    <w:rsid w:val="30934F0B"/>
    <w:rsid w:val="30AA0C3B"/>
    <w:rsid w:val="30B8D6EF"/>
    <w:rsid w:val="30C3A1A9"/>
    <w:rsid w:val="30CC18D4"/>
    <w:rsid w:val="30DCF3B4"/>
    <w:rsid w:val="3112EBFA"/>
    <w:rsid w:val="311D3675"/>
    <w:rsid w:val="31287913"/>
    <w:rsid w:val="312A3210"/>
    <w:rsid w:val="3147806E"/>
    <w:rsid w:val="316F9CD7"/>
    <w:rsid w:val="317F5EC9"/>
    <w:rsid w:val="3181FB64"/>
    <w:rsid w:val="31933759"/>
    <w:rsid w:val="320B0AE7"/>
    <w:rsid w:val="32132512"/>
    <w:rsid w:val="3213A059"/>
    <w:rsid w:val="321875EC"/>
    <w:rsid w:val="324772E7"/>
    <w:rsid w:val="324DFDD4"/>
    <w:rsid w:val="324E2EA2"/>
    <w:rsid w:val="32586C14"/>
    <w:rsid w:val="328D92C4"/>
    <w:rsid w:val="328F3CC7"/>
    <w:rsid w:val="32908467"/>
    <w:rsid w:val="3292A4A1"/>
    <w:rsid w:val="32A3B8B9"/>
    <w:rsid w:val="32A42FCB"/>
    <w:rsid w:val="32ADD156"/>
    <w:rsid w:val="32BDF3EF"/>
    <w:rsid w:val="32C9B0A1"/>
    <w:rsid w:val="32CF0B9D"/>
    <w:rsid w:val="32D1FC97"/>
    <w:rsid w:val="32D861BE"/>
    <w:rsid w:val="32EA36E6"/>
    <w:rsid w:val="32EDC16A"/>
    <w:rsid w:val="32F06303"/>
    <w:rsid w:val="33011FBA"/>
    <w:rsid w:val="33241E20"/>
    <w:rsid w:val="3341AEEA"/>
    <w:rsid w:val="334EECEF"/>
    <w:rsid w:val="3360F277"/>
    <w:rsid w:val="3365CA9E"/>
    <w:rsid w:val="337CCCB1"/>
    <w:rsid w:val="3384C8ED"/>
    <w:rsid w:val="33B91993"/>
    <w:rsid w:val="33C55457"/>
    <w:rsid w:val="33C99469"/>
    <w:rsid w:val="33D14A79"/>
    <w:rsid w:val="33D27170"/>
    <w:rsid w:val="33D453AB"/>
    <w:rsid w:val="33D85E8D"/>
    <w:rsid w:val="33E073B6"/>
    <w:rsid w:val="33E164CD"/>
    <w:rsid w:val="33F33EAE"/>
    <w:rsid w:val="33F41758"/>
    <w:rsid w:val="33FE356A"/>
    <w:rsid w:val="34032C19"/>
    <w:rsid w:val="342BDB34"/>
    <w:rsid w:val="342E0E33"/>
    <w:rsid w:val="34306428"/>
    <w:rsid w:val="3440756D"/>
    <w:rsid w:val="345B34BF"/>
    <w:rsid w:val="349A3E29"/>
    <w:rsid w:val="349D7520"/>
    <w:rsid w:val="34A13534"/>
    <w:rsid w:val="34AE305E"/>
    <w:rsid w:val="34AEC5FA"/>
    <w:rsid w:val="34C7F319"/>
    <w:rsid w:val="34C860A5"/>
    <w:rsid w:val="34D63FA9"/>
    <w:rsid w:val="34F31638"/>
    <w:rsid w:val="3517F79B"/>
    <w:rsid w:val="35207AE6"/>
    <w:rsid w:val="353EE62D"/>
    <w:rsid w:val="35525FDC"/>
    <w:rsid w:val="3573C325"/>
    <w:rsid w:val="358023D1"/>
    <w:rsid w:val="3585A411"/>
    <w:rsid w:val="358BE697"/>
    <w:rsid w:val="359B2017"/>
    <w:rsid w:val="35AA0E96"/>
    <w:rsid w:val="35B5DA3E"/>
    <w:rsid w:val="35D2E288"/>
    <w:rsid w:val="35E03CD6"/>
    <w:rsid w:val="360F8B44"/>
    <w:rsid w:val="36417735"/>
    <w:rsid w:val="364FF47E"/>
    <w:rsid w:val="3654A4E1"/>
    <w:rsid w:val="36630EAD"/>
    <w:rsid w:val="367D8BA4"/>
    <w:rsid w:val="368B4EDC"/>
    <w:rsid w:val="369D0658"/>
    <w:rsid w:val="36B66B23"/>
    <w:rsid w:val="36C5C642"/>
    <w:rsid w:val="36E26890"/>
    <w:rsid w:val="36E7117C"/>
    <w:rsid w:val="36EB5180"/>
    <w:rsid w:val="36FBF98E"/>
    <w:rsid w:val="3708DF36"/>
    <w:rsid w:val="370A483E"/>
    <w:rsid w:val="37124B7A"/>
    <w:rsid w:val="3715B25B"/>
    <w:rsid w:val="371BB584"/>
    <w:rsid w:val="3722463D"/>
    <w:rsid w:val="37237515"/>
    <w:rsid w:val="373B3737"/>
    <w:rsid w:val="375C0346"/>
    <w:rsid w:val="3762ED59"/>
    <w:rsid w:val="379BE203"/>
    <w:rsid w:val="379FE3AB"/>
    <w:rsid w:val="37A2FF35"/>
    <w:rsid w:val="37A62461"/>
    <w:rsid w:val="37D5CFD1"/>
    <w:rsid w:val="37D891B9"/>
    <w:rsid w:val="37E41543"/>
    <w:rsid w:val="380DB577"/>
    <w:rsid w:val="38176908"/>
    <w:rsid w:val="3819C12B"/>
    <w:rsid w:val="3823A932"/>
    <w:rsid w:val="383004CA"/>
    <w:rsid w:val="3835A518"/>
    <w:rsid w:val="38393BE4"/>
    <w:rsid w:val="3846F365"/>
    <w:rsid w:val="385D6B06"/>
    <w:rsid w:val="3872E8A9"/>
    <w:rsid w:val="38833A3F"/>
    <w:rsid w:val="388D17AE"/>
    <w:rsid w:val="3896541C"/>
    <w:rsid w:val="389D2326"/>
    <w:rsid w:val="389DFBA1"/>
    <w:rsid w:val="38AF6810"/>
    <w:rsid w:val="38B4DB39"/>
    <w:rsid w:val="38B72E96"/>
    <w:rsid w:val="38C5188F"/>
    <w:rsid w:val="38C6E7BF"/>
    <w:rsid w:val="38C70CD9"/>
    <w:rsid w:val="38C978F4"/>
    <w:rsid w:val="38CE2569"/>
    <w:rsid w:val="38D2A97A"/>
    <w:rsid w:val="38DBB6A8"/>
    <w:rsid w:val="38EB3B42"/>
    <w:rsid w:val="38EE9AF6"/>
    <w:rsid w:val="38F72197"/>
    <w:rsid w:val="38F9F08E"/>
    <w:rsid w:val="390EA7F4"/>
    <w:rsid w:val="3942C0CC"/>
    <w:rsid w:val="394C8846"/>
    <w:rsid w:val="39671572"/>
    <w:rsid w:val="3980BA8B"/>
    <w:rsid w:val="3986BE67"/>
    <w:rsid w:val="3988DFDA"/>
    <w:rsid w:val="39B81F7E"/>
    <w:rsid w:val="39C2BEE3"/>
    <w:rsid w:val="39CBD0B3"/>
    <w:rsid w:val="39E81061"/>
    <w:rsid w:val="39F010BB"/>
    <w:rsid w:val="3A062576"/>
    <w:rsid w:val="3A116F11"/>
    <w:rsid w:val="3A224EFD"/>
    <w:rsid w:val="3A2D3C97"/>
    <w:rsid w:val="3A357DA8"/>
    <w:rsid w:val="3A359E1D"/>
    <w:rsid w:val="3A39CC02"/>
    <w:rsid w:val="3A473707"/>
    <w:rsid w:val="3A6782A1"/>
    <w:rsid w:val="3A82E7EC"/>
    <w:rsid w:val="3A870BA3"/>
    <w:rsid w:val="3A88CD8D"/>
    <w:rsid w:val="3A8C684C"/>
    <w:rsid w:val="3A920C31"/>
    <w:rsid w:val="3A950C82"/>
    <w:rsid w:val="3AA66140"/>
    <w:rsid w:val="3AB2C330"/>
    <w:rsid w:val="3ABA1D1C"/>
    <w:rsid w:val="3ABB72BE"/>
    <w:rsid w:val="3AC07C87"/>
    <w:rsid w:val="3AF47FE1"/>
    <w:rsid w:val="3B087ADE"/>
    <w:rsid w:val="3B088000"/>
    <w:rsid w:val="3B111E13"/>
    <w:rsid w:val="3B178F3A"/>
    <w:rsid w:val="3B21697C"/>
    <w:rsid w:val="3B2E897D"/>
    <w:rsid w:val="3B38F38C"/>
    <w:rsid w:val="3B3F543D"/>
    <w:rsid w:val="3B622E18"/>
    <w:rsid w:val="3B647E97"/>
    <w:rsid w:val="3B77526E"/>
    <w:rsid w:val="3B77C8CA"/>
    <w:rsid w:val="3B88310F"/>
    <w:rsid w:val="3B883790"/>
    <w:rsid w:val="3B8EE562"/>
    <w:rsid w:val="3B9A44F6"/>
    <w:rsid w:val="3BBB2D69"/>
    <w:rsid w:val="3BCB243E"/>
    <w:rsid w:val="3BDF51A6"/>
    <w:rsid w:val="3BFE2A17"/>
    <w:rsid w:val="3C169D98"/>
    <w:rsid w:val="3C2569AA"/>
    <w:rsid w:val="3C37F478"/>
    <w:rsid w:val="3C4D9D67"/>
    <w:rsid w:val="3C6F5326"/>
    <w:rsid w:val="3C7A0D8C"/>
    <w:rsid w:val="3C96A2DC"/>
    <w:rsid w:val="3C998049"/>
    <w:rsid w:val="3CDA3397"/>
    <w:rsid w:val="3CDDFF00"/>
    <w:rsid w:val="3CE0E20E"/>
    <w:rsid w:val="3CEFCADB"/>
    <w:rsid w:val="3D02BBC7"/>
    <w:rsid w:val="3D03F954"/>
    <w:rsid w:val="3D19D659"/>
    <w:rsid w:val="3D24E35E"/>
    <w:rsid w:val="3D2A0DAC"/>
    <w:rsid w:val="3D2CB29A"/>
    <w:rsid w:val="3D3929DA"/>
    <w:rsid w:val="3D4FA875"/>
    <w:rsid w:val="3D5A209F"/>
    <w:rsid w:val="3D753B1A"/>
    <w:rsid w:val="3D9001CD"/>
    <w:rsid w:val="3D9BBBFD"/>
    <w:rsid w:val="3DB7AC89"/>
    <w:rsid w:val="3DBCE596"/>
    <w:rsid w:val="3DC6E99C"/>
    <w:rsid w:val="3DC9ACF3"/>
    <w:rsid w:val="3DCC1996"/>
    <w:rsid w:val="3DE7EA24"/>
    <w:rsid w:val="3E243B95"/>
    <w:rsid w:val="3E306157"/>
    <w:rsid w:val="3E3297F7"/>
    <w:rsid w:val="3E3BEA47"/>
    <w:rsid w:val="3E41310A"/>
    <w:rsid w:val="3E4A15F3"/>
    <w:rsid w:val="3E4B76E1"/>
    <w:rsid w:val="3E64E8EF"/>
    <w:rsid w:val="3E710558"/>
    <w:rsid w:val="3E7CF563"/>
    <w:rsid w:val="3E82B3CD"/>
    <w:rsid w:val="3E94D438"/>
    <w:rsid w:val="3EA2BC74"/>
    <w:rsid w:val="3EA57754"/>
    <w:rsid w:val="3EB293BA"/>
    <w:rsid w:val="3EB5345D"/>
    <w:rsid w:val="3EE2DDCD"/>
    <w:rsid w:val="3EFADEE6"/>
    <w:rsid w:val="3EFD8F51"/>
    <w:rsid w:val="3F025EFB"/>
    <w:rsid w:val="3F31F266"/>
    <w:rsid w:val="3F337F95"/>
    <w:rsid w:val="3F4B66E5"/>
    <w:rsid w:val="3F50E4D8"/>
    <w:rsid w:val="3F52D546"/>
    <w:rsid w:val="3F5989BF"/>
    <w:rsid w:val="3F5A1B06"/>
    <w:rsid w:val="3F686FF5"/>
    <w:rsid w:val="3F722FE2"/>
    <w:rsid w:val="3F81B254"/>
    <w:rsid w:val="3FE3D76B"/>
    <w:rsid w:val="3FEC6BDE"/>
    <w:rsid w:val="401C1314"/>
    <w:rsid w:val="401D8F5E"/>
    <w:rsid w:val="402CCAA3"/>
    <w:rsid w:val="40303134"/>
    <w:rsid w:val="403CD678"/>
    <w:rsid w:val="404AA57B"/>
    <w:rsid w:val="404F737F"/>
    <w:rsid w:val="405354EC"/>
    <w:rsid w:val="4063C425"/>
    <w:rsid w:val="406BC51F"/>
    <w:rsid w:val="4073E610"/>
    <w:rsid w:val="408A18D7"/>
    <w:rsid w:val="40A37FBE"/>
    <w:rsid w:val="40B45A2C"/>
    <w:rsid w:val="40C1C8C9"/>
    <w:rsid w:val="411D71AC"/>
    <w:rsid w:val="4142C449"/>
    <w:rsid w:val="4153C504"/>
    <w:rsid w:val="415FB4E9"/>
    <w:rsid w:val="41638C95"/>
    <w:rsid w:val="4167F2BF"/>
    <w:rsid w:val="416E3B25"/>
    <w:rsid w:val="41764331"/>
    <w:rsid w:val="417D2E9A"/>
    <w:rsid w:val="41A8A541"/>
    <w:rsid w:val="41BEB789"/>
    <w:rsid w:val="41C2174F"/>
    <w:rsid w:val="41C55380"/>
    <w:rsid w:val="41D14A64"/>
    <w:rsid w:val="41D6B56F"/>
    <w:rsid w:val="41DB2E0F"/>
    <w:rsid w:val="42123058"/>
    <w:rsid w:val="4216EEDE"/>
    <w:rsid w:val="42176DEB"/>
    <w:rsid w:val="4218148A"/>
    <w:rsid w:val="422915A3"/>
    <w:rsid w:val="4238D4DE"/>
    <w:rsid w:val="42470CC1"/>
    <w:rsid w:val="424A5003"/>
    <w:rsid w:val="424F2FD7"/>
    <w:rsid w:val="4253AF0D"/>
    <w:rsid w:val="426EBC40"/>
    <w:rsid w:val="426F83CC"/>
    <w:rsid w:val="42748BD3"/>
    <w:rsid w:val="427617E2"/>
    <w:rsid w:val="4289B09F"/>
    <w:rsid w:val="428D9E89"/>
    <w:rsid w:val="4294B6B9"/>
    <w:rsid w:val="42AF8F7A"/>
    <w:rsid w:val="42BA5395"/>
    <w:rsid w:val="42D37BF2"/>
    <w:rsid w:val="42E8E385"/>
    <w:rsid w:val="430594C8"/>
    <w:rsid w:val="43109921"/>
    <w:rsid w:val="43144049"/>
    <w:rsid w:val="4322DAB6"/>
    <w:rsid w:val="4325922F"/>
    <w:rsid w:val="433384B8"/>
    <w:rsid w:val="4358A795"/>
    <w:rsid w:val="436DF94D"/>
    <w:rsid w:val="437AD171"/>
    <w:rsid w:val="4397556A"/>
    <w:rsid w:val="439908A3"/>
    <w:rsid w:val="439AE58B"/>
    <w:rsid w:val="439BE084"/>
    <w:rsid w:val="43A18FFB"/>
    <w:rsid w:val="43AAD1E6"/>
    <w:rsid w:val="43B274CA"/>
    <w:rsid w:val="43BF515F"/>
    <w:rsid w:val="43BF69BC"/>
    <w:rsid w:val="43C083FD"/>
    <w:rsid w:val="43C82865"/>
    <w:rsid w:val="43F93000"/>
    <w:rsid w:val="43FF02BB"/>
    <w:rsid w:val="4400A0CB"/>
    <w:rsid w:val="442707A8"/>
    <w:rsid w:val="44392C8B"/>
    <w:rsid w:val="443B8D33"/>
    <w:rsid w:val="4444030C"/>
    <w:rsid w:val="44549065"/>
    <w:rsid w:val="445AE151"/>
    <w:rsid w:val="44869802"/>
    <w:rsid w:val="4496F3A6"/>
    <w:rsid w:val="44A02F1A"/>
    <w:rsid w:val="44B0C514"/>
    <w:rsid w:val="44DFDA8A"/>
    <w:rsid w:val="44ECA2BC"/>
    <w:rsid w:val="44FA9273"/>
    <w:rsid w:val="44FC3238"/>
    <w:rsid w:val="44FCC3A8"/>
    <w:rsid w:val="44FF4A85"/>
    <w:rsid w:val="44FFA9D5"/>
    <w:rsid w:val="452BA2CA"/>
    <w:rsid w:val="452EE1B8"/>
    <w:rsid w:val="45344443"/>
    <w:rsid w:val="4552F255"/>
    <w:rsid w:val="4555BF90"/>
    <w:rsid w:val="4569AB7B"/>
    <w:rsid w:val="4573BFFD"/>
    <w:rsid w:val="4574C68B"/>
    <w:rsid w:val="457607AD"/>
    <w:rsid w:val="4579211F"/>
    <w:rsid w:val="459E45CB"/>
    <w:rsid w:val="45A7A62F"/>
    <w:rsid w:val="45C82D9A"/>
    <w:rsid w:val="45D5F9AA"/>
    <w:rsid w:val="45F35260"/>
    <w:rsid w:val="45FF9FF7"/>
    <w:rsid w:val="4605A756"/>
    <w:rsid w:val="46063AA1"/>
    <w:rsid w:val="460F2345"/>
    <w:rsid w:val="46578D9C"/>
    <w:rsid w:val="4662C2A8"/>
    <w:rsid w:val="466330D0"/>
    <w:rsid w:val="4665841C"/>
    <w:rsid w:val="46800EE1"/>
    <w:rsid w:val="468953F5"/>
    <w:rsid w:val="468CFA2E"/>
    <w:rsid w:val="468E7117"/>
    <w:rsid w:val="46910D44"/>
    <w:rsid w:val="46987D99"/>
    <w:rsid w:val="4698E285"/>
    <w:rsid w:val="469E4BE8"/>
    <w:rsid w:val="46AAA93F"/>
    <w:rsid w:val="46C41582"/>
    <w:rsid w:val="46CA8064"/>
    <w:rsid w:val="46D6C9D5"/>
    <w:rsid w:val="46EB1D56"/>
    <w:rsid w:val="46EE46F4"/>
    <w:rsid w:val="4707064C"/>
    <w:rsid w:val="47075AD1"/>
    <w:rsid w:val="470C8BA6"/>
    <w:rsid w:val="473164E0"/>
    <w:rsid w:val="4739D44A"/>
    <w:rsid w:val="478345D5"/>
    <w:rsid w:val="47CA22F9"/>
    <w:rsid w:val="47CE5AF0"/>
    <w:rsid w:val="47D738AB"/>
    <w:rsid w:val="47E36323"/>
    <w:rsid w:val="47FE1F17"/>
    <w:rsid w:val="48013A13"/>
    <w:rsid w:val="4804DB9F"/>
    <w:rsid w:val="480A4ED1"/>
    <w:rsid w:val="48337A05"/>
    <w:rsid w:val="48349391"/>
    <w:rsid w:val="4837F03F"/>
    <w:rsid w:val="4849F586"/>
    <w:rsid w:val="4867A6CB"/>
    <w:rsid w:val="48879442"/>
    <w:rsid w:val="48B47A91"/>
    <w:rsid w:val="48CCAE1C"/>
    <w:rsid w:val="48CEB65B"/>
    <w:rsid w:val="48E1925A"/>
    <w:rsid w:val="48E9EA47"/>
    <w:rsid w:val="49024514"/>
    <w:rsid w:val="4924E982"/>
    <w:rsid w:val="49290572"/>
    <w:rsid w:val="492AF99F"/>
    <w:rsid w:val="492F29BE"/>
    <w:rsid w:val="49354D8B"/>
    <w:rsid w:val="4936C7BE"/>
    <w:rsid w:val="493E1121"/>
    <w:rsid w:val="494A8514"/>
    <w:rsid w:val="494E37BC"/>
    <w:rsid w:val="494F80D5"/>
    <w:rsid w:val="495DA1DC"/>
    <w:rsid w:val="495F0B0C"/>
    <w:rsid w:val="496C87BB"/>
    <w:rsid w:val="49803919"/>
    <w:rsid w:val="4988CEAB"/>
    <w:rsid w:val="498F3F46"/>
    <w:rsid w:val="49A7A804"/>
    <w:rsid w:val="49AC0705"/>
    <w:rsid w:val="49BD3BE9"/>
    <w:rsid w:val="49CAB2E7"/>
    <w:rsid w:val="49CF01BE"/>
    <w:rsid w:val="49D12F1B"/>
    <w:rsid w:val="49D6F91F"/>
    <w:rsid w:val="49E1908F"/>
    <w:rsid w:val="49EB1C68"/>
    <w:rsid w:val="49F97F08"/>
    <w:rsid w:val="49FDDA8E"/>
    <w:rsid w:val="49FDFC6E"/>
    <w:rsid w:val="4A0C0961"/>
    <w:rsid w:val="4A0CBCE7"/>
    <w:rsid w:val="4A1384D4"/>
    <w:rsid w:val="4A315B48"/>
    <w:rsid w:val="4A38DAF0"/>
    <w:rsid w:val="4A486DA7"/>
    <w:rsid w:val="4A493635"/>
    <w:rsid w:val="4A5704D7"/>
    <w:rsid w:val="4A5B32F0"/>
    <w:rsid w:val="4A95892E"/>
    <w:rsid w:val="4A9C826A"/>
    <w:rsid w:val="4A9FB175"/>
    <w:rsid w:val="4AA1E19F"/>
    <w:rsid w:val="4AA833E5"/>
    <w:rsid w:val="4AAAB3E0"/>
    <w:rsid w:val="4AB32238"/>
    <w:rsid w:val="4AC2972E"/>
    <w:rsid w:val="4ACF2739"/>
    <w:rsid w:val="4AE59E8E"/>
    <w:rsid w:val="4AE7C9B6"/>
    <w:rsid w:val="4AEB6FC1"/>
    <w:rsid w:val="4B0636E8"/>
    <w:rsid w:val="4B242D94"/>
    <w:rsid w:val="4B2F4430"/>
    <w:rsid w:val="4B32A50D"/>
    <w:rsid w:val="4B3D5D5F"/>
    <w:rsid w:val="4B4A18E7"/>
    <w:rsid w:val="4B4B99B1"/>
    <w:rsid w:val="4B5F82C3"/>
    <w:rsid w:val="4B617158"/>
    <w:rsid w:val="4B646CC1"/>
    <w:rsid w:val="4B80803C"/>
    <w:rsid w:val="4B8ABDF3"/>
    <w:rsid w:val="4B8C0184"/>
    <w:rsid w:val="4BA0F782"/>
    <w:rsid w:val="4BAAB22F"/>
    <w:rsid w:val="4BB1FF5A"/>
    <w:rsid w:val="4BBB727F"/>
    <w:rsid w:val="4BBE0967"/>
    <w:rsid w:val="4BC8C2DE"/>
    <w:rsid w:val="4BCE8127"/>
    <w:rsid w:val="4BE66A9E"/>
    <w:rsid w:val="4BF30DCA"/>
    <w:rsid w:val="4C026A42"/>
    <w:rsid w:val="4C0B3D61"/>
    <w:rsid w:val="4C0EB84A"/>
    <w:rsid w:val="4C1EF4A4"/>
    <w:rsid w:val="4C3325D1"/>
    <w:rsid w:val="4C3B1C89"/>
    <w:rsid w:val="4C3C6309"/>
    <w:rsid w:val="4C4A9E6F"/>
    <w:rsid w:val="4C50FC22"/>
    <w:rsid w:val="4C63C6B5"/>
    <w:rsid w:val="4C66CA80"/>
    <w:rsid w:val="4C686D86"/>
    <w:rsid w:val="4C7A3B5F"/>
    <w:rsid w:val="4C906431"/>
    <w:rsid w:val="4C918FF5"/>
    <w:rsid w:val="4CB25C11"/>
    <w:rsid w:val="4CC45EAB"/>
    <w:rsid w:val="4CC58248"/>
    <w:rsid w:val="4CC8DC47"/>
    <w:rsid w:val="4CF44515"/>
    <w:rsid w:val="4CF4C0C4"/>
    <w:rsid w:val="4D04D1B0"/>
    <w:rsid w:val="4D05134C"/>
    <w:rsid w:val="4D190C4D"/>
    <w:rsid w:val="4D20F056"/>
    <w:rsid w:val="4D268E54"/>
    <w:rsid w:val="4D357741"/>
    <w:rsid w:val="4D389456"/>
    <w:rsid w:val="4D4C3502"/>
    <w:rsid w:val="4D51261A"/>
    <w:rsid w:val="4D645835"/>
    <w:rsid w:val="4D673413"/>
    <w:rsid w:val="4D9CE919"/>
    <w:rsid w:val="4DA33563"/>
    <w:rsid w:val="4DA726F1"/>
    <w:rsid w:val="4DB8ABD4"/>
    <w:rsid w:val="4DDB2EC4"/>
    <w:rsid w:val="4DF1227B"/>
    <w:rsid w:val="4E11EDE1"/>
    <w:rsid w:val="4E124F74"/>
    <w:rsid w:val="4E148E33"/>
    <w:rsid w:val="4E1B28B9"/>
    <w:rsid w:val="4E21177A"/>
    <w:rsid w:val="4E22341C"/>
    <w:rsid w:val="4E2FCF94"/>
    <w:rsid w:val="4E57E74E"/>
    <w:rsid w:val="4E6194A7"/>
    <w:rsid w:val="4E6D9374"/>
    <w:rsid w:val="4E777835"/>
    <w:rsid w:val="4E7A3305"/>
    <w:rsid w:val="4E7B0ABF"/>
    <w:rsid w:val="4E7C8B4C"/>
    <w:rsid w:val="4E991528"/>
    <w:rsid w:val="4EA2BDB8"/>
    <w:rsid w:val="4EA48E86"/>
    <w:rsid w:val="4EBEE1CB"/>
    <w:rsid w:val="4EC8EED9"/>
    <w:rsid w:val="4EE951DC"/>
    <w:rsid w:val="4EF9A162"/>
    <w:rsid w:val="4F14A7E7"/>
    <w:rsid w:val="4F33A091"/>
    <w:rsid w:val="4F40E4B4"/>
    <w:rsid w:val="4F577082"/>
    <w:rsid w:val="4F6C6AE3"/>
    <w:rsid w:val="4F75E57E"/>
    <w:rsid w:val="4F879BC6"/>
    <w:rsid w:val="4F90BAC4"/>
    <w:rsid w:val="4F96411B"/>
    <w:rsid w:val="4FB6A726"/>
    <w:rsid w:val="4FBD38A5"/>
    <w:rsid w:val="4FC1ED02"/>
    <w:rsid w:val="4FD5ABF9"/>
    <w:rsid w:val="4FD772DF"/>
    <w:rsid w:val="4FDF329E"/>
    <w:rsid w:val="4FFD230A"/>
    <w:rsid w:val="500DBA92"/>
    <w:rsid w:val="50129CF2"/>
    <w:rsid w:val="50232F34"/>
    <w:rsid w:val="5025D8E9"/>
    <w:rsid w:val="502AD1E9"/>
    <w:rsid w:val="502EE3C7"/>
    <w:rsid w:val="504D1EFB"/>
    <w:rsid w:val="50683480"/>
    <w:rsid w:val="50754C49"/>
    <w:rsid w:val="50947AE4"/>
    <w:rsid w:val="50B4DC4D"/>
    <w:rsid w:val="50B8E390"/>
    <w:rsid w:val="50CDCB45"/>
    <w:rsid w:val="50D01218"/>
    <w:rsid w:val="50F8A8F1"/>
    <w:rsid w:val="50FD8616"/>
    <w:rsid w:val="50FF4DD9"/>
    <w:rsid w:val="5116B139"/>
    <w:rsid w:val="511981F4"/>
    <w:rsid w:val="514528BC"/>
    <w:rsid w:val="5147E5D7"/>
    <w:rsid w:val="51643E1A"/>
    <w:rsid w:val="5164D741"/>
    <w:rsid w:val="516DF795"/>
    <w:rsid w:val="5171BEB6"/>
    <w:rsid w:val="518392EF"/>
    <w:rsid w:val="51853DC5"/>
    <w:rsid w:val="5197CBAC"/>
    <w:rsid w:val="5198AB6A"/>
    <w:rsid w:val="519C463C"/>
    <w:rsid w:val="519C5D47"/>
    <w:rsid w:val="51A2620F"/>
    <w:rsid w:val="51A8CE43"/>
    <w:rsid w:val="51B2F370"/>
    <w:rsid w:val="51CB1933"/>
    <w:rsid w:val="51ED2BBE"/>
    <w:rsid w:val="51F0CDF3"/>
    <w:rsid w:val="52072EC7"/>
    <w:rsid w:val="520F4194"/>
    <w:rsid w:val="5215FF2E"/>
    <w:rsid w:val="523FA700"/>
    <w:rsid w:val="524632C8"/>
    <w:rsid w:val="524951DB"/>
    <w:rsid w:val="5250119C"/>
    <w:rsid w:val="5260B3E9"/>
    <w:rsid w:val="5266E3E5"/>
    <w:rsid w:val="526EF746"/>
    <w:rsid w:val="527707D2"/>
    <w:rsid w:val="528E5C49"/>
    <w:rsid w:val="5299A66A"/>
    <w:rsid w:val="52A5DB53"/>
    <w:rsid w:val="52CCEA93"/>
    <w:rsid w:val="52CFF59B"/>
    <w:rsid w:val="52D0775F"/>
    <w:rsid w:val="52D29578"/>
    <w:rsid w:val="52E99FBC"/>
    <w:rsid w:val="52F853E0"/>
    <w:rsid w:val="530340B7"/>
    <w:rsid w:val="530CABF9"/>
    <w:rsid w:val="53109D20"/>
    <w:rsid w:val="5311AB7C"/>
    <w:rsid w:val="531A8283"/>
    <w:rsid w:val="5320D59B"/>
    <w:rsid w:val="534ECF3C"/>
    <w:rsid w:val="535147F3"/>
    <w:rsid w:val="53675355"/>
    <w:rsid w:val="5367D218"/>
    <w:rsid w:val="53897542"/>
    <w:rsid w:val="5396B109"/>
    <w:rsid w:val="53A79BEC"/>
    <w:rsid w:val="53A937B2"/>
    <w:rsid w:val="53B2FF7B"/>
    <w:rsid w:val="53BECEFA"/>
    <w:rsid w:val="53CF530A"/>
    <w:rsid w:val="53D7BF49"/>
    <w:rsid w:val="53F30240"/>
    <w:rsid w:val="53F59BB8"/>
    <w:rsid w:val="53F7125C"/>
    <w:rsid w:val="53FE7021"/>
    <w:rsid w:val="54050BC0"/>
    <w:rsid w:val="5415143A"/>
    <w:rsid w:val="541D54A1"/>
    <w:rsid w:val="5428939E"/>
    <w:rsid w:val="54336D27"/>
    <w:rsid w:val="5445DAF8"/>
    <w:rsid w:val="544605F0"/>
    <w:rsid w:val="545FEA00"/>
    <w:rsid w:val="5471560F"/>
    <w:rsid w:val="54742B9A"/>
    <w:rsid w:val="549C7803"/>
    <w:rsid w:val="54A67D8F"/>
    <w:rsid w:val="54AE4F5A"/>
    <w:rsid w:val="54AED520"/>
    <w:rsid w:val="54BCA5FC"/>
    <w:rsid w:val="54C113A4"/>
    <w:rsid w:val="54C9051C"/>
    <w:rsid w:val="54CC1D28"/>
    <w:rsid w:val="54DA2891"/>
    <w:rsid w:val="54DB5F70"/>
    <w:rsid w:val="54DF15B3"/>
    <w:rsid w:val="54E5F1A5"/>
    <w:rsid w:val="54F6A983"/>
    <w:rsid w:val="54F7F38A"/>
    <w:rsid w:val="551D020A"/>
    <w:rsid w:val="5536A89E"/>
    <w:rsid w:val="5536EB86"/>
    <w:rsid w:val="553E494A"/>
    <w:rsid w:val="554A63D6"/>
    <w:rsid w:val="558A9486"/>
    <w:rsid w:val="559BEA2B"/>
    <w:rsid w:val="55BA747F"/>
    <w:rsid w:val="55CD184C"/>
    <w:rsid w:val="55D1472C"/>
    <w:rsid w:val="55D2B73C"/>
    <w:rsid w:val="55FE5EB3"/>
    <w:rsid w:val="562B888B"/>
    <w:rsid w:val="562FF4A2"/>
    <w:rsid w:val="563D43CC"/>
    <w:rsid w:val="563ED578"/>
    <w:rsid w:val="564A74E9"/>
    <w:rsid w:val="56522345"/>
    <w:rsid w:val="5666EA81"/>
    <w:rsid w:val="567491FE"/>
    <w:rsid w:val="567A15B9"/>
    <w:rsid w:val="567EDCBE"/>
    <w:rsid w:val="5685ADF9"/>
    <w:rsid w:val="569CAD15"/>
    <w:rsid w:val="56A0EC81"/>
    <w:rsid w:val="56B6572D"/>
    <w:rsid w:val="56B82CFF"/>
    <w:rsid w:val="56C026A1"/>
    <w:rsid w:val="56D13607"/>
    <w:rsid w:val="56D30843"/>
    <w:rsid w:val="56DB207E"/>
    <w:rsid w:val="56E1900A"/>
    <w:rsid w:val="56E6B07A"/>
    <w:rsid w:val="56F1C9F2"/>
    <w:rsid w:val="57074164"/>
    <w:rsid w:val="5708078D"/>
    <w:rsid w:val="5714A4CD"/>
    <w:rsid w:val="5714C7C7"/>
    <w:rsid w:val="572E25B7"/>
    <w:rsid w:val="5732BB9C"/>
    <w:rsid w:val="573985F0"/>
    <w:rsid w:val="573D2F65"/>
    <w:rsid w:val="5741F728"/>
    <w:rsid w:val="57504BDF"/>
    <w:rsid w:val="575DD9F1"/>
    <w:rsid w:val="575E3210"/>
    <w:rsid w:val="575E84F9"/>
    <w:rsid w:val="5769A9BF"/>
    <w:rsid w:val="5772933C"/>
    <w:rsid w:val="5786DAD5"/>
    <w:rsid w:val="578C70DD"/>
    <w:rsid w:val="578E474E"/>
    <w:rsid w:val="57996B9F"/>
    <w:rsid w:val="57B497C5"/>
    <w:rsid w:val="57BD897D"/>
    <w:rsid w:val="57DA76C4"/>
    <w:rsid w:val="57F975B8"/>
    <w:rsid w:val="58398FB6"/>
    <w:rsid w:val="584C3EEC"/>
    <w:rsid w:val="5862E277"/>
    <w:rsid w:val="5864DADC"/>
    <w:rsid w:val="5877AEB3"/>
    <w:rsid w:val="5882EDCD"/>
    <w:rsid w:val="5892D716"/>
    <w:rsid w:val="58AEB007"/>
    <w:rsid w:val="58C22EF7"/>
    <w:rsid w:val="58C46BD1"/>
    <w:rsid w:val="58C51698"/>
    <w:rsid w:val="58D2BB67"/>
    <w:rsid w:val="58DAD4FE"/>
    <w:rsid w:val="5912DEF8"/>
    <w:rsid w:val="5918E040"/>
    <w:rsid w:val="591F3B73"/>
    <w:rsid w:val="592FA1AC"/>
    <w:rsid w:val="593966A7"/>
    <w:rsid w:val="5950F6C0"/>
    <w:rsid w:val="595529D3"/>
    <w:rsid w:val="5955A95F"/>
    <w:rsid w:val="596A2B9F"/>
    <w:rsid w:val="5971F300"/>
    <w:rsid w:val="5972033E"/>
    <w:rsid w:val="597B292A"/>
    <w:rsid w:val="5991C3EB"/>
    <w:rsid w:val="599A7A96"/>
    <w:rsid w:val="59B93E97"/>
    <w:rsid w:val="59BFDEBE"/>
    <w:rsid w:val="59C372D4"/>
    <w:rsid w:val="59C85F8E"/>
    <w:rsid w:val="59CE53D1"/>
    <w:rsid w:val="59DAE862"/>
    <w:rsid w:val="59E7110A"/>
    <w:rsid w:val="59E80469"/>
    <w:rsid w:val="5A16CC87"/>
    <w:rsid w:val="5A179293"/>
    <w:rsid w:val="5A1F9A85"/>
    <w:rsid w:val="5A383679"/>
    <w:rsid w:val="5A4C458F"/>
    <w:rsid w:val="5A4CC651"/>
    <w:rsid w:val="5A5F9C35"/>
    <w:rsid w:val="5A6E6334"/>
    <w:rsid w:val="5A7EAB23"/>
    <w:rsid w:val="5AAF175D"/>
    <w:rsid w:val="5AB217B1"/>
    <w:rsid w:val="5AB64E07"/>
    <w:rsid w:val="5AB8FF07"/>
    <w:rsid w:val="5ABFD597"/>
    <w:rsid w:val="5AC16068"/>
    <w:rsid w:val="5AC59A44"/>
    <w:rsid w:val="5AC6414B"/>
    <w:rsid w:val="5AC660F0"/>
    <w:rsid w:val="5AD0514C"/>
    <w:rsid w:val="5ADAE957"/>
    <w:rsid w:val="5AE186F0"/>
    <w:rsid w:val="5AF7554E"/>
    <w:rsid w:val="5B0B5F89"/>
    <w:rsid w:val="5B0BB987"/>
    <w:rsid w:val="5B0EE1A5"/>
    <w:rsid w:val="5B15F79A"/>
    <w:rsid w:val="5B1CC3A5"/>
    <w:rsid w:val="5B2872FB"/>
    <w:rsid w:val="5B33390C"/>
    <w:rsid w:val="5B3B1F09"/>
    <w:rsid w:val="5B4CBEFF"/>
    <w:rsid w:val="5B57AF97"/>
    <w:rsid w:val="5B5F99C4"/>
    <w:rsid w:val="5B6DB783"/>
    <w:rsid w:val="5B81CACA"/>
    <w:rsid w:val="5B81F1A1"/>
    <w:rsid w:val="5B83EE8F"/>
    <w:rsid w:val="5B929ACB"/>
    <w:rsid w:val="5B9BD304"/>
    <w:rsid w:val="5B9FA62B"/>
    <w:rsid w:val="5BB2CAAC"/>
    <w:rsid w:val="5BB360B9"/>
    <w:rsid w:val="5BC68F0B"/>
    <w:rsid w:val="5BCA044C"/>
    <w:rsid w:val="5BE680F3"/>
    <w:rsid w:val="5BF6D3EB"/>
    <w:rsid w:val="5C1ED989"/>
    <w:rsid w:val="5C29A011"/>
    <w:rsid w:val="5C2E8E18"/>
    <w:rsid w:val="5C49BE15"/>
    <w:rsid w:val="5C604705"/>
    <w:rsid w:val="5C648CF6"/>
    <w:rsid w:val="5C64CF5E"/>
    <w:rsid w:val="5C729D69"/>
    <w:rsid w:val="5C97B810"/>
    <w:rsid w:val="5C981E1A"/>
    <w:rsid w:val="5CA78DEC"/>
    <w:rsid w:val="5CA91A97"/>
    <w:rsid w:val="5CA9DCBE"/>
    <w:rsid w:val="5CB76FFC"/>
    <w:rsid w:val="5CB9D9EA"/>
    <w:rsid w:val="5CBA2125"/>
    <w:rsid w:val="5CBC6097"/>
    <w:rsid w:val="5CCBEB05"/>
    <w:rsid w:val="5CD99BA3"/>
    <w:rsid w:val="5CF15797"/>
    <w:rsid w:val="5CF9AFFF"/>
    <w:rsid w:val="5D11DFB0"/>
    <w:rsid w:val="5D194674"/>
    <w:rsid w:val="5D20800A"/>
    <w:rsid w:val="5D26202D"/>
    <w:rsid w:val="5D40B964"/>
    <w:rsid w:val="5D479282"/>
    <w:rsid w:val="5D68951C"/>
    <w:rsid w:val="5D7BE75D"/>
    <w:rsid w:val="5D87254E"/>
    <w:rsid w:val="5D8F7453"/>
    <w:rsid w:val="5DA0B0D3"/>
    <w:rsid w:val="5DA5AC76"/>
    <w:rsid w:val="5DB26834"/>
    <w:rsid w:val="5DBA3487"/>
    <w:rsid w:val="5DCA834D"/>
    <w:rsid w:val="5DE9ECE9"/>
    <w:rsid w:val="5DF41145"/>
    <w:rsid w:val="5E097098"/>
    <w:rsid w:val="5E0ED0C0"/>
    <w:rsid w:val="5E2240E1"/>
    <w:rsid w:val="5E25A0C0"/>
    <w:rsid w:val="5E51934D"/>
    <w:rsid w:val="5E548972"/>
    <w:rsid w:val="5E630A66"/>
    <w:rsid w:val="5E72498E"/>
    <w:rsid w:val="5E7F63F9"/>
    <w:rsid w:val="5E8B52D6"/>
    <w:rsid w:val="5E8C2FA6"/>
    <w:rsid w:val="5E90485B"/>
    <w:rsid w:val="5E9305C4"/>
    <w:rsid w:val="5EB46F68"/>
    <w:rsid w:val="5ED49E5F"/>
    <w:rsid w:val="5EE00F1B"/>
    <w:rsid w:val="5EE30081"/>
    <w:rsid w:val="5EEDC3E9"/>
    <w:rsid w:val="5EF5B222"/>
    <w:rsid w:val="5EF69CA5"/>
    <w:rsid w:val="5F074FC5"/>
    <w:rsid w:val="5F296F0B"/>
    <w:rsid w:val="5F2DFF87"/>
    <w:rsid w:val="5F2E5EF2"/>
    <w:rsid w:val="5F36684B"/>
    <w:rsid w:val="5F551E0B"/>
    <w:rsid w:val="5F669453"/>
    <w:rsid w:val="5F68F823"/>
    <w:rsid w:val="5F86E474"/>
    <w:rsid w:val="5FAAD832"/>
    <w:rsid w:val="5FB1A223"/>
    <w:rsid w:val="5FC2B01C"/>
    <w:rsid w:val="5FC41EAD"/>
    <w:rsid w:val="5FC7FA79"/>
    <w:rsid w:val="5FCAEA88"/>
    <w:rsid w:val="5FCE6AA5"/>
    <w:rsid w:val="5FD988D8"/>
    <w:rsid w:val="5FDF2AAA"/>
    <w:rsid w:val="5FE8F03D"/>
    <w:rsid w:val="5FF42D12"/>
    <w:rsid w:val="5FFB7550"/>
    <w:rsid w:val="600C90C7"/>
    <w:rsid w:val="6012B3D7"/>
    <w:rsid w:val="602EBAC3"/>
    <w:rsid w:val="60321221"/>
    <w:rsid w:val="6052D373"/>
    <w:rsid w:val="60553BED"/>
    <w:rsid w:val="6061FD08"/>
    <w:rsid w:val="6075D0D9"/>
    <w:rsid w:val="60785A26"/>
    <w:rsid w:val="608D7FF9"/>
    <w:rsid w:val="608F81B9"/>
    <w:rsid w:val="609B03C4"/>
    <w:rsid w:val="60A5F4F1"/>
    <w:rsid w:val="60B2D1C4"/>
    <w:rsid w:val="60FBFF3C"/>
    <w:rsid w:val="610A73A3"/>
    <w:rsid w:val="610BB098"/>
    <w:rsid w:val="61354243"/>
    <w:rsid w:val="6147059D"/>
    <w:rsid w:val="61563FB2"/>
    <w:rsid w:val="61639C0F"/>
    <w:rsid w:val="617AFB0B"/>
    <w:rsid w:val="617F2A28"/>
    <w:rsid w:val="6183F98A"/>
    <w:rsid w:val="61B1C09B"/>
    <w:rsid w:val="61C26087"/>
    <w:rsid w:val="61C4490E"/>
    <w:rsid w:val="61C5A9CD"/>
    <w:rsid w:val="61DE48BB"/>
    <w:rsid w:val="6201EFF7"/>
    <w:rsid w:val="62107897"/>
    <w:rsid w:val="621AA143"/>
    <w:rsid w:val="621FB6B0"/>
    <w:rsid w:val="6225655E"/>
    <w:rsid w:val="62352500"/>
    <w:rsid w:val="623B08C5"/>
    <w:rsid w:val="62406579"/>
    <w:rsid w:val="6244D0E0"/>
    <w:rsid w:val="624988A3"/>
    <w:rsid w:val="6255B010"/>
    <w:rsid w:val="625C6FD9"/>
    <w:rsid w:val="626F7BFC"/>
    <w:rsid w:val="626F8F15"/>
    <w:rsid w:val="62742072"/>
    <w:rsid w:val="627CE3F6"/>
    <w:rsid w:val="627FBB7A"/>
    <w:rsid w:val="628829BA"/>
    <w:rsid w:val="628B62EC"/>
    <w:rsid w:val="628C777F"/>
    <w:rsid w:val="62940D2E"/>
    <w:rsid w:val="629C7FBE"/>
    <w:rsid w:val="62A89302"/>
    <w:rsid w:val="62B9DC36"/>
    <w:rsid w:val="62C3E40D"/>
    <w:rsid w:val="62C4A10F"/>
    <w:rsid w:val="62EA73B2"/>
    <w:rsid w:val="62FCA55B"/>
    <w:rsid w:val="6301252B"/>
    <w:rsid w:val="6307ED7A"/>
    <w:rsid w:val="632E39CB"/>
    <w:rsid w:val="63362CA0"/>
    <w:rsid w:val="63433675"/>
    <w:rsid w:val="637310E3"/>
    <w:rsid w:val="63777BEF"/>
    <w:rsid w:val="63A05BCF"/>
    <w:rsid w:val="63B0FC06"/>
    <w:rsid w:val="63C135BF"/>
    <w:rsid w:val="63CC4E77"/>
    <w:rsid w:val="63E2D49C"/>
    <w:rsid w:val="63EA4C24"/>
    <w:rsid w:val="63EA96E8"/>
    <w:rsid w:val="63ECDEA9"/>
    <w:rsid w:val="6402DA3F"/>
    <w:rsid w:val="642A9109"/>
    <w:rsid w:val="642E4199"/>
    <w:rsid w:val="643E413B"/>
    <w:rsid w:val="6442A453"/>
    <w:rsid w:val="64746592"/>
    <w:rsid w:val="6479A3A3"/>
    <w:rsid w:val="6481BB15"/>
    <w:rsid w:val="648C60E5"/>
    <w:rsid w:val="64AAAA6C"/>
    <w:rsid w:val="64AC0AAD"/>
    <w:rsid w:val="64D48CB1"/>
    <w:rsid w:val="64D59F17"/>
    <w:rsid w:val="64D7104D"/>
    <w:rsid w:val="64ED5945"/>
    <w:rsid w:val="64EDFC11"/>
    <w:rsid w:val="64EE8431"/>
    <w:rsid w:val="64FE5E16"/>
    <w:rsid w:val="65073F49"/>
    <w:rsid w:val="6510634B"/>
    <w:rsid w:val="65204C64"/>
    <w:rsid w:val="653B2CE9"/>
    <w:rsid w:val="655010E6"/>
    <w:rsid w:val="656A166A"/>
    <w:rsid w:val="656B2006"/>
    <w:rsid w:val="656B74E4"/>
    <w:rsid w:val="6581D64E"/>
    <w:rsid w:val="658B1ED2"/>
    <w:rsid w:val="65999476"/>
    <w:rsid w:val="659FB0E6"/>
    <w:rsid w:val="65C1557E"/>
    <w:rsid w:val="65E6CC35"/>
    <w:rsid w:val="65EC350D"/>
    <w:rsid w:val="65F9373A"/>
    <w:rsid w:val="6623A1F5"/>
    <w:rsid w:val="66263648"/>
    <w:rsid w:val="663C0CFF"/>
    <w:rsid w:val="663CEBB7"/>
    <w:rsid w:val="66417DA1"/>
    <w:rsid w:val="664415BC"/>
    <w:rsid w:val="665858B0"/>
    <w:rsid w:val="6667DC2D"/>
    <w:rsid w:val="666ECA05"/>
    <w:rsid w:val="667AD737"/>
    <w:rsid w:val="667BA4E5"/>
    <w:rsid w:val="6682BB29"/>
    <w:rsid w:val="668CA2A3"/>
    <w:rsid w:val="66BEAA57"/>
    <w:rsid w:val="66D8BAF9"/>
    <w:rsid w:val="66DCD6B0"/>
    <w:rsid w:val="6714C8B6"/>
    <w:rsid w:val="67468CDB"/>
    <w:rsid w:val="6747B6F1"/>
    <w:rsid w:val="6749DCEE"/>
    <w:rsid w:val="67589022"/>
    <w:rsid w:val="677E38D1"/>
    <w:rsid w:val="679D5C6A"/>
    <w:rsid w:val="679D89B2"/>
    <w:rsid w:val="67B698FD"/>
    <w:rsid w:val="67C38EF4"/>
    <w:rsid w:val="67EA4727"/>
    <w:rsid w:val="67F475BA"/>
    <w:rsid w:val="67F5C713"/>
    <w:rsid w:val="6815EC5B"/>
    <w:rsid w:val="68319FFA"/>
    <w:rsid w:val="6851F804"/>
    <w:rsid w:val="685D101A"/>
    <w:rsid w:val="686497FC"/>
    <w:rsid w:val="686E383E"/>
    <w:rsid w:val="6871E9D0"/>
    <w:rsid w:val="687F9D9E"/>
    <w:rsid w:val="688761C0"/>
    <w:rsid w:val="688A41D9"/>
    <w:rsid w:val="68956D59"/>
    <w:rsid w:val="6897BF9E"/>
    <w:rsid w:val="689C9468"/>
    <w:rsid w:val="689FBF9A"/>
    <w:rsid w:val="68CE867E"/>
    <w:rsid w:val="68F4F13D"/>
    <w:rsid w:val="690A97AD"/>
    <w:rsid w:val="691A0932"/>
    <w:rsid w:val="6921EFCD"/>
    <w:rsid w:val="6923D4EF"/>
    <w:rsid w:val="69270DF8"/>
    <w:rsid w:val="692FC242"/>
    <w:rsid w:val="6931202B"/>
    <w:rsid w:val="69431DEF"/>
    <w:rsid w:val="6943A157"/>
    <w:rsid w:val="69496FDE"/>
    <w:rsid w:val="695B8542"/>
    <w:rsid w:val="6969FDA5"/>
    <w:rsid w:val="696A2553"/>
    <w:rsid w:val="698A3A5D"/>
    <w:rsid w:val="6993C1EC"/>
    <w:rsid w:val="69994F9C"/>
    <w:rsid w:val="69AA6D35"/>
    <w:rsid w:val="69B44AF1"/>
    <w:rsid w:val="69BDC1CB"/>
    <w:rsid w:val="69C974BD"/>
    <w:rsid w:val="69CB6C1E"/>
    <w:rsid w:val="69CFCF8C"/>
    <w:rsid w:val="69D838BF"/>
    <w:rsid w:val="69DC2210"/>
    <w:rsid w:val="69E38C80"/>
    <w:rsid w:val="69E79585"/>
    <w:rsid w:val="69F22F34"/>
    <w:rsid w:val="6A09AD7B"/>
    <w:rsid w:val="6A161F3F"/>
    <w:rsid w:val="6A169223"/>
    <w:rsid w:val="6A50BD6E"/>
    <w:rsid w:val="6A534FBB"/>
    <w:rsid w:val="6A5CB928"/>
    <w:rsid w:val="6A9599D4"/>
    <w:rsid w:val="6A985080"/>
    <w:rsid w:val="6AC6BDF5"/>
    <w:rsid w:val="6ACE2DC3"/>
    <w:rsid w:val="6AD305B2"/>
    <w:rsid w:val="6AD578BA"/>
    <w:rsid w:val="6ADFF952"/>
    <w:rsid w:val="6AF74573"/>
    <w:rsid w:val="6B0F9B79"/>
    <w:rsid w:val="6B1076B5"/>
    <w:rsid w:val="6B1DC9AE"/>
    <w:rsid w:val="6B318838"/>
    <w:rsid w:val="6B31CEA7"/>
    <w:rsid w:val="6B32FA26"/>
    <w:rsid w:val="6B351FFD"/>
    <w:rsid w:val="6B3850DE"/>
    <w:rsid w:val="6B4088A1"/>
    <w:rsid w:val="6B41C48C"/>
    <w:rsid w:val="6B7DD6BE"/>
    <w:rsid w:val="6B89F636"/>
    <w:rsid w:val="6B8E871D"/>
    <w:rsid w:val="6B949495"/>
    <w:rsid w:val="6BB48BB7"/>
    <w:rsid w:val="6BBD9823"/>
    <w:rsid w:val="6BC39A05"/>
    <w:rsid w:val="6BE80D63"/>
    <w:rsid w:val="6BF26318"/>
    <w:rsid w:val="6BF5C54C"/>
    <w:rsid w:val="6BF8C3AC"/>
    <w:rsid w:val="6C04FAB2"/>
    <w:rsid w:val="6C05F35B"/>
    <w:rsid w:val="6C063E63"/>
    <w:rsid w:val="6C128083"/>
    <w:rsid w:val="6C192A86"/>
    <w:rsid w:val="6C1C2575"/>
    <w:rsid w:val="6C224FC9"/>
    <w:rsid w:val="6C2CC887"/>
    <w:rsid w:val="6C38F29B"/>
    <w:rsid w:val="6C3A2875"/>
    <w:rsid w:val="6C3C9A25"/>
    <w:rsid w:val="6C4749DC"/>
    <w:rsid w:val="6C4BEFA6"/>
    <w:rsid w:val="6C50D44D"/>
    <w:rsid w:val="6C5A6B20"/>
    <w:rsid w:val="6CA69008"/>
    <w:rsid w:val="6CB9A7DC"/>
    <w:rsid w:val="6CBD3EC9"/>
    <w:rsid w:val="6CDF7619"/>
    <w:rsid w:val="6CE4CDFD"/>
    <w:rsid w:val="6CEFA7DA"/>
    <w:rsid w:val="6CF4156E"/>
    <w:rsid w:val="6D050BC8"/>
    <w:rsid w:val="6D0B1977"/>
    <w:rsid w:val="6D249902"/>
    <w:rsid w:val="6D252FBB"/>
    <w:rsid w:val="6D3B3FA6"/>
    <w:rsid w:val="6D488AAE"/>
    <w:rsid w:val="6D4DFCBE"/>
    <w:rsid w:val="6D507DE0"/>
    <w:rsid w:val="6D6B11D5"/>
    <w:rsid w:val="6D7290E1"/>
    <w:rsid w:val="6D764615"/>
    <w:rsid w:val="6D78060D"/>
    <w:rsid w:val="6D7F1FEB"/>
    <w:rsid w:val="6D946570"/>
    <w:rsid w:val="6DB6E305"/>
    <w:rsid w:val="6DCA5423"/>
    <w:rsid w:val="6DCE8AF6"/>
    <w:rsid w:val="6DEA2850"/>
    <w:rsid w:val="6E056174"/>
    <w:rsid w:val="6E0E598B"/>
    <w:rsid w:val="6E0F2AE6"/>
    <w:rsid w:val="6E1F4824"/>
    <w:rsid w:val="6E2F7177"/>
    <w:rsid w:val="6E41295E"/>
    <w:rsid w:val="6E52BD18"/>
    <w:rsid w:val="6E53110A"/>
    <w:rsid w:val="6E5D28FE"/>
    <w:rsid w:val="6E645F3D"/>
    <w:rsid w:val="6E6CA413"/>
    <w:rsid w:val="6E7C94E7"/>
    <w:rsid w:val="6E7CA89C"/>
    <w:rsid w:val="6E841DB5"/>
    <w:rsid w:val="6E8D281D"/>
    <w:rsid w:val="6E8EE399"/>
    <w:rsid w:val="6E9CAC66"/>
    <w:rsid w:val="6EB69FCE"/>
    <w:rsid w:val="6EC55FD3"/>
    <w:rsid w:val="6F0BD5EC"/>
    <w:rsid w:val="6F1AF04C"/>
    <w:rsid w:val="6F1F9970"/>
    <w:rsid w:val="6F311C43"/>
    <w:rsid w:val="6F34E40D"/>
    <w:rsid w:val="6F37D967"/>
    <w:rsid w:val="6F3898AE"/>
    <w:rsid w:val="6F4C229E"/>
    <w:rsid w:val="6F6C7C39"/>
    <w:rsid w:val="6F71C937"/>
    <w:rsid w:val="6F784980"/>
    <w:rsid w:val="6F7B4B3F"/>
    <w:rsid w:val="6F7BC9EB"/>
    <w:rsid w:val="6F86BF7A"/>
    <w:rsid w:val="6F9F6502"/>
    <w:rsid w:val="6FA6BB98"/>
    <w:rsid w:val="6FAC25FD"/>
    <w:rsid w:val="6FBA7AD9"/>
    <w:rsid w:val="6FC6DA44"/>
    <w:rsid w:val="6FDBBFDB"/>
    <w:rsid w:val="6FDC887A"/>
    <w:rsid w:val="6FE10E52"/>
    <w:rsid w:val="6FEBCCD7"/>
    <w:rsid w:val="7006071B"/>
    <w:rsid w:val="7018D038"/>
    <w:rsid w:val="701E4576"/>
    <w:rsid w:val="702BFA1F"/>
    <w:rsid w:val="7030213F"/>
    <w:rsid w:val="70384F92"/>
    <w:rsid w:val="704A044D"/>
    <w:rsid w:val="70555DC7"/>
    <w:rsid w:val="705C39C4"/>
    <w:rsid w:val="7064D2BD"/>
    <w:rsid w:val="706FDCC7"/>
    <w:rsid w:val="7072A43D"/>
    <w:rsid w:val="70793596"/>
    <w:rsid w:val="70859D80"/>
    <w:rsid w:val="7099A31C"/>
    <w:rsid w:val="70A2C558"/>
    <w:rsid w:val="70BD7DCD"/>
    <w:rsid w:val="70BD98FF"/>
    <w:rsid w:val="70E5AC5B"/>
    <w:rsid w:val="710BF2BA"/>
    <w:rsid w:val="711214DC"/>
    <w:rsid w:val="711315F7"/>
    <w:rsid w:val="7142AC24"/>
    <w:rsid w:val="7158C4E1"/>
    <w:rsid w:val="71659111"/>
    <w:rsid w:val="716BF16D"/>
    <w:rsid w:val="716D2AD4"/>
    <w:rsid w:val="717A3082"/>
    <w:rsid w:val="718AEE4C"/>
    <w:rsid w:val="71ADDBBD"/>
    <w:rsid w:val="71BA15D7"/>
    <w:rsid w:val="71D96AAA"/>
    <w:rsid w:val="71F7C827"/>
    <w:rsid w:val="72043243"/>
    <w:rsid w:val="7221604C"/>
    <w:rsid w:val="7226D848"/>
    <w:rsid w:val="722D91B4"/>
    <w:rsid w:val="72360A5E"/>
    <w:rsid w:val="723B8928"/>
    <w:rsid w:val="72487F22"/>
    <w:rsid w:val="7252910E"/>
    <w:rsid w:val="726F5995"/>
    <w:rsid w:val="72764EB8"/>
    <w:rsid w:val="72851AF7"/>
    <w:rsid w:val="728A6800"/>
    <w:rsid w:val="728AB688"/>
    <w:rsid w:val="728D9CA0"/>
    <w:rsid w:val="72A209D8"/>
    <w:rsid w:val="72A969F9"/>
    <w:rsid w:val="72CA37EC"/>
    <w:rsid w:val="72CC4533"/>
    <w:rsid w:val="72CEF7E4"/>
    <w:rsid w:val="72DB305C"/>
    <w:rsid w:val="72F29230"/>
    <w:rsid w:val="73052D4D"/>
    <w:rsid w:val="7307466C"/>
    <w:rsid w:val="730AAA25"/>
    <w:rsid w:val="7327173F"/>
    <w:rsid w:val="732CFACD"/>
    <w:rsid w:val="7337B890"/>
    <w:rsid w:val="733E944F"/>
    <w:rsid w:val="7347D094"/>
    <w:rsid w:val="736107F1"/>
    <w:rsid w:val="736199D2"/>
    <w:rsid w:val="737AB229"/>
    <w:rsid w:val="737AD042"/>
    <w:rsid w:val="73827AA4"/>
    <w:rsid w:val="73855AA2"/>
    <w:rsid w:val="738D81A0"/>
    <w:rsid w:val="73A6E188"/>
    <w:rsid w:val="73C74CB4"/>
    <w:rsid w:val="73CEA4EE"/>
    <w:rsid w:val="73DF470F"/>
    <w:rsid w:val="73F90ED0"/>
    <w:rsid w:val="7406A816"/>
    <w:rsid w:val="7409E6B1"/>
    <w:rsid w:val="74189E8F"/>
    <w:rsid w:val="741C304C"/>
    <w:rsid w:val="741DB6E9"/>
    <w:rsid w:val="742078C4"/>
    <w:rsid w:val="74337C8C"/>
    <w:rsid w:val="7433CB64"/>
    <w:rsid w:val="743A3A7E"/>
    <w:rsid w:val="74551EA5"/>
    <w:rsid w:val="74578375"/>
    <w:rsid w:val="7457EDB7"/>
    <w:rsid w:val="745E368B"/>
    <w:rsid w:val="74718F28"/>
    <w:rsid w:val="74752BF9"/>
    <w:rsid w:val="747F25F4"/>
    <w:rsid w:val="748CDEF2"/>
    <w:rsid w:val="749385B4"/>
    <w:rsid w:val="7493C012"/>
    <w:rsid w:val="7497BD2D"/>
    <w:rsid w:val="74A9F2CC"/>
    <w:rsid w:val="74AFA1D2"/>
    <w:rsid w:val="74B5DDB6"/>
    <w:rsid w:val="74C2A98F"/>
    <w:rsid w:val="74D3F7B6"/>
    <w:rsid w:val="74D813B8"/>
    <w:rsid w:val="74E99545"/>
    <w:rsid w:val="74F3D2DC"/>
    <w:rsid w:val="750278A4"/>
    <w:rsid w:val="750C9147"/>
    <w:rsid w:val="7516828A"/>
    <w:rsid w:val="752221EA"/>
    <w:rsid w:val="75395746"/>
    <w:rsid w:val="755150B3"/>
    <w:rsid w:val="7559010E"/>
    <w:rsid w:val="75609687"/>
    <w:rsid w:val="75907937"/>
    <w:rsid w:val="7592AA02"/>
    <w:rsid w:val="759405FF"/>
    <w:rsid w:val="75970CA0"/>
    <w:rsid w:val="759CD6A2"/>
    <w:rsid w:val="759D04B1"/>
    <w:rsid w:val="759EF5DD"/>
    <w:rsid w:val="75B8A057"/>
    <w:rsid w:val="75E36CB6"/>
    <w:rsid w:val="75F6737A"/>
    <w:rsid w:val="76112432"/>
    <w:rsid w:val="76424AE7"/>
    <w:rsid w:val="76430065"/>
    <w:rsid w:val="7645553A"/>
    <w:rsid w:val="767946F0"/>
    <w:rsid w:val="767E74D4"/>
    <w:rsid w:val="768C0E78"/>
    <w:rsid w:val="7696A735"/>
    <w:rsid w:val="76995CF1"/>
    <w:rsid w:val="76A74A23"/>
    <w:rsid w:val="76CBB71E"/>
    <w:rsid w:val="76E2479A"/>
    <w:rsid w:val="76E8CE96"/>
    <w:rsid w:val="771501EF"/>
    <w:rsid w:val="772E3F55"/>
    <w:rsid w:val="772F8671"/>
    <w:rsid w:val="774211DA"/>
    <w:rsid w:val="7747275A"/>
    <w:rsid w:val="77497701"/>
    <w:rsid w:val="774C23CE"/>
    <w:rsid w:val="77554801"/>
    <w:rsid w:val="7756D9C3"/>
    <w:rsid w:val="77572B0D"/>
    <w:rsid w:val="777D3D2E"/>
    <w:rsid w:val="77874230"/>
    <w:rsid w:val="77912413"/>
    <w:rsid w:val="77921231"/>
    <w:rsid w:val="7792EB7B"/>
    <w:rsid w:val="779C2D73"/>
    <w:rsid w:val="77BC8F49"/>
    <w:rsid w:val="77C0CFBD"/>
    <w:rsid w:val="77CE6485"/>
    <w:rsid w:val="77CF5DEF"/>
    <w:rsid w:val="77D45E41"/>
    <w:rsid w:val="77DFCC1F"/>
    <w:rsid w:val="77F63BB3"/>
    <w:rsid w:val="7802AB55"/>
    <w:rsid w:val="78066320"/>
    <w:rsid w:val="780FC7FC"/>
    <w:rsid w:val="781108B7"/>
    <w:rsid w:val="78198299"/>
    <w:rsid w:val="781CCECC"/>
    <w:rsid w:val="7837D5BC"/>
    <w:rsid w:val="7838BFEC"/>
    <w:rsid w:val="784A2E8A"/>
    <w:rsid w:val="7859EF40"/>
    <w:rsid w:val="785AB585"/>
    <w:rsid w:val="7873F746"/>
    <w:rsid w:val="78A17D5B"/>
    <w:rsid w:val="78A53A28"/>
    <w:rsid w:val="78A79E13"/>
    <w:rsid w:val="78B512B9"/>
    <w:rsid w:val="78BC2F29"/>
    <w:rsid w:val="78DFD80C"/>
    <w:rsid w:val="78F650E0"/>
    <w:rsid w:val="78FED399"/>
    <w:rsid w:val="7909EA34"/>
    <w:rsid w:val="7934DC72"/>
    <w:rsid w:val="794F212C"/>
    <w:rsid w:val="795DED1F"/>
    <w:rsid w:val="79760509"/>
    <w:rsid w:val="797A5205"/>
    <w:rsid w:val="797A5FAB"/>
    <w:rsid w:val="79818509"/>
    <w:rsid w:val="7985F49A"/>
    <w:rsid w:val="798E6D33"/>
    <w:rsid w:val="799D97D7"/>
    <w:rsid w:val="79C17EA7"/>
    <w:rsid w:val="79CE22D0"/>
    <w:rsid w:val="79CEBDE2"/>
    <w:rsid w:val="79D91D7D"/>
    <w:rsid w:val="79E46668"/>
    <w:rsid w:val="79F2EB27"/>
    <w:rsid w:val="7A0A0CC3"/>
    <w:rsid w:val="7A0CEDA1"/>
    <w:rsid w:val="7A15706E"/>
    <w:rsid w:val="7A17E08A"/>
    <w:rsid w:val="7A182AB7"/>
    <w:rsid w:val="7A31D5B5"/>
    <w:rsid w:val="7A3DDB60"/>
    <w:rsid w:val="7A51F05F"/>
    <w:rsid w:val="7A6B8A63"/>
    <w:rsid w:val="7A6BA95B"/>
    <w:rsid w:val="7A6DF861"/>
    <w:rsid w:val="7A7D273E"/>
    <w:rsid w:val="7A84F4C5"/>
    <w:rsid w:val="7A899885"/>
    <w:rsid w:val="7A8FAECE"/>
    <w:rsid w:val="7A9414CD"/>
    <w:rsid w:val="7AB877F0"/>
    <w:rsid w:val="7ABCC35D"/>
    <w:rsid w:val="7ABCF2DE"/>
    <w:rsid w:val="7ABE2EBB"/>
    <w:rsid w:val="7AC1E8B4"/>
    <w:rsid w:val="7AC2C7F0"/>
    <w:rsid w:val="7AE75E8E"/>
    <w:rsid w:val="7B164E55"/>
    <w:rsid w:val="7B2450D3"/>
    <w:rsid w:val="7B29143E"/>
    <w:rsid w:val="7B36571A"/>
    <w:rsid w:val="7B39D0DB"/>
    <w:rsid w:val="7B3B7918"/>
    <w:rsid w:val="7B3C7C19"/>
    <w:rsid w:val="7B3F4962"/>
    <w:rsid w:val="7B488EAB"/>
    <w:rsid w:val="7B5D68C8"/>
    <w:rsid w:val="7B666432"/>
    <w:rsid w:val="7B6B2A3F"/>
    <w:rsid w:val="7B87A9CE"/>
    <w:rsid w:val="7B8C7C74"/>
    <w:rsid w:val="7B97DB63"/>
    <w:rsid w:val="7B9B17E4"/>
    <w:rsid w:val="7BA3513E"/>
    <w:rsid w:val="7BAA57FF"/>
    <w:rsid w:val="7BB17D0C"/>
    <w:rsid w:val="7BBDC7A5"/>
    <w:rsid w:val="7BC39F6A"/>
    <w:rsid w:val="7BC4BEB5"/>
    <w:rsid w:val="7BC884B9"/>
    <w:rsid w:val="7BCE76C2"/>
    <w:rsid w:val="7BF6B14B"/>
    <w:rsid w:val="7BFE1F21"/>
    <w:rsid w:val="7C12D87D"/>
    <w:rsid w:val="7C3480F9"/>
    <w:rsid w:val="7C47F3F8"/>
    <w:rsid w:val="7C513240"/>
    <w:rsid w:val="7C622BCA"/>
    <w:rsid w:val="7C66691C"/>
    <w:rsid w:val="7C970CC8"/>
    <w:rsid w:val="7C98640E"/>
    <w:rsid w:val="7CA11A86"/>
    <w:rsid w:val="7CA46152"/>
    <w:rsid w:val="7CB33D42"/>
    <w:rsid w:val="7CCD2BF2"/>
    <w:rsid w:val="7CD8061F"/>
    <w:rsid w:val="7CE37E1D"/>
    <w:rsid w:val="7CE44E85"/>
    <w:rsid w:val="7D0D5C56"/>
    <w:rsid w:val="7D2CDAC6"/>
    <w:rsid w:val="7D321B28"/>
    <w:rsid w:val="7D33ABC4"/>
    <w:rsid w:val="7D7CA1C2"/>
    <w:rsid w:val="7D7EF49B"/>
    <w:rsid w:val="7D80B3F7"/>
    <w:rsid w:val="7D8D4DD4"/>
    <w:rsid w:val="7D9C0CE3"/>
    <w:rsid w:val="7DAF2A55"/>
    <w:rsid w:val="7DAF7987"/>
    <w:rsid w:val="7DBB1286"/>
    <w:rsid w:val="7DBBFE6E"/>
    <w:rsid w:val="7DC5423B"/>
    <w:rsid w:val="7DD1D6F5"/>
    <w:rsid w:val="7DDEA6C6"/>
    <w:rsid w:val="7DE3353A"/>
    <w:rsid w:val="7DEBEC4D"/>
    <w:rsid w:val="7DECAED6"/>
    <w:rsid w:val="7DF018B2"/>
    <w:rsid w:val="7DF8BC3E"/>
    <w:rsid w:val="7DFE959B"/>
    <w:rsid w:val="7E04CFBD"/>
    <w:rsid w:val="7E04F355"/>
    <w:rsid w:val="7E0806CF"/>
    <w:rsid w:val="7E0D3E43"/>
    <w:rsid w:val="7E0D8A02"/>
    <w:rsid w:val="7E3E24CB"/>
    <w:rsid w:val="7E479B8E"/>
    <w:rsid w:val="7E54763E"/>
    <w:rsid w:val="7EA193F3"/>
    <w:rsid w:val="7EC11A6B"/>
    <w:rsid w:val="7ECDEB89"/>
    <w:rsid w:val="7ECE5A5C"/>
    <w:rsid w:val="7EDFDF93"/>
    <w:rsid w:val="7EF188E0"/>
    <w:rsid w:val="7EFB4C64"/>
    <w:rsid w:val="7F109AF2"/>
    <w:rsid w:val="7F19847A"/>
    <w:rsid w:val="7F1B00EB"/>
    <w:rsid w:val="7F1C3260"/>
    <w:rsid w:val="7F55CC20"/>
    <w:rsid w:val="7F6C04DA"/>
    <w:rsid w:val="7F703406"/>
    <w:rsid w:val="7F7257F2"/>
    <w:rsid w:val="7F88A2AD"/>
    <w:rsid w:val="7F8F0590"/>
    <w:rsid w:val="7FBF5B13"/>
    <w:rsid w:val="7FCC16E4"/>
    <w:rsid w:val="7FE0E869"/>
    <w:rsid w:val="7FE36BEF"/>
    <w:rsid w:val="7FEA59E8"/>
    <w:rsid w:val="7FF00896"/>
    <w:rsid w:val="7FF08B09"/>
    <w:rsid w:val="7FF3B3D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2815AC"/>
  <w15:docId w15:val="{4ABD0A6E-EC43-48EA-8FFB-E127CF78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outlineLvl w:val="2"/>
    </w:pPr>
    <w:rPr>
      <w:rFonts w:asciiTheme="majorHAnsi" w:eastAsiaTheme="majorEastAsia" w:hAnsiTheme="majorHAnsi" w:cstheme="majorBidi"/>
      <w:b/>
      <w:bCs/>
      <w:color w:val="6076B4" w:themeColor="accent1"/>
    </w:rPr>
  </w:style>
  <w:style w:type="paragraph" w:styleId="Heading4">
    <w:name w:val="heading 4"/>
    <w:basedOn w:val="Normal"/>
    <w:next w:val="Normal"/>
    <w:link w:val="Heading4Char"/>
    <w:uiPriority w:val="9"/>
    <w:semiHidden/>
    <w:unhideWhenUsed/>
    <w:qFormat/>
    <w:rsid w:val="00CC3BFC"/>
    <w:pPr>
      <w:keepNext/>
      <w:keepLines/>
      <w:spacing w:before="200"/>
      <w:outlineLvl w:val="3"/>
    </w:pPr>
    <w:rPr>
      <w:rFonts w:asciiTheme="majorHAnsi" w:eastAsiaTheme="majorEastAsia" w:hAnsiTheme="majorHAnsi" w:cstheme="majorBidi"/>
      <w:b/>
      <w:bCs/>
      <w:i/>
      <w:iCs/>
      <w:color w:val="6076B4" w:themeColor="accent1"/>
    </w:rPr>
  </w:style>
  <w:style w:type="paragraph" w:styleId="Heading6">
    <w:name w:val="heading 6"/>
    <w:basedOn w:val="Normal"/>
    <w:next w:val="Normal"/>
    <w:link w:val="Heading6Char"/>
    <w:uiPriority w:val="9"/>
    <w:semiHidden/>
    <w:unhideWhenUsed/>
    <w:qFormat/>
    <w:rsid w:val="00EF5FF2"/>
    <w:pPr>
      <w:keepNext/>
      <w:keepLines/>
      <w:spacing w:before="200"/>
      <w:outlineLvl w:val="5"/>
    </w:pPr>
    <w:rPr>
      <w:rFonts w:asciiTheme="majorHAnsi" w:eastAsiaTheme="majorEastAsia" w:hAnsiTheme="majorHAnsi" w:cstheme="majorBidi"/>
      <w:i/>
      <w:iCs/>
      <w:color w:val="2C385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ind w:left="720"/>
      <w:contextualSpacing/>
    </w:p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rPr>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p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AB7E4D"/>
    <w:pPr>
      <w:tabs>
        <w:tab w:val="right" w:leader="dot" w:pos="9450"/>
      </w:tabs>
      <w:spacing w:after="100"/>
      <w:ind w:left="450"/>
    </w:pPr>
    <w:rPr>
      <w:rFonts w:asciiTheme="minorHAnsi" w:eastAsia="Calibri Light" w:hAnsiTheme="minorHAnsi" w:cstheme="minorHAnsi"/>
      <w:bCs/>
      <w:noProof/>
    </w:rPr>
  </w:style>
  <w:style w:type="paragraph" w:styleId="TOC2">
    <w:name w:val="toc 2"/>
    <w:basedOn w:val="Normal"/>
    <w:next w:val="Normal"/>
    <w:autoRedefine/>
    <w:uiPriority w:val="39"/>
    <w:unhideWhenUsed/>
    <w:rsid w:val="00D6794D"/>
    <w:pPr>
      <w:tabs>
        <w:tab w:val="right" w:leader="dot" w:pos="9450"/>
      </w:tabs>
      <w:spacing w:after="100"/>
      <w:ind w:left="450"/>
    </w:pPr>
    <w:rPr>
      <w:rFonts w:ascii="Garamond" w:hAnsi="Garamond"/>
      <w:noProof/>
      <w:color w:val="000000" w:themeColor="text1"/>
    </w:rPr>
  </w:style>
  <w:style w:type="paragraph" w:styleId="NormalWeb">
    <w:name w:val="Normal (Web)"/>
    <w:basedOn w:val="Normal"/>
    <w:uiPriority w:val="99"/>
    <w:unhideWhenUsed/>
    <w:rsid w:val="00040884"/>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hAnsi="Calibri" w:cs="Calibri"/>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rPr>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2634F5"/>
  </w:style>
  <w:style w:type="character" w:customStyle="1" w:styleId="normaltextrun">
    <w:name w:val="normaltextrun"/>
    <w:basedOn w:val="DefaultParagraphFont"/>
    <w:rsid w:val="0000557F"/>
  </w:style>
  <w:style w:type="paragraph" w:styleId="BodyTextIndent">
    <w:name w:val="Body Text Indent"/>
    <w:basedOn w:val="Normal"/>
    <w:link w:val="BodyTextIndentChar"/>
    <w:uiPriority w:val="99"/>
    <w:semiHidden/>
    <w:unhideWhenUsed/>
    <w:rsid w:val="00103A1E"/>
    <w:pPr>
      <w:spacing w:after="120"/>
      <w:ind w:left="360"/>
    </w:pPr>
  </w:style>
  <w:style w:type="character" w:customStyle="1" w:styleId="BodyTextIndentChar">
    <w:name w:val="Body Text Indent Char"/>
    <w:basedOn w:val="DefaultParagraphFont"/>
    <w:link w:val="BodyTextIndent"/>
    <w:uiPriority w:val="99"/>
    <w:semiHidden/>
    <w:rsid w:val="00103A1E"/>
    <w:rPr>
      <w:rFonts w:ascii="Times New Roman" w:eastAsia="Times New Roman" w:hAnsi="Times New Roman" w:cs="Times New Roman"/>
      <w:sz w:val="24"/>
      <w:szCs w:val="24"/>
    </w:rPr>
  </w:style>
  <w:style w:type="paragraph" w:customStyle="1" w:styleId="paragraph">
    <w:name w:val="paragraph"/>
    <w:basedOn w:val="Normal"/>
    <w:rsid w:val="00672F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58672697">
      <w:bodyDiv w:val="1"/>
      <w:marLeft w:val="0"/>
      <w:marRight w:val="0"/>
      <w:marTop w:val="0"/>
      <w:marBottom w:val="0"/>
      <w:divBdr>
        <w:top w:val="none" w:sz="0" w:space="0" w:color="auto"/>
        <w:left w:val="none" w:sz="0" w:space="0" w:color="auto"/>
        <w:bottom w:val="none" w:sz="0" w:space="0" w:color="auto"/>
        <w:right w:val="none" w:sz="0" w:space="0" w:color="auto"/>
      </w:divBdr>
      <w:divsChild>
        <w:div w:id="678655148">
          <w:marLeft w:val="0"/>
          <w:marRight w:val="0"/>
          <w:marTop w:val="0"/>
          <w:marBottom w:val="0"/>
          <w:divBdr>
            <w:top w:val="none" w:sz="0" w:space="0" w:color="auto"/>
            <w:left w:val="none" w:sz="0" w:space="0" w:color="auto"/>
            <w:bottom w:val="none" w:sz="0" w:space="0" w:color="auto"/>
            <w:right w:val="none" w:sz="0" w:space="0" w:color="auto"/>
          </w:divBdr>
          <w:divsChild>
            <w:div w:id="1564680519">
              <w:marLeft w:val="0"/>
              <w:marRight w:val="0"/>
              <w:marTop w:val="0"/>
              <w:marBottom w:val="0"/>
              <w:divBdr>
                <w:top w:val="none" w:sz="0" w:space="0" w:color="auto"/>
                <w:left w:val="none" w:sz="0" w:space="0" w:color="auto"/>
                <w:bottom w:val="none" w:sz="0" w:space="0" w:color="auto"/>
                <w:right w:val="none" w:sz="0" w:space="0" w:color="auto"/>
              </w:divBdr>
              <w:divsChild>
                <w:div w:id="605575760">
                  <w:marLeft w:val="0"/>
                  <w:marRight w:val="0"/>
                  <w:marTop w:val="0"/>
                  <w:marBottom w:val="0"/>
                  <w:divBdr>
                    <w:top w:val="none" w:sz="0" w:space="0" w:color="auto"/>
                    <w:left w:val="none" w:sz="0" w:space="0" w:color="auto"/>
                    <w:bottom w:val="none" w:sz="0" w:space="0" w:color="auto"/>
                    <w:right w:val="none" w:sz="0" w:space="0" w:color="auto"/>
                  </w:divBdr>
                  <w:divsChild>
                    <w:div w:id="15575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83188833">
      <w:bodyDiv w:val="1"/>
      <w:marLeft w:val="0"/>
      <w:marRight w:val="0"/>
      <w:marTop w:val="0"/>
      <w:marBottom w:val="0"/>
      <w:divBdr>
        <w:top w:val="none" w:sz="0" w:space="0" w:color="auto"/>
        <w:left w:val="none" w:sz="0" w:space="0" w:color="auto"/>
        <w:bottom w:val="none" w:sz="0" w:space="0" w:color="auto"/>
        <w:right w:val="none" w:sz="0" w:space="0" w:color="auto"/>
      </w:divBdr>
    </w:div>
    <w:div w:id="97988710">
      <w:bodyDiv w:val="1"/>
      <w:marLeft w:val="0"/>
      <w:marRight w:val="0"/>
      <w:marTop w:val="0"/>
      <w:marBottom w:val="0"/>
      <w:divBdr>
        <w:top w:val="none" w:sz="0" w:space="0" w:color="auto"/>
        <w:left w:val="none" w:sz="0" w:space="0" w:color="auto"/>
        <w:bottom w:val="none" w:sz="0" w:space="0" w:color="auto"/>
        <w:right w:val="none" w:sz="0" w:space="0" w:color="auto"/>
      </w:divBdr>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193469370">
      <w:bodyDiv w:val="1"/>
      <w:marLeft w:val="0"/>
      <w:marRight w:val="0"/>
      <w:marTop w:val="0"/>
      <w:marBottom w:val="0"/>
      <w:divBdr>
        <w:top w:val="none" w:sz="0" w:space="0" w:color="auto"/>
        <w:left w:val="none" w:sz="0" w:space="0" w:color="auto"/>
        <w:bottom w:val="none" w:sz="0" w:space="0" w:color="auto"/>
        <w:right w:val="none" w:sz="0" w:space="0" w:color="auto"/>
      </w:divBdr>
      <w:divsChild>
        <w:div w:id="1508518505">
          <w:marLeft w:val="0"/>
          <w:marRight w:val="0"/>
          <w:marTop w:val="0"/>
          <w:marBottom w:val="0"/>
          <w:divBdr>
            <w:top w:val="none" w:sz="0" w:space="0" w:color="auto"/>
            <w:left w:val="none" w:sz="0" w:space="0" w:color="auto"/>
            <w:bottom w:val="none" w:sz="0" w:space="0" w:color="auto"/>
            <w:right w:val="none" w:sz="0" w:space="0" w:color="auto"/>
          </w:divBdr>
          <w:divsChild>
            <w:div w:id="998341816">
              <w:marLeft w:val="0"/>
              <w:marRight w:val="0"/>
              <w:marTop w:val="0"/>
              <w:marBottom w:val="0"/>
              <w:divBdr>
                <w:top w:val="none" w:sz="0" w:space="0" w:color="auto"/>
                <w:left w:val="none" w:sz="0" w:space="0" w:color="auto"/>
                <w:bottom w:val="none" w:sz="0" w:space="0" w:color="auto"/>
                <w:right w:val="none" w:sz="0" w:space="0" w:color="auto"/>
              </w:divBdr>
              <w:divsChild>
                <w:div w:id="7941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18594053">
      <w:bodyDiv w:val="1"/>
      <w:marLeft w:val="0"/>
      <w:marRight w:val="0"/>
      <w:marTop w:val="0"/>
      <w:marBottom w:val="0"/>
      <w:divBdr>
        <w:top w:val="none" w:sz="0" w:space="0" w:color="auto"/>
        <w:left w:val="none" w:sz="0" w:space="0" w:color="auto"/>
        <w:bottom w:val="none" w:sz="0" w:space="0" w:color="auto"/>
        <w:right w:val="none" w:sz="0" w:space="0" w:color="auto"/>
      </w:divBdr>
      <w:divsChild>
        <w:div w:id="1749111554">
          <w:marLeft w:val="0"/>
          <w:marRight w:val="0"/>
          <w:marTop w:val="0"/>
          <w:marBottom w:val="0"/>
          <w:divBdr>
            <w:top w:val="none" w:sz="0" w:space="0" w:color="auto"/>
            <w:left w:val="none" w:sz="0" w:space="0" w:color="auto"/>
            <w:bottom w:val="none" w:sz="0" w:space="0" w:color="auto"/>
            <w:right w:val="none" w:sz="0" w:space="0" w:color="auto"/>
          </w:divBdr>
          <w:divsChild>
            <w:div w:id="948392328">
              <w:marLeft w:val="0"/>
              <w:marRight w:val="0"/>
              <w:marTop w:val="0"/>
              <w:marBottom w:val="0"/>
              <w:divBdr>
                <w:top w:val="none" w:sz="0" w:space="0" w:color="auto"/>
                <w:left w:val="none" w:sz="0" w:space="0" w:color="auto"/>
                <w:bottom w:val="none" w:sz="0" w:space="0" w:color="auto"/>
                <w:right w:val="none" w:sz="0" w:space="0" w:color="auto"/>
              </w:divBdr>
              <w:divsChild>
                <w:div w:id="285084804">
                  <w:marLeft w:val="0"/>
                  <w:marRight w:val="0"/>
                  <w:marTop w:val="0"/>
                  <w:marBottom w:val="0"/>
                  <w:divBdr>
                    <w:top w:val="none" w:sz="0" w:space="0" w:color="auto"/>
                    <w:left w:val="none" w:sz="0" w:space="0" w:color="auto"/>
                    <w:bottom w:val="none" w:sz="0" w:space="0" w:color="auto"/>
                    <w:right w:val="none" w:sz="0" w:space="0" w:color="auto"/>
                  </w:divBdr>
                  <w:divsChild>
                    <w:div w:id="9593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871928">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7740792">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294794139">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89490012">
      <w:bodyDiv w:val="1"/>
      <w:marLeft w:val="0"/>
      <w:marRight w:val="0"/>
      <w:marTop w:val="0"/>
      <w:marBottom w:val="0"/>
      <w:divBdr>
        <w:top w:val="none" w:sz="0" w:space="0" w:color="auto"/>
        <w:left w:val="none" w:sz="0" w:space="0" w:color="auto"/>
        <w:bottom w:val="none" w:sz="0" w:space="0" w:color="auto"/>
        <w:right w:val="none" w:sz="0" w:space="0" w:color="auto"/>
      </w:divBdr>
      <w:divsChild>
        <w:div w:id="1326275534">
          <w:marLeft w:val="0"/>
          <w:marRight w:val="0"/>
          <w:marTop w:val="0"/>
          <w:marBottom w:val="0"/>
          <w:divBdr>
            <w:top w:val="none" w:sz="0" w:space="0" w:color="auto"/>
            <w:left w:val="none" w:sz="0" w:space="0" w:color="auto"/>
            <w:bottom w:val="none" w:sz="0" w:space="0" w:color="auto"/>
            <w:right w:val="none" w:sz="0" w:space="0" w:color="auto"/>
          </w:divBdr>
          <w:divsChild>
            <w:div w:id="420373806">
              <w:marLeft w:val="0"/>
              <w:marRight w:val="0"/>
              <w:marTop w:val="0"/>
              <w:marBottom w:val="0"/>
              <w:divBdr>
                <w:top w:val="none" w:sz="0" w:space="0" w:color="auto"/>
                <w:left w:val="none" w:sz="0" w:space="0" w:color="auto"/>
                <w:bottom w:val="none" w:sz="0" w:space="0" w:color="auto"/>
                <w:right w:val="none" w:sz="0" w:space="0" w:color="auto"/>
              </w:divBdr>
              <w:divsChild>
                <w:div w:id="1596133484">
                  <w:marLeft w:val="0"/>
                  <w:marRight w:val="0"/>
                  <w:marTop w:val="0"/>
                  <w:marBottom w:val="0"/>
                  <w:divBdr>
                    <w:top w:val="none" w:sz="0" w:space="0" w:color="auto"/>
                    <w:left w:val="none" w:sz="0" w:space="0" w:color="auto"/>
                    <w:bottom w:val="none" w:sz="0" w:space="0" w:color="auto"/>
                    <w:right w:val="none" w:sz="0" w:space="0" w:color="auto"/>
                  </w:divBdr>
                  <w:divsChild>
                    <w:div w:id="17751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7372077">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595601935">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28246113">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07418468">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18823684">
      <w:bodyDiv w:val="1"/>
      <w:marLeft w:val="0"/>
      <w:marRight w:val="0"/>
      <w:marTop w:val="0"/>
      <w:marBottom w:val="0"/>
      <w:divBdr>
        <w:top w:val="none" w:sz="0" w:space="0" w:color="auto"/>
        <w:left w:val="none" w:sz="0" w:space="0" w:color="auto"/>
        <w:bottom w:val="none" w:sz="0" w:space="0" w:color="auto"/>
        <w:right w:val="none" w:sz="0" w:space="0" w:color="auto"/>
      </w:divBdr>
      <w:divsChild>
        <w:div w:id="243228813">
          <w:marLeft w:val="0"/>
          <w:marRight w:val="0"/>
          <w:marTop w:val="0"/>
          <w:marBottom w:val="0"/>
          <w:divBdr>
            <w:top w:val="none" w:sz="0" w:space="0" w:color="auto"/>
            <w:left w:val="none" w:sz="0" w:space="0" w:color="auto"/>
            <w:bottom w:val="none" w:sz="0" w:space="0" w:color="auto"/>
            <w:right w:val="none" w:sz="0" w:space="0" w:color="auto"/>
          </w:divBdr>
          <w:divsChild>
            <w:div w:id="1726559813">
              <w:marLeft w:val="0"/>
              <w:marRight w:val="0"/>
              <w:marTop w:val="0"/>
              <w:marBottom w:val="0"/>
              <w:divBdr>
                <w:top w:val="none" w:sz="0" w:space="0" w:color="auto"/>
                <w:left w:val="none" w:sz="0" w:space="0" w:color="auto"/>
                <w:bottom w:val="none" w:sz="0" w:space="0" w:color="auto"/>
                <w:right w:val="none" w:sz="0" w:space="0" w:color="auto"/>
              </w:divBdr>
              <w:divsChild>
                <w:div w:id="19893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929994">
      <w:bodyDiv w:val="1"/>
      <w:marLeft w:val="0"/>
      <w:marRight w:val="0"/>
      <w:marTop w:val="0"/>
      <w:marBottom w:val="0"/>
      <w:divBdr>
        <w:top w:val="none" w:sz="0" w:space="0" w:color="auto"/>
        <w:left w:val="none" w:sz="0" w:space="0" w:color="auto"/>
        <w:bottom w:val="none" w:sz="0" w:space="0" w:color="auto"/>
        <w:right w:val="none" w:sz="0" w:space="0" w:color="auto"/>
      </w:divBdr>
    </w:div>
    <w:div w:id="765999471">
      <w:bodyDiv w:val="1"/>
      <w:marLeft w:val="0"/>
      <w:marRight w:val="0"/>
      <w:marTop w:val="0"/>
      <w:marBottom w:val="0"/>
      <w:divBdr>
        <w:top w:val="none" w:sz="0" w:space="0" w:color="auto"/>
        <w:left w:val="none" w:sz="0" w:space="0" w:color="auto"/>
        <w:bottom w:val="none" w:sz="0" w:space="0" w:color="auto"/>
        <w:right w:val="none" w:sz="0" w:space="0" w:color="auto"/>
      </w:divBdr>
      <w:divsChild>
        <w:div w:id="1618443487">
          <w:marLeft w:val="0"/>
          <w:marRight w:val="0"/>
          <w:marTop w:val="0"/>
          <w:marBottom w:val="0"/>
          <w:divBdr>
            <w:top w:val="none" w:sz="0" w:space="0" w:color="auto"/>
            <w:left w:val="none" w:sz="0" w:space="0" w:color="auto"/>
            <w:bottom w:val="none" w:sz="0" w:space="0" w:color="auto"/>
            <w:right w:val="none" w:sz="0" w:space="0" w:color="auto"/>
          </w:divBdr>
          <w:divsChild>
            <w:div w:id="1176650195">
              <w:marLeft w:val="0"/>
              <w:marRight w:val="0"/>
              <w:marTop w:val="0"/>
              <w:marBottom w:val="0"/>
              <w:divBdr>
                <w:top w:val="none" w:sz="0" w:space="0" w:color="auto"/>
                <w:left w:val="none" w:sz="0" w:space="0" w:color="auto"/>
                <w:bottom w:val="none" w:sz="0" w:space="0" w:color="auto"/>
                <w:right w:val="none" w:sz="0" w:space="0" w:color="auto"/>
              </w:divBdr>
              <w:divsChild>
                <w:div w:id="124538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93829">
      <w:bodyDiv w:val="1"/>
      <w:marLeft w:val="0"/>
      <w:marRight w:val="0"/>
      <w:marTop w:val="0"/>
      <w:marBottom w:val="0"/>
      <w:divBdr>
        <w:top w:val="none" w:sz="0" w:space="0" w:color="auto"/>
        <w:left w:val="none" w:sz="0" w:space="0" w:color="auto"/>
        <w:bottom w:val="none" w:sz="0" w:space="0" w:color="auto"/>
        <w:right w:val="none" w:sz="0" w:space="0" w:color="auto"/>
      </w:divBdr>
    </w:div>
    <w:div w:id="770974524">
      <w:bodyDiv w:val="1"/>
      <w:marLeft w:val="0"/>
      <w:marRight w:val="0"/>
      <w:marTop w:val="0"/>
      <w:marBottom w:val="0"/>
      <w:divBdr>
        <w:top w:val="none" w:sz="0" w:space="0" w:color="auto"/>
        <w:left w:val="none" w:sz="0" w:space="0" w:color="auto"/>
        <w:bottom w:val="none" w:sz="0" w:space="0" w:color="auto"/>
        <w:right w:val="none" w:sz="0" w:space="0" w:color="auto"/>
      </w:divBdr>
    </w:div>
    <w:div w:id="805321073">
      <w:bodyDiv w:val="1"/>
      <w:marLeft w:val="0"/>
      <w:marRight w:val="0"/>
      <w:marTop w:val="0"/>
      <w:marBottom w:val="0"/>
      <w:divBdr>
        <w:top w:val="none" w:sz="0" w:space="0" w:color="auto"/>
        <w:left w:val="none" w:sz="0" w:space="0" w:color="auto"/>
        <w:bottom w:val="none" w:sz="0" w:space="0" w:color="auto"/>
        <w:right w:val="none" w:sz="0" w:space="0" w:color="auto"/>
      </w:divBdr>
    </w:div>
    <w:div w:id="811944259">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37772648">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48563073">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67442586">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152587">
      <w:bodyDiv w:val="1"/>
      <w:marLeft w:val="0"/>
      <w:marRight w:val="0"/>
      <w:marTop w:val="0"/>
      <w:marBottom w:val="0"/>
      <w:divBdr>
        <w:top w:val="none" w:sz="0" w:space="0" w:color="auto"/>
        <w:left w:val="none" w:sz="0" w:space="0" w:color="auto"/>
        <w:bottom w:val="none" w:sz="0" w:space="0" w:color="auto"/>
        <w:right w:val="none" w:sz="0" w:space="0" w:color="auto"/>
      </w:divBdr>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59925702">
      <w:bodyDiv w:val="1"/>
      <w:marLeft w:val="0"/>
      <w:marRight w:val="0"/>
      <w:marTop w:val="0"/>
      <w:marBottom w:val="0"/>
      <w:divBdr>
        <w:top w:val="none" w:sz="0" w:space="0" w:color="auto"/>
        <w:left w:val="none" w:sz="0" w:space="0" w:color="auto"/>
        <w:bottom w:val="none" w:sz="0" w:space="0" w:color="auto"/>
        <w:right w:val="none" w:sz="0" w:space="0" w:color="auto"/>
      </w:divBdr>
      <w:divsChild>
        <w:div w:id="1498501651">
          <w:marLeft w:val="0"/>
          <w:marRight w:val="0"/>
          <w:marTop w:val="0"/>
          <w:marBottom w:val="0"/>
          <w:divBdr>
            <w:top w:val="none" w:sz="0" w:space="0" w:color="auto"/>
            <w:left w:val="none" w:sz="0" w:space="0" w:color="auto"/>
            <w:bottom w:val="none" w:sz="0" w:space="0" w:color="auto"/>
            <w:right w:val="none" w:sz="0" w:space="0" w:color="auto"/>
          </w:divBdr>
          <w:divsChild>
            <w:div w:id="1568491167">
              <w:marLeft w:val="0"/>
              <w:marRight w:val="0"/>
              <w:marTop w:val="0"/>
              <w:marBottom w:val="0"/>
              <w:divBdr>
                <w:top w:val="none" w:sz="0" w:space="0" w:color="auto"/>
                <w:left w:val="none" w:sz="0" w:space="0" w:color="auto"/>
                <w:bottom w:val="none" w:sz="0" w:space="0" w:color="auto"/>
                <w:right w:val="none" w:sz="0" w:space="0" w:color="auto"/>
              </w:divBdr>
              <w:divsChild>
                <w:div w:id="13783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2800">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7378720">
      <w:bodyDiv w:val="1"/>
      <w:marLeft w:val="0"/>
      <w:marRight w:val="0"/>
      <w:marTop w:val="0"/>
      <w:marBottom w:val="0"/>
      <w:divBdr>
        <w:top w:val="none" w:sz="0" w:space="0" w:color="auto"/>
        <w:left w:val="none" w:sz="0" w:space="0" w:color="auto"/>
        <w:bottom w:val="none" w:sz="0" w:space="0" w:color="auto"/>
        <w:right w:val="none" w:sz="0" w:space="0" w:color="auto"/>
      </w:divBdr>
    </w:div>
    <w:div w:id="1505702840">
      <w:bodyDiv w:val="1"/>
      <w:marLeft w:val="0"/>
      <w:marRight w:val="0"/>
      <w:marTop w:val="0"/>
      <w:marBottom w:val="0"/>
      <w:divBdr>
        <w:top w:val="none" w:sz="0" w:space="0" w:color="auto"/>
        <w:left w:val="none" w:sz="0" w:space="0" w:color="auto"/>
        <w:bottom w:val="none" w:sz="0" w:space="0" w:color="auto"/>
        <w:right w:val="none" w:sz="0" w:space="0" w:color="auto"/>
      </w:divBdr>
      <w:divsChild>
        <w:div w:id="2134865934">
          <w:marLeft w:val="0"/>
          <w:marRight w:val="0"/>
          <w:marTop w:val="0"/>
          <w:marBottom w:val="0"/>
          <w:divBdr>
            <w:top w:val="none" w:sz="0" w:space="0" w:color="auto"/>
            <w:left w:val="none" w:sz="0" w:space="0" w:color="auto"/>
            <w:bottom w:val="none" w:sz="0" w:space="0" w:color="auto"/>
            <w:right w:val="none" w:sz="0" w:space="0" w:color="auto"/>
          </w:divBdr>
          <w:divsChild>
            <w:div w:id="1538270804">
              <w:marLeft w:val="0"/>
              <w:marRight w:val="0"/>
              <w:marTop w:val="0"/>
              <w:marBottom w:val="0"/>
              <w:divBdr>
                <w:top w:val="none" w:sz="0" w:space="0" w:color="auto"/>
                <w:left w:val="none" w:sz="0" w:space="0" w:color="auto"/>
                <w:bottom w:val="none" w:sz="0" w:space="0" w:color="auto"/>
                <w:right w:val="none" w:sz="0" w:space="0" w:color="auto"/>
              </w:divBdr>
              <w:divsChild>
                <w:div w:id="11120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569733179">
      <w:bodyDiv w:val="1"/>
      <w:marLeft w:val="0"/>
      <w:marRight w:val="0"/>
      <w:marTop w:val="0"/>
      <w:marBottom w:val="0"/>
      <w:divBdr>
        <w:top w:val="none" w:sz="0" w:space="0" w:color="auto"/>
        <w:left w:val="none" w:sz="0" w:space="0" w:color="auto"/>
        <w:bottom w:val="none" w:sz="0" w:space="0" w:color="auto"/>
        <w:right w:val="none" w:sz="0" w:space="0" w:color="auto"/>
      </w:divBdr>
    </w:div>
    <w:div w:id="1595817929">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94727016">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832599845">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40074917">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906642402">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27495486">
      <w:bodyDiv w:val="1"/>
      <w:marLeft w:val="0"/>
      <w:marRight w:val="0"/>
      <w:marTop w:val="0"/>
      <w:marBottom w:val="0"/>
      <w:divBdr>
        <w:top w:val="none" w:sz="0" w:space="0" w:color="auto"/>
        <w:left w:val="none" w:sz="0" w:space="0" w:color="auto"/>
        <w:bottom w:val="none" w:sz="0" w:space="0" w:color="auto"/>
        <w:right w:val="none" w:sz="0" w:space="0" w:color="auto"/>
      </w:divBdr>
    </w:div>
    <w:div w:id="1980452437">
      <w:bodyDiv w:val="1"/>
      <w:marLeft w:val="0"/>
      <w:marRight w:val="0"/>
      <w:marTop w:val="0"/>
      <w:marBottom w:val="0"/>
      <w:divBdr>
        <w:top w:val="none" w:sz="0" w:space="0" w:color="auto"/>
        <w:left w:val="none" w:sz="0" w:space="0" w:color="auto"/>
        <w:bottom w:val="none" w:sz="0" w:space="0" w:color="auto"/>
        <w:right w:val="none" w:sz="0" w:space="0" w:color="auto"/>
      </w:divBdr>
    </w:div>
    <w:div w:id="2006667897">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06871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mass-general-brigham-incorporated-bwfh-responses-to-don-questions-1/downloa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4" ma:contentTypeDescription="Create a new document." ma:contentTypeScope="" ma:versionID="9efdff8c87d957fb9266ea99792936b3">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f049102396dbe125788a0596bb110d46"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Bhuiya, Nazmim (DPH)</DisplayName>
        <AccountId>17</AccountId>
        <AccountType/>
      </UserInfo>
      <UserInfo>
        <DisplayName>Szent-Gyorgyi, Lara (DPH)</DisplayName>
        <AccountId>10</AccountId>
        <AccountType/>
      </UserInfo>
    </SharedWithUsers>
  </documentManagement>
</p:properties>
</file>

<file path=customXml/itemProps1.xml><?xml version="1.0" encoding="utf-8"?>
<ds:datastoreItem xmlns:ds="http://schemas.openxmlformats.org/officeDocument/2006/customXml" ds:itemID="{DE82C28E-AA2E-40A7-8915-C8525DFFAB2F}">
  <ds:schemaRefs>
    <ds:schemaRef ds:uri="http://schemas.microsoft.com/sharepoint/v3/contenttype/forms"/>
  </ds:schemaRefs>
</ds:datastoreItem>
</file>

<file path=customXml/itemProps2.xml><?xml version="1.0" encoding="utf-8"?>
<ds:datastoreItem xmlns:ds="http://schemas.openxmlformats.org/officeDocument/2006/customXml" ds:itemID="{722FDD77-52BB-4958-86EF-D059F239B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customXml/itemProps4.xml><?xml version="1.0" encoding="utf-8"?>
<ds:datastoreItem xmlns:ds="http://schemas.openxmlformats.org/officeDocument/2006/customXml" ds:itemID="{A07741E0-6E8C-47E1-A234-01083508BAF2}">
  <ds:schemaRefs>
    <ds:schemaRef ds:uri="http://schemas.microsoft.com/office/2006/metadata/properties"/>
    <ds:schemaRef ds:uri="http://schemas.microsoft.com/office/infopath/2007/PartnerControls"/>
    <ds:schemaRef ds:uri="fb1e1941-e971-4fcd-9647-5c92aa44abc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17655</Words>
  <Characters>100636</Characters>
  <Application>Microsoft Office Word</Application>
  <DocSecurity>4</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McNamara, Torey (DPH)</cp:lastModifiedBy>
  <cp:revision>2</cp:revision>
  <cp:lastPrinted>2022-03-07T20:30:00Z</cp:lastPrinted>
  <dcterms:created xsi:type="dcterms:W3CDTF">2022-04-01T20:44:00Z</dcterms:created>
  <dcterms:modified xsi:type="dcterms:W3CDTF">2022-04-01T20:44:00Z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