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807B8" w14:textId="242FBD8A" w:rsidR="00EB4BC6" w:rsidRPr="000669A3" w:rsidRDefault="00EB4BC6" w:rsidP="00667F3A">
      <w:pPr>
        <w:rPr>
          <w:rFonts w:ascii="Times New Roman" w:hAnsi="Times New Roman" w:cs="Times New Roman"/>
          <w:sz w:val="23"/>
          <w:szCs w:val="23"/>
          <w:u w:val="single"/>
        </w:rPr>
      </w:pPr>
      <w:r w:rsidRPr="000669A3">
        <w:rPr>
          <w:rFonts w:ascii="Times New Roman" w:hAnsi="Times New Roman" w:cs="Times New Roman"/>
          <w:sz w:val="23"/>
          <w:szCs w:val="23"/>
          <w:u w:val="single"/>
        </w:rPr>
        <w:t>Project Overview</w:t>
      </w:r>
    </w:p>
    <w:p w14:paraId="6E2F7ECC" w14:textId="5687255B" w:rsidR="00667F3A" w:rsidRPr="000669A3" w:rsidRDefault="003C587A" w:rsidP="00667F3A">
      <w:pPr>
        <w:rPr>
          <w:rFonts w:ascii="Times New Roman" w:hAnsi="Times New Roman" w:cs="Times New Roman"/>
          <w:sz w:val="23"/>
          <w:szCs w:val="23"/>
        </w:rPr>
      </w:pPr>
      <w:r w:rsidRPr="000669A3">
        <w:rPr>
          <w:rFonts w:ascii="Times New Roman" w:hAnsi="Times New Roman" w:cs="Times New Roman"/>
          <w:sz w:val="23"/>
          <w:szCs w:val="23"/>
        </w:rPr>
        <w:t xml:space="preserve">As outlined in the DoN application, </w:t>
      </w:r>
      <w:r w:rsidR="00667F3A" w:rsidRPr="000669A3">
        <w:rPr>
          <w:rFonts w:ascii="Times New Roman" w:hAnsi="Times New Roman" w:cs="Times New Roman"/>
          <w:sz w:val="23"/>
          <w:szCs w:val="23"/>
        </w:rPr>
        <w:t>Massachusetts General Hospital</w:t>
      </w:r>
      <w:r w:rsidRPr="000669A3">
        <w:rPr>
          <w:rFonts w:ascii="Times New Roman" w:hAnsi="Times New Roman" w:cs="Times New Roman"/>
          <w:sz w:val="23"/>
          <w:szCs w:val="23"/>
        </w:rPr>
        <w:t xml:space="preserve"> (MGH)</w:t>
      </w:r>
      <w:r w:rsidR="00667F3A" w:rsidRPr="000669A3">
        <w:rPr>
          <w:rFonts w:ascii="Times New Roman" w:hAnsi="Times New Roman" w:cs="Times New Roman"/>
          <w:sz w:val="23"/>
          <w:szCs w:val="23"/>
        </w:rPr>
        <w:t xml:space="preserve"> does not have adequate inpatient capacity to meet the current and future needs of its patient panel. This is due to the main campus’s physical plant, which ultimately inhibits MGH’s ability to provide timely and efficient care to its patients. The Proposed Project will meaningfully contribute to a resolution</w:t>
      </w:r>
      <w:r w:rsidRPr="000669A3">
        <w:rPr>
          <w:rFonts w:ascii="Times New Roman" w:hAnsi="Times New Roman" w:cs="Times New Roman"/>
          <w:sz w:val="23"/>
          <w:szCs w:val="23"/>
        </w:rPr>
        <w:t xml:space="preserve"> of current capacity challenges</w:t>
      </w:r>
      <w:r w:rsidR="00667F3A" w:rsidRPr="000669A3">
        <w:rPr>
          <w:rFonts w:ascii="Times New Roman" w:hAnsi="Times New Roman" w:cs="Times New Roman"/>
          <w:sz w:val="23"/>
          <w:szCs w:val="23"/>
        </w:rPr>
        <w:t xml:space="preserve"> by decompressing existing multi-bedded rooms and relocating them to the proposed 4</w:t>
      </w:r>
      <w:r w:rsidRPr="000669A3">
        <w:rPr>
          <w:rFonts w:ascii="Times New Roman" w:hAnsi="Times New Roman" w:cs="Times New Roman"/>
          <w:sz w:val="23"/>
          <w:szCs w:val="23"/>
        </w:rPr>
        <w:t>82</w:t>
      </w:r>
      <w:r w:rsidR="00667F3A" w:rsidRPr="000669A3">
        <w:rPr>
          <w:rFonts w:ascii="Times New Roman" w:hAnsi="Times New Roman" w:cs="Times New Roman"/>
          <w:sz w:val="23"/>
          <w:szCs w:val="23"/>
        </w:rPr>
        <w:t xml:space="preserve"> bed new facility, resulting in </w:t>
      </w:r>
      <w:r w:rsidR="00A40F4D" w:rsidRPr="000669A3">
        <w:rPr>
          <w:rFonts w:ascii="Times New Roman" w:hAnsi="Times New Roman" w:cs="Times New Roman"/>
          <w:sz w:val="23"/>
          <w:szCs w:val="23"/>
        </w:rPr>
        <w:t xml:space="preserve">more </w:t>
      </w:r>
      <w:r w:rsidR="00667F3A" w:rsidRPr="000669A3">
        <w:rPr>
          <w:rFonts w:ascii="Times New Roman" w:hAnsi="Times New Roman" w:cs="Times New Roman"/>
          <w:sz w:val="23"/>
          <w:szCs w:val="23"/>
        </w:rPr>
        <w:t>single bed rooms</w:t>
      </w:r>
      <w:r w:rsidR="00A40F4D" w:rsidRPr="000669A3">
        <w:rPr>
          <w:rFonts w:ascii="Times New Roman" w:hAnsi="Times New Roman" w:cs="Times New Roman"/>
          <w:sz w:val="23"/>
          <w:szCs w:val="23"/>
        </w:rPr>
        <w:t xml:space="preserve"> across the campus</w:t>
      </w:r>
      <w:r w:rsidR="00667F3A" w:rsidRPr="000669A3">
        <w:rPr>
          <w:rFonts w:ascii="Times New Roman" w:hAnsi="Times New Roman" w:cs="Times New Roman"/>
          <w:sz w:val="23"/>
          <w:szCs w:val="23"/>
        </w:rPr>
        <w:t xml:space="preserve"> and a total increase of 54 med/surg and 40 ICU beds at MGH. By relocating beds </w:t>
      </w:r>
      <w:r w:rsidRPr="000669A3">
        <w:rPr>
          <w:rFonts w:ascii="Times New Roman" w:hAnsi="Times New Roman" w:cs="Times New Roman"/>
          <w:sz w:val="23"/>
          <w:szCs w:val="23"/>
        </w:rPr>
        <w:t xml:space="preserve">from existing aged buildings </w:t>
      </w:r>
      <w:r w:rsidR="00667F3A" w:rsidRPr="000669A3">
        <w:rPr>
          <w:rFonts w:ascii="Times New Roman" w:hAnsi="Times New Roman" w:cs="Times New Roman"/>
          <w:sz w:val="23"/>
          <w:szCs w:val="23"/>
        </w:rPr>
        <w:t>to construct the new facility, MGH will be able to cohort</w:t>
      </w:r>
      <w:r w:rsidRPr="000669A3">
        <w:rPr>
          <w:rFonts w:ascii="Times New Roman" w:hAnsi="Times New Roman" w:cs="Times New Roman"/>
          <w:sz w:val="23"/>
          <w:szCs w:val="23"/>
        </w:rPr>
        <w:t xml:space="preserve"> </w:t>
      </w:r>
      <w:r w:rsidR="00A40F4D" w:rsidRPr="000669A3">
        <w:rPr>
          <w:rFonts w:ascii="Times New Roman" w:hAnsi="Times New Roman" w:cs="Times New Roman"/>
          <w:sz w:val="23"/>
          <w:szCs w:val="23"/>
        </w:rPr>
        <w:t>patients with</w:t>
      </w:r>
      <w:r w:rsidR="00667F3A" w:rsidRPr="000669A3">
        <w:rPr>
          <w:rFonts w:ascii="Times New Roman" w:hAnsi="Times New Roman" w:cs="Times New Roman"/>
          <w:sz w:val="23"/>
          <w:szCs w:val="23"/>
        </w:rPr>
        <w:t xml:space="preserve"> the two most prevalent diseases experienced by its patient panel- cancer and cardiac, eliminating current conditions that impact throughput across the campus and providing better care coordination</w:t>
      </w:r>
      <w:r w:rsidRPr="000669A3">
        <w:rPr>
          <w:rFonts w:ascii="Times New Roman" w:hAnsi="Times New Roman" w:cs="Times New Roman"/>
          <w:sz w:val="23"/>
          <w:szCs w:val="23"/>
        </w:rPr>
        <w:t xml:space="preserve"> for</w:t>
      </w:r>
      <w:r w:rsidR="00667F3A" w:rsidRPr="000669A3">
        <w:rPr>
          <w:rFonts w:ascii="Times New Roman" w:hAnsi="Times New Roman" w:cs="Times New Roman"/>
          <w:sz w:val="23"/>
          <w:szCs w:val="23"/>
        </w:rPr>
        <w:t xml:space="preserve"> cancer and cardiac patients. </w:t>
      </w:r>
    </w:p>
    <w:p w14:paraId="19B1062D" w14:textId="48CAEB01" w:rsidR="00EB4BC6" w:rsidRPr="000669A3" w:rsidRDefault="00EB4BC6" w:rsidP="00667F3A">
      <w:pPr>
        <w:rPr>
          <w:rFonts w:ascii="Times New Roman" w:hAnsi="Times New Roman" w:cs="Times New Roman"/>
          <w:sz w:val="23"/>
          <w:szCs w:val="23"/>
          <w:u w:val="single"/>
        </w:rPr>
      </w:pPr>
      <w:r w:rsidRPr="000669A3">
        <w:rPr>
          <w:rFonts w:ascii="Times New Roman" w:hAnsi="Times New Roman" w:cs="Times New Roman"/>
          <w:sz w:val="23"/>
          <w:szCs w:val="23"/>
          <w:u w:val="single"/>
        </w:rPr>
        <w:t>Current Challenges That Project Will Address</w:t>
      </w:r>
    </w:p>
    <w:p w14:paraId="03930D4C" w14:textId="7688A9BA" w:rsidR="00667F3A" w:rsidRPr="000669A3" w:rsidRDefault="00667F3A" w:rsidP="00667F3A">
      <w:pPr>
        <w:rPr>
          <w:rFonts w:ascii="Times New Roman" w:hAnsi="Times New Roman" w:cs="Times New Roman"/>
          <w:sz w:val="23"/>
          <w:szCs w:val="23"/>
        </w:rPr>
      </w:pPr>
      <w:r w:rsidRPr="000669A3">
        <w:rPr>
          <w:rFonts w:ascii="Times New Roman" w:hAnsi="Times New Roman" w:cs="Times New Roman"/>
          <w:sz w:val="23"/>
          <w:szCs w:val="23"/>
        </w:rPr>
        <w:t xml:space="preserve">MGH lacks adequate single bed capacity, with only 38% of all beds in single-bedded rooms. Multi-bed rooms result in blocked beds, ultimately lowering the hospital’s capacity </w:t>
      </w:r>
      <w:proofErr w:type="gramStart"/>
      <w:r w:rsidRPr="000669A3">
        <w:rPr>
          <w:rFonts w:ascii="Times New Roman" w:hAnsi="Times New Roman" w:cs="Times New Roman"/>
          <w:sz w:val="23"/>
          <w:szCs w:val="23"/>
        </w:rPr>
        <w:t>on a daily basis</w:t>
      </w:r>
      <w:proofErr w:type="gramEnd"/>
      <w:r w:rsidRPr="000669A3">
        <w:rPr>
          <w:rFonts w:ascii="Times New Roman" w:hAnsi="Times New Roman" w:cs="Times New Roman"/>
          <w:sz w:val="23"/>
          <w:szCs w:val="23"/>
        </w:rPr>
        <w:t xml:space="preserve">. In addition, patient length of stay and acuity is increasing, making less beds available for new patients. This will increase as the patient panel ages. The lack of adequate inpatient med/surg bed capacity at MGH is evidenced by overcrowding in its ED and PACU, and the inability to accept transfers from community hospitals that do not have the capabilities that MGH has to care for high acuity patients. Without adequate bed capacity, MGH is unable to move patients to the most appropriate location for their condition causing delays in care and care delivered in less than optimal settings. Finally, MGH is a resource for providing complex care to patients, but also serves as a community hospital for residents in Boston, Revere and Chelsea, providing secondary care to its primary service area patients coming through the ED.  </w:t>
      </w:r>
    </w:p>
    <w:p w14:paraId="48338A49" w14:textId="7D3748E6" w:rsidR="00AD38B9" w:rsidRPr="000669A3" w:rsidRDefault="00A517B9" w:rsidP="00D9065C">
      <w:pPr>
        <w:rPr>
          <w:rFonts w:ascii="Times New Roman" w:hAnsi="Times New Roman" w:cs="Times New Roman"/>
          <w:sz w:val="23"/>
          <w:szCs w:val="23"/>
        </w:rPr>
      </w:pPr>
      <w:r w:rsidRPr="000669A3">
        <w:rPr>
          <w:rFonts w:ascii="Times New Roman" w:hAnsi="Times New Roman" w:cs="Times New Roman"/>
          <w:sz w:val="23"/>
          <w:szCs w:val="23"/>
        </w:rPr>
        <w:t>MGH, like other hospitals</w:t>
      </w:r>
      <w:r w:rsidR="00667F3A" w:rsidRPr="000669A3">
        <w:rPr>
          <w:rFonts w:ascii="Times New Roman" w:hAnsi="Times New Roman" w:cs="Times New Roman"/>
          <w:sz w:val="23"/>
          <w:szCs w:val="23"/>
        </w:rPr>
        <w:t>, attempts</w:t>
      </w:r>
      <w:r w:rsidRPr="000669A3">
        <w:rPr>
          <w:rFonts w:ascii="Times New Roman" w:hAnsi="Times New Roman" w:cs="Times New Roman"/>
          <w:sz w:val="23"/>
          <w:szCs w:val="23"/>
        </w:rPr>
        <w:t xml:space="preserve"> to cohort patients </w:t>
      </w:r>
      <w:r w:rsidR="00B54113" w:rsidRPr="000669A3">
        <w:rPr>
          <w:rFonts w:ascii="Times New Roman" w:hAnsi="Times New Roman" w:cs="Times New Roman"/>
          <w:sz w:val="23"/>
          <w:szCs w:val="23"/>
        </w:rPr>
        <w:t xml:space="preserve">with similar clinical needs on </w:t>
      </w:r>
      <w:r w:rsidR="00382394" w:rsidRPr="000669A3">
        <w:rPr>
          <w:rFonts w:ascii="Times New Roman" w:hAnsi="Times New Roman" w:cs="Times New Roman"/>
          <w:sz w:val="23"/>
          <w:szCs w:val="23"/>
        </w:rPr>
        <w:t xml:space="preserve">inpatient care </w:t>
      </w:r>
      <w:r w:rsidR="00E060A0" w:rsidRPr="000669A3">
        <w:rPr>
          <w:rFonts w:ascii="Times New Roman" w:hAnsi="Times New Roman" w:cs="Times New Roman"/>
          <w:sz w:val="23"/>
          <w:szCs w:val="23"/>
        </w:rPr>
        <w:t>floors</w:t>
      </w:r>
      <w:r w:rsidR="00B54113" w:rsidRPr="000669A3">
        <w:rPr>
          <w:rFonts w:ascii="Times New Roman" w:hAnsi="Times New Roman" w:cs="Times New Roman"/>
          <w:sz w:val="23"/>
          <w:szCs w:val="23"/>
        </w:rPr>
        <w:t xml:space="preserve"> where they can be matched with </w:t>
      </w:r>
      <w:r w:rsidR="00D9065C" w:rsidRPr="000669A3">
        <w:rPr>
          <w:rFonts w:ascii="Times New Roman" w:hAnsi="Times New Roman" w:cs="Times New Roman"/>
          <w:sz w:val="23"/>
          <w:szCs w:val="23"/>
        </w:rPr>
        <w:t>teams</w:t>
      </w:r>
      <w:r w:rsidR="00B54113" w:rsidRPr="000669A3">
        <w:rPr>
          <w:rFonts w:ascii="Times New Roman" w:hAnsi="Times New Roman" w:cs="Times New Roman"/>
          <w:sz w:val="23"/>
          <w:szCs w:val="23"/>
        </w:rPr>
        <w:t xml:space="preserve"> </w:t>
      </w:r>
      <w:r w:rsidR="00D9065C" w:rsidRPr="000669A3">
        <w:rPr>
          <w:rFonts w:ascii="Times New Roman" w:hAnsi="Times New Roman" w:cs="Times New Roman"/>
          <w:sz w:val="23"/>
          <w:szCs w:val="23"/>
        </w:rPr>
        <w:t xml:space="preserve">that have </w:t>
      </w:r>
      <w:r w:rsidR="00B54113" w:rsidRPr="000669A3">
        <w:rPr>
          <w:rFonts w:ascii="Times New Roman" w:hAnsi="Times New Roman" w:cs="Times New Roman"/>
          <w:sz w:val="23"/>
          <w:szCs w:val="23"/>
        </w:rPr>
        <w:t>sub-specialty expertise</w:t>
      </w:r>
      <w:r w:rsidRPr="000669A3">
        <w:rPr>
          <w:rFonts w:ascii="Times New Roman" w:hAnsi="Times New Roman" w:cs="Times New Roman"/>
          <w:sz w:val="23"/>
          <w:szCs w:val="23"/>
        </w:rPr>
        <w:t xml:space="preserve">.  </w:t>
      </w:r>
      <w:r w:rsidR="00D9065C" w:rsidRPr="000669A3">
        <w:rPr>
          <w:rFonts w:ascii="Times New Roman" w:hAnsi="Times New Roman" w:cs="Times New Roman"/>
          <w:sz w:val="23"/>
          <w:szCs w:val="23"/>
        </w:rPr>
        <w:t xml:space="preserve">MGH </w:t>
      </w:r>
      <w:r w:rsidR="00210B0F" w:rsidRPr="000669A3">
        <w:rPr>
          <w:rFonts w:ascii="Times New Roman" w:hAnsi="Times New Roman" w:cs="Times New Roman"/>
          <w:sz w:val="23"/>
          <w:szCs w:val="23"/>
        </w:rPr>
        <w:t>has</w:t>
      </w:r>
      <w:r w:rsidR="00D9065C" w:rsidRPr="000669A3">
        <w:rPr>
          <w:rFonts w:ascii="Times New Roman" w:hAnsi="Times New Roman" w:cs="Times New Roman"/>
          <w:sz w:val="23"/>
          <w:szCs w:val="23"/>
        </w:rPr>
        <w:t xml:space="preserve"> </w:t>
      </w:r>
      <w:r w:rsidR="000D7BA7" w:rsidRPr="000669A3">
        <w:rPr>
          <w:rFonts w:ascii="Times New Roman" w:hAnsi="Times New Roman" w:cs="Times New Roman"/>
          <w:sz w:val="23"/>
          <w:szCs w:val="23"/>
        </w:rPr>
        <w:t xml:space="preserve">20 </w:t>
      </w:r>
      <w:r w:rsidR="00D9065C" w:rsidRPr="000669A3">
        <w:rPr>
          <w:rFonts w:ascii="Times New Roman" w:hAnsi="Times New Roman" w:cs="Times New Roman"/>
          <w:sz w:val="23"/>
          <w:szCs w:val="23"/>
        </w:rPr>
        <w:t xml:space="preserve">inpatient </w:t>
      </w:r>
      <w:r w:rsidR="000A00FE" w:rsidRPr="000669A3">
        <w:rPr>
          <w:rFonts w:ascii="Times New Roman" w:hAnsi="Times New Roman" w:cs="Times New Roman"/>
          <w:sz w:val="23"/>
          <w:szCs w:val="23"/>
        </w:rPr>
        <w:t>floors</w:t>
      </w:r>
      <w:r w:rsidR="00D9065C" w:rsidRPr="000669A3">
        <w:rPr>
          <w:rFonts w:ascii="Times New Roman" w:hAnsi="Times New Roman" w:cs="Times New Roman"/>
          <w:sz w:val="23"/>
          <w:szCs w:val="23"/>
        </w:rPr>
        <w:t xml:space="preserve"> focused </w:t>
      </w:r>
      <w:r w:rsidR="00A13129" w:rsidRPr="000669A3">
        <w:rPr>
          <w:rFonts w:ascii="Times New Roman" w:hAnsi="Times New Roman" w:cs="Times New Roman"/>
          <w:sz w:val="23"/>
          <w:szCs w:val="23"/>
        </w:rPr>
        <w:t>on</w:t>
      </w:r>
      <w:r w:rsidR="00D9065C" w:rsidRPr="000669A3">
        <w:rPr>
          <w:rFonts w:ascii="Times New Roman" w:hAnsi="Times New Roman" w:cs="Times New Roman"/>
          <w:sz w:val="23"/>
          <w:szCs w:val="23"/>
        </w:rPr>
        <w:t xml:space="preserve"> the following sub-specialty populations: burns, cardiology, gynecology, neurology, oncology, orthopedics, transplant, </w:t>
      </w:r>
      <w:r w:rsidR="00A13129" w:rsidRPr="000669A3">
        <w:rPr>
          <w:rFonts w:ascii="Times New Roman" w:hAnsi="Times New Roman" w:cs="Times New Roman"/>
          <w:sz w:val="23"/>
          <w:szCs w:val="23"/>
        </w:rPr>
        <w:t xml:space="preserve">vascular, </w:t>
      </w:r>
      <w:r w:rsidR="00D9065C" w:rsidRPr="000669A3">
        <w:rPr>
          <w:rFonts w:ascii="Times New Roman" w:hAnsi="Times New Roman" w:cs="Times New Roman"/>
          <w:sz w:val="23"/>
          <w:szCs w:val="23"/>
        </w:rPr>
        <w:t xml:space="preserve">and urology.  In addition, there are </w:t>
      </w:r>
      <w:r w:rsidR="000D7BA7" w:rsidRPr="000669A3">
        <w:rPr>
          <w:rFonts w:ascii="Times New Roman" w:hAnsi="Times New Roman" w:cs="Times New Roman"/>
          <w:sz w:val="23"/>
          <w:szCs w:val="23"/>
        </w:rPr>
        <w:t>13</w:t>
      </w:r>
      <w:r w:rsidR="00D9065C" w:rsidRPr="000669A3">
        <w:rPr>
          <w:rFonts w:ascii="Times New Roman" w:hAnsi="Times New Roman" w:cs="Times New Roman"/>
          <w:sz w:val="23"/>
          <w:szCs w:val="23"/>
        </w:rPr>
        <w:t xml:space="preserve"> floors that are less specialized and intended for general medicine and surgery</w:t>
      </w:r>
      <w:r w:rsidR="000A00FE" w:rsidRPr="000669A3">
        <w:rPr>
          <w:rFonts w:ascii="Times New Roman" w:hAnsi="Times New Roman" w:cs="Times New Roman"/>
          <w:sz w:val="23"/>
          <w:szCs w:val="23"/>
        </w:rPr>
        <w:t xml:space="preserve"> inpatients.</w:t>
      </w:r>
    </w:p>
    <w:p w14:paraId="29C7323E" w14:textId="763715E0" w:rsidR="00EB4BC6" w:rsidRPr="000669A3" w:rsidRDefault="00EB4BC6" w:rsidP="00D9065C">
      <w:pPr>
        <w:rPr>
          <w:rFonts w:ascii="Times New Roman" w:hAnsi="Times New Roman" w:cs="Times New Roman"/>
          <w:sz w:val="23"/>
          <w:szCs w:val="23"/>
          <w:u w:val="single"/>
        </w:rPr>
      </w:pPr>
      <w:r w:rsidRPr="000669A3">
        <w:rPr>
          <w:rFonts w:ascii="Times New Roman" w:hAnsi="Times New Roman" w:cs="Times New Roman"/>
          <w:sz w:val="23"/>
          <w:szCs w:val="23"/>
          <w:u w:val="single"/>
        </w:rPr>
        <w:t>Bed Need Analysis</w:t>
      </w:r>
    </w:p>
    <w:p w14:paraId="54A7BA01" w14:textId="321202B1" w:rsidR="00AD38B9" w:rsidRPr="000669A3" w:rsidRDefault="00AD38B9" w:rsidP="00D9065C">
      <w:pPr>
        <w:rPr>
          <w:rFonts w:ascii="Times New Roman" w:hAnsi="Times New Roman" w:cs="Times New Roman"/>
          <w:sz w:val="23"/>
          <w:szCs w:val="23"/>
        </w:rPr>
      </w:pPr>
      <w:r w:rsidRPr="000669A3">
        <w:rPr>
          <w:rFonts w:ascii="Times New Roman" w:hAnsi="Times New Roman" w:cs="Times New Roman"/>
          <w:sz w:val="23"/>
          <w:szCs w:val="23"/>
        </w:rPr>
        <w:t xml:space="preserve">In order to determine the </w:t>
      </w:r>
      <w:proofErr w:type="gramStart"/>
      <w:r w:rsidRPr="000669A3">
        <w:rPr>
          <w:rFonts w:ascii="Times New Roman" w:hAnsi="Times New Roman" w:cs="Times New Roman"/>
          <w:sz w:val="23"/>
          <w:szCs w:val="23"/>
        </w:rPr>
        <w:t>bed</w:t>
      </w:r>
      <w:proofErr w:type="gramEnd"/>
      <w:r w:rsidRPr="000669A3">
        <w:rPr>
          <w:rFonts w:ascii="Times New Roman" w:hAnsi="Times New Roman" w:cs="Times New Roman"/>
          <w:sz w:val="23"/>
          <w:szCs w:val="23"/>
        </w:rPr>
        <w:t xml:space="preserve"> need for the future </w:t>
      </w:r>
      <w:r w:rsidR="00667F3A" w:rsidRPr="000669A3">
        <w:rPr>
          <w:rFonts w:ascii="Times New Roman" w:hAnsi="Times New Roman" w:cs="Times New Roman"/>
          <w:sz w:val="23"/>
          <w:szCs w:val="23"/>
        </w:rPr>
        <w:t>MGH</w:t>
      </w:r>
      <w:r w:rsidRPr="000669A3">
        <w:rPr>
          <w:rFonts w:ascii="Times New Roman" w:hAnsi="Times New Roman" w:cs="Times New Roman"/>
          <w:sz w:val="23"/>
          <w:szCs w:val="23"/>
        </w:rPr>
        <w:t xml:space="preserve"> combined two views.  The first was the overall </w:t>
      </w:r>
      <w:r w:rsidR="00A40F4D" w:rsidRPr="000669A3">
        <w:rPr>
          <w:rFonts w:ascii="Times New Roman" w:hAnsi="Times New Roman" w:cs="Times New Roman"/>
          <w:sz w:val="23"/>
          <w:szCs w:val="23"/>
        </w:rPr>
        <w:t>discharge</w:t>
      </w:r>
      <w:r w:rsidR="00656BF6" w:rsidRPr="000669A3">
        <w:rPr>
          <w:rFonts w:ascii="Times New Roman" w:hAnsi="Times New Roman" w:cs="Times New Roman"/>
          <w:sz w:val="23"/>
          <w:szCs w:val="23"/>
        </w:rPr>
        <w:t>/patient days</w:t>
      </w:r>
      <w:r w:rsidRPr="000669A3">
        <w:rPr>
          <w:rFonts w:ascii="Times New Roman" w:hAnsi="Times New Roman" w:cs="Times New Roman"/>
          <w:sz w:val="23"/>
          <w:szCs w:val="23"/>
        </w:rPr>
        <w:t xml:space="preserve"> volume for three distinct areas: Cancer Center, Heart Center and all other Med/Surg patient populations (excludes OB, Newborn, Psych and Pediatrics).  </w:t>
      </w:r>
      <w:r w:rsidR="00667F3A" w:rsidRPr="000669A3">
        <w:rPr>
          <w:rFonts w:ascii="Times New Roman" w:hAnsi="Times New Roman" w:cs="Times New Roman"/>
          <w:sz w:val="23"/>
          <w:szCs w:val="23"/>
        </w:rPr>
        <w:t>Annual growth projections were developed for each of these three areas u</w:t>
      </w:r>
      <w:r w:rsidRPr="000669A3">
        <w:rPr>
          <w:rFonts w:ascii="Times New Roman" w:hAnsi="Times New Roman" w:cs="Times New Roman"/>
          <w:sz w:val="23"/>
          <w:szCs w:val="23"/>
        </w:rPr>
        <w:t>sing outside market research firms (SG2, Truven)</w:t>
      </w:r>
      <w:r w:rsidR="00667F3A" w:rsidRPr="000669A3">
        <w:rPr>
          <w:rFonts w:ascii="Times New Roman" w:hAnsi="Times New Roman" w:cs="Times New Roman"/>
          <w:sz w:val="23"/>
          <w:szCs w:val="23"/>
        </w:rPr>
        <w:t xml:space="preserve"> </w:t>
      </w:r>
      <w:r w:rsidR="00A40F4D" w:rsidRPr="000669A3">
        <w:rPr>
          <w:rFonts w:ascii="Times New Roman" w:hAnsi="Times New Roman" w:cs="Times New Roman"/>
          <w:sz w:val="23"/>
          <w:szCs w:val="23"/>
        </w:rPr>
        <w:t>market growth projections</w:t>
      </w:r>
      <w:r w:rsidR="00667F3A" w:rsidRPr="000669A3">
        <w:rPr>
          <w:rFonts w:ascii="Times New Roman" w:hAnsi="Times New Roman" w:cs="Times New Roman"/>
          <w:sz w:val="23"/>
          <w:szCs w:val="23"/>
        </w:rPr>
        <w:t>,</w:t>
      </w:r>
      <w:r w:rsidRPr="000669A3">
        <w:rPr>
          <w:rFonts w:ascii="Times New Roman" w:hAnsi="Times New Roman" w:cs="Times New Roman"/>
          <w:sz w:val="23"/>
          <w:szCs w:val="23"/>
        </w:rPr>
        <w:t xml:space="preserve"> internal</w:t>
      </w:r>
      <w:r w:rsidR="00A40F4D" w:rsidRPr="000669A3">
        <w:rPr>
          <w:rFonts w:ascii="Times New Roman" w:hAnsi="Times New Roman" w:cs="Times New Roman"/>
          <w:sz w:val="23"/>
          <w:szCs w:val="23"/>
        </w:rPr>
        <w:t xml:space="preserve"> </w:t>
      </w:r>
      <w:r w:rsidRPr="000669A3">
        <w:rPr>
          <w:rFonts w:ascii="Times New Roman" w:hAnsi="Times New Roman" w:cs="Times New Roman"/>
          <w:sz w:val="23"/>
          <w:szCs w:val="23"/>
        </w:rPr>
        <w:t xml:space="preserve">historical </w:t>
      </w:r>
      <w:r w:rsidR="00A40F4D" w:rsidRPr="000669A3">
        <w:rPr>
          <w:rFonts w:ascii="Times New Roman" w:hAnsi="Times New Roman" w:cs="Times New Roman"/>
          <w:sz w:val="23"/>
          <w:szCs w:val="23"/>
        </w:rPr>
        <w:t xml:space="preserve">volume </w:t>
      </w:r>
      <w:r w:rsidRPr="000669A3">
        <w:rPr>
          <w:rFonts w:ascii="Times New Roman" w:hAnsi="Times New Roman" w:cs="Times New Roman"/>
          <w:sz w:val="23"/>
          <w:szCs w:val="23"/>
        </w:rPr>
        <w:t>growth patterns</w:t>
      </w:r>
      <w:r w:rsidR="005419DB" w:rsidRPr="000669A3">
        <w:rPr>
          <w:rFonts w:ascii="Times New Roman" w:hAnsi="Times New Roman" w:cs="Times New Roman"/>
          <w:sz w:val="23"/>
          <w:szCs w:val="23"/>
        </w:rPr>
        <w:t xml:space="preserve"> and</w:t>
      </w:r>
      <w:r w:rsidRPr="000669A3">
        <w:rPr>
          <w:rFonts w:ascii="Times New Roman" w:hAnsi="Times New Roman" w:cs="Times New Roman"/>
          <w:sz w:val="23"/>
          <w:szCs w:val="23"/>
        </w:rPr>
        <w:t xml:space="preserve"> strategic initiatives (</w:t>
      </w:r>
      <w:r w:rsidR="00667F3A" w:rsidRPr="000669A3">
        <w:rPr>
          <w:rFonts w:ascii="Times New Roman" w:hAnsi="Times New Roman" w:cs="Times New Roman"/>
          <w:sz w:val="23"/>
          <w:szCs w:val="23"/>
        </w:rPr>
        <w:t xml:space="preserve">e.g., </w:t>
      </w:r>
      <w:r w:rsidRPr="000669A3">
        <w:rPr>
          <w:rFonts w:ascii="Times New Roman" w:hAnsi="Times New Roman" w:cs="Times New Roman"/>
          <w:sz w:val="23"/>
          <w:szCs w:val="23"/>
        </w:rPr>
        <w:t>decant to lower cost of care sites, Home hospital, changes in care patterns)</w:t>
      </w:r>
      <w:r w:rsidR="005419DB" w:rsidRPr="000669A3">
        <w:rPr>
          <w:rFonts w:ascii="Times New Roman" w:hAnsi="Times New Roman" w:cs="Times New Roman"/>
          <w:sz w:val="23"/>
          <w:szCs w:val="23"/>
        </w:rPr>
        <w:t>.</w:t>
      </w:r>
      <w:r w:rsidRPr="000669A3">
        <w:rPr>
          <w:rFonts w:ascii="Times New Roman" w:hAnsi="Times New Roman" w:cs="Times New Roman"/>
          <w:sz w:val="23"/>
          <w:szCs w:val="23"/>
        </w:rPr>
        <w:t xml:space="preserve"> These growth projections were then laid over current operational realities.  While the </w:t>
      </w:r>
      <w:r w:rsidR="00A40F4D" w:rsidRPr="000669A3">
        <w:rPr>
          <w:rFonts w:ascii="Times New Roman" w:hAnsi="Times New Roman" w:cs="Times New Roman"/>
          <w:sz w:val="23"/>
          <w:szCs w:val="23"/>
        </w:rPr>
        <w:t>discharges</w:t>
      </w:r>
      <w:r w:rsidRPr="000669A3">
        <w:rPr>
          <w:rFonts w:ascii="Times New Roman" w:hAnsi="Times New Roman" w:cs="Times New Roman"/>
          <w:sz w:val="23"/>
          <w:szCs w:val="23"/>
        </w:rPr>
        <w:t xml:space="preserve"> and </w:t>
      </w:r>
      <w:r w:rsidR="005419DB" w:rsidRPr="000669A3">
        <w:rPr>
          <w:rFonts w:ascii="Times New Roman" w:hAnsi="Times New Roman" w:cs="Times New Roman"/>
          <w:sz w:val="23"/>
          <w:szCs w:val="23"/>
        </w:rPr>
        <w:t>length of stay (</w:t>
      </w:r>
      <w:r w:rsidRPr="000669A3">
        <w:rPr>
          <w:rFonts w:ascii="Times New Roman" w:hAnsi="Times New Roman" w:cs="Times New Roman"/>
          <w:sz w:val="23"/>
          <w:szCs w:val="23"/>
        </w:rPr>
        <w:t>LOS</w:t>
      </w:r>
      <w:r w:rsidR="005419DB" w:rsidRPr="000669A3">
        <w:rPr>
          <w:rFonts w:ascii="Times New Roman" w:hAnsi="Times New Roman" w:cs="Times New Roman"/>
          <w:sz w:val="23"/>
          <w:szCs w:val="23"/>
        </w:rPr>
        <w:t>)</w:t>
      </w:r>
      <w:r w:rsidRPr="000669A3">
        <w:rPr>
          <w:rFonts w:ascii="Times New Roman" w:hAnsi="Times New Roman" w:cs="Times New Roman"/>
          <w:sz w:val="23"/>
          <w:szCs w:val="23"/>
        </w:rPr>
        <w:t xml:space="preserve"> reflect total time in the hospital and patients</w:t>
      </w:r>
      <w:r w:rsidR="005419DB" w:rsidRPr="000669A3">
        <w:rPr>
          <w:rFonts w:ascii="Times New Roman" w:hAnsi="Times New Roman" w:cs="Times New Roman"/>
          <w:sz w:val="23"/>
          <w:szCs w:val="23"/>
        </w:rPr>
        <w:t>’</w:t>
      </w:r>
      <w:r w:rsidRPr="000669A3">
        <w:rPr>
          <w:rFonts w:ascii="Times New Roman" w:hAnsi="Times New Roman" w:cs="Times New Roman"/>
          <w:sz w:val="23"/>
          <w:szCs w:val="23"/>
        </w:rPr>
        <w:t xml:space="preserve"> location at midnight, it does not accurately capture time spent in other care areas, </w:t>
      </w:r>
      <w:r w:rsidR="00B25C25" w:rsidRPr="000669A3">
        <w:rPr>
          <w:rFonts w:ascii="Times New Roman" w:hAnsi="Times New Roman" w:cs="Times New Roman"/>
          <w:sz w:val="23"/>
          <w:szCs w:val="23"/>
        </w:rPr>
        <w:t xml:space="preserve">e.g. </w:t>
      </w:r>
      <w:r w:rsidRPr="000669A3">
        <w:rPr>
          <w:rFonts w:ascii="Times New Roman" w:hAnsi="Times New Roman" w:cs="Times New Roman"/>
          <w:sz w:val="23"/>
          <w:szCs w:val="23"/>
        </w:rPr>
        <w:t xml:space="preserve">boarding time in the ED, overlap of patients waiting in a </w:t>
      </w:r>
      <w:r w:rsidR="00A40F4D" w:rsidRPr="000669A3">
        <w:rPr>
          <w:rFonts w:ascii="Times New Roman" w:hAnsi="Times New Roman" w:cs="Times New Roman"/>
          <w:sz w:val="23"/>
          <w:szCs w:val="23"/>
        </w:rPr>
        <w:t>medical/surgical bed</w:t>
      </w:r>
      <w:r w:rsidRPr="000669A3">
        <w:rPr>
          <w:rFonts w:ascii="Times New Roman" w:hAnsi="Times New Roman" w:cs="Times New Roman"/>
          <w:sz w:val="23"/>
          <w:szCs w:val="23"/>
        </w:rPr>
        <w:t xml:space="preserve"> for an ICU bed or vice versa etc.  These operational lenses were applied to d</w:t>
      </w:r>
      <w:r w:rsidR="005419DB" w:rsidRPr="000669A3">
        <w:rPr>
          <w:rFonts w:ascii="Times New Roman" w:hAnsi="Times New Roman" w:cs="Times New Roman"/>
          <w:sz w:val="23"/>
          <w:szCs w:val="23"/>
        </w:rPr>
        <w:t xml:space="preserve">etermine MGH’s </w:t>
      </w:r>
      <w:r w:rsidRPr="000669A3">
        <w:rPr>
          <w:rFonts w:ascii="Times New Roman" w:hAnsi="Times New Roman" w:cs="Times New Roman"/>
          <w:sz w:val="23"/>
          <w:szCs w:val="23"/>
        </w:rPr>
        <w:t xml:space="preserve">bed needs for the three areas identified (Cancer, Heart, all other).  </w:t>
      </w:r>
    </w:p>
    <w:p w14:paraId="349D1293" w14:textId="45CAA27F" w:rsidR="00B25C25" w:rsidRPr="000669A3" w:rsidRDefault="00B25C25" w:rsidP="00D9065C">
      <w:pPr>
        <w:rPr>
          <w:rFonts w:ascii="Times New Roman" w:hAnsi="Times New Roman" w:cs="Times New Roman"/>
          <w:sz w:val="23"/>
          <w:szCs w:val="23"/>
        </w:rPr>
      </w:pPr>
      <w:r w:rsidRPr="000669A3">
        <w:rPr>
          <w:rFonts w:ascii="Times New Roman" w:hAnsi="Times New Roman" w:cs="Times New Roman"/>
          <w:sz w:val="23"/>
          <w:szCs w:val="23"/>
        </w:rPr>
        <w:t xml:space="preserve">When looking at </w:t>
      </w:r>
      <w:r w:rsidR="005419DB" w:rsidRPr="000669A3">
        <w:rPr>
          <w:rFonts w:ascii="Times New Roman" w:hAnsi="Times New Roman" w:cs="Times New Roman"/>
          <w:sz w:val="23"/>
          <w:szCs w:val="23"/>
        </w:rPr>
        <w:t>MGH’s</w:t>
      </w:r>
      <w:r w:rsidRPr="000669A3">
        <w:rPr>
          <w:rFonts w:ascii="Times New Roman" w:hAnsi="Times New Roman" w:cs="Times New Roman"/>
          <w:sz w:val="23"/>
          <w:szCs w:val="23"/>
        </w:rPr>
        <w:t xml:space="preserve"> current occupancy rates </w:t>
      </w:r>
      <w:r w:rsidR="00033BBB" w:rsidRPr="000669A3">
        <w:rPr>
          <w:rFonts w:ascii="Times New Roman" w:hAnsi="Times New Roman" w:cs="Times New Roman"/>
          <w:sz w:val="23"/>
          <w:szCs w:val="23"/>
        </w:rPr>
        <w:t xml:space="preserve">detailed in the Utilization Charts below, </w:t>
      </w:r>
      <w:r w:rsidRPr="000669A3">
        <w:rPr>
          <w:rFonts w:ascii="Times New Roman" w:hAnsi="Times New Roman" w:cs="Times New Roman"/>
          <w:sz w:val="23"/>
          <w:szCs w:val="23"/>
        </w:rPr>
        <w:t xml:space="preserve">it is important to note </w:t>
      </w:r>
      <w:r w:rsidR="005419DB" w:rsidRPr="000669A3">
        <w:rPr>
          <w:rFonts w:ascii="Times New Roman" w:hAnsi="Times New Roman" w:cs="Times New Roman"/>
          <w:sz w:val="23"/>
          <w:szCs w:val="23"/>
        </w:rPr>
        <w:t>the following:</w:t>
      </w:r>
      <w:r w:rsidRPr="000669A3">
        <w:rPr>
          <w:rFonts w:ascii="Times New Roman" w:hAnsi="Times New Roman" w:cs="Times New Roman"/>
          <w:sz w:val="23"/>
          <w:szCs w:val="23"/>
        </w:rPr>
        <w:t xml:space="preserve"> </w:t>
      </w:r>
    </w:p>
    <w:p w14:paraId="58043859" w14:textId="002225F9" w:rsidR="00B25C25" w:rsidRPr="000669A3" w:rsidRDefault="00B25C25" w:rsidP="00B25C25">
      <w:pPr>
        <w:pStyle w:val="ListParagraph"/>
        <w:numPr>
          <w:ilvl w:val="0"/>
          <w:numId w:val="1"/>
        </w:numPr>
        <w:rPr>
          <w:rFonts w:ascii="Times New Roman" w:hAnsi="Times New Roman" w:cs="Times New Roman"/>
          <w:sz w:val="23"/>
          <w:szCs w:val="23"/>
        </w:rPr>
      </w:pPr>
      <w:r w:rsidRPr="000669A3">
        <w:rPr>
          <w:rFonts w:ascii="Times New Roman" w:hAnsi="Times New Roman" w:cs="Times New Roman"/>
          <w:sz w:val="23"/>
          <w:szCs w:val="23"/>
        </w:rPr>
        <w:t xml:space="preserve">While </w:t>
      </w:r>
      <w:proofErr w:type="gramStart"/>
      <w:r w:rsidRPr="000669A3">
        <w:rPr>
          <w:rFonts w:ascii="Times New Roman" w:hAnsi="Times New Roman" w:cs="Times New Roman"/>
          <w:sz w:val="23"/>
          <w:szCs w:val="23"/>
        </w:rPr>
        <w:t>the majority of</w:t>
      </w:r>
      <w:proofErr w:type="gramEnd"/>
      <w:r w:rsidRPr="000669A3">
        <w:rPr>
          <w:rFonts w:ascii="Times New Roman" w:hAnsi="Times New Roman" w:cs="Times New Roman"/>
          <w:sz w:val="23"/>
          <w:szCs w:val="23"/>
        </w:rPr>
        <w:t xml:space="preserve"> licensed beds are occupied by inpatients, there are a subset</w:t>
      </w:r>
      <w:r w:rsidR="005419DB" w:rsidRPr="000669A3">
        <w:rPr>
          <w:rFonts w:ascii="Times New Roman" w:hAnsi="Times New Roman" w:cs="Times New Roman"/>
          <w:sz w:val="23"/>
          <w:szCs w:val="23"/>
        </w:rPr>
        <w:t xml:space="preserve"> of beds</w:t>
      </w:r>
      <w:r w:rsidRPr="000669A3">
        <w:rPr>
          <w:rFonts w:ascii="Times New Roman" w:hAnsi="Times New Roman" w:cs="Times New Roman"/>
          <w:sz w:val="23"/>
          <w:szCs w:val="23"/>
        </w:rPr>
        <w:t xml:space="preserve"> that are occupied by outpatients.  These</w:t>
      </w:r>
      <w:r w:rsidR="005419DB" w:rsidRPr="000669A3">
        <w:rPr>
          <w:rFonts w:ascii="Times New Roman" w:hAnsi="Times New Roman" w:cs="Times New Roman"/>
          <w:sz w:val="23"/>
          <w:szCs w:val="23"/>
        </w:rPr>
        <w:t xml:space="preserve"> patients that occupy inpatient beds when another setting is more </w:t>
      </w:r>
      <w:r w:rsidR="005419DB" w:rsidRPr="000669A3">
        <w:rPr>
          <w:rFonts w:ascii="Times New Roman" w:hAnsi="Times New Roman" w:cs="Times New Roman"/>
          <w:sz w:val="23"/>
          <w:szCs w:val="23"/>
        </w:rPr>
        <w:lastRenderedPageBreak/>
        <w:t>appropriate</w:t>
      </w:r>
      <w:r w:rsidRPr="000669A3">
        <w:rPr>
          <w:rFonts w:ascii="Times New Roman" w:hAnsi="Times New Roman" w:cs="Times New Roman"/>
          <w:sz w:val="23"/>
          <w:szCs w:val="23"/>
        </w:rPr>
        <w:t xml:space="preserve"> include</w:t>
      </w:r>
      <w:r w:rsidR="005419DB" w:rsidRPr="000669A3">
        <w:rPr>
          <w:rFonts w:ascii="Times New Roman" w:hAnsi="Times New Roman" w:cs="Times New Roman"/>
          <w:sz w:val="23"/>
          <w:szCs w:val="23"/>
        </w:rPr>
        <w:t xml:space="preserve"> (1) </w:t>
      </w:r>
      <w:r w:rsidRPr="000669A3">
        <w:rPr>
          <w:rFonts w:ascii="Times New Roman" w:hAnsi="Times New Roman" w:cs="Times New Roman"/>
          <w:sz w:val="23"/>
          <w:szCs w:val="23"/>
        </w:rPr>
        <w:t>observation patients w</w:t>
      </w:r>
      <w:r w:rsidR="005419DB" w:rsidRPr="000669A3">
        <w:rPr>
          <w:rFonts w:ascii="Times New Roman" w:hAnsi="Times New Roman" w:cs="Times New Roman"/>
          <w:sz w:val="23"/>
          <w:szCs w:val="23"/>
        </w:rPr>
        <w:t xml:space="preserve">ho cannot be placed in </w:t>
      </w:r>
      <w:r w:rsidRPr="000669A3">
        <w:rPr>
          <w:rFonts w:ascii="Times New Roman" w:hAnsi="Times New Roman" w:cs="Times New Roman"/>
          <w:sz w:val="23"/>
          <w:szCs w:val="23"/>
        </w:rPr>
        <w:t>observation units</w:t>
      </w:r>
      <w:r w:rsidR="005419DB" w:rsidRPr="000669A3">
        <w:rPr>
          <w:rFonts w:ascii="Times New Roman" w:hAnsi="Times New Roman" w:cs="Times New Roman"/>
          <w:sz w:val="23"/>
          <w:szCs w:val="23"/>
        </w:rPr>
        <w:t xml:space="preserve"> because those units are at capacity, (2)</w:t>
      </w:r>
      <w:r w:rsidRPr="000669A3">
        <w:rPr>
          <w:rFonts w:ascii="Times New Roman" w:hAnsi="Times New Roman" w:cs="Times New Roman"/>
          <w:sz w:val="23"/>
          <w:szCs w:val="23"/>
        </w:rPr>
        <w:t xml:space="preserve"> </w:t>
      </w:r>
      <w:r w:rsidR="005419DB" w:rsidRPr="000669A3">
        <w:rPr>
          <w:rFonts w:ascii="Times New Roman" w:hAnsi="Times New Roman" w:cs="Times New Roman"/>
          <w:sz w:val="23"/>
          <w:szCs w:val="23"/>
        </w:rPr>
        <w:t>patients</w:t>
      </w:r>
      <w:r w:rsidRPr="000669A3">
        <w:rPr>
          <w:rFonts w:ascii="Times New Roman" w:hAnsi="Times New Roman" w:cs="Times New Roman"/>
          <w:sz w:val="23"/>
          <w:szCs w:val="23"/>
        </w:rPr>
        <w:t xml:space="preserve"> who require a slightly higher level of care, but do not meet inpatient level of care criteria</w:t>
      </w:r>
      <w:r w:rsidR="005419DB" w:rsidRPr="000669A3">
        <w:rPr>
          <w:rFonts w:ascii="Times New Roman" w:hAnsi="Times New Roman" w:cs="Times New Roman"/>
          <w:sz w:val="23"/>
          <w:szCs w:val="23"/>
        </w:rPr>
        <w:t>,</w:t>
      </w:r>
      <w:r w:rsidRPr="000669A3">
        <w:rPr>
          <w:rFonts w:ascii="Times New Roman" w:hAnsi="Times New Roman" w:cs="Times New Roman"/>
          <w:sz w:val="23"/>
          <w:szCs w:val="23"/>
        </w:rPr>
        <w:t xml:space="preserve"> and</w:t>
      </w:r>
      <w:r w:rsidR="005419DB" w:rsidRPr="000669A3">
        <w:rPr>
          <w:rFonts w:ascii="Times New Roman" w:hAnsi="Times New Roman" w:cs="Times New Roman"/>
          <w:sz w:val="23"/>
          <w:szCs w:val="23"/>
        </w:rPr>
        <w:t xml:space="preserve"> (3)</w:t>
      </w:r>
      <w:r w:rsidRPr="000669A3">
        <w:rPr>
          <w:rFonts w:ascii="Times New Roman" w:hAnsi="Times New Roman" w:cs="Times New Roman"/>
          <w:sz w:val="23"/>
          <w:szCs w:val="23"/>
        </w:rPr>
        <w:t xml:space="preserve"> post-procedure recovery patients (post</w:t>
      </w:r>
      <w:r w:rsidR="005419DB" w:rsidRPr="000669A3">
        <w:rPr>
          <w:rFonts w:ascii="Times New Roman" w:hAnsi="Times New Roman" w:cs="Times New Roman"/>
          <w:sz w:val="23"/>
          <w:szCs w:val="23"/>
        </w:rPr>
        <w:t>-</w:t>
      </w:r>
      <w:r w:rsidRPr="000669A3">
        <w:rPr>
          <w:rFonts w:ascii="Times New Roman" w:hAnsi="Times New Roman" w:cs="Times New Roman"/>
          <w:sz w:val="23"/>
          <w:szCs w:val="23"/>
        </w:rPr>
        <w:t xml:space="preserve">surgery or cardiac procedure) who require generally an overnight stay and so utilize an inpatient bed.  </w:t>
      </w:r>
      <w:r w:rsidR="00656BF6" w:rsidRPr="000669A3">
        <w:rPr>
          <w:rFonts w:ascii="Times New Roman" w:hAnsi="Times New Roman" w:cs="Times New Roman"/>
          <w:sz w:val="23"/>
          <w:szCs w:val="23"/>
        </w:rPr>
        <w:t xml:space="preserve">These </w:t>
      </w:r>
      <w:r w:rsidR="005419DB" w:rsidRPr="000669A3">
        <w:rPr>
          <w:rFonts w:ascii="Times New Roman" w:hAnsi="Times New Roman" w:cs="Times New Roman"/>
          <w:sz w:val="23"/>
          <w:szCs w:val="23"/>
        </w:rPr>
        <w:t>patients account for approximately</w:t>
      </w:r>
      <w:r w:rsidR="00656BF6" w:rsidRPr="000669A3">
        <w:rPr>
          <w:rFonts w:ascii="Times New Roman" w:hAnsi="Times New Roman" w:cs="Times New Roman"/>
          <w:sz w:val="23"/>
          <w:szCs w:val="23"/>
        </w:rPr>
        <w:t xml:space="preserve"> 5% of </w:t>
      </w:r>
      <w:r w:rsidR="005419DB" w:rsidRPr="000669A3">
        <w:rPr>
          <w:rFonts w:ascii="Times New Roman" w:hAnsi="Times New Roman" w:cs="Times New Roman"/>
          <w:sz w:val="23"/>
          <w:szCs w:val="23"/>
        </w:rPr>
        <w:t>MGH’s</w:t>
      </w:r>
      <w:r w:rsidR="00656BF6" w:rsidRPr="000669A3">
        <w:rPr>
          <w:rFonts w:ascii="Times New Roman" w:hAnsi="Times New Roman" w:cs="Times New Roman"/>
          <w:sz w:val="23"/>
          <w:szCs w:val="23"/>
        </w:rPr>
        <w:t xml:space="preserve"> overall occupancy levels.</w:t>
      </w:r>
    </w:p>
    <w:p w14:paraId="778C7946" w14:textId="36994C54" w:rsidR="00656BF6" w:rsidRPr="000669A3" w:rsidRDefault="00656BF6" w:rsidP="00656BF6">
      <w:pPr>
        <w:pStyle w:val="ListParagraph"/>
        <w:numPr>
          <w:ilvl w:val="0"/>
          <w:numId w:val="1"/>
        </w:numPr>
        <w:rPr>
          <w:rFonts w:ascii="Times New Roman" w:hAnsi="Times New Roman" w:cs="Times New Roman"/>
          <w:sz w:val="23"/>
          <w:szCs w:val="23"/>
        </w:rPr>
      </w:pPr>
      <w:r w:rsidRPr="000669A3">
        <w:rPr>
          <w:rFonts w:ascii="Times New Roman" w:hAnsi="Times New Roman" w:cs="Times New Roman"/>
          <w:sz w:val="23"/>
          <w:szCs w:val="23"/>
        </w:rPr>
        <w:t xml:space="preserve">Using the </w:t>
      </w:r>
      <w:r w:rsidR="00A40F4D" w:rsidRPr="000669A3">
        <w:rPr>
          <w:rFonts w:ascii="Times New Roman" w:hAnsi="Times New Roman" w:cs="Times New Roman"/>
          <w:sz w:val="23"/>
          <w:szCs w:val="23"/>
        </w:rPr>
        <w:t>operational</w:t>
      </w:r>
      <w:r w:rsidRPr="000669A3">
        <w:rPr>
          <w:rFonts w:ascii="Times New Roman" w:hAnsi="Times New Roman" w:cs="Times New Roman"/>
          <w:sz w:val="23"/>
          <w:szCs w:val="23"/>
        </w:rPr>
        <w:t xml:space="preserve"> bed count underrepresents the challeng</w:t>
      </w:r>
      <w:r w:rsidR="005419DB" w:rsidRPr="000669A3">
        <w:rPr>
          <w:rFonts w:ascii="Times New Roman" w:hAnsi="Times New Roman" w:cs="Times New Roman"/>
          <w:sz w:val="23"/>
          <w:szCs w:val="23"/>
        </w:rPr>
        <w:t>es</w:t>
      </w:r>
      <w:r w:rsidRPr="000669A3">
        <w:rPr>
          <w:rFonts w:ascii="Times New Roman" w:hAnsi="Times New Roman" w:cs="Times New Roman"/>
          <w:sz w:val="23"/>
          <w:szCs w:val="23"/>
        </w:rPr>
        <w:t xml:space="preserve"> </w:t>
      </w:r>
      <w:r w:rsidR="00801B31" w:rsidRPr="000669A3">
        <w:rPr>
          <w:rFonts w:ascii="Times New Roman" w:hAnsi="Times New Roman" w:cs="Times New Roman"/>
          <w:sz w:val="23"/>
          <w:szCs w:val="23"/>
        </w:rPr>
        <w:t xml:space="preserve">MGH faces related to </w:t>
      </w:r>
      <w:r w:rsidRPr="000669A3">
        <w:rPr>
          <w:rFonts w:ascii="Times New Roman" w:hAnsi="Times New Roman" w:cs="Times New Roman"/>
          <w:sz w:val="23"/>
          <w:szCs w:val="23"/>
        </w:rPr>
        <w:t xml:space="preserve">semi-private rooms and that due to a variety of reasons (infection control, gender, end of life), the hospital </w:t>
      </w:r>
      <w:proofErr w:type="gramStart"/>
      <w:r w:rsidRPr="000669A3">
        <w:rPr>
          <w:rFonts w:ascii="Times New Roman" w:hAnsi="Times New Roman" w:cs="Times New Roman"/>
          <w:sz w:val="23"/>
          <w:szCs w:val="23"/>
        </w:rPr>
        <w:t>has to</w:t>
      </w:r>
      <w:proofErr w:type="gramEnd"/>
      <w:r w:rsidRPr="000669A3">
        <w:rPr>
          <w:rFonts w:ascii="Times New Roman" w:hAnsi="Times New Roman" w:cs="Times New Roman"/>
          <w:sz w:val="23"/>
          <w:szCs w:val="23"/>
        </w:rPr>
        <w:t xml:space="preserve"> close a number of beds each day.   </w:t>
      </w:r>
      <w:r w:rsidR="005419DB" w:rsidRPr="000669A3">
        <w:rPr>
          <w:rFonts w:ascii="Times New Roman" w:hAnsi="Times New Roman" w:cs="Times New Roman"/>
          <w:sz w:val="23"/>
          <w:szCs w:val="23"/>
        </w:rPr>
        <w:t xml:space="preserve">MGH’s current rate of bed blocks of approximately </w:t>
      </w:r>
      <w:r w:rsidRPr="000669A3">
        <w:rPr>
          <w:rFonts w:ascii="Times New Roman" w:hAnsi="Times New Roman" w:cs="Times New Roman"/>
          <w:sz w:val="23"/>
          <w:szCs w:val="23"/>
        </w:rPr>
        <w:t xml:space="preserve">40 </w:t>
      </w:r>
      <w:r w:rsidR="005419DB" w:rsidRPr="000669A3">
        <w:rPr>
          <w:rFonts w:ascii="Times New Roman" w:hAnsi="Times New Roman" w:cs="Times New Roman"/>
          <w:sz w:val="23"/>
          <w:szCs w:val="23"/>
        </w:rPr>
        <w:t>beds per day results in a</w:t>
      </w:r>
      <w:r w:rsidRPr="000669A3">
        <w:rPr>
          <w:rFonts w:ascii="Times New Roman" w:hAnsi="Times New Roman" w:cs="Times New Roman"/>
          <w:sz w:val="23"/>
          <w:szCs w:val="23"/>
        </w:rPr>
        <w:t xml:space="preserve"> 4% i</w:t>
      </w:r>
      <w:r w:rsidR="00A40F4D" w:rsidRPr="000669A3">
        <w:rPr>
          <w:rFonts w:ascii="Times New Roman" w:hAnsi="Times New Roman" w:cs="Times New Roman"/>
          <w:sz w:val="23"/>
          <w:szCs w:val="23"/>
        </w:rPr>
        <w:t>ncrease</w:t>
      </w:r>
      <w:r w:rsidRPr="000669A3">
        <w:rPr>
          <w:rFonts w:ascii="Times New Roman" w:hAnsi="Times New Roman" w:cs="Times New Roman"/>
          <w:sz w:val="23"/>
          <w:szCs w:val="23"/>
        </w:rPr>
        <w:t xml:space="preserve"> to occupancy rates</w:t>
      </w:r>
      <w:r w:rsidR="00A40F4D" w:rsidRPr="000669A3">
        <w:rPr>
          <w:rFonts w:ascii="Times New Roman" w:hAnsi="Times New Roman" w:cs="Times New Roman"/>
          <w:sz w:val="23"/>
          <w:szCs w:val="23"/>
        </w:rPr>
        <w:t xml:space="preserve"> bringing it from 84% to 88%</w:t>
      </w:r>
      <w:r w:rsidRPr="000669A3">
        <w:rPr>
          <w:rFonts w:ascii="Times New Roman" w:hAnsi="Times New Roman" w:cs="Times New Roman"/>
          <w:sz w:val="23"/>
          <w:szCs w:val="23"/>
        </w:rPr>
        <w:t>.</w:t>
      </w:r>
    </w:p>
    <w:p w14:paraId="2F0EB090" w14:textId="67EC31C7" w:rsidR="00B25C25" w:rsidRPr="000669A3" w:rsidRDefault="00B25C25" w:rsidP="00B25C25">
      <w:pPr>
        <w:pStyle w:val="ListParagraph"/>
        <w:numPr>
          <w:ilvl w:val="0"/>
          <w:numId w:val="1"/>
        </w:numPr>
        <w:rPr>
          <w:rFonts w:ascii="Times New Roman" w:hAnsi="Times New Roman" w:cs="Times New Roman"/>
          <w:sz w:val="23"/>
          <w:szCs w:val="23"/>
        </w:rPr>
      </w:pPr>
      <w:r w:rsidRPr="000669A3">
        <w:rPr>
          <w:rFonts w:ascii="Times New Roman" w:hAnsi="Times New Roman" w:cs="Times New Roman"/>
          <w:sz w:val="23"/>
          <w:szCs w:val="23"/>
        </w:rPr>
        <w:t>Th</w:t>
      </w:r>
      <w:r w:rsidR="00820456" w:rsidRPr="000669A3">
        <w:rPr>
          <w:rFonts w:ascii="Times New Roman" w:hAnsi="Times New Roman" w:cs="Times New Roman"/>
          <w:sz w:val="23"/>
          <w:szCs w:val="23"/>
        </w:rPr>
        <w:t>ese</w:t>
      </w:r>
      <w:r w:rsidRPr="000669A3">
        <w:rPr>
          <w:rFonts w:ascii="Times New Roman" w:hAnsi="Times New Roman" w:cs="Times New Roman"/>
          <w:sz w:val="23"/>
          <w:szCs w:val="23"/>
        </w:rPr>
        <w:t xml:space="preserve"> figures represent patient location at midnight and do</w:t>
      </w:r>
      <w:r w:rsidR="00801B31" w:rsidRPr="000669A3">
        <w:rPr>
          <w:rFonts w:ascii="Times New Roman" w:hAnsi="Times New Roman" w:cs="Times New Roman"/>
          <w:sz w:val="23"/>
          <w:szCs w:val="23"/>
        </w:rPr>
        <w:t xml:space="preserve"> not adequately</w:t>
      </w:r>
      <w:r w:rsidRPr="000669A3">
        <w:rPr>
          <w:rFonts w:ascii="Times New Roman" w:hAnsi="Times New Roman" w:cs="Times New Roman"/>
          <w:sz w:val="23"/>
          <w:szCs w:val="23"/>
        </w:rPr>
        <w:t xml:space="preserve"> reflect the time spent in other areas </w:t>
      </w:r>
      <w:r w:rsidR="00801B31" w:rsidRPr="000669A3">
        <w:rPr>
          <w:rFonts w:ascii="Times New Roman" w:hAnsi="Times New Roman" w:cs="Times New Roman"/>
          <w:sz w:val="23"/>
          <w:szCs w:val="23"/>
        </w:rPr>
        <w:t xml:space="preserve">of the hospital </w:t>
      </w:r>
      <w:r w:rsidRPr="000669A3">
        <w:rPr>
          <w:rFonts w:ascii="Times New Roman" w:hAnsi="Times New Roman" w:cs="Times New Roman"/>
          <w:sz w:val="23"/>
          <w:szCs w:val="23"/>
        </w:rPr>
        <w:t>represented above.</w:t>
      </w:r>
    </w:p>
    <w:p w14:paraId="16778F20" w14:textId="5F1999AA" w:rsidR="00B25C25" w:rsidRPr="000669A3" w:rsidRDefault="00B25C25" w:rsidP="00B25C25">
      <w:pPr>
        <w:pStyle w:val="ListParagraph"/>
        <w:numPr>
          <w:ilvl w:val="0"/>
          <w:numId w:val="1"/>
        </w:numPr>
        <w:rPr>
          <w:rFonts w:ascii="Times New Roman" w:hAnsi="Times New Roman" w:cs="Times New Roman"/>
          <w:sz w:val="23"/>
          <w:szCs w:val="23"/>
        </w:rPr>
      </w:pPr>
      <w:r w:rsidRPr="000669A3">
        <w:rPr>
          <w:rFonts w:ascii="Times New Roman" w:hAnsi="Times New Roman" w:cs="Times New Roman"/>
          <w:sz w:val="23"/>
          <w:szCs w:val="23"/>
        </w:rPr>
        <w:t>This</w:t>
      </w:r>
      <w:r w:rsidR="00A40F4D" w:rsidRPr="000669A3">
        <w:rPr>
          <w:rFonts w:ascii="Times New Roman" w:hAnsi="Times New Roman" w:cs="Times New Roman"/>
          <w:sz w:val="23"/>
          <w:szCs w:val="23"/>
        </w:rPr>
        <w:t xml:space="preserve"> occupancy rate</w:t>
      </w:r>
      <w:r w:rsidRPr="000669A3">
        <w:rPr>
          <w:rFonts w:ascii="Times New Roman" w:hAnsi="Times New Roman" w:cs="Times New Roman"/>
          <w:sz w:val="23"/>
          <w:szCs w:val="23"/>
        </w:rPr>
        <w:t xml:space="preserve"> reflects an average that includes lower occupancy rates on weekends and holidays</w:t>
      </w:r>
      <w:r w:rsidR="00656BF6" w:rsidRPr="000669A3">
        <w:rPr>
          <w:rFonts w:ascii="Times New Roman" w:hAnsi="Times New Roman" w:cs="Times New Roman"/>
          <w:sz w:val="23"/>
          <w:szCs w:val="23"/>
        </w:rPr>
        <w:t xml:space="preserve">.  </w:t>
      </w:r>
    </w:p>
    <w:p w14:paraId="06933154" w14:textId="3C8C2055" w:rsidR="00820456" w:rsidRPr="000669A3" w:rsidRDefault="00B25C25" w:rsidP="00D9065C">
      <w:pPr>
        <w:rPr>
          <w:rFonts w:ascii="Times New Roman" w:hAnsi="Times New Roman" w:cs="Times New Roman"/>
          <w:sz w:val="23"/>
          <w:szCs w:val="23"/>
        </w:rPr>
      </w:pPr>
      <w:r w:rsidRPr="000669A3">
        <w:rPr>
          <w:rFonts w:ascii="Times New Roman" w:hAnsi="Times New Roman" w:cs="Times New Roman"/>
          <w:sz w:val="23"/>
          <w:szCs w:val="23"/>
        </w:rPr>
        <w:t xml:space="preserve">The above issues bring </w:t>
      </w:r>
      <w:r w:rsidR="00063627" w:rsidRPr="000669A3">
        <w:rPr>
          <w:rFonts w:ascii="Times New Roman" w:hAnsi="Times New Roman" w:cs="Times New Roman"/>
          <w:sz w:val="23"/>
          <w:szCs w:val="23"/>
        </w:rPr>
        <w:t>MGH’s overall</w:t>
      </w:r>
      <w:r w:rsidRPr="000669A3">
        <w:rPr>
          <w:rFonts w:ascii="Times New Roman" w:hAnsi="Times New Roman" w:cs="Times New Roman"/>
          <w:sz w:val="23"/>
          <w:szCs w:val="23"/>
        </w:rPr>
        <w:t xml:space="preserve"> Med/Surg occupancy rate from a reasonable 83%</w:t>
      </w:r>
      <w:r w:rsidR="00063627" w:rsidRPr="000669A3">
        <w:rPr>
          <w:rFonts w:ascii="Times New Roman" w:hAnsi="Times New Roman" w:cs="Times New Roman"/>
          <w:sz w:val="23"/>
          <w:szCs w:val="23"/>
        </w:rPr>
        <w:t xml:space="preserve"> occupancy</w:t>
      </w:r>
      <w:r w:rsidRPr="000669A3">
        <w:rPr>
          <w:rFonts w:ascii="Times New Roman" w:hAnsi="Times New Roman" w:cs="Times New Roman"/>
          <w:sz w:val="23"/>
          <w:szCs w:val="23"/>
        </w:rPr>
        <w:t xml:space="preserve"> to a high</w:t>
      </w:r>
      <w:r w:rsidR="00EB4BC6" w:rsidRPr="000669A3">
        <w:rPr>
          <w:rFonts w:ascii="Times New Roman" w:hAnsi="Times New Roman" w:cs="Times New Roman"/>
          <w:sz w:val="23"/>
          <w:szCs w:val="23"/>
        </w:rPr>
        <w:t>-</w:t>
      </w:r>
      <w:r w:rsidRPr="000669A3">
        <w:rPr>
          <w:rFonts w:ascii="Times New Roman" w:hAnsi="Times New Roman" w:cs="Times New Roman"/>
          <w:sz w:val="23"/>
          <w:szCs w:val="23"/>
        </w:rPr>
        <w:t xml:space="preserve">water mark of 92%, which is not sustainable and </w:t>
      </w:r>
      <w:r w:rsidR="00656BF6" w:rsidRPr="000669A3">
        <w:rPr>
          <w:rFonts w:ascii="Times New Roman" w:hAnsi="Times New Roman" w:cs="Times New Roman"/>
          <w:sz w:val="23"/>
          <w:szCs w:val="23"/>
        </w:rPr>
        <w:t>implies</w:t>
      </w:r>
      <w:r w:rsidRPr="000669A3">
        <w:rPr>
          <w:rFonts w:ascii="Times New Roman" w:hAnsi="Times New Roman" w:cs="Times New Roman"/>
          <w:sz w:val="23"/>
          <w:szCs w:val="23"/>
        </w:rPr>
        <w:t xml:space="preserve"> that there are many periods during the weekday that </w:t>
      </w:r>
      <w:r w:rsidR="00063627" w:rsidRPr="000669A3">
        <w:rPr>
          <w:rFonts w:ascii="Times New Roman" w:hAnsi="Times New Roman" w:cs="Times New Roman"/>
          <w:sz w:val="23"/>
          <w:szCs w:val="23"/>
        </w:rPr>
        <w:t>MGH is</w:t>
      </w:r>
      <w:r w:rsidRPr="000669A3">
        <w:rPr>
          <w:rFonts w:ascii="Times New Roman" w:hAnsi="Times New Roman" w:cs="Times New Roman"/>
          <w:sz w:val="23"/>
          <w:szCs w:val="23"/>
        </w:rPr>
        <w:t xml:space="preserve"> operating beyond 100%</w:t>
      </w:r>
      <w:r w:rsidR="00063627" w:rsidRPr="000669A3">
        <w:rPr>
          <w:rFonts w:ascii="Times New Roman" w:hAnsi="Times New Roman" w:cs="Times New Roman"/>
          <w:sz w:val="23"/>
          <w:szCs w:val="23"/>
        </w:rPr>
        <w:t xml:space="preserve"> capacity</w:t>
      </w:r>
      <w:r w:rsidR="00A40F4D" w:rsidRPr="000669A3">
        <w:rPr>
          <w:rFonts w:ascii="Times New Roman" w:hAnsi="Times New Roman" w:cs="Times New Roman"/>
          <w:sz w:val="23"/>
          <w:szCs w:val="23"/>
        </w:rPr>
        <w:t xml:space="preserve"> and patients are not in the appropriate setting waiting for a bed</w:t>
      </w:r>
      <w:r w:rsidRPr="000669A3">
        <w:rPr>
          <w:rFonts w:ascii="Times New Roman" w:hAnsi="Times New Roman" w:cs="Times New Roman"/>
          <w:sz w:val="23"/>
          <w:szCs w:val="23"/>
        </w:rPr>
        <w:t xml:space="preserve">.  </w:t>
      </w:r>
      <w:r w:rsidR="008903D7" w:rsidRPr="000669A3">
        <w:rPr>
          <w:rFonts w:ascii="Times New Roman" w:hAnsi="Times New Roman" w:cs="Times New Roman"/>
          <w:sz w:val="23"/>
          <w:szCs w:val="23"/>
        </w:rPr>
        <w:t xml:space="preserve"> A reasonable </w:t>
      </w:r>
      <w:r w:rsidR="00063627" w:rsidRPr="000669A3">
        <w:rPr>
          <w:rFonts w:ascii="Times New Roman" w:hAnsi="Times New Roman" w:cs="Times New Roman"/>
          <w:sz w:val="23"/>
          <w:szCs w:val="23"/>
        </w:rPr>
        <w:t xml:space="preserve">occupancy rate </w:t>
      </w:r>
      <w:r w:rsidR="008903D7" w:rsidRPr="000669A3">
        <w:rPr>
          <w:rFonts w:ascii="Times New Roman" w:hAnsi="Times New Roman" w:cs="Times New Roman"/>
          <w:sz w:val="23"/>
          <w:szCs w:val="23"/>
        </w:rPr>
        <w:t xml:space="preserve">for ICUs </w:t>
      </w:r>
      <w:r w:rsidR="00063627" w:rsidRPr="000669A3">
        <w:rPr>
          <w:rFonts w:ascii="Times New Roman" w:hAnsi="Times New Roman" w:cs="Times New Roman"/>
          <w:sz w:val="23"/>
          <w:szCs w:val="23"/>
        </w:rPr>
        <w:t>is</w:t>
      </w:r>
      <w:r w:rsidR="008903D7" w:rsidRPr="000669A3">
        <w:rPr>
          <w:rFonts w:ascii="Times New Roman" w:hAnsi="Times New Roman" w:cs="Times New Roman"/>
          <w:sz w:val="23"/>
          <w:szCs w:val="23"/>
        </w:rPr>
        <w:t xml:space="preserve"> lower than the industry standard 85% </w:t>
      </w:r>
      <w:r w:rsidR="00063627" w:rsidRPr="000669A3">
        <w:rPr>
          <w:rFonts w:ascii="Times New Roman" w:hAnsi="Times New Roman" w:cs="Times New Roman"/>
          <w:sz w:val="23"/>
          <w:szCs w:val="23"/>
        </w:rPr>
        <w:t xml:space="preserve">capacity for medical/surgical beds </w:t>
      </w:r>
      <w:r w:rsidR="008903D7" w:rsidRPr="000669A3">
        <w:rPr>
          <w:rFonts w:ascii="Times New Roman" w:hAnsi="Times New Roman" w:cs="Times New Roman"/>
          <w:sz w:val="23"/>
          <w:szCs w:val="23"/>
        </w:rPr>
        <w:t xml:space="preserve">due to the higher level of acuity, care and attention required for these </w:t>
      </w:r>
      <w:r w:rsidR="00063627" w:rsidRPr="000669A3">
        <w:rPr>
          <w:rFonts w:ascii="Times New Roman" w:hAnsi="Times New Roman" w:cs="Times New Roman"/>
          <w:sz w:val="23"/>
          <w:szCs w:val="23"/>
        </w:rPr>
        <w:t>patients in the ICU. As such, the reasonable occupancy rate for ICU is</w:t>
      </w:r>
      <w:r w:rsidR="008903D7" w:rsidRPr="000669A3">
        <w:rPr>
          <w:rFonts w:ascii="Times New Roman" w:hAnsi="Times New Roman" w:cs="Times New Roman"/>
          <w:sz w:val="23"/>
          <w:szCs w:val="23"/>
        </w:rPr>
        <w:t xml:space="preserve"> generally accepted to be closer to 75%. </w:t>
      </w:r>
      <w:r w:rsidR="005F259B" w:rsidRPr="000669A3">
        <w:rPr>
          <w:rFonts w:ascii="Times New Roman" w:hAnsi="Times New Roman" w:cs="Times New Roman"/>
          <w:sz w:val="23"/>
          <w:szCs w:val="23"/>
        </w:rPr>
        <w:t xml:space="preserve"> An average greater than 100% means that patients are in ICUs not dedicated to their disease area.  </w:t>
      </w:r>
    </w:p>
    <w:p w14:paraId="6B9D9B77" w14:textId="500F9FD9" w:rsidR="00820456" w:rsidRPr="000669A3" w:rsidRDefault="00820456" w:rsidP="00D9065C">
      <w:pPr>
        <w:rPr>
          <w:rFonts w:ascii="Times New Roman" w:hAnsi="Times New Roman" w:cs="Times New Roman"/>
          <w:sz w:val="23"/>
          <w:szCs w:val="23"/>
        </w:rPr>
      </w:pPr>
      <w:r w:rsidRPr="000669A3">
        <w:rPr>
          <w:rFonts w:ascii="Times New Roman" w:hAnsi="Times New Roman" w:cs="Times New Roman"/>
          <w:sz w:val="23"/>
          <w:szCs w:val="23"/>
        </w:rPr>
        <w:t xml:space="preserve">The below charts </w:t>
      </w:r>
      <w:r w:rsidR="00063627" w:rsidRPr="000669A3">
        <w:rPr>
          <w:rFonts w:ascii="Times New Roman" w:hAnsi="Times New Roman" w:cs="Times New Roman"/>
          <w:sz w:val="23"/>
          <w:szCs w:val="23"/>
        </w:rPr>
        <w:t>demonstrate</w:t>
      </w:r>
      <w:r w:rsidRPr="000669A3">
        <w:rPr>
          <w:rFonts w:ascii="Times New Roman" w:hAnsi="Times New Roman" w:cs="Times New Roman"/>
          <w:sz w:val="23"/>
          <w:szCs w:val="23"/>
        </w:rPr>
        <w:t xml:space="preserve"> the following:</w:t>
      </w:r>
    </w:p>
    <w:p w14:paraId="1AB32017" w14:textId="77D79B5B" w:rsidR="00820456" w:rsidRPr="000669A3" w:rsidRDefault="00063627" w:rsidP="00820456">
      <w:pPr>
        <w:pStyle w:val="ListParagraph"/>
        <w:numPr>
          <w:ilvl w:val="0"/>
          <w:numId w:val="4"/>
        </w:numPr>
        <w:rPr>
          <w:rFonts w:ascii="Times New Roman" w:hAnsi="Times New Roman" w:cs="Times New Roman"/>
          <w:sz w:val="23"/>
          <w:szCs w:val="23"/>
        </w:rPr>
      </w:pPr>
      <w:r w:rsidRPr="000669A3">
        <w:rPr>
          <w:rFonts w:ascii="Times New Roman" w:hAnsi="Times New Roman" w:cs="Times New Roman"/>
          <w:sz w:val="23"/>
          <w:szCs w:val="23"/>
        </w:rPr>
        <w:t>MGH’s</w:t>
      </w:r>
      <w:r w:rsidR="00EB4BC6" w:rsidRPr="000669A3">
        <w:rPr>
          <w:rFonts w:ascii="Times New Roman" w:hAnsi="Times New Roman" w:cs="Times New Roman"/>
          <w:sz w:val="23"/>
          <w:szCs w:val="23"/>
        </w:rPr>
        <w:t xml:space="preserve"> medical/surgical </w:t>
      </w:r>
      <w:r w:rsidRPr="000669A3">
        <w:rPr>
          <w:rFonts w:ascii="Times New Roman" w:hAnsi="Times New Roman" w:cs="Times New Roman"/>
          <w:sz w:val="23"/>
          <w:szCs w:val="23"/>
        </w:rPr>
        <w:t xml:space="preserve">bed count is </w:t>
      </w:r>
      <w:r w:rsidR="00EB4BC6" w:rsidRPr="000669A3">
        <w:rPr>
          <w:rFonts w:ascii="Times New Roman" w:hAnsi="Times New Roman" w:cs="Times New Roman"/>
          <w:sz w:val="23"/>
          <w:szCs w:val="23"/>
        </w:rPr>
        <w:t>detailed in the Bed Summary chart below</w:t>
      </w:r>
      <w:r w:rsidRPr="000669A3">
        <w:rPr>
          <w:rFonts w:ascii="Times New Roman" w:hAnsi="Times New Roman" w:cs="Times New Roman"/>
          <w:sz w:val="23"/>
          <w:szCs w:val="23"/>
        </w:rPr>
        <w:t xml:space="preserve">. With the project, the current licensed but non-operational beds </w:t>
      </w:r>
      <w:r w:rsidR="00820456" w:rsidRPr="000669A3">
        <w:rPr>
          <w:rFonts w:ascii="Times New Roman" w:hAnsi="Times New Roman" w:cs="Times New Roman"/>
          <w:sz w:val="23"/>
          <w:szCs w:val="23"/>
        </w:rPr>
        <w:t>(+24) and future requested (+94)</w:t>
      </w:r>
      <w:r w:rsidRPr="000669A3">
        <w:rPr>
          <w:rFonts w:ascii="Times New Roman" w:hAnsi="Times New Roman" w:cs="Times New Roman"/>
          <w:sz w:val="23"/>
          <w:szCs w:val="23"/>
        </w:rPr>
        <w:t xml:space="preserve"> beds </w:t>
      </w:r>
      <w:r w:rsidR="00EB4BC6" w:rsidRPr="000669A3">
        <w:rPr>
          <w:rFonts w:ascii="Times New Roman" w:hAnsi="Times New Roman" w:cs="Times New Roman"/>
          <w:sz w:val="23"/>
          <w:szCs w:val="23"/>
        </w:rPr>
        <w:t xml:space="preserve">will result </w:t>
      </w:r>
      <w:r w:rsidRPr="000669A3">
        <w:rPr>
          <w:rFonts w:ascii="Times New Roman" w:hAnsi="Times New Roman" w:cs="Times New Roman"/>
          <w:sz w:val="23"/>
          <w:szCs w:val="23"/>
        </w:rPr>
        <w:t xml:space="preserve">in a total increase in licensed and operating </w:t>
      </w:r>
      <w:r w:rsidR="00820456" w:rsidRPr="000669A3">
        <w:rPr>
          <w:rFonts w:ascii="Times New Roman" w:hAnsi="Times New Roman" w:cs="Times New Roman"/>
          <w:sz w:val="23"/>
          <w:szCs w:val="23"/>
        </w:rPr>
        <w:t>of 118.</w:t>
      </w:r>
    </w:p>
    <w:p w14:paraId="568A9E5C" w14:textId="4C313A61" w:rsidR="00820456" w:rsidRPr="000669A3" w:rsidRDefault="00EB4BC6" w:rsidP="00820456">
      <w:pPr>
        <w:pStyle w:val="ListParagraph"/>
        <w:numPr>
          <w:ilvl w:val="0"/>
          <w:numId w:val="4"/>
        </w:numPr>
        <w:rPr>
          <w:rFonts w:ascii="Times New Roman" w:hAnsi="Times New Roman" w:cs="Times New Roman"/>
          <w:sz w:val="23"/>
          <w:szCs w:val="23"/>
        </w:rPr>
      </w:pPr>
      <w:r w:rsidRPr="000669A3">
        <w:rPr>
          <w:rFonts w:ascii="Times New Roman" w:hAnsi="Times New Roman" w:cs="Times New Roman"/>
          <w:sz w:val="23"/>
          <w:szCs w:val="23"/>
        </w:rPr>
        <w:t>As shown in the first Utilization Chart below, t</w:t>
      </w:r>
      <w:r w:rsidR="004B31F5" w:rsidRPr="000669A3">
        <w:rPr>
          <w:rFonts w:ascii="Times New Roman" w:hAnsi="Times New Roman" w:cs="Times New Roman"/>
          <w:sz w:val="23"/>
          <w:szCs w:val="23"/>
        </w:rPr>
        <w:t>here</w:t>
      </w:r>
      <w:r w:rsidR="00820456" w:rsidRPr="000669A3">
        <w:rPr>
          <w:rFonts w:ascii="Times New Roman" w:hAnsi="Times New Roman" w:cs="Times New Roman"/>
          <w:sz w:val="23"/>
          <w:szCs w:val="23"/>
        </w:rPr>
        <w:t xml:space="preserve"> are beds that are dedicated to a service line (</w:t>
      </w:r>
      <w:r w:rsidRPr="000669A3">
        <w:rPr>
          <w:rFonts w:ascii="Times New Roman" w:hAnsi="Times New Roman" w:cs="Times New Roman"/>
          <w:sz w:val="23"/>
          <w:szCs w:val="23"/>
        </w:rPr>
        <w:t>“D</w:t>
      </w:r>
      <w:r w:rsidR="00820456" w:rsidRPr="000669A3">
        <w:rPr>
          <w:rFonts w:ascii="Times New Roman" w:hAnsi="Times New Roman" w:cs="Times New Roman"/>
          <w:sz w:val="23"/>
          <w:szCs w:val="23"/>
        </w:rPr>
        <w:t xml:space="preserve">esignated </w:t>
      </w:r>
      <w:r w:rsidRPr="000669A3">
        <w:rPr>
          <w:rFonts w:ascii="Times New Roman" w:hAnsi="Times New Roman" w:cs="Times New Roman"/>
          <w:sz w:val="23"/>
          <w:szCs w:val="23"/>
        </w:rPr>
        <w:t>B</w:t>
      </w:r>
      <w:r w:rsidR="00820456" w:rsidRPr="000669A3">
        <w:rPr>
          <w:rFonts w:ascii="Times New Roman" w:hAnsi="Times New Roman" w:cs="Times New Roman"/>
          <w:sz w:val="23"/>
          <w:szCs w:val="23"/>
        </w:rPr>
        <w:t>eds</w:t>
      </w:r>
      <w:r w:rsidRPr="000669A3">
        <w:rPr>
          <w:rFonts w:ascii="Times New Roman" w:hAnsi="Times New Roman" w:cs="Times New Roman"/>
          <w:sz w:val="23"/>
          <w:szCs w:val="23"/>
        </w:rPr>
        <w:t>”</w:t>
      </w:r>
      <w:r w:rsidR="00820456" w:rsidRPr="000669A3">
        <w:rPr>
          <w:rFonts w:ascii="Times New Roman" w:hAnsi="Times New Roman" w:cs="Times New Roman"/>
          <w:sz w:val="23"/>
          <w:szCs w:val="23"/>
        </w:rPr>
        <w:t xml:space="preserve">).  However, because of higher volume, particularly in Cancer, </w:t>
      </w:r>
      <w:r w:rsidR="004B31F5" w:rsidRPr="000669A3">
        <w:rPr>
          <w:rFonts w:ascii="Times New Roman" w:hAnsi="Times New Roman" w:cs="Times New Roman"/>
          <w:sz w:val="23"/>
          <w:szCs w:val="23"/>
        </w:rPr>
        <w:t>cancer patients</w:t>
      </w:r>
      <w:r w:rsidR="00820456" w:rsidRPr="000669A3">
        <w:rPr>
          <w:rFonts w:ascii="Times New Roman" w:hAnsi="Times New Roman" w:cs="Times New Roman"/>
          <w:sz w:val="23"/>
          <w:szCs w:val="23"/>
        </w:rPr>
        <w:t xml:space="preserve"> are </w:t>
      </w:r>
      <w:r w:rsidR="004B31F5" w:rsidRPr="000669A3">
        <w:rPr>
          <w:rFonts w:ascii="Times New Roman" w:hAnsi="Times New Roman" w:cs="Times New Roman"/>
          <w:sz w:val="23"/>
          <w:szCs w:val="23"/>
        </w:rPr>
        <w:t>occupying</w:t>
      </w:r>
      <w:r w:rsidR="00820456" w:rsidRPr="000669A3">
        <w:rPr>
          <w:rFonts w:ascii="Times New Roman" w:hAnsi="Times New Roman" w:cs="Times New Roman"/>
          <w:sz w:val="23"/>
          <w:szCs w:val="23"/>
        </w:rPr>
        <w:t xml:space="preserve"> beds in other general care Med/Surg units.  Thus, </w:t>
      </w:r>
      <w:r w:rsidR="004B31F5" w:rsidRPr="000669A3">
        <w:rPr>
          <w:rFonts w:ascii="Times New Roman" w:hAnsi="Times New Roman" w:cs="Times New Roman"/>
          <w:sz w:val="23"/>
          <w:szCs w:val="23"/>
        </w:rPr>
        <w:t>the chart includes utilized</w:t>
      </w:r>
      <w:r w:rsidR="00820456" w:rsidRPr="000669A3">
        <w:rPr>
          <w:rFonts w:ascii="Times New Roman" w:hAnsi="Times New Roman" w:cs="Times New Roman"/>
          <w:sz w:val="23"/>
          <w:szCs w:val="23"/>
        </w:rPr>
        <w:t xml:space="preserve"> beds to </w:t>
      </w:r>
      <w:r w:rsidR="004B31F5" w:rsidRPr="000669A3">
        <w:rPr>
          <w:rFonts w:ascii="Times New Roman" w:hAnsi="Times New Roman" w:cs="Times New Roman"/>
          <w:sz w:val="23"/>
          <w:szCs w:val="23"/>
        </w:rPr>
        <w:t>demonstrate</w:t>
      </w:r>
      <w:r w:rsidR="00820456" w:rsidRPr="000669A3">
        <w:rPr>
          <w:rFonts w:ascii="Times New Roman" w:hAnsi="Times New Roman" w:cs="Times New Roman"/>
          <w:sz w:val="23"/>
          <w:szCs w:val="23"/>
        </w:rPr>
        <w:t xml:space="preserve"> the number of beds </w:t>
      </w:r>
      <w:r w:rsidR="004B31F5" w:rsidRPr="000669A3">
        <w:rPr>
          <w:rFonts w:ascii="Times New Roman" w:hAnsi="Times New Roman" w:cs="Times New Roman"/>
          <w:sz w:val="23"/>
          <w:szCs w:val="23"/>
        </w:rPr>
        <w:t>needed</w:t>
      </w:r>
      <w:r w:rsidR="00820456" w:rsidRPr="000669A3">
        <w:rPr>
          <w:rFonts w:ascii="Times New Roman" w:hAnsi="Times New Roman" w:cs="Times New Roman"/>
          <w:sz w:val="23"/>
          <w:szCs w:val="23"/>
        </w:rPr>
        <w:t xml:space="preserve"> </w:t>
      </w:r>
      <w:r w:rsidR="00820456" w:rsidRPr="000669A3">
        <w:rPr>
          <w:rFonts w:ascii="Times New Roman" w:hAnsi="Times New Roman" w:cs="Times New Roman"/>
          <w:i/>
          <w:iCs/>
          <w:sz w:val="23"/>
          <w:szCs w:val="23"/>
        </w:rPr>
        <w:t>today</w:t>
      </w:r>
      <w:r w:rsidR="00820456" w:rsidRPr="000669A3">
        <w:rPr>
          <w:rFonts w:ascii="Times New Roman" w:hAnsi="Times New Roman" w:cs="Times New Roman"/>
          <w:sz w:val="23"/>
          <w:szCs w:val="23"/>
        </w:rPr>
        <w:t>.</w:t>
      </w:r>
    </w:p>
    <w:p w14:paraId="4F538E0A" w14:textId="5B8B11FE" w:rsidR="00820456" w:rsidRPr="000669A3" w:rsidRDefault="004B31F5" w:rsidP="00820456">
      <w:pPr>
        <w:pStyle w:val="ListParagraph"/>
        <w:numPr>
          <w:ilvl w:val="0"/>
          <w:numId w:val="4"/>
        </w:numPr>
        <w:rPr>
          <w:rFonts w:ascii="Times New Roman" w:hAnsi="Times New Roman" w:cs="Times New Roman"/>
          <w:sz w:val="23"/>
          <w:szCs w:val="23"/>
        </w:rPr>
      </w:pPr>
      <w:r w:rsidRPr="000669A3">
        <w:rPr>
          <w:rFonts w:ascii="Times New Roman" w:hAnsi="Times New Roman" w:cs="Times New Roman"/>
          <w:sz w:val="23"/>
          <w:szCs w:val="23"/>
        </w:rPr>
        <w:t>T</w:t>
      </w:r>
      <w:r w:rsidR="00820456" w:rsidRPr="000669A3">
        <w:rPr>
          <w:rFonts w:ascii="Times New Roman" w:hAnsi="Times New Roman" w:cs="Times New Roman"/>
          <w:sz w:val="23"/>
          <w:szCs w:val="23"/>
        </w:rPr>
        <w:t>he beds that were projected for the new building</w:t>
      </w:r>
      <w:r w:rsidR="00EB4BC6" w:rsidRPr="000669A3">
        <w:rPr>
          <w:rFonts w:ascii="Times New Roman" w:hAnsi="Times New Roman" w:cs="Times New Roman"/>
          <w:sz w:val="23"/>
          <w:szCs w:val="23"/>
        </w:rPr>
        <w:t xml:space="preserve"> are</w:t>
      </w:r>
      <w:r w:rsidR="00BA750D" w:rsidRPr="000669A3">
        <w:rPr>
          <w:rFonts w:ascii="Times New Roman" w:hAnsi="Times New Roman" w:cs="Times New Roman"/>
          <w:sz w:val="23"/>
          <w:szCs w:val="23"/>
        </w:rPr>
        <w:t xml:space="preserve"> based on the</w:t>
      </w:r>
      <w:r w:rsidR="00033BBB" w:rsidRPr="000669A3">
        <w:rPr>
          <w:rFonts w:ascii="Times New Roman" w:hAnsi="Times New Roman" w:cs="Times New Roman"/>
          <w:sz w:val="23"/>
          <w:szCs w:val="23"/>
        </w:rPr>
        <w:t xml:space="preserve"> future</w:t>
      </w:r>
      <w:r w:rsidR="00BA750D" w:rsidRPr="000669A3">
        <w:rPr>
          <w:rFonts w:ascii="Times New Roman" w:hAnsi="Times New Roman" w:cs="Times New Roman"/>
          <w:sz w:val="23"/>
          <w:szCs w:val="23"/>
        </w:rPr>
        <w:t xml:space="preserve"> </w:t>
      </w:r>
      <w:r w:rsidR="00033BBB" w:rsidRPr="000669A3">
        <w:rPr>
          <w:rFonts w:ascii="Times New Roman" w:hAnsi="Times New Roman" w:cs="Times New Roman"/>
          <w:sz w:val="23"/>
          <w:szCs w:val="23"/>
        </w:rPr>
        <w:t>demand</w:t>
      </w:r>
      <w:r w:rsidR="00BA750D" w:rsidRPr="000669A3">
        <w:rPr>
          <w:rFonts w:ascii="Times New Roman" w:hAnsi="Times New Roman" w:cs="Times New Roman"/>
          <w:sz w:val="23"/>
          <w:szCs w:val="23"/>
        </w:rPr>
        <w:t xml:space="preserve"> expectations</w:t>
      </w:r>
      <w:r w:rsidR="00033BBB" w:rsidRPr="000669A3">
        <w:rPr>
          <w:rFonts w:ascii="Times New Roman" w:hAnsi="Times New Roman" w:cs="Times New Roman"/>
          <w:sz w:val="23"/>
          <w:szCs w:val="23"/>
        </w:rPr>
        <w:t xml:space="preserve"> and industry standard occupancy rates</w:t>
      </w:r>
      <w:r w:rsidR="00BA750D" w:rsidRPr="000669A3">
        <w:rPr>
          <w:rFonts w:ascii="Times New Roman" w:hAnsi="Times New Roman" w:cs="Times New Roman"/>
          <w:sz w:val="23"/>
          <w:szCs w:val="23"/>
        </w:rPr>
        <w:t xml:space="preserve"> outlined above. </w:t>
      </w:r>
    </w:p>
    <w:p w14:paraId="64552461" w14:textId="498ED7EA" w:rsidR="00820456" w:rsidRPr="000669A3" w:rsidRDefault="00820456" w:rsidP="00820456">
      <w:pPr>
        <w:pStyle w:val="ListParagraph"/>
        <w:numPr>
          <w:ilvl w:val="1"/>
          <w:numId w:val="4"/>
        </w:numPr>
        <w:rPr>
          <w:rFonts w:ascii="Times New Roman" w:hAnsi="Times New Roman" w:cs="Times New Roman"/>
          <w:sz w:val="23"/>
          <w:szCs w:val="23"/>
        </w:rPr>
      </w:pPr>
      <w:r w:rsidRPr="000669A3">
        <w:rPr>
          <w:rFonts w:ascii="Times New Roman" w:hAnsi="Times New Roman" w:cs="Times New Roman"/>
          <w:sz w:val="23"/>
          <w:szCs w:val="23"/>
        </w:rPr>
        <w:t>The bed numbers quoted in the D</w:t>
      </w:r>
      <w:r w:rsidR="004B31F5" w:rsidRPr="000669A3">
        <w:rPr>
          <w:rFonts w:ascii="Times New Roman" w:hAnsi="Times New Roman" w:cs="Times New Roman"/>
          <w:sz w:val="23"/>
          <w:szCs w:val="23"/>
        </w:rPr>
        <w:t>o</w:t>
      </w:r>
      <w:r w:rsidRPr="000669A3">
        <w:rPr>
          <w:rFonts w:ascii="Times New Roman" w:hAnsi="Times New Roman" w:cs="Times New Roman"/>
          <w:sz w:val="23"/>
          <w:szCs w:val="23"/>
        </w:rPr>
        <w:t xml:space="preserve">N </w:t>
      </w:r>
      <w:r w:rsidR="004B31F5" w:rsidRPr="000669A3">
        <w:rPr>
          <w:rFonts w:ascii="Times New Roman" w:hAnsi="Times New Roman" w:cs="Times New Roman"/>
          <w:sz w:val="23"/>
          <w:szCs w:val="23"/>
        </w:rPr>
        <w:t xml:space="preserve">application </w:t>
      </w:r>
      <w:r w:rsidRPr="000669A3">
        <w:rPr>
          <w:rFonts w:ascii="Times New Roman" w:hAnsi="Times New Roman" w:cs="Times New Roman"/>
          <w:sz w:val="23"/>
          <w:szCs w:val="23"/>
        </w:rPr>
        <w:t xml:space="preserve">did not allocate ICU beds to the service line.  </w:t>
      </w:r>
      <w:r w:rsidR="004B31F5" w:rsidRPr="000669A3">
        <w:rPr>
          <w:rFonts w:ascii="Times New Roman" w:hAnsi="Times New Roman" w:cs="Times New Roman"/>
          <w:sz w:val="23"/>
          <w:szCs w:val="23"/>
        </w:rPr>
        <w:t xml:space="preserve">The charts </w:t>
      </w:r>
      <w:r w:rsidR="00EB4BC6" w:rsidRPr="000669A3">
        <w:rPr>
          <w:rFonts w:ascii="Times New Roman" w:hAnsi="Times New Roman" w:cs="Times New Roman"/>
          <w:sz w:val="23"/>
          <w:szCs w:val="23"/>
        </w:rPr>
        <w:t xml:space="preserve">below </w:t>
      </w:r>
      <w:r w:rsidR="004B31F5" w:rsidRPr="000669A3">
        <w:rPr>
          <w:rFonts w:ascii="Times New Roman" w:hAnsi="Times New Roman" w:cs="Times New Roman"/>
          <w:sz w:val="23"/>
          <w:szCs w:val="23"/>
        </w:rPr>
        <w:t>show</w:t>
      </w:r>
      <w:r w:rsidRPr="000669A3">
        <w:rPr>
          <w:rFonts w:ascii="Times New Roman" w:hAnsi="Times New Roman" w:cs="Times New Roman"/>
          <w:sz w:val="23"/>
          <w:szCs w:val="23"/>
        </w:rPr>
        <w:t xml:space="preserve"> the incremental ICU beds that would be assigned to each service.</w:t>
      </w:r>
    </w:p>
    <w:p w14:paraId="55D5BC0F" w14:textId="094896EC" w:rsidR="00820456" w:rsidRPr="000669A3" w:rsidRDefault="004B31F5" w:rsidP="00820456">
      <w:pPr>
        <w:pStyle w:val="ListParagraph"/>
        <w:numPr>
          <w:ilvl w:val="1"/>
          <w:numId w:val="4"/>
        </w:numPr>
        <w:rPr>
          <w:rFonts w:ascii="Times New Roman" w:hAnsi="Times New Roman" w:cs="Times New Roman"/>
          <w:sz w:val="23"/>
          <w:szCs w:val="23"/>
        </w:rPr>
      </w:pPr>
      <w:r w:rsidRPr="000669A3">
        <w:rPr>
          <w:rFonts w:ascii="Times New Roman" w:hAnsi="Times New Roman" w:cs="Times New Roman"/>
          <w:sz w:val="23"/>
          <w:szCs w:val="23"/>
        </w:rPr>
        <w:t>T</w:t>
      </w:r>
      <w:r w:rsidR="00820456" w:rsidRPr="000669A3">
        <w:rPr>
          <w:rFonts w:ascii="Times New Roman" w:hAnsi="Times New Roman" w:cs="Times New Roman"/>
          <w:sz w:val="23"/>
          <w:szCs w:val="23"/>
        </w:rPr>
        <w:t>here is overlap between Cancer and Med/Surg us</w:t>
      </w:r>
      <w:r w:rsidRPr="000669A3">
        <w:rPr>
          <w:rFonts w:ascii="Times New Roman" w:hAnsi="Times New Roman" w:cs="Times New Roman"/>
          <w:sz w:val="23"/>
          <w:szCs w:val="23"/>
        </w:rPr>
        <w:t>e</w:t>
      </w:r>
      <w:r w:rsidR="00820456" w:rsidRPr="000669A3">
        <w:rPr>
          <w:rFonts w:ascii="Times New Roman" w:hAnsi="Times New Roman" w:cs="Times New Roman"/>
          <w:sz w:val="23"/>
          <w:szCs w:val="23"/>
        </w:rPr>
        <w:t xml:space="preserve"> of beds (e.g.</w:t>
      </w:r>
      <w:r w:rsidR="00033BBB" w:rsidRPr="000669A3">
        <w:rPr>
          <w:rFonts w:ascii="Times New Roman" w:hAnsi="Times New Roman" w:cs="Times New Roman"/>
          <w:sz w:val="23"/>
          <w:szCs w:val="23"/>
        </w:rPr>
        <w:t xml:space="preserve">, </w:t>
      </w:r>
      <w:r w:rsidR="00820456" w:rsidRPr="000669A3">
        <w:rPr>
          <w:rFonts w:ascii="Times New Roman" w:hAnsi="Times New Roman" w:cs="Times New Roman"/>
          <w:sz w:val="23"/>
          <w:szCs w:val="23"/>
        </w:rPr>
        <w:t xml:space="preserve">Cancer patient who contracts pneumonia).  </w:t>
      </w:r>
      <w:r w:rsidRPr="000669A3">
        <w:rPr>
          <w:rFonts w:ascii="Times New Roman" w:hAnsi="Times New Roman" w:cs="Times New Roman"/>
          <w:sz w:val="23"/>
          <w:szCs w:val="23"/>
        </w:rPr>
        <w:t>Therefore, s</w:t>
      </w:r>
      <w:r w:rsidR="00820456" w:rsidRPr="000669A3">
        <w:rPr>
          <w:rFonts w:ascii="Times New Roman" w:hAnsi="Times New Roman" w:cs="Times New Roman"/>
          <w:sz w:val="23"/>
          <w:szCs w:val="23"/>
        </w:rPr>
        <w:t>ome Cancer patients</w:t>
      </w:r>
      <w:r w:rsidRPr="000669A3">
        <w:rPr>
          <w:rFonts w:ascii="Times New Roman" w:hAnsi="Times New Roman" w:cs="Times New Roman"/>
          <w:sz w:val="23"/>
          <w:szCs w:val="23"/>
        </w:rPr>
        <w:t xml:space="preserve"> </w:t>
      </w:r>
      <w:r w:rsidR="00820456" w:rsidRPr="000669A3">
        <w:rPr>
          <w:rFonts w:ascii="Times New Roman" w:hAnsi="Times New Roman" w:cs="Times New Roman"/>
          <w:sz w:val="23"/>
          <w:szCs w:val="23"/>
        </w:rPr>
        <w:t xml:space="preserve">will utilize general Med/Surg beds – thus a higher occupancy </w:t>
      </w:r>
      <w:r w:rsidR="00033BBB" w:rsidRPr="000669A3">
        <w:rPr>
          <w:rFonts w:ascii="Times New Roman" w:hAnsi="Times New Roman" w:cs="Times New Roman"/>
          <w:sz w:val="23"/>
          <w:szCs w:val="23"/>
        </w:rPr>
        <w:t>rate</w:t>
      </w:r>
      <w:r w:rsidR="00820456" w:rsidRPr="000669A3">
        <w:rPr>
          <w:rFonts w:ascii="Times New Roman" w:hAnsi="Times New Roman" w:cs="Times New Roman"/>
          <w:sz w:val="23"/>
          <w:szCs w:val="23"/>
        </w:rPr>
        <w:t xml:space="preserve"> on the Cancer </w:t>
      </w:r>
      <w:r w:rsidR="00033BBB" w:rsidRPr="000669A3">
        <w:rPr>
          <w:rFonts w:ascii="Times New Roman" w:hAnsi="Times New Roman" w:cs="Times New Roman"/>
          <w:sz w:val="23"/>
          <w:szCs w:val="23"/>
        </w:rPr>
        <w:t xml:space="preserve">bed </w:t>
      </w:r>
      <w:r w:rsidR="00820456" w:rsidRPr="000669A3">
        <w:rPr>
          <w:rFonts w:ascii="Times New Roman" w:hAnsi="Times New Roman" w:cs="Times New Roman"/>
          <w:sz w:val="23"/>
          <w:szCs w:val="23"/>
        </w:rPr>
        <w:t xml:space="preserve">line but an artificially lower number on the Med/Surg </w:t>
      </w:r>
      <w:r w:rsidR="00033BBB" w:rsidRPr="000669A3">
        <w:rPr>
          <w:rFonts w:ascii="Times New Roman" w:hAnsi="Times New Roman" w:cs="Times New Roman"/>
          <w:sz w:val="23"/>
          <w:szCs w:val="23"/>
        </w:rPr>
        <w:t xml:space="preserve">bed </w:t>
      </w:r>
      <w:r w:rsidR="00820456" w:rsidRPr="000669A3">
        <w:rPr>
          <w:rFonts w:ascii="Times New Roman" w:hAnsi="Times New Roman" w:cs="Times New Roman"/>
          <w:sz w:val="23"/>
          <w:szCs w:val="23"/>
        </w:rPr>
        <w:t>line</w:t>
      </w:r>
      <w:r w:rsidR="00033BBB" w:rsidRPr="000669A3">
        <w:rPr>
          <w:rFonts w:ascii="Times New Roman" w:hAnsi="Times New Roman" w:cs="Times New Roman"/>
          <w:sz w:val="23"/>
          <w:szCs w:val="23"/>
        </w:rPr>
        <w:t xml:space="preserve"> in the first Occupancy Chart below</w:t>
      </w:r>
      <w:r w:rsidR="00820456" w:rsidRPr="000669A3">
        <w:rPr>
          <w:rFonts w:ascii="Times New Roman" w:hAnsi="Times New Roman" w:cs="Times New Roman"/>
          <w:sz w:val="23"/>
          <w:szCs w:val="23"/>
        </w:rPr>
        <w:t>.</w:t>
      </w:r>
    </w:p>
    <w:p w14:paraId="16789126" w14:textId="428B037C" w:rsidR="00820456" w:rsidRPr="000669A3" w:rsidRDefault="00820456" w:rsidP="00D9065C">
      <w:pPr>
        <w:pStyle w:val="ListParagraph"/>
        <w:numPr>
          <w:ilvl w:val="1"/>
          <w:numId w:val="4"/>
        </w:numPr>
        <w:rPr>
          <w:rFonts w:ascii="Times New Roman" w:hAnsi="Times New Roman" w:cs="Times New Roman"/>
          <w:sz w:val="23"/>
          <w:szCs w:val="23"/>
        </w:rPr>
      </w:pPr>
      <w:r w:rsidRPr="000669A3">
        <w:rPr>
          <w:rFonts w:ascii="Times New Roman" w:hAnsi="Times New Roman" w:cs="Times New Roman"/>
          <w:sz w:val="23"/>
          <w:szCs w:val="23"/>
        </w:rPr>
        <w:t xml:space="preserve">In addition, as the year being used for projection is only Year 2 after the building opens, the goal is NOT to be at occupancy max targets (85% Routine, 75% ICU) at this point but to allow </w:t>
      </w:r>
      <w:r w:rsidR="00033BBB" w:rsidRPr="000669A3">
        <w:rPr>
          <w:rFonts w:ascii="Times New Roman" w:hAnsi="Times New Roman" w:cs="Times New Roman"/>
          <w:sz w:val="23"/>
          <w:szCs w:val="23"/>
        </w:rPr>
        <w:t>capacity to meet demand</w:t>
      </w:r>
      <w:r w:rsidRPr="000669A3">
        <w:rPr>
          <w:rFonts w:ascii="Times New Roman" w:hAnsi="Times New Roman" w:cs="Times New Roman"/>
          <w:sz w:val="23"/>
          <w:szCs w:val="23"/>
        </w:rPr>
        <w:t xml:space="preserve"> in all areas in the future.</w:t>
      </w:r>
    </w:p>
    <w:p w14:paraId="2E000028" w14:textId="463552A4" w:rsidR="00033BBB" w:rsidRPr="000669A3" w:rsidRDefault="00656BF6" w:rsidP="003C587A">
      <w:pPr>
        <w:rPr>
          <w:rFonts w:ascii="Times New Roman" w:hAnsi="Times New Roman" w:cs="Times New Roman"/>
          <w:sz w:val="23"/>
          <w:szCs w:val="23"/>
        </w:rPr>
      </w:pPr>
      <w:r w:rsidRPr="000669A3">
        <w:rPr>
          <w:rFonts w:ascii="Times New Roman" w:hAnsi="Times New Roman" w:cs="Times New Roman"/>
          <w:sz w:val="23"/>
          <w:szCs w:val="23"/>
        </w:rPr>
        <w:t xml:space="preserve">In summary, the 94 incremental licensed beds will address this aggregate operational capacity challenge and provide the flexibility necessary to respond to peaks in utilization (by day of week, time of day, and level of care) while the construction and relocation of beds into a new tower will enable the clinical and operational benefits of a geographic </w:t>
      </w:r>
      <w:proofErr w:type="spellStart"/>
      <w:r w:rsidRPr="000669A3">
        <w:rPr>
          <w:rFonts w:ascii="Times New Roman" w:hAnsi="Times New Roman" w:cs="Times New Roman"/>
          <w:sz w:val="23"/>
          <w:szCs w:val="23"/>
        </w:rPr>
        <w:t>cohorting</w:t>
      </w:r>
      <w:proofErr w:type="spellEnd"/>
      <w:r w:rsidRPr="000669A3">
        <w:rPr>
          <w:rFonts w:ascii="Times New Roman" w:hAnsi="Times New Roman" w:cs="Times New Roman"/>
          <w:sz w:val="23"/>
          <w:szCs w:val="23"/>
        </w:rPr>
        <w:t xml:space="preserve"> strategy as outlined in </w:t>
      </w:r>
      <w:r w:rsidR="004B31F5" w:rsidRPr="000669A3">
        <w:rPr>
          <w:rFonts w:ascii="Times New Roman" w:hAnsi="Times New Roman" w:cs="Times New Roman"/>
          <w:sz w:val="23"/>
          <w:szCs w:val="23"/>
        </w:rPr>
        <w:t xml:space="preserve">the </w:t>
      </w:r>
      <w:proofErr w:type="spellStart"/>
      <w:r w:rsidR="004B31F5" w:rsidRPr="000669A3">
        <w:rPr>
          <w:rFonts w:ascii="Times New Roman" w:hAnsi="Times New Roman" w:cs="Times New Roman"/>
          <w:sz w:val="23"/>
          <w:szCs w:val="23"/>
        </w:rPr>
        <w:t>DoN</w:t>
      </w:r>
      <w:proofErr w:type="spellEnd"/>
      <w:r w:rsidRPr="000669A3">
        <w:rPr>
          <w:rFonts w:ascii="Times New Roman" w:hAnsi="Times New Roman" w:cs="Times New Roman"/>
          <w:sz w:val="23"/>
          <w:szCs w:val="23"/>
        </w:rPr>
        <w:t xml:space="preserve"> application.</w:t>
      </w:r>
      <w:r w:rsidR="00574083" w:rsidRPr="000669A3">
        <w:rPr>
          <w:rFonts w:ascii="Times New Roman" w:hAnsi="Times New Roman" w:cs="Times New Roman"/>
          <w:sz w:val="23"/>
          <w:szCs w:val="23"/>
        </w:rPr>
        <w:t xml:space="preserve"> </w:t>
      </w:r>
    </w:p>
    <w:p w14:paraId="561556B8" w14:textId="57787E67" w:rsidR="00656BF6" w:rsidRPr="000669A3" w:rsidRDefault="00BA750D" w:rsidP="00EB4BC6">
      <w:pPr>
        <w:jc w:val="center"/>
        <w:rPr>
          <w:rFonts w:ascii="Times New Roman" w:hAnsi="Times New Roman" w:cs="Times New Roman"/>
          <w:b/>
          <w:bCs/>
          <w:sz w:val="23"/>
          <w:szCs w:val="23"/>
          <w:u w:val="single"/>
        </w:rPr>
      </w:pPr>
      <w:r w:rsidRPr="000669A3">
        <w:rPr>
          <w:rFonts w:ascii="Times New Roman" w:hAnsi="Times New Roman" w:cs="Times New Roman"/>
          <w:b/>
          <w:bCs/>
          <w:sz w:val="23"/>
          <w:szCs w:val="23"/>
          <w:u w:val="single"/>
        </w:rPr>
        <w:lastRenderedPageBreak/>
        <w:t>Bed Summary</w:t>
      </w:r>
    </w:p>
    <w:p w14:paraId="7DF6C0E2" w14:textId="4782B084" w:rsidR="00656BF6" w:rsidRPr="000669A3" w:rsidRDefault="00820456" w:rsidP="00820456">
      <w:pPr>
        <w:jc w:val="center"/>
        <w:rPr>
          <w:rFonts w:ascii="Times New Roman" w:hAnsi="Times New Roman" w:cs="Times New Roman"/>
          <w:sz w:val="23"/>
          <w:szCs w:val="23"/>
        </w:rPr>
      </w:pPr>
      <w:r w:rsidRPr="000669A3">
        <w:rPr>
          <w:rFonts w:ascii="Times New Roman" w:hAnsi="Times New Roman" w:cs="Times New Roman"/>
          <w:noProof/>
          <w:sz w:val="23"/>
          <w:szCs w:val="23"/>
        </w:rPr>
        <w:drawing>
          <wp:inline distT="0" distB="0" distL="0" distR="0" wp14:anchorId="1F2319E2" wp14:editId="7570863C">
            <wp:extent cx="4526280" cy="1866900"/>
            <wp:effectExtent l="0" t="0" r="7620" b="0"/>
            <wp:docPr id="4" name="Picture 4" descr="Bed Summary Table" title="Bed Summar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6280" cy="1866900"/>
                    </a:xfrm>
                    <a:prstGeom prst="rect">
                      <a:avLst/>
                    </a:prstGeom>
                    <a:noFill/>
                    <a:ln>
                      <a:noFill/>
                    </a:ln>
                  </pic:spPr>
                </pic:pic>
              </a:graphicData>
            </a:graphic>
          </wp:inline>
        </w:drawing>
      </w:r>
    </w:p>
    <w:p w14:paraId="4361BE91" w14:textId="0A8061C3" w:rsidR="00656BF6" w:rsidRPr="000669A3" w:rsidRDefault="00656BF6" w:rsidP="00D9065C">
      <w:pPr>
        <w:rPr>
          <w:rFonts w:ascii="Times New Roman" w:hAnsi="Times New Roman" w:cs="Times New Roman"/>
          <w:sz w:val="23"/>
          <w:szCs w:val="23"/>
        </w:rPr>
      </w:pPr>
    </w:p>
    <w:p w14:paraId="1FCC86DC" w14:textId="3E837220" w:rsidR="00D9065C" w:rsidRPr="000669A3" w:rsidRDefault="00A40F4D" w:rsidP="00D9065C">
      <w:pPr>
        <w:rPr>
          <w:rFonts w:ascii="Times New Roman" w:hAnsi="Times New Roman" w:cs="Times New Roman"/>
          <w:noProof/>
          <w:sz w:val="23"/>
          <w:szCs w:val="23"/>
        </w:rPr>
      </w:pPr>
      <w:r w:rsidRPr="000669A3">
        <w:rPr>
          <w:rFonts w:ascii="Times New Roman" w:hAnsi="Times New Roman" w:cs="Times New Roman"/>
          <w:b/>
          <w:bCs/>
          <w:sz w:val="23"/>
          <w:szCs w:val="23"/>
          <w:u w:val="single"/>
        </w:rPr>
        <w:t xml:space="preserve">Utilization </w:t>
      </w:r>
    </w:p>
    <w:p w14:paraId="65BF35CC" w14:textId="57B46EFA" w:rsidR="00A40F4D" w:rsidRPr="000669A3" w:rsidRDefault="00EB4BC6" w:rsidP="00D9065C">
      <w:pPr>
        <w:rPr>
          <w:rFonts w:ascii="Times New Roman" w:hAnsi="Times New Roman" w:cs="Times New Roman"/>
          <w:sz w:val="23"/>
          <w:szCs w:val="23"/>
        </w:rPr>
      </w:pPr>
      <w:r w:rsidRPr="000669A3">
        <w:rPr>
          <w:rFonts w:ascii="Times New Roman" w:hAnsi="Times New Roman" w:cs="Times New Roman"/>
          <w:b/>
          <w:bCs/>
          <w:noProof/>
          <w:sz w:val="23"/>
          <w:szCs w:val="23"/>
          <w:u w:val="single"/>
        </w:rPr>
        <mc:AlternateContent>
          <mc:Choice Requires="wps">
            <w:drawing>
              <wp:anchor distT="0" distB="0" distL="114300" distR="114300" simplePos="0" relativeHeight="251659264" behindDoc="0" locked="0" layoutInCell="1" allowOverlap="1" wp14:anchorId="5AEE8FE9" wp14:editId="3CAD881E">
                <wp:simplePos x="0" y="0"/>
                <wp:positionH relativeFrom="column">
                  <wp:posOffset>3545205</wp:posOffset>
                </wp:positionH>
                <wp:positionV relativeFrom="paragraph">
                  <wp:posOffset>3221355</wp:posOffset>
                </wp:positionV>
                <wp:extent cx="541020" cy="213360"/>
                <wp:effectExtent l="0" t="0" r="11430" b="15240"/>
                <wp:wrapNone/>
                <wp:docPr id="6" name="Oval 6" descr="88%" title="Utilized Bed Occupancy Total Days"/>
                <wp:cNvGraphicFramePr/>
                <a:graphic xmlns:a="http://schemas.openxmlformats.org/drawingml/2006/main">
                  <a:graphicData uri="http://schemas.microsoft.com/office/word/2010/wordprocessingShape">
                    <wps:wsp>
                      <wps:cNvSpPr/>
                      <wps:spPr>
                        <a:xfrm>
                          <a:off x="0" y="0"/>
                          <a:ext cx="541020" cy="2133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42E5B" w14:textId="77777777" w:rsidR="00E31F4A" w:rsidRDefault="00E31F4A" w:rsidP="00E31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EE8FE9" id="Oval 6" o:spid="_x0000_s1026" alt="Title: Utilized Bed Occupancy Total Days - Description: 88%" style="position:absolute;margin-left:279.15pt;margin-top:253.65pt;width:42.6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" filled="f" strokecolor="red" strokeweight="1pt">
                <v:stroke joinstyle="miter"/>
                <v:textbox>
                  <w:txbxContent>
                    <w:p w14:paraId="17342E5B" w14:textId="77777777" w:rsidR="00E31F4A" w:rsidRDefault="00E31F4A" w:rsidP="00E31F4A">
                      <w:pPr>
                        <w:jc w:val="center"/>
                      </w:pPr>
                    </w:p>
                  </w:txbxContent>
                </v:textbox>
              </v:oval>
            </w:pict>
          </mc:Fallback>
        </mc:AlternateContent>
      </w:r>
      <w:r w:rsidRPr="000669A3">
        <w:rPr>
          <w:rFonts w:ascii="Times New Roman" w:hAnsi="Times New Roman" w:cs="Times New Roman"/>
          <w:b/>
          <w:bCs/>
          <w:noProof/>
          <w:sz w:val="23"/>
          <w:szCs w:val="23"/>
          <w:u w:val="single"/>
        </w:rPr>
        <mc:AlternateContent>
          <mc:Choice Requires="wps">
            <w:drawing>
              <wp:anchor distT="0" distB="0" distL="114300" distR="114300" simplePos="0" relativeHeight="251661312" behindDoc="0" locked="0" layoutInCell="1" allowOverlap="1" wp14:anchorId="2D12D285" wp14:editId="090D593A">
                <wp:simplePos x="0" y="0"/>
                <wp:positionH relativeFrom="column">
                  <wp:posOffset>6396990</wp:posOffset>
                </wp:positionH>
                <wp:positionV relativeFrom="paragraph">
                  <wp:posOffset>2667000</wp:posOffset>
                </wp:positionV>
                <wp:extent cx="541020" cy="213360"/>
                <wp:effectExtent l="0" t="0" r="11430" b="15240"/>
                <wp:wrapNone/>
                <wp:docPr id="7" name="Oval 7" descr="69%"/>
                <wp:cNvGraphicFramePr/>
                <a:graphic xmlns:a="http://schemas.openxmlformats.org/drawingml/2006/main">
                  <a:graphicData uri="http://schemas.microsoft.com/office/word/2010/wordprocessingShape">
                    <wps:wsp>
                      <wps:cNvSpPr/>
                      <wps:spPr>
                        <a:xfrm>
                          <a:off x="0" y="0"/>
                          <a:ext cx="541020" cy="2133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AEB5E" w14:textId="77777777" w:rsidR="00E31F4A" w:rsidRDefault="00E31F4A" w:rsidP="00E31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12D285" id="Oval 7" o:spid="_x0000_s1027" alt="69%" style="position:absolute;margin-left:503.7pt;margin-top:210pt;width:42.6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" filled="f" strokecolor="red" strokeweight="1pt">
                <v:stroke joinstyle="miter"/>
                <v:textbox>
                  <w:txbxContent>
                    <w:p w14:paraId="27BAEB5E" w14:textId="77777777" w:rsidR="00E31F4A" w:rsidRDefault="00E31F4A" w:rsidP="00E31F4A">
                      <w:pPr>
                        <w:jc w:val="center"/>
                      </w:pPr>
                    </w:p>
                  </w:txbxContent>
                </v:textbox>
              </v:oval>
            </w:pict>
          </mc:Fallback>
        </mc:AlternateContent>
      </w:r>
      <w:bookmarkStart w:id="0" w:name="_GoBack"/>
      <w:r w:rsidR="00A40F4D" w:rsidRPr="000669A3">
        <w:rPr>
          <w:rFonts w:ascii="Times New Roman" w:hAnsi="Times New Roman" w:cs="Times New Roman"/>
          <w:noProof/>
          <w:sz w:val="23"/>
          <w:szCs w:val="23"/>
        </w:rPr>
        <w:drawing>
          <wp:inline distT="0" distB="0" distL="0" distR="0" wp14:anchorId="0084A520" wp14:editId="31F5169D">
            <wp:extent cx="6858000" cy="3698875"/>
            <wp:effectExtent l="0" t="0" r="0" b="0"/>
            <wp:docPr id="2" name="Picture 2" descr="Utilization Table" title="Utilization Tabl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3698875"/>
                    </a:xfrm>
                    <a:prstGeom prst="rect">
                      <a:avLst/>
                    </a:prstGeom>
                    <a:noFill/>
                    <a:ln>
                      <a:noFill/>
                    </a:ln>
                  </pic:spPr>
                </pic:pic>
              </a:graphicData>
            </a:graphic>
          </wp:inline>
        </w:drawing>
      </w:r>
      <w:bookmarkEnd w:id="0"/>
    </w:p>
    <w:p w14:paraId="2E881B5B" w14:textId="4BD9D8B1" w:rsidR="008E56CC" w:rsidRPr="000669A3" w:rsidRDefault="008E56CC" w:rsidP="00D9065C">
      <w:pPr>
        <w:rPr>
          <w:rFonts w:ascii="Times New Roman" w:hAnsi="Times New Roman" w:cs="Times New Roman"/>
          <w:sz w:val="23"/>
          <w:szCs w:val="23"/>
        </w:rPr>
      </w:pPr>
    </w:p>
    <w:p w14:paraId="7F5ADA9C" w14:textId="77777777" w:rsidR="00A40F4D" w:rsidRPr="000669A3" w:rsidRDefault="00A40F4D" w:rsidP="00D9065C">
      <w:pPr>
        <w:rPr>
          <w:rFonts w:ascii="Times New Roman" w:hAnsi="Times New Roman" w:cs="Times New Roman"/>
          <w:sz w:val="23"/>
          <w:szCs w:val="23"/>
        </w:rPr>
      </w:pPr>
    </w:p>
    <w:p w14:paraId="37540E6C" w14:textId="75EFC069" w:rsidR="000669A3" w:rsidRDefault="00A40F4D" w:rsidP="00574083">
      <w:pPr>
        <w:jc w:val="center"/>
        <w:rPr>
          <w:rFonts w:ascii="Times New Roman" w:hAnsi="Times New Roman" w:cs="Times New Roman"/>
          <w:noProof/>
          <w:sz w:val="23"/>
          <w:szCs w:val="23"/>
        </w:rPr>
      </w:pPr>
      <w:r w:rsidRPr="000669A3">
        <w:rPr>
          <w:rFonts w:ascii="Times New Roman" w:hAnsi="Times New Roman" w:cs="Times New Roman"/>
          <w:noProof/>
          <w:sz w:val="23"/>
          <w:szCs w:val="23"/>
        </w:rPr>
        <w:lastRenderedPageBreak/>
        <w:drawing>
          <wp:inline distT="0" distB="0" distL="0" distR="0" wp14:anchorId="23F17333" wp14:editId="7B8AF606">
            <wp:extent cx="6858000" cy="3791585"/>
            <wp:effectExtent l="0" t="0" r="0" b="0"/>
            <wp:docPr id="5" name="Picture 5" descr="10 Year Growth Impact Table" title="10 Year Growth Impact Tabl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791585"/>
                    </a:xfrm>
                    <a:prstGeom prst="rect">
                      <a:avLst/>
                    </a:prstGeom>
                    <a:noFill/>
                    <a:ln>
                      <a:noFill/>
                    </a:ln>
                  </pic:spPr>
                </pic:pic>
              </a:graphicData>
            </a:graphic>
          </wp:inline>
        </w:drawing>
      </w:r>
    </w:p>
    <w:p w14:paraId="314D5B5B" w14:textId="77777777" w:rsidR="000669A3" w:rsidRPr="000669A3" w:rsidRDefault="000669A3" w:rsidP="000669A3">
      <w:pPr>
        <w:jc w:val="center"/>
        <w:rPr>
          <w:rFonts w:ascii="Times New Roman" w:hAnsi="Times New Roman" w:cs="Times New Roman"/>
          <w:sz w:val="23"/>
          <w:szCs w:val="23"/>
        </w:rPr>
      </w:pPr>
    </w:p>
    <w:sectPr w:rsidR="000669A3" w:rsidRPr="000669A3" w:rsidSect="000669A3">
      <w:headerReference w:type="default" r:id="rId10"/>
      <w:footerReference w:type="even" r:id="rId11"/>
      <w:footerReference w:type="default" r:id="rId12"/>
      <w:footerReference w:type="first" r:id="rId13"/>
      <w:pgSz w:w="12240" w:h="15840" w:code="1"/>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19625" w14:textId="77777777" w:rsidR="00E31F4A" w:rsidRDefault="00E31F4A" w:rsidP="00E31F4A">
      <w:pPr>
        <w:spacing w:after="0" w:line="240" w:lineRule="auto"/>
      </w:pPr>
      <w:r>
        <w:separator/>
      </w:r>
    </w:p>
  </w:endnote>
  <w:endnote w:type="continuationSeparator" w:id="0">
    <w:p w14:paraId="4396D95F" w14:textId="77777777" w:rsidR="00E31F4A" w:rsidRDefault="00E31F4A" w:rsidP="00E3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ACA7" w14:textId="22AF6AEF" w:rsidR="00E31F4A" w:rsidRDefault="00E31F4A">
    <w:pPr>
      <w:pStyle w:val="Footer"/>
    </w:pPr>
    <w:r>
      <w:fldChar w:fldCharType="begin"/>
    </w:r>
    <w:r w:rsidRPr="00E31F4A">
      <w:rPr>
        <w:rStyle w:val="DocID"/>
      </w:rPr>
      <w:instrText xml:space="preserve"> DOCPROPERTY DOCXDOCID DMS=NetDocuments Format=HB: &lt;&lt;ID&gt;&gt;.&lt;&lt;VER&gt;&gt; PRESERVELOCATION \* MERGEFORMAT </w:instrText>
    </w:r>
    <w:r>
      <w:fldChar w:fldCharType="separate"/>
    </w:r>
    <w:r w:rsidRPr="00E31F4A">
      <w:rPr>
        <w:rStyle w:val="DocID"/>
      </w:rPr>
      <w:t>HB: 4819-5308-7740.1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2C59" w14:textId="77777777" w:rsidR="000669A3" w:rsidRDefault="000669A3">
    <w:pPr>
      <w:pStyle w:val="Footer"/>
      <w:jc w:val="center"/>
    </w:pPr>
  </w:p>
  <w:sdt>
    <w:sdtPr>
      <w:id w:val="759109453"/>
      <w:docPartObj>
        <w:docPartGallery w:val="Page Numbers (Bottom of Page)"/>
        <w:docPartUnique/>
      </w:docPartObj>
    </w:sdtPr>
    <w:sdtEndPr>
      <w:rPr>
        <w:noProof/>
      </w:rPr>
    </w:sdtEndPr>
    <w:sdtContent>
      <w:p w14:paraId="45A809DE" w14:textId="4CA2C977" w:rsidR="000669A3" w:rsidRDefault="000669A3">
        <w:pPr>
          <w:pStyle w:val="Footer"/>
          <w:jc w:val="center"/>
        </w:pPr>
        <w:r>
          <w:fldChar w:fldCharType="begin"/>
        </w:r>
        <w:r>
          <w:instrText xml:space="preserve"> PAGE   \* MERGEFORMAT </w:instrText>
        </w:r>
        <w:r>
          <w:fldChar w:fldCharType="separate"/>
        </w:r>
        <w:r w:rsidR="004B52F6">
          <w:rPr>
            <w:noProof/>
          </w:rPr>
          <w:t>4</w:t>
        </w:r>
        <w:r>
          <w:rPr>
            <w:noProof/>
          </w:rPr>
          <w:fldChar w:fldCharType="end"/>
        </w:r>
      </w:p>
    </w:sdtContent>
  </w:sdt>
  <w:p w14:paraId="279223A2" w14:textId="5A4FE243" w:rsidR="00E31F4A" w:rsidRDefault="00E31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B052" w14:textId="3F9252F7" w:rsidR="00E31F4A" w:rsidRDefault="00E31F4A">
    <w:pPr>
      <w:pStyle w:val="Footer"/>
    </w:pPr>
    <w:r>
      <w:fldChar w:fldCharType="begin"/>
    </w:r>
    <w:r w:rsidRPr="00E31F4A">
      <w:rPr>
        <w:rStyle w:val="DocID"/>
      </w:rPr>
      <w:instrText xml:space="preserve"> DOCPROPERTY DOCXDOCID DMS=NetDocuments Format=HB: &lt;&lt;ID&gt;&gt;.&lt;&lt;VER&gt;&gt; PRESERVELOCATION \* MERGEFORMAT </w:instrText>
    </w:r>
    <w:r>
      <w:fldChar w:fldCharType="separate"/>
    </w:r>
    <w:r w:rsidRPr="00E31F4A">
      <w:rPr>
        <w:rStyle w:val="DocID"/>
      </w:rPr>
      <w:t>HB: 4819-5308-7740.1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BE668" w14:textId="77777777" w:rsidR="00E31F4A" w:rsidRDefault="00E31F4A" w:rsidP="00E31F4A">
      <w:pPr>
        <w:spacing w:after="0" w:line="240" w:lineRule="auto"/>
      </w:pPr>
      <w:r>
        <w:separator/>
      </w:r>
    </w:p>
  </w:footnote>
  <w:footnote w:type="continuationSeparator" w:id="0">
    <w:p w14:paraId="47669A53" w14:textId="77777777" w:rsidR="00E31F4A" w:rsidRDefault="00E31F4A" w:rsidP="00E31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47B4" w14:textId="5B71B681" w:rsidR="000669A3" w:rsidRPr="000669A3" w:rsidRDefault="000669A3" w:rsidP="000669A3">
    <w:pPr>
      <w:pStyle w:val="Header"/>
      <w:jc w:val="center"/>
      <w:rPr>
        <w:rFonts w:ascii="Times New Roman" w:hAnsi="Times New Roman" w:cs="Times New Roman"/>
        <w:b/>
        <w:bCs/>
        <w:sz w:val="24"/>
        <w:szCs w:val="24"/>
      </w:rPr>
    </w:pPr>
    <w:r w:rsidRPr="000669A3">
      <w:rPr>
        <w:rFonts w:ascii="Times New Roman" w:hAnsi="Times New Roman" w:cs="Times New Roman"/>
        <w:b/>
        <w:bCs/>
        <w:sz w:val="24"/>
        <w:szCs w:val="24"/>
      </w:rPr>
      <w:t>MGB-20121612-HE</w:t>
    </w:r>
  </w:p>
  <w:p w14:paraId="34735D43" w14:textId="77777777" w:rsidR="000669A3" w:rsidRDefault="000669A3" w:rsidP="000669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F06AB"/>
    <w:multiLevelType w:val="hybridMultilevel"/>
    <w:tmpl w:val="06380750"/>
    <w:lvl w:ilvl="0" w:tplc="6FF22D1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9C531D"/>
    <w:multiLevelType w:val="hybridMultilevel"/>
    <w:tmpl w:val="80DA8ACC"/>
    <w:lvl w:ilvl="0" w:tplc="A814A4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82D71"/>
    <w:multiLevelType w:val="hybridMultilevel"/>
    <w:tmpl w:val="12BAC2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521C5"/>
    <w:multiLevelType w:val="hybridMultilevel"/>
    <w:tmpl w:val="EA381D86"/>
    <w:lvl w:ilvl="0" w:tplc="830C06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B379F"/>
    <w:multiLevelType w:val="hybridMultilevel"/>
    <w:tmpl w:val="B2DC5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13"/>
    <w:rsid w:val="000103A8"/>
    <w:rsid w:val="00013066"/>
    <w:rsid w:val="00033BBB"/>
    <w:rsid w:val="00047413"/>
    <w:rsid w:val="000624C8"/>
    <w:rsid w:val="00063627"/>
    <w:rsid w:val="000669A3"/>
    <w:rsid w:val="000A00FE"/>
    <w:rsid w:val="000D7BA7"/>
    <w:rsid w:val="00110CC0"/>
    <w:rsid w:val="00113239"/>
    <w:rsid w:val="00176EA1"/>
    <w:rsid w:val="00190CEA"/>
    <w:rsid w:val="001F73A8"/>
    <w:rsid w:val="00210B0F"/>
    <w:rsid w:val="00236D6D"/>
    <w:rsid w:val="0026104D"/>
    <w:rsid w:val="002B2C46"/>
    <w:rsid w:val="00382394"/>
    <w:rsid w:val="003C587A"/>
    <w:rsid w:val="003D0555"/>
    <w:rsid w:val="003E1D0A"/>
    <w:rsid w:val="00490681"/>
    <w:rsid w:val="004B073F"/>
    <w:rsid w:val="004B31F5"/>
    <w:rsid w:val="004B52F6"/>
    <w:rsid w:val="004D1EAE"/>
    <w:rsid w:val="004F5690"/>
    <w:rsid w:val="005419DB"/>
    <w:rsid w:val="00566A52"/>
    <w:rsid w:val="00574083"/>
    <w:rsid w:val="005B03D0"/>
    <w:rsid w:val="005B4031"/>
    <w:rsid w:val="005F259B"/>
    <w:rsid w:val="00656BF6"/>
    <w:rsid w:val="00667F3A"/>
    <w:rsid w:val="0077707A"/>
    <w:rsid w:val="007E513A"/>
    <w:rsid w:val="007E60E9"/>
    <w:rsid w:val="00801B31"/>
    <w:rsid w:val="00820456"/>
    <w:rsid w:val="00855526"/>
    <w:rsid w:val="00890089"/>
    <w:rsid w:val="008903D7"/>
    <w:rsid w:val="008E56CC"/>
    <w:rsid w:val="00901599"/>
    <w:rsid w:val="00A13129"/>
    <w:rsid w:val="00A40F4D"/>
    <w:rsid w:val="00A517B9"/>
    <w:rsid w:val="00AC0F33"/>
    <w:rsid w:val="00AD38B9"/>
    <w:rsid w:val="00B25C25"/>
    <w:rsid w:val="00B47F7B"/>
    <w:rsid w:val="00B54113"/>
    <w:rsid w:val="00BA750D"/>
    <w:rsid w:val="00CD21D2"/>
    <w:rsid w:val="00CD615F"/>
    <w:rsid w:val="00CE10BE"/>
    <w:rsid w:val="00D13BFD"/>
    <w:rsid w:val="00D73BDA"/>
    <w:rsid w:val="00D9065C"/>
    <w:rsid w:val="00DB4641"/>
    <w:rsid w:val="00DF09C8"/>
    <w:rsid w:val="00E060A0"/>
    <w:rsid w:val="00E31F4A"/>
    <w:rsid w:val="00E666F3"/>
    <w:rsid w:val="00EB4BC6"/>
    <w:rsid w:val="00F5152F"/>
    <w:rsid w:val="00F72923"/>
    <w:rsid w:val="00FD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0159"/>
  <w15:chartTrackingRefBased/>
  <w15:docId w15:val="{FFB98093-60DC-4AE9-B95F-D7781ECF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C25"/>
    <w:pPr>
      <w:ind w:left="720"/>
      <w:contextualSpacing/>
    </w:pPr>
  </w:style>
  <w:style w:type="character" w:styleId="CommentReference">
    <w:name w:val="annotation reference"/>
    <w:basedOn w:val="DefaultParagraphFont"/>
    <w:uiPriority w:val="99"/>
    <w:semiHidden/>
    <w:unhideWhenUsed/>
    <w:rsid w:val="00667F3A"/>
    <w:rPr>
      <w:sz w:val="16"/>
      <w:szCs w:val="16"/>
    </w:rPr>
  </w:style>
  <w:style w:type="paragraph" w:styleId="CommentText">
    <w:name w:val="annotation text"/>
    <w:basedOn w:val="Normal"/>
    <w:link w:val="CommentTextChar"/>
    <w:uiPriority w:val="99"/>
    <w:semiHidden/>
    <w:unhideWhenUsed/>
    <w:rsid w:val="00667F3A"/>
    <w:pPr>
      <w:spacing w:line="240" w:lineRule="auto"/>
    </w:pPr>
    <w:rPr>
      <w:sz w:val="20"/>
      <w:szCs w:val="20"/>
    </w:rPr>
  </w:style>
  <w:style w:type="character" w:customStyle="1" w:styleId="CommentTextChar">
    <w:name w:val="Comment Text Char"/>
    <w:basedOn w:val="DefaultParagraphFont"/>
    <w:link w:val="CommentText"/>
    <w:uiPriority w:val="99"/>
    <w:semiHidden/>
    <w:rsid w:val="00667F3A"/>
    <w:rPr>
      <w:sz w:val="20"/>
      <w:szCs w:val="20"/>
    </w:rPr>
  </w:style>
  <w:style w:type="paragraph" w:styleId="CommentSubject">
    <w:name w:val="annotation subject"/>
    <w:basedOn w:val="CommentText"/>
    <w:next w:val="CommentText"/>
    <w:link w:val="CommentSubjectChar"/>
    <w:uiPriority w:val="99"/>
    <w:semiHidden/>
    <w:unhideWhenUsed/>
    <w:rsid w:val="00667F3A"/>
    <w:rPr>
      <w:b/>
      <w:bCs/>
    </w:rPr>
  </w:style>
  <w:style w:type="character" w:customStyle="1" w:styleId="CommentSubjectChar">
    <w:name w:val="Comment Subject Char"/>
    <w:basedOn w:val="CommentTextChar"/>
    <w:link w:val="CommentSubject"/>
    <w:uiPriority w:val="99"/>
    <w:semiHidden/>
    <w:rsid w:val="00667F3A"/>
    <w:rPr>
      <w:b/>
      <w:bCs/>
      <w:sz w:val="20"/>
      <w:szCs w:val="20"/>
    </w:rPr>
  </w:style>
  <w:style w:type="paragraph" w:styleId="BalloonText">
    <w:name w:val="Balloon Text"/>
    <w:basedOn w:val="Normal"/>
    <w:link w:val="BalloonTextChar"/>
    <w:uiPriority w:val="99"/>
    <w:semiHidden/>
    <w:unhideWhenUsed/>
    <w:rsid w:val="0011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239"/>
    <w:rPr>
      <w:rFonts w:ascii="Segoe UI" w:hAnsi="Segoe UI" w:cs="Segoe UI"/>
      <w:sz w:val="18"/>
      <w:szCs w:val="18"/>
    </w:rPr>
  </w:style>
  <w:style w:type="paragraph" w:styleId="Header">
    <w:name w:val="header"/>
    <w:basedOn w:val="Normal"/>
    <w:link w:val="HeaderChar"/>
    <w:uiPriority w:val="99"/>
    <w:unhideWhenUsed/>
    <w:rsid w:val="00E31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F4A"/>
  </w:style>
  <w:style w:type="paragraph" w:styleId="Footer">
    <w:name w:val="footer"/>
    <w:basedOn w:val="Normal"/>
    <w:link w:val="FooterChar"/>
    <w:uiPriority w:val="99"/>
    <w:unhideWhenUsed/>
    <w:rsid w:val="00E3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F4A"/>
  </w:style>
  <w:style w:type="character" w:customStyle="1" w:styleId="DocID">
    <w:name w:val="DocID"/>
    <w:basedOn w:val="DefaultParagraphFont"/>
    <w:uiPriority w:val="1"/>
    <w:rsid w:val="00E31F4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Aiena, Cindy L.</dc:creator>
  <cp:keywords/>
  <dc:description/>
  <cp:lastModifiedBy>Cioffari-Macphee, Diana (DPH)</cp:lastModifiedBy>
  <cp:revision>14</cp:revision>
  <dcterms:created xsi:type="dcterms:W3CDTF">2021-10-21T14:12:00Z</dcterms:created>
  <dcterms:modified xsi:type="dcterms:W3CDTF">2021-10-21T14:44:00Z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4819-5308-7740.1</vt:lpwstr>
  </property>
  <property fmtid="{D5CDD505-2E9C-101B-9397-08002B2CF9AE}" pid="3" name="DocXLocation">
    <vt:lpwstr>Every Page</vt:lpwstr>
  </property>
  <property fmtid="{D5CDD505-2E9C-101B-9397-08002B2CF9AE}" pid="4" name="DocXFormat">
    <vt:lpwstr>HB DocID w/ver w/HB Label</vt:lpwstr>
  </property>
  <property fmtid="{D5CDD505-2E9C-101B-9397-08002B2CF9AE}" pid="5" name="ndDocumentId">
    <vt:lpwstr>4819-5308-7740</vt:lpwstr>
  </property>
  <property fmtid="{D5CDD505-2E9C-101B-9397-08002B2CF9AE}" pid="6" name="_MarkAsFinal">
    <vt:bool>true</vt:bool>
  </property>
</Properties>
</file>