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0F508" w14:textId="434EE40B" w:rsidR="00BF1D27" w:rsidRPr="00D60BD3" w:rsidRDefault="00BF1D27" w:rsidP="0053791C">
      <w:pPr>
        <w:ind w:left="720" w:hanging="360"/>
        <w:rPr>
          <w:rFonts w:cstheme="minorHAnsi"/>
        </w:rPr>
      </w:pPr>
      <w:bookmarkStart w:id="0" w:name="_GoBack"/>
      <w:bookmarkEnd w:id="0"/>
    </w:p>
    <w:p w14:paraId="23C75FA6" w14:textId="55CAF998" w:rsidR="00413727" w:rsidRPr="00D60BD3" w:rsidRDefault="00413727" w:rsidP="00AE5E0B">
      <w:pPr>
        <w:pStyle w:val="Heading1"/>
      </w:pPr>
      <w:r w:rsidRPr="00D60BD3">
        <w:t xml:space="preserve">APPLICANT </w:t>
      </w:r>
      <w:r w:rsidR="00C47756">
        <w:t>RESPONSES</w:t>
      </w:r>
    </w:p>
    <w:p w14:paraId="32AD31AE" w14:textId="77777777" w:rsidR="00413727" w:rsidRPr="00D60BD3" w:rsidRDefault="00413727" w:rsidP="00413727">
      <w:pPr>
        <w:jc w:val="center"/>
        <w:rPr>
          <w:rFonts w:cstheme="minorHAnsi"/>
        </w:rPr>
      </w:pPr>
      <w:r w:rsidRPr="00D60BD3">
        <w:rPr>
          <w:rFonts w:cstheme="minorHAnsi"/>
          <w:i/>
          <w:iCs/>
        </w:rPr>
        <w:t xml:space="preserve">Responses should be sent to DoN staff at </w:t>
      </w:r>
      <w:hyperlink r:id="rId7" w:history="1">
        <w:r w:rsidRPr="00D60BD3">
          <w:rPr>
            <w:rStyle w:val="Hyperlink"/>
            <w:rFonts w:cstheme="minorHAnsi"/>
          </w:rPr>
          <w:t>DPH.DON@State.MA.US</w:t>
        </w:r>
      </w:hyperlink>
    </w:p>
    <w:tbl>
      <w:tblPr>
        <w:tblStyle w:val="TableGrid"/>
        <w:tblW w:w="0" w:type="auto"/>
        <w:jc w:val="center"/>
        <w:tblLook w:val="04A0" w:firstRow="1" w:lastRow="0" w:firstColumn="1" w:lastColumn="0" w:noHBand="0" w:noVBand="1"/>
        <w:tblCaption w:val="Instructions"/>
        <w:tblDescription w:val="While you may submit each answer as available, please &#10;List question number and question for each answer you provide &#10;Submit responses as a separate word document, using the above application title and number as a running header and page numbers in the footer &#10;When providing the answer to the final question, submit all questions and answers in one final document &#10;Whenever possible, include a table with the response&#10;Responses must be available in PDF and source document (Excel preferred for data and Word for narrative).&#10;"/>
      </w:tblPr>
      <w:tblGrid>
        <w:gridCol w:w="9350"/>
      </w:tblGrid>
      <w:tr w:rsidR="00413727" w:rsidRPr="00D60BD3" w14:paraId="1E785327" w14:textId="77777777" w:rsidTr="003B1AE2">
        <w:trPr>
          <w:tblHeader/>
          <w:jc w:val="center"/>
        </w:trPr>
        <w:tc>
          <w:tcPr>
            <w:tcW w:w="9350" w:type="dxa"/>
          </w:tcPr>
          <w:p w14:paraId="3957B9E7" w14:textId="77777777" w:rsidR="00413727" w:rsidRPr="00D60BD3" w:rsidRDefault="00413727" w:rsidP="00B339F9">
            <w:pPr>
              <w:rPr>
                <w:rFonts w:cstheme="minorHAnsi"/>
                <w:bCs/>
              </w:rPr>
            </w:pPr>
            <w:r w:rsidRPr="00D60BD3">
              <w:rPr>
                <w:rFonts w:cstheme="minorHAnsi"/>
                <w:bCs/>
              </w:rPr>
              <w:t xml:space="preserve">While you may submit each answer as available, please </w:t>
            </w:r>
          </w:p>
          <w:p w14:paraId="758396A6" w14:textId="77777777" w:rsidR="00413727" w:rsidRPr="00D60BD3" w:rsidRDefault="00413727" w:rsidP="00413727">
            <w:pPr>
              <w:pStyle w:val="ListParagraph"/>
              <w:numPr>
                <w:ilvl w:val="0"/>
                <w:numId w:val="13"/>
              </w:numPr>
              <w:rPr>
                <w:rFonts w:cstheme="minorHAnsi"/>
                <w:bCs/>
              </w:rPr>
            </w:pPr>
            <w:r w:rsidRPr="00D60BD3">
              <w:rPr>
                <w:rFonts w:cstheme="minorHAnsi"/>
                <w:bCs/>
              </w:rPr>
              <w:t xml:space="preserve">List question number and question for each answer you provide </w:t>
            </w:r>
          </w:p>
          <w:p w14:paraId="5437664C" w14:textId="77777777" w:rsidR="00413727" w:rsidRPr="00D60BD3" w:rsidRDefault="00413727" w:rsidP="00413727">
            <w:pPr>
              <w:pStyle w:val="ListParagraph"/>
              <w:numPr>
                <w:ilvl w:val="0"/>
                <w:numId w:val="13"/>
              </w:numPr>
              <w:rPr>
                <w:rFonts w:cstheme="minorHAnsi"/>
                <w:bCs/>
              </w:rPr>
            </w:pPr>
            <w:r w:rsidRPr="00D60BD3">
              <w:rPr>
                <w:rFonts w:cstheme="minorHAnsi"/>
                <w:bCs/>
              </w:rPr>
              <w:t xml:space="preserve">Submit responses as a separate word document, using the above application title and number as a running header and page numbers in the footer </w:t>
            </w:r>
          </w:p>
          <w:p w14:paraId="6C5C6585" w14:textId="77777777" w:rsidR="00413727" w:rsidRPr="00D60BD3" w:rsidRDefault="00413727" w:rsidP="00413727">
            <w:pPr>
              <w:pStyle w:val="ListParagraph"/>
              <w:numPr>
                <w:ilvl w:val="0"/>
                <w:numId w:val="13"/>
              </w:numPr>
              <w:rPr>
                <w:rFonts w:cstheme="minorHAnsi"/>
                <w:bCs/>
              </w:rPr>
            </w:pPr>
            <w:r w:rsidRPr="00D60BD3">
              <w:rPr>
                <w:rFonts w:cstheme="minorHAnsi"/>
                <w:bCs/>
              </w:rPr>
              <w:t xml:space="preserve">When providing the answer to the final question, submit all questions and answers in one final document </w:t>
            </w:r>
          </w:p>
          <w:p w14:paraId="2FAF9F72" w14:textId="77777777" w:rsidR="00413727" w:rsidRPr="00D60BD3" w:rsidRDefault="00413727" w:rsidP="00413727">
            <w:pPr>
              <w:pStyle w:val="ListParagraph"/>
              <w:numPr>
                <w:ilvl w:val="0"/>
                <w:numId w:val="13"/>
              </w:numPr>
              <w:rPr>
                <w:rFonts w:cstheme="minorHAnsi"/>
                <w:bCs/>
              </w:rPr>
            </w:pPr>
            <w:r w:rsidRPr="00D60BD3">
              <w:rPr>
                <w:rFonts w:cstheme="minorHAnsi"/>
                <w:bCs/>
              </w:rPr>
              <w:t>Whenever possible, include a table with the response</w:t>
            </w:r>
          </w:p>
          <w:p w14:paraId="7F84A344" w14:textId="77777777" w:rsidR="00413727" w:rsidRPr="00D60BD3" w:rsidRDefault="00413727" w:rsidP="00413727">
            <w:pPr>
              <w:pStyle w:val="ListParagraph"/>
              <w:numPr>
                <w:ilvl w:val="0"/>
                <w:numId w:val="13"/>
              </w:numPr>
              <w:rPr>
                <w:rFonts w:cstheme="minorHAnsi"/>
                <w:b/>
              </w:rPr>
            </w:pPr>
            <w:r w:rsidRPr="00D60BD3">
              <w:rPr>
                <w:rFonts w:cstheme="minorHAnsi"/>
                <w:bCs/>
              </w:rPr>
              <w:t>Responses must be available in PDF and source document (Excel preferred for data and Word for narrative).</w:t>
            </w:r>
          </w:p>
        </w:tc>
      </w:tr>
    </w:tbl>
    <w:p w14:paraId="448F6059" w14:textId="4B7014D1" w:rsidR="00413727" w:rsidRPr="00D60BD3" w:rsidRDefault="00413727" w:rsidP="0053791C">
      <w:pPr>
        <w:ind w:left="720" w:hanging="360"/>
        <w:rPr>
          <w:rFonts w:cstheme="minorHAnsi"/>
        </w:rPr>
      </w:pPr>
    </w:p>
    <w:p w14:paraId="656C3896" w14:textId="1A5E8B7A" w:rsidR="00556F2F" w:rsidRPr="00781BF8" w:rsidRDefault="0053791C" w:rsidP="0053791C">
      <w:pPr>
        <w:pStyle w:val="ListParagraph"/>
        <w:numPr>
          <w:ilvl w:val="0"/>
          <w:numId w:val="1"/>
        </w:numPr>
        <w:rPr>
          <w:rFonts w:cstheme="minorHAnsi"/>
          <w:b/>
          <w:bCs/>
        </w:rPr>
      </w:pPr>
      <w:r w:rsidRPr="00781BF8">
        <w:rPr>
          <w:rFonts w:cstheme="minorHAnsi"/>
          <w:b/>
          <w:bCs/>
        </w:rPr>
        <w:t>The Application provides APM/ACO contract percentages for MGB</w:t>
      </w:r>
      <w:r w:rsidR="002318B9" w:rsidRPr="00781BF8">
        <w:rPr>
          <w:rFonts w:cstheme="minorHAnsi"/>
          <w:b/>
          <w:bCs/>
        </w:rPr>
        <w:t xml:space="preserve"> (</w:t>
      </w:r>
      <w:r w:rsidR="00714F72" w:rsidRPr="00781BF8">
        <w:rPr>
          <w:rFonts w:cstheme="minorHAnsi"/>
          <w:b/>
          <w:bCs/>
        </w:rPr>
        <w:t xml:space="preserve">Application </w:t>
      </w:r>
      <w:r w:rsidR="002318B9" w:rsidRPr="00781BF8">
        <w:rPr>
          <w:rFonts w:cstheme="minorHAnsi"/>
          <w:b/>
          <w:bCs/>
        </w:rPr>
        <w:t>pg.7)</w:t>
      </w:r>
      <w:r w:rsidRPr="00781BF8">
        <w:rPr>
          <w:rFonts w:cstheme="minorHAnsi"/>
          <w:b/>
          <w:bCs/>
        </w:rPr>
        <w:t xml:space="preserve">. </w:t>
      </w:r>
    </w:p>
    <w:p w14:paraId="7EF556CC" w14:textId="2EF76F0E" w:rsidR="00911FD3" w:rsidRPr="00781BF8" w:rsidRDefault="0053791C" w:rsidP="00556F2F">
      <w:pPr>
        <w:pStyle w:val="ListParagraph"/>
        <w:rPr>
          <w:rFonts w:cstheme="minorHAnsi"/>
          <w:b/>
          <w:bCs/>
        </w:rPr>
      </w:pPr>
      <w:r w:rsidRPr="00781BF8">
        <w:rPr>
          <w:rFonts w:cstheme="minorHAnsi"/>
          <w:b/>
          <w:bCs/>
        </w:rPr>
        <w:t xml:space="preserve">Provide APM/ACO contract percentages for MGH. </w:t>
      </w:r>
    </w:p>
    <w:p w14:paraId="60C5D81F" w14:textId="2101166C" w:rsidR="0053791C" w:rsidRPr="00D60BD3" w:rsidRDefault="0053791C" w:rsidP="0053791C">
      <w:pPr>
        <w:pStyle w:val="ListParagraph"/>
        <w:rPr>
          <w:rFonts w:cstheme="minorHAnsi"/>
        </w:rPr>
      </w:pPr>
    </w:p>
    <w:tbl>
      <w:tblPr>
        <w:tblStyle w:val="TableGrid"/>
        <w:tblW w:w="0" w:type="auto"/>
        <w:jc w:val="center"/>
        <w:tblLook w:val="04A0" w:firstRow="1" w:lastRow="0" w:firstColumn="1" w:lastColumn="0" w:noHBand="0" w:noVBand="1"/>
        <w:tblCaption w:val="APM Contract Percentages"/>
        <w:tblDescription w:val=" MGH&#10;APM Contract Percentages&#10;ACO and APM Contracts&#10;Non-ACO and Non-APM Contracts &#10;&#10;"/>
      </w:tblPr>
      <w:tblGrid>
        <w:gridCol w:w="3981"/>
        <w:gridCol w:w="936"/>
      </w:tblGrid>
      <w:tr w:rsidR="00171B74" w:rsidRPr="00D60BD3" w14:paraId="06FF8496" w14:textId="77777777" w:rsidTr="003B1AE2">
        <w:trPr>
          <w:tblHeader/>
          <w:jc w:val="center"/>
        </w:trPr>
        <w:tc>
          <w:tcPr>
            <w:tcW w:w="0" w:type="auto"/>
          </w:tcPr>
          <w:p w14:paraId="73C56ADC" w14:textId="77777777" w:rsidR="00171B74" w:rsidRPr="00D60BD3" w:rsidRDefault="00171B74" w:rsidP="0053791C">
            <w:pPr>
              <w:pStyle w:val="ListParagraph"/>
              <w:rPr>
                <w:rFonts w:cstheme="minorHAnsi"/>
                <w:b/>
              </w:rPr>
            </w:pPr>
          </w:p>
        </w:tc>
        <w:tc>
          <w:tcPr>
            <w:tcW w:w="0" w:type="auto"/>
            <w:shd w:val="clear" w:color="auto" w:fill="E7E6E6" w:themeFill="background2"/>
          </w:tcPr>
          <w:p w14:paraId="77A16DD5" w14:textId="49D4A467" w:rsidR="00171B74" w:rsidRPr="00D60BD3" w:rsidRDefault="00171B74" w:rsidP="00171B74">
            <w:pPr>
              <w:rPr>
                <w:rFonts w:cstheme="minorHAnsi"/>
                <w:b/>
                <w:bCs/>
              </w:rPr>
            </w:pPr>
            <w:r w:rsidRPr="00D60BD3">
              <w:rPr>
                <w:rFonts w:cstheme="minorHAnsi"/>
                <w:b/>
                <w:bCs/>
              </w:rPr>
              <w:t>MGH</w:t>
            </w:r>
          </w:p>
        </w:tc>
      </w:tr>
      <w:tr w:rsidR="0053791C" w:rsidRPr="00D60BD3" w14:paraId="22581571" w14:textId="77777777" w:rsidTr="00911FD3">
        <w:trPr>
          <w:jc w:val="center"/>
        </w:trPr>
        <w:tc>
          <w:tcPr>
            <w:tcW w:w="0" w:type="auto"/>
          </w:tcPr>
          <w:p w14:paraId="7A8E0F2A" w14:textId="2BFCE6F7" w:rsidR="0053791C" w:rsidRPr="00D60BD3" w:rsidRDefault="0053791C" w:rsidP="002318B9">
            <w:pPr>
              <w:rPr>
                <w:rFonts w:cstheme="minorHAnsi"/>
                <w:b/>
              </w:rPr>
            </w:pPr>
            <w:r w:rsidRPr="00D60BD3">
              <w:rPr>
                <w:rFonts w:cstheme="minorHAnsi"/>
                <w:b/>
              </w:rPr>
              <w:t>APM Contract Percentages</w:t>
            </w:r>
          </w:p>
          <w:p w14:paraId="36E8A8F5" w14:textId="77777777" w:rsidR="0053791C" w:rsidRPr="00D60BD3" w:rsidRDefault="0053791C" w:rsidP="0053791C">
            <w:pPr>
              <w:pStyle w:val="ListParagraph"/>
              <w:spacing w:after="160" w:line="259" w:lineRule="auto"/>
              <w:rPr>
                <w:rFonts w:cstheme="minorHAnsi"/>
                <w:bCs/>
              </w:rPr>
            </w:pPr>
            <w:r w:rsidRPr="00D60BD3">
              <w:rPr>
                <w:rFonts w:cstheme="minorHAnsi"/>
                <w:bCs/>
              </w:rPr>
              <w:t>ACO and APM Contracts</w:t>
            </w:r>
          </w:p>
          <w:p w14:paraId="16A68BA9" w14:textId="5F200D8C" w:rsidR="0053791C" w:rsidRPr="00D60BD3" w:rsidRDefault="0053791C" w:rsidP="0053791C">
            <w:pPr>
              <w:pStyle w:val="ListParagraph"/>
              <w:spacing w:after="160" w:line="259" w:lineRule="auto"/>
              <w:rPr>
                <w:rFonts w:cstheme="minorHAnsi"/>
                <w:b/>
              </w:rPr>
            </w:pPr>
            <w:r w:rsidRPr="00D60BD3">
              <w:rPr>
                <w:rFonts w:cstheme="minorHAnsi"/>
                <w:bCs/>
              </w:rPr>
              <w:t>Non-ACO and Non-APM Contracts</w:t>
            </w:r>
          </w:p>
        </w:tc>
        <w:tc>
          <w:tcPr>
            <w:tcW w:w="0" w:type="auto"/>
          </w:tcPr>
          <w:p w14:paraId="0E487EE8" w14:textId="77777777" w:rsidR="0053791C" w:rsidRPr="00D60BD3" w:rsidRDefault="0053791C" w:rsidP="0053791C">
            <w:pPr>
              <w:pStyle w:val="ListParagraph"/>
              <w:spacing w:after="160" w:line="259" w:lineRule="auto"/>
              <w:rPr>
                <w:rFonts w:cstheme="minorHAnsi"/>
              </w:rPr>
            </w:pPr>
          </w:p>
          <w:p w14:paraId="0E3939B7" w14:textId="5A488AAD" w:rsidR="0053791C" w:rsidRPr="00D60BD3" w:rsidRDefault="0053791C" w:rsidP="0053791C">
            <w:pPr>
              <w:pStyle w:val="ListParagraph"/>
              <w:spacing w:after="160" w:line="259" w:lineRule="auto"/>
              <w:rPr>
                <w:rFonts w:cstheme="minorHAnsi"/>
              </w:rPr>
            </w:pPr>
          </w:p>
        </w:tc>
      </w:tr>
    </w:tbl>
    <w:p w14:paraId="41C5FC0F" w14:textId="7FBFD605" w:rsidR="0053791C" w:rsidRDefault="0053791C" w:rsidP="0053791C">
      <w:pPr>
        <w:pStyle w:val="ListParagraph"/>
        <w:rPr>
          <w:rFonts w:cstheme="minorHAnsi"/>
        </w:rPr>
      </w:pPr>
    </w:p>
    <w:p w14:paraId="3FA7762E" w14:textId="0D5017D6" w:rsidR="00221EE5" w:rsidRDefault="00C16910" w:rsidP="00C47756">
      <w:pPr>
        <w:pStyle w:val="ListParagraph"/>
        <w:rPr>
          <w:rFonts w:cstheme="minorHAnsi"/>
        </w:rPr>
      </w:pPr>
      <w:r>
        <w:rPr>
          <w:rFonts w:cstheme="minorHAnsi"/>
        </w:rPr>
        <w:t xml:space="preserve">Response: </w:t>
      </w:r>
      <w:r w:rsidR="004D45B6">
        <w:rPr>
          <w:rFonts w:cstheme="minorHAnsi"/>
        </w:rPr>
        <w:t>As noted in the Application (page 8), the Applicant reported that its primary care lives covered in risk contracts was 57.9% for CY19. This percentage was derived from the number of primary care lives within the patient panels of the Applicant’s primary care physicians</w:t>
      </w:r>
      <w:r>
        <w:rPr>
          <w:rFonts w:cstheme="minorHAnsi"/>
        </w:rPr>
        <w:t xml:space="preserve"> (“PCP”)</w:t>
      </w:r>
      <w:r w:rsidR="004D45B6">
        <w:rPr>
          <w:rFonts w:cstheme="minorHAnsi"/>
        </w:rPr>
        <w:t xml:space="preserve"> that are covered under risk contracts. As </w:t>
      </w:r>
      <w:r>
        <w:rPr>
          <w:rFonts w:cstheme="minorHAnsi"/>
        </w:rPr>
        <w:t>primary lives for risk contract purposes are attributed to the PCP and not to the hospital, for MGH, the affiliated PCP group is Mass General Physician’s organization (“MGPO”). U</w:t>
      </w:r>
      <w:r w:rsidR="004D45B6">
        <w:rPr>
          <w:rFonts w:cstheme="minorHAnsi"/>
        </w:rPr>
        <w:t>tilizing th</w:t>
      </w:r>
      <w:r>
        <w:rPr>
          <w:rFonts w:cstheme="minorHAnsi"/>
        </w:rPr>
        <w:t>e</w:t>
      </w:r>
      <w:r w:rsidR="004D45B6">
        <w:rPr>
          <w:rFonts w:cstheme="minorHAnsi"/>
        </w:rPr>
        <w:t xml:space="preserve"> same </w:t>
      </w:r>
      <w:r>
        <w:rPr>
          <w:rFonts w:cstheme="minorHAnsi"/>
        </w:rPr>
        <w:t>analysis that was performed for the Applicant</w:t>
      </w:r>
      <w:r w:rsidR="004D45B6">
        <w:rPr>
          <w:rFonts w:cstheme="minorHAnsi"/>
        </w:rPr>
        <w:t xml:space="preserve">, </w:t>
      </w:r>
      <w:r>
        <w:rPr>
          <w:rFonts w:cstheme="minorHAnsi"/>
        </w:rPr>
        <w:t xml:space="preserve">in CY19 </w:t>
      </w:r>
      <w:r w:rsidR="004D45B6">
        <w:rPr>
          <w:rFonts w:cstheme="minorHAnsi"/>
        </w:rPr>
        <w:t xml:space="preserve">61.4% of </w:t>
      </w:r>
      <w:r>
        <w:rPr>
          <w:rFonts w:cstheme="minorHAnsi"/>
        </w:rPr>
        <w:t xml:space="preserve">MGPO’s </w:t>
      </w:r>
      <w:r w:rsidR="004D45B6">
        <w:rPr>
          <w:rFonts w:cstheme="minorHAnsi"/>
        </w:rPr>
        <w:t xml:space="preserve">primary care lives were in risk contracts. </w:t>
      </w:r>
    </w:p>
    <w:p w14:paraId="54AF2A8F" w14:textId="77777777" w:rsidR="00C47756" w:rsidRPr="00C47756" w:rsidRDefault="00C47756" w:rsidP="00C47756">
      <w:pPr>
        <w:pStyle w:val="ListParagraph"/>
        <w:rPr>
          <w:rFonts w:cstheme="minorHAnsi"/>
        </w:rPr>
      </w:pPr>
    </w:p>
    <w:p w14:paraId="5D7BACCD" w14:textId="276208AF" w:rsidR="005E60B7" w:rsidRPr="00781BF8" w:rsidRDefault="00137B7D" w:rsidP="005E60B7">
      <w:pPr>
        <w:pStyle w:val="ListParagraph"/>
        <w:numPr>
          <w:ilvl w:val="0"/>
          <w:numId w:val="1"/>
        </w:numPr>
        <w:rPr>
          <w:rFonts w:cstheme="minorHAnsi"/>
          <w:b/>
          <w:bCs/>
        </w:rPr>
      </w:pPr>
      <w:bookmarkStart w:id="1" w:name="_Hlk93928029"/>
      <w:r w:rsidRPr="00781BF8">
        <w:rPr>
          <w:rFonts w:cstheme="minorHAnsi"/>
          <w:b/>
          <w:bCs/>
        </w:rPr>
        <w:t>Through</w:t>
      </w:r>
      <w:r w:rsidR="005E60B7" w:rsidRPr="00781BF8">
        <w:rPr>
          <w:rFonts w:cstheme="minorHAnsi"/>
          <w:b/>
          <w:bCs/>
        </w:rPr>
        <w:t xml:space="preserve"> the Proposed Project, the Hospital will have </w:t>
      </w:r>
      <w:r w:rsidR="00A67B35" w:rsidRPr="00781BF8">
        <w:rPr>
          <w:rFonts w:cstheme="minorHAnsi"/>
          <w:b/>
          <w:bCs/>
        </w:rPr>
        <w:t>six</w:t>
      </w:r>
      <w:r w:rsidR="005E60B7" w:rsidRPr="00781BF8">
        <w:rPr>
          <w:rFonts w:cstheme="minorHAnsi"/>
          <w:b/>
          <w:bCs/>
        </w:rPr>
        <w:t xml:space="preserve"> conventional ORs dedicated to cardiology</w:t>
      </w:r>
      <w:r w:rsidR="00A70882" w:rsidRPr="00781BF8">
        <w:rPr>
          <w:rFonts w:cstheme="minorHAnsi"/>
          <w:b/>
          <w:bCs/>
        </w:rPr>
        <w:t xml:space="preserve">; </w:t>
      </w:r>
      <w:r w:rsidR="005E60B7" w:rsidRPr="00781BF8">
        <w:rPr>
          <w:rFonts w:cstheme="minorHAnsi"/>
          <w:b/>
          <w:bCs/>
        </w:rPr>
        <w:t>17 hybrid cardiology ORs that will perform image guided cardiac surgery, cardiac</w:t>
      </w:r>
      <w:r w:rsidR="005E60B7" w:rsidRPr="00D60BD3">
        <w:rPr>
          <w:rFonts w:cstheme="minorHAnsi"/>
        </w:rPr>
        <w:t xml:space="preserve"> </w:t>
      </w:r>
      <w:r w:rsidR="005E60B7" w:rsidRPr="00781BF8">
        <w:rPr>
          <w:rFonts w:cstheme="minorHAnsi"/>
          <w:b/>
          <w:bCs/>
        </w:rPr>
        <w:t>catherization and electrophysiology</w:t>
      </w:r>
      <w:r w:rsidR="00A70882" w:rsidRPr="00781BF8">
        <w:rPr>
          <w:rFonts w:cstheme="minorHAnsi"/>
          <w:b/>
          <w:bCs/>
        </w:rPr>
        <w:t xml:space="preserve">; and </w:t>
      </w:r>
      <w:r w:rsidR="00A67B35" w:rsidRPr="00781BF8">
        <w:rPr>
          <w:rFonts w:cstheme="minorHAnsi"/>
          <w:b/>
          <w:bCs/>
        </w:rPr>
        <w:t>three</w:t>
      </w:r>
      <w:r w:rsidR="00A70882" w:rsidRPr="00781BF8">
        <w:rPr>
          <w:rFonts w:cstheme="minorHAnsi"/>
          <w:b/>
          <w:bCs/>
        </w:rPr>
        <w:t xml:space="preserve"> procedure rooms dedicated to Cardiology</w:t>
      </w:r>
      <w:r w:rsidR="005E60B7" w:rsidRPr="00781BF8">
        <w:rPr>
          <w:rFonts w:cstheme="minorHAnsi"/>
          <w:b/>
          <w:bCs/>
        </w:rPr>
        <w:t>. (</w:t>
      </w:r>
      <w:r w:rsidR="00A70882" w:rsidRPr="00781BF8">
        <w:rPr>
          <w:rFonts w:cstheme="minorHAnsi"/>
          <w:b/>
          <w:bCs/>
        </w:rPr>
        <w:t xml:space="preserve">Responses </w:t>
      </w:r>
      <w:r w:rsidR="005E60B7" w:rsidRPr="00781BF8">
        <w:rPr>
          <w:rFonts w:cstheme="minorHAnsi"/>
          <w:b/>
          <w:bCs/>
        </w:rPr>
        <w:t xml:space="preserve">pg.2 </w:t>
      </w:r>
      <w:r w:rsidR="00A70882" w:rsidRPr="00781BF8">
        <w:rPr>
          <w:rFonts w:cstheme="minorHAnsi"/>
          <w:b/>
          <w:bCs/>
        </w:rPr>
        <w:t>and Excel Sheet 3b.</w:t>
      </w:r>
      <w:r w:rsidR="005E60B7" w:rsidRPr="00781BF8">
        <w:rPr>
          <w:rFonts w:cstheme="minorHAnsi"/>
          <w:b/>
          <w:bCs/>
        </w:rPr>
        <w:t>)</w:t>
      </w:r>
    </w:p>
    <w:p w14:paraId="415CEBD4" w14:textId="77777777" w:rsidR="00DD59F0" w:rsidRPr="00781BF8" w:rsidRDefault="00F256FF" w:rsidP="008B6ECB">
      <w:pPr>
        <w:ind w:left="720"/>
        <w:rPr>
          <w:rFonts w:cstheme="minorHAnsi"/>
          <w:b/>
          <w:bCs/>
          <w:i/>
          <w:iCs/>
        </w:rPr>
      </w:pPr>
      <w:r w:rsidRPr="00781BF8">
        <w:rPr>
          <w:rFonts w:cstheme="minorHAnsi"/>
          <w:b/>
          <w:bCs/>
          <w:i/>
          <w:iCs/>
        </w:rPr>
        <w:t>The Application states that to support the additional procedure rooms, the Proposed Project expands the number of perioperative bays from 13 to 68 bays (pg.22</w:t>
      </w:r>
      <w:r w:rsidR="00DD59F0" w:rsidRPr="00781BF8">
        <w:rPr>
          <w:rFonts w:cstheme="minorHAnsi"/>
          <w:b/>
          <w:bCs/>
          <w:i/>
          <w:iCs/>
        </w:rPr>
        <w:t>)</w:t>
      </w:r>
      <w:r w:rsidR="00582D07" w:rsidRPr="00781BF8">
        <w:rPr>
          <w:rFonts w:cstheme="minorHAnsi"/>
          <w:b/>
          <w:bCs/>
          <w:i/>
          <w:iCs/>
        </w:rPr>
        <w:t xml:space="preserve">. </w:t>
      </w:r>
    </w:p>
    <w:p w14:paraId="21949583" w14:textId="77777777" w:rsidR="00DD59F0" w:rsidRPr="00781BF8" w:rsidRDefault="00582D07" w:rsidP="008B6ECB">
      <w:pPr>
        <w:ind w:left="720"/>
        <w:rPr>
          <w:rFonts w:cstheme="minorHAnsi"/>
          <w:b/>
          <w:bCs/>
          <w:i/>
          <w:iCs/>
        </w:rPr>
      </w:pPr>
      <w:r w:rsidRPr="00781BF8">
        <w:rPr>
          <w:rFonts w:cstheme="minorHAnsi"/>
          <w:b/>
          <w:bCs/>
          <w:i/>
          <w:iCs/>
        </w:rPr>
        <w:t xml:space="preserve">Further, the responses state that </w:t>
      </w:r>
      <w:r w:rsidR="00DD59F0" w:rsidRPr="00781BF8">
        <w:rPr>
          <w:rFonts w:cstheme="minorHAnsi"/>
          <w:b/>
          <w:bCs/>
          <w:i/>
          <w:iCs/>
        </w:rPr>
        <w:t xml:space="preserve">the original 13 perioperative bays, which includes one (1) in EP and twelve (12) in the cath lab, is sub optimal to support the overall total of 9 procedure rooms. The current number of perioperative bays results in a ratio of 2.9:1. Through the Proposed Project, the Hospital will have a combined total of 68 perioperative bays that will not only support the EP and cath procedure rooms, but will also support all cardiac </w:t>
      </w:r>
      <w:r w:rsidR="00DD59F0" w:rsidRPr="00781BF8">
        <w:rPr>
          <w:rFonts w:cstheme="minorHAnsi"/>
          <w:b/>
          <w:bCs/>
          <w:i/>
          <w:iCs/>
        </w:rPr>
        <w:lastRenderedPageBreak/>
        <w:t>OR/Procedure rooms in the Proposed Project and allow for a ratio in line with FGI and DPH requirements (pg.15)</w:t>
      </w:r>
    </w:p>
    <w:p w14:paraId="0215624D" w14:textId="77777777" w:rsidR="00DD59F0" w:rsidRPr="00781BF8" w:rsidRDefault="00582D07" w:rsidP="008B6ECB">
      <w:pPr>
        <w:ind w:left="720"/>
        <w:rPr>
          <w:rFonts w:cstheme="minorHAnsi"/>
          <w:b/>
          <w:bCs/>
          <w:i/>
          <w:iCs/>
        </w:rPr>
      </w:pPr>
      <w:r w:rsidRPr="00781BF8">
        <w:rPr>
          <w:rFonts w:cstheme="minorHAnsi"/>
          <w:b/>
          <w:bCs/>
          <w:i/>
          <w:iCs/>
        </w:rPr>
        <w:t xml:space="preserve">FGI and DPH Plan Review require at least two bays per OR and Class 2-3 Imaging room. The increase of perioperative bays is needed to support the 2:1 ratio when taking into consideration the care models and patients described above (Responses pg. 15). </w:t>
      </w:r>
    </w:p>
    <w:p w14:paraId="377C4587" w14:textId="7E33B74D" w:rsidR="00F256FF" w:rsidRPr="00781BF8" w:rsidRDefault="00357A19" w:rsidP="008B6ECB">
      <w:pPr>
        <w:pStyle w:val="ListParagraph"/>
        <w:numPr>
          <w:ilvl w:val="0"/>
          <w:numId w:val="15"/>
        </w:numPr>
        <w:rPr>
          <w:rFonts w:cstheme="minorHAnsi"/>
          <w:b/>
          <w:bCs/>
        </w:rPr>
      </w:pPr>
      <w:r w:rsidRPr="00781BF8">
        <w:rPr>
          <w:rFonts w:cstheme="minorHAnsi"/>
          <w:b/>
          <w:bCs/>
        </w:rPr>
        <w:t>To better understand how the proposed number of bays aligns with DPH Plan Review requirements, p</w:t>
      </w:r>
      <w:r w:rsidR="00582D07" w:rsidRPr="00781BF8">
        <w:rPr>
          <w:rFonts w:cstheme="minorHAnsi"/>
          <w:b/>
          <w:bCs/>
        </w:rPr>
        <w:t xml:space="preserve">rovide the current and proposed ratio of ORs and procedure rooms to bays. </w:t>
      </w:r>
    </w:p>
    <w:p w14:paraId="49C26AD9" w14:textId="0E85D7F4" w:rsidR="00DE4EEA" w:rsidRDefault="00DE4EEA" w:rsidP="00DD59F0">
      <w:pPr>
        <w:pStyle w:val="ListParagraph"/>
        <w:ind w:left="1440"/>
        <w:rPr>
          <w:rFonts w:cstheme="minorHAnsi"/>
        </w:rPr>
      </w:pPr>
      <w:bookmarkStart w:id="2" w:name="_Hlk93935311"/>
    </w:p>
    <w:tbl>
      <w:tblPr>
        <w:tblStyle w:val="TableGrid"/>
        <w:tblW w:w="0" w:type="auto"/>
        <w:jc w:val="center"/>
        <w:tblLook w:val="04A0" w:firstRow="1" w:lastRow="0" w:firstColumn="1" w:lastColumn="0" w:noHBand="0" w:noVBand="1"/>
        <w:tblCaption w:val="Number of Operation Rooms, Number of Procedure Rooms, Number of Bays, and Ratio table"/>
        <w:tblDescription w:val="Number of Operation Rooms, Number of Procedure Rooms, Number of Bays, and Ratio table"/>
      </w:tblPr>
      <w:tblGrid>
        <w:gridCol w:w="1066"/>
        <w:gridCol w:w="1530"/>
        <w:gridCol w:w="1555"/>
        <w:gridCol w:w="1037"/>
        <w:gridCol w:w="698"/>
      </w:tblGrid>
      <w:tr w:rsidR="00057594" w14:paraId="36922BE4" w14:textId="54ED503B" w:rsidTr="003B1AE2">
        <w:trPr>
          <w:tblHeader/>
          <w:jc w:val="center"/>
        </w:trPr>
        <w:tc>
          <w:tcPr>
            <w:tcW w:w="0" w:type="auto"/>
          </w:tcPr>
          <w:p w14:paraId="0D164B4F" w14:textId="77777777" w:rsidR="00057594" w:rsidRDefault="00057594" w:rsidP="00DD59F0">
            <w:pPr>
              <w:pStyle w:val="ListParagraph"/>
              <w:ind w:left="0"/>
              <w:rPr>
                <w:rFonts w:cstheme="minorHAnsi"/>
              </w:rPr>
            </w:pPr>
          </w:p>
        </w:tc>
        <w:tc>
          <w:tcPr>
            <w:tcW w:w="0" w:type="auto"/>
            <w:shd w:val="clear" w:color="auto" w:fill="D9D9D9" w:themeFill="background1" w:themeFillShade="D9"/>
          </w:tcPr>
          <w:p w14:paraId="1DB38E76" w14:textId="32C4B3C8" w:rsidR="00810AFE" w:rsidRDefault="00810AFE" w:rsidP="00810AFE">
            <w:pPr>
              <w:pStyle w:val="ListParagraph"/>
              <w:ind w:left="0"/>
              <w:jc w:val="center"/>
              <w:rPr>
                <w:rFonts w:cstheme="minorHAnsi"/>
                <w:b/>
                <w:bCs/>
              </w:rPr>
            </w:pPr>
            <w:r>
              <w:rPr>
                <w:rFonts w:cstheme="minorHAnsi"/>
                <w:b/>
                <w:bCs/>
              </w:rPr>
              <w:t xml:space="preserve"># of </w:t>
            </w:r>
            <w:r w:rsidR="00057594" w:rsidRPr="00DE4EEA">
              <w:rPr>
                <w:rFonts w:cstheme="minorHAnsi"/>
                <w:b/>
                <w:bCs/>
              </w:rPr>
              <w:t>Operating</w:t>
            </w:r>
          </w:p>
          <w:p w14:paraId="0710AF9E" w14:textId="69708BE4" w:rsidR="00057594" w:rsidRPr="00DE4EEA" w:rsidRDefault="00057594" w:rsidP="00810AFE">
            <w:pPr>
              <w:pStyle w:val="ListParagraph"/>
              <w:ind w:left="0"/>
              <w:jc w:val="center"/>
              <w:rPr>
                <w:rFonts w:cstheme="minorHAnsi"/>
                <w:b/>
                <w:bCs/>
              </w:rPr>
            </w:pPr>
            <w:r>
              <w:rPr>
                <w:rFonts w:cstheme="minorHAnsi"/>
                <w:b/>
                <w:bCs/>
              </w:rPr>
              <w:t>Rooms</w:t>
            </w:r>
          </w:p>
          <w:p w14:paraId="467B2E5B" w14:textId="27032171" w:rsidR="00057594" w:rsidRPr="00DE4EEA" w:rsidRDefault="00057594" w:rsidP="00810AFE">
            <w:pPr>
              <w:pStyle w:val="ListParagraph"/>
              <w:ind w:left="0"/>
              <w:jc w:val="center"/>
              <w:rPr>
                <w:rFonts w:cstheme="minorHAnsi"/>
                <w:b/>
                <w:bCs/>
              </w:rPr>
            </w:pPr>
          </w:p>
        </w:tc>
        <w:tc>
          <w:tcPr>
            <w:tcW w:w="0" w:type="auto"/>
            <w:shd w:val="clear" w:color="auto" w:fill="D9D9D9" w:themeFill="background1" w:themeFillShade="D9"/>
          </w:tcPr>
          <w:p w14:paraId="4B2CBD64" w14:textId="3F31D2C1" w:rsidR="00810AFE" w:rsidRDefault="00810AFE" w:rsidP="00810AFE">
            <w:pPr>
              <w:pStyle w:val="ListParagraph"/>
              <w:ind w:left="0"/>
              <w:jc w:val="center"/>
              <w:rPr>
                <w:rFonts w:cstheme="minorHAnsi"/>
                <w:b/>
                <w:bCs/>
              </w:rPr>
            </w:pPr>
            <w:r>
              <w:rPr>
                <w:rFonts w:cstheme="minorHAnsi"/>
                <w:b/>
                <w:bCs/>
              </w:rPr>
              <w:t xml:space="preserve"># of </w:t>
            </w:r>
            <w:r w:rsidR="00057594">
              <w:rPr>
                <w:rFonts w:cstheme="minorHAnsi"/>
                <w:b/>
                <w:bCs/>
              </w:rPr>
              <w:t>Procedure</w:t>
            </w:r>
          </w:p>
          <w:p w14:paraId="14A50A5B" w14:textId="0C6CF62C" w:rsidR="00057594" w:rsidRPr="00DE4EEA" w:rsidRDefault="00057594" w:rsidP="00810AFE">
            <w:pPr>
              <w:pStyle w:val="ListParagraph"/>
              <w:ind w:left="0"/>
              <w:jc w:val="center"/>
              <w:rPr>
                <w:rFonts w:cstheme="minorHAnsi"/>
                <w:b/>
                <w:bCs/>
              </w:rPr>
            </w:pPr>
            <w:r>
              <w:rPr>
                <w:rFonts w:cstheme="minorHAnsi"/>
                <w:b/>
                <w:bCs/>
              </w:rPr>
              <w:t>Rooms</w:t>
            </w:r>
          </w:p>
        </w:tc>
        <w:tc>
          <w:tcPr>
            <w:tcW w:w="0" w:type="auto"/>
            <w:shd w:val="clear" w:color="auto" w:fill="D9D9D9" w:themeFill="background1" w:themeFillShade="D9"/>
          </w:tcPr>
          <w:p w14:paraId="3142F747" w14:textId="36068262" w:rsidR="00057594" w:rsidRPr="00DE4EEA" w:rsidRDefault="00810AFE" w:rsidP="00810AFE">
            <w:pPr>
              <w:pStyle w:val="ListParagraph"/>
              <w:ind w:left="0"/>
              <w:jc w:val="center"/>
              <w:rPr>
                <w:rFonts w:cstheme="minorHAnsi"/>
                <w:b/>
                <w:bCs/>
              </w:rPr>
            </w:pPr>
            <w:r>
              <w:rPr>
                <w:rFonts w:cstheme="minorHAnsi"/>
                <w:b/>
                <w:bCs/>
              </w:rPr>
              <w:t xml:space="preserve"># of </w:t>
            </w:r>
            <w:r w:rsidR="00057594" w:rsidRPr="00DE4EEA">
              <w:rPr>
                <w:rFonts w:cstheme="minorHAnsi"/>
                <w:b/>
                <w:bCs/>
              </w:rPr>
              <w:t>Bays</w:t>
            </w:r>
          </w:p>
        </w:tc>
        <w:tc>
          <w:tcPr>
            <w:tcW w:w="0" w:type="auto"/>
            <w:shd w:val="clear" w:color="auto" w:fill="D9D9D9" w:themeFill="background1" w:themeFillShade="D9"/>
          </w:tcPr>
          <w:p w14:paraId="2F2BD248" w14:textId="67ECCEF9" w:rsidR="00057594" w:rsidRPr="00DE4EEA" w:rsidRDefault="00057594" w:rsidP="00DD59F0">
            <w:pPr>
              <w:pStyle w:val="ListParagraph"/>
              <w:ind w:left="0"/>
              <w:rPr>
                <w:rFonts w:cstheme="minorHAnsi"/>
                <w:b/>
                <w:bCs/>
              </w:rPr>
            </w:pPr>
            <w:r>
              <w:rPr>
                <w:rFonts w:cstheme="minorHAnsi"/>
                <w:b/>
                <w:bCs/>
              </w:rPr>
              <w:t>Ratio</w:t>
            </w:r>
          </w:p>
        </w:tc>
      </w:tr>
      <w:tr w:rsidR="00057594" w14:paraId="32573F2E" w14:textId="3F2EEEBF" w:rsidTr="006E18E3">
        <w:trPr>
          <w:jc w:val="center"/>
        </w:trPr>
        <w:tc>
          <w:tcPr>
            <w:tcW w:w="0" w:type="auto"/>
          </w:tcPr>
          <w:p w14:paraId="4898D22D" w14:textId="18F4E271" w:rsidR="00057594" w:rsidRDefault="00057594" w:rsidP="00DD59F0">
            <w:pPr>
              <w:pStyle w:val="ListParagraph"/>
              <w:ind w:left="0"/>
              <w:rPr>
                <w:rFonts w:cstheme="minorHAnsi"/>
              </w:rPr>
            </w:pPr>
            <w:r>
              <w:rPr>
                <w:rFonts w:cstheme="minorHAnsi"/>
              </w:rPr>
              <w:t>Existing</w:t>
            </w:r>
          </w:p>
        </w:tc>
        <w:tc>
          <w:tcPr>
            <w:tcW w:w="0" w:type="auto"/>
          </w:tcPr>
          <w:p w14:paraId="7DFCFB0A" w14:textId="29DD1154" w:rsidR="00057594" w:rsidRDefault="00C16910" w:rsidP="00DD59F0">
            <w:pPr>
              <w:pStyle w:val="ListParagraph"/>
              <w:ind w:left="0"/>
              <w:rPr>
                <w:rFonts w:cstheme="minorHAnsi"/>
              </w:rPr>
            </w:pPr>
            <w:r>
              <w:rPr>
                <w:rFonts w:cstheme="minorHAnsi"/>
              </w:rPr>
              <w:t>14</w:t>
            </w:r>
          </w:p>
        </w:tc>
        <w:tc>
          <w:tcPr>
            <w:tcW w:w="0" w:type="auto"/>
          </w:tcPr>
          <w:p w14:paraId="627E59A5" w14:textId="65B48BD5" w:rsidR="00057594" w:rsidRDefault="00841D1B" w:rsidP="00DD59F0">
            <w:pPr>
              <w:pStyle w:val="ListParagraph"/>
              <w:ind w:left="0"/>
              <w:rPr>
                <w:rFonts w:cstheme="minorHAnsi"/>
              </w:rPr>
            </w:pPr>
            <w:r>
              <w:rPr>
                <w:rFonts w:cstheme="minorHAnsi"/>
              </w:rPr>
              <w:t>0</w:t>
            </w:r>
          </w:p>
        </w:tc>
        <w:tc>
          <w:tcPr>
            <w:tcW w:w="0" w:type="auto"/>
          </w:tcPr>
          <w:p w14:paraId="20AA8C4B" w14:textId="79DBA2F9" w:rsidR="00057594" w:rsidRDefault="00841D1B" w:rsidP="00DD59F0">
            <w:pPr>
              <w:pStyle w:val="ListParagraph"/>
              <w:ind w:left="0"/>
              <w:rPr>
                <w:rFonts w:cstheme="minorHAnsi"/>
              </w:rPr>
            </w:pPr>
            <w:r>
              <w:rPr>
                <w:rFonts w:cstheme="minorHAnsi"/>
              </w:rPr>
              <w:t>1</w:t>
            </w:r>
            <w:r w:rsidR="00C16910">
              <w:rPr>
                <w:rFonts w:cstheme="minorHAnsi"/>
              </w:rPr>
              <w:t>8</w:t>
            </w:r>
          </w:p>
        </w:tc>
        <w:tc>
          <w:tcPr>
            <w:tcW w:w="0" w:type="auto"/>
          </w:tcPr>
          <w:p w14:paraId="0689E005" w14:textId="6617AF4F" w:rsidR="00057594" w:rsidRDefault="00841D1B" w:rsidP="00DD59F0">
            <w:pPr>
              <w:pStyle w:val="ListParagraph"/>
              <w:ind w:left="0"/>
              <w:rPr>
                <w:rFonts w:cstheme="minorHAnsi"/>
              </w:rPr>
            </w:pPr>
            <w:r>
              <w:rPr>
                <w:rFonts w:cstheme="minorHAnsi"/>
              </w:rPr>
              <w:t>1.2:1</w:t>
            </w:r>
          </w:p>
        </w:tc>
      </w:tr>
      <w:tr w:rsidR="00057594" w14:paraId="1A5592EC" w14:textId="7263CFFE" w:rsidTr="006E18E3">
        <w:trPr>
          <w:jc w:val="center"/>
        </w:trPr>
        <w:tc>
          <w:tcPr>
            <w:tcW w:w="0" w:type="auto"/>
          </w:tcPr>
          <w:p w14:paraId="58A135F0" w14:textId="19341CC3" w:rsidR="00057594" w:rsidRDefault="00057594" w:rsidP="00DD59F0">
            <w:pPr>
              <w:pStyle w:val="ListParagraph"/>
              <w:ind w:left="0"/>
              <w:rPr>
                <w:rFonts w:cstheme="minorHAnsi"/>
              </w:rPr>
            </w:pPr>
            <w:r>
              <w:rPr>
                <w:rFonts w:cstheme="minorHAnsi"/>
              </w:rPr>
              <w:t xml:space="preserve">Proposed </w:t>
            </w:r>
          </w:p>
        </w:tc>
        <w:tc>
          <w:tcPr>
            <w:tcW w:w="0" w:type="auto"/>
          </w:tcPr>
          <w:p w14:paraId="0BAB5FF5" w14:textId="1A90FC47" w:rsidR="00057594" w:rsidRDefault="00841D1B" w:rsidP="00DD59F0">
            <w:pPr>
              <w:pStyle w:val="ListParagraph"/>
              <w:ind w:left="0"/>
              <w:rPr>
                <w:rFonts w:cstheme="minorHAnsi"/>
              </w:rPr>
            </w:pPr>
            <w:r>
              <w:rPr>
                <w:rFonts w:cstheme="minorHAnsi"/>
              </w:rPr>
              <w:t>23</w:t>
            </w:r>
          </w:p>
        </w:tc>
        <w:tc>
          <w:tcPr>
            <w:tcW w:w="0" w:type="auto"/>
          </w:tcPr>
          <w:p w14:paraId="10D3C397" w14:textId="472AEE48" w:rsidR="00057594" w:rsidRDefault="00841D1B" w:rsidP="00DD59F0">
            <w:pPr>
              <w:pStyle w:val="ListParagraph"/>
              <w:ind w:left="0"/>
              <w:rPr>
                <w:rFonts w:cstheme="minorHAnsi"/>
              </w:rPr>
            </w:pPr>
            <w:r>
              <w:rPr>
                <w:rFonts w:cstheme="minorHAnsi"/>
              </w:rPr>
              <w:t>3</w:t>
            </w:r>
          </w:p>
        </w:tc>
        <w:tc>
          <w:tcPr>
            <w:tcW w:w="0" w:type="auto"/>
          </w:tcPr>
          <w:p w14:paraId="581F8381" w14:textId="1C34BCFB" w:rsidR="00057594" w:rsidRDefault="00841D1B" w:rsidP="00DD59F0">
            <w:pPr>
              <w:pStyle w:val="ListParagraph"/>
              <w:ind w:left="0"/>
              <w:rPr>
                <w:rFonts w:cstheme="minorHAnsi"/>
              </w:rPr>
            </w:pPr>
            <w:r>
              <w:rPr>
                <w:rFonts w:cstheme="minorHAnsi"/>
              </w:rPr>
              <w:t>68</w:t>
            </w:r>
          </w:p>
        </w:tc>
        <w:tc>
          <w:tcPr>
            <w:tcW w:w="0" w:type="auto"/>
          </w:tcPr>
          <w:p w14:paraId="7A2F3B9B" w14:textId="361768C3" w:rsidR="00057594" w:rsidRDefault="00841D1B" w:rsidP="00DD59F0">
            <w:pPr>
              <w:pStyle w:val="ListParagraph"/>
              <w:ind w:left="0"/>
              <w:rPr>
                <w:rFonts w:cstheme="minorHAnsi"/>
              </w:rPr>
            </w:pPr>
            <w:r>
              <w:rPr>
                <w:rFonts w:cstheme="minorHAnsi"/>
              </w:rPr>
              <w:t>2.9:1</w:t>
            </w:r>
          </w:p>
        </w:tc>
      </w:tr>
    </w:tbl>
    <w:p w14:paraId="010472EB" w14:textId="4EDD4487" w:rsidR="00F32BB1" w:rsidRDefault="00F32BB1" w:rsidP="00F32BB1">
      <w:pPr>
        <w:rPr>
          <w:rFonts w:cstheme="minorHAnsi"/>
        </w:rPr>
      </w:pPr>
    </w:p>
    <w:p w14:paraId="0840A632" w14:textId="440FD8AD" w:rsidR="00221EE5" w:rsidRPr="00F256FF" w:rsidRDefault="00841D1B" w:rsidP="00C47756">
      <w:pPr>
        <w:ind w:left="720"/>
        <w:rPr>
          <w:rFonts w:cstheme="minorHAnsi"/>
        </w:rPr>
      </w:pPr>
      <w:r>
        <w:rPr>
          <w:rFonts w:cstheme="minorHAnsi"/>
        </w:rPr>
        <w:t xml:space="preserve">Response: The above table has been completed to show the relevant ratios before and after the project is implemented. </w:t>
      </w:r>
      <w:r w:rsidR="00C16910">
        <w:rPr>
          <w:rFonts w:cstheme="minorHAnsi"/>
        </w:rPr>
        <w:t xml:space="preserve">To provide some additional context, the existing 14 ORs noted above includes </w:t>
      </w:r>
      <w:r w:rsidR="00A071F0">
        <w:rPr>
          <w:rFonts w:cstheme="minorHAnsi"/>
        </w:rPr>
        <w:t xml:space="preserve">5 conventional ORs as well as </w:t>
      </w:r>
      <w:r w:rsidR="003C65E2">
        <w:rPr>
          <w:rFonts w:cstheme="minorHAnsi"/>
        </w:rPr>
        <w:t xml:space="preserve">9 </w:t>
      </w:r>
      <w:r w:rsidR="00C16910">
        <w:rPr>
          <w:rFonts w:cstheme="minorHAnsi"/>
        </w:rPr>
        <w:t>EP and cardiac catherization rooms which DPH previously categorized as procedure rooms (and thus were not included in the DoN application and responses as ORs).</w:t>
      </w:r>
      <w:r w:rsidR="00E0271E">
        <w:rPr>
          <w:rFonts w:cstheme="minorHAnsi"/>
        </w:rPr>
        <w:t xml:space="preserve"> </w:t>
      </w:r>
      <w:r>
        <w:rPr>
          <w:rFonts w:cstheme="minorHAnsi"/>
        </w:rPr>
        <w:t>Please note that the statement “</w:t>
      </w:r>
      <w:r w:rsidRPr="00781BF8">
        <w:rPr>
          <w:rFonts w:cstheme="minorHAnsi"/>
          <w:b/>
          <w:bCs/>
          <w:i/>
          <w:iCs/>
        </w:rPr>
        <w:t>The current number of perioperative bays results in a ratio of 2.9:1</w:t>
      </w:r>
      <w:r>
        <w:rPr>
          <w:rFonts w:cstheme="minorHAnsi"/>
          <w:b/>
          <w:bCs/>
          <w:i/>
          <w:iCs/>
        </w:rPr>
        <w:t>”</w:t>
      </w:r>
      <w:r>
        <w:rPr>
          <w:rFonts w:cstheme="minorHAnsi"/>
        </w:rPr>
        <w:t xml:space="preserve"> is in reference to what the planned ratio will be when the project is implemented </w:t>
      </w:r>
      <w:bookmarkEnd w:id="2"/>
      <w:r>
        <w:rPr>
          <w:rFonts w:cstheme="minorHAnsi"/>
        </w:rPr>
        <w:t>based on current design plans that are under review with the DPH Plan Review office.</w:t>
      </w:r>
      <w:r w:rsidR="00C16910">
        <w:rPr>
          <w:rFonts w:cstheme="minorHAnsi"/>
        </w:rPr>
        <w:t xml:space="preserve"> </w:t>
      </w:r>
    </w:p>
    <w:bookmarkEnd w:id="1"/>
    <w:p w14:paraId="07B6D0A1" w14:textId="654A31A3" w:rsidR="00AB31A9" w:rsidRPr="00781BF8" w:rsidRDefault="0026375D" w:rsidP="00AB31A9">
      <w:pPr>
        <w:pStyle w:val="ListParagraph"/>
        <w:numPr>
          <w:ilvl w:val="0"/>
          <w:numId w:val="1"/>
        </w:numPr>
        <w:rPr>
          <w:rFonts w:cstheme="minorHAnsi"/>
          <w:b/>
          <w:bCs/>
        </w:rPr>
      </w:pPr>
      <w:r w:rsidRPr="00781BF8">
        <w:rPr>
          <w:rFonts w:cstheme="minorHAnsi"/>
          <w:b/>
          <w:bCs/>
        </w:rPr>
        <w:t xml:space="preserve">Given that radiation therapy and surgical services will not be part of the </w:t>
      </w:r>
      <w:r w:rsidR="00525FFB" w:rsidRPr="00781BF8">
        <w:rPr>
          <w:rFonts w:cstheme="minorHAnsi"/>
          <w:b/>
          <w:bCs/>
        </w:rPr>
        <w:t xml:space="preserve">cancer </w:t>
      </w:r>
      <w:r w:rsidRPr="00781BF8">
        <w:rPr>
          <w:rFonts w:cstheme="minorHAnsi"/>
          <w:b/>
          <w:bCs/>
        </w:rPr>
        <w:t>co-located services</w:t>
      </w:r>
      <w:r w:rsidR="00B87B7C" w:rsidRPr="00781BF8">
        <w:rPr>
          <w:rFonts w:cstheme="minorHAnsi"/>
          <w:b/>
          <w:bCs/>
        </w:rPr>
        <w:t xml:space="preserve"> building (DoN responses, pg.21)</w:t>
      </w:r>
      <w:r w:rsidR="00702327" w:rsidRPr="00781BF8">
        <w:rPr>
          <w:rFonts w:cstheme="minorHAnsi"/>
          <w:b/>
          <w:bCs/>
        </w:rPr>
        <w:t>, provide a list of the</w:t>
      </w:r>
      <w:r w:rsidRPr="00781BF8">
        <w:rPr>
          <w:rFonts w:cstheme="minorHAnsi"/>
          <w:b/>
          <w:bCs/>
        </w:rPr>
        <w:t xml:space="preserve"> </w:t>
      </w:r>
      <w:r w:rsidR="00525FFB" w:rsidRPr="00781BF8">
        <w:rPr>
          <w:rFonts w:cstheme="minorHAnsi"/>
          <w:b/>
          <w:bCs/>
        </w:rPr>
        <w:t xml:space="preserve">cancer </w:t>
      </w:r>
      <w:r w:rsidRPr="00781BF8">
        <w:rPr>
          <w:rFonts w:cstheme="minorHAnsi"/>
          <w:b/>
          <w:bCs/>
        </w:rPr>
        <w:t xml:space="preserve">services </w:t>
      </w:r>
      <w:r w:rsidR="00525FFB" w:rsidRPr="00781BF8">
        <w:rPr>
          <w:rFonts w:cstheme="minorHAnsi"/>
          <w:b/>
          <w:bCs/>
        </w:rPr>
        <w:t xml:space="preserve">that </w:t>
      </w:r>
      <w:r w:rsidRPr="00781BF8">
        <w:rPr>
          <w:rFonts w:cstheme="minorHAnsi"/>
          <w:b/>
          <w:bCs/>
        </w:rPr>
        <w:t>will be offered in the new</w:t>
      </w:r>
      <w:r w:rsidR="00916C22" w:rsidRPr="00781BF8">
        <w:rPr>
          <w:rFonts w:cstheme="minorHAnsi"/>
          <w:b/>
          <w:bCs/>
        </w:rPr>
        <w:t xml:space="preserve"> building</w:t>
      </w:r>
      <w:r w:rsidRPr="00781BF8">
        <w:rPr>
          <w:rFonts w:cstheme="minorHAnsi"/>
          <w:b/>
          <w:bCs/>
        </w:rPr>
        <w:t>.</w:t>
      </w:r>
    </w:p>
    <w:p w14:paraId="6A5F3219" w14:textId="6111DAE5" w:rsidR="00781BF8" w:rsidRDefault="00781BF8" w:rsidP="00781BF8">
      <w:pPr>
        <w:pStyle w:val="ListParagraph"/>
        <w:rPr>
          <w:rFonts w:cstheme="minorHAnsi"/>
        </w:rPr>
      </w:pPr>
    </w:p>
    <w:p w14:paraId="05078007" w14:textId="379D0C98" w:rsidR="00781BF8" w:rsidRDefault="00841D1B" w:rsidP="00781BF8">
      <w:pPr>
        <w:pStyle w:val="ListParagraph"/>
        <w:rPr>
          <w:rFonts w:cstheme="minorHAnsi"/>
        </w:rPr>
      </w:pPr>
      <w:r>
        <w:rPr>
          <w:rFonts w:cstheme="minorHAnsi"/>
        </w:rPr>
        <w:t>Response: The new building will house the following cancer services:</w:t>
      </w:r>
    </w:p>
    <w:p w14:paraId="1EF8F112" w14:textId="0674CBB6" w:rsidR="00841D1B" w:rsidRDefault="00841D1B" w:rsidP="00841D1B">
      <w:pPr>
        <w:pStyle w:val="ListParagraph"/>
        <w:numPr>
          <w:ilvl w:val="0"/>
          <w:numId w:val="19"/>
        </w:numPr>
        <w:rPr>
          <w:rFonts w:cstheme="minorHAnsi"/>
        </w:rPr>
      </w:pPr>
      <w:r>
        <w:rPr>
          <w:rFonts w:cstheme="minorHAnsi"/>
        </w:rPr>
        <w:t>Outpatient visits</w:t>
      </w:r>
    </w:p>
    <w:p w14:paraId="2756FAB9" w14:textId="77777777" w:rsidR="00841D1B" w:rsidRPr="00AB31A9" w:rsidRDefault="00841D1B" w:rsidP="00841D1B">
      <w:pPr>
        <w:pStyle w:val="ListParagraph"/>
        <w:numPr>
          <w:ilvl w:val="0"/>
          <w:numId w:val="19"/>
        </w:numPr>
        <w:rPr>
          <w:rFonts w:cstheme="minorHAnsi"/>
        </w:rPr>
      </w:pPr>
      <w:r>
        <w:rPr>
          <w:rFonts w:cstheme="minorHAnsi"/>
        </w:rPr>
        <w:t>Inpatient services</w:t>
      </w:r>
    </w:p>
    <w:p w14:paraId="38924692" w14:textId="183C6F47" w:rsidR="00841D1B" w:rsidRDefault="00841D1B" w:rsidP="00841D1B">
      <w:pPr>
        <w:pStyle w:val="ListParagraph"/>
        <w:numPr>
          <w:ilvl w:val="0"/>
          <w:numId w:val="19"/>
        </w:numPr>
        <w:rPr>
          <w:rFonts w:cstheme="minorHAnsi"/>
        </w:rPr>
      </w:pPr>
      <w:r>
        <w:rPr>
          <w:rFonts w:cstheme="minorHAnsi"/>
        </w:rPr>
        <w:t>Infusion therapy</w:t>
      </w:r>
    </w:p>
    <w:p w14:paraId="6185B9ED" w14:textId="36140A01" w:rsidR="00841D1B" w:rsidRDefault="00841D1B" w:rsidP="00841D1B">
      <w:pPr>
        <w:pStyle w:val="ListParagraph"/>
        <w:numPr>
          <w:ilvl w:val="0"/>
          <w:numId w:val="19"/>
        </w:numPr>
        <w:rPr>
          <w:rFonts w:cstheme="minorHAnsi"/>
        </w:rPr>
      </w:pPr>
      <w:r>
        <w:rPr>
          <w:rFonts w:cstheme="minorHAnsi"/>
        </w:rPr>
        <w:t>Urgent care</w:t>
      </w:r>
    </w:p>
    <w:p w14:paraId="39D0AB92" w14:textId="1B811F0F" w:rsidR="00841D1B" w:rsidRDefault="00841D1B" w:rsidP="00841D1B">
      <w:pPr>
        <w:pStyle w:val="ListParagraph"/>
        <w:numPr>
          <w:ilvl w:val="0"/>
          <w:numId w:val="19"/>
        </w:numPr>
        <w:rPr>
          <w:rFonts w:cstheme="minorHAnsi"/>
        </w:rPr>
      </w:pPr>
      <w:r>
        <w:rPr>
          <w:rFonts w:cstheme="minorHAnsi"/>
        </w:rPr>
        <w:t>Ancillary services including lab and imaging</w:t>
      </w:r>
    </w:p>
    <w:p w14:paraId="43913999" w14:textId="60DC9B57" w:rsidR="00D158DD" w:rsidRDefault="00D158DD" w:rsidP="00841D1B">
      <w:pPr>
        <w:pStyle w:val="ListParagraph"/>
        <w:numPr>
          <w:ilvl w:val="0"/>
          <w:numId w:val="19"/>
        </w:numPr>
        <w:rPr>
          <w:rFonts w:cstheme="minorHAnsi"/>
        </w:rPr>
      </w:pPr>
      <w:r>
        <w:rPr>
          <w:rFonts w:cstheme="minorHAnsi"/>
        </w:rPr>
        <w:t>Supportive care services</w:t>
      </w:r>
      <w:r w:rsidR="00F14134">
        <w:rPr>
          <w:rFonts w:cstheme="minorHAnsi"/>
        </w:rPr>
        <w:t xml:space="preserve"> (</w:t>
      </w:r>
      <w:r w:rsidR="004C6D85">
        <w:rPr>
          <w:rFonts w:cstheme="minorHAnsi"/>
        </w:rPr>
        <w:t>e.g., social work, art and music therapy, parenting at a challenging time, etc)</w:t>
      </w:r>
    </w:p>
    <w:p w14:paraId="63E1A891" w14:textId="77777777" w:rsidR="00221EE5" w:rsidRDefault="00221EE5" w:rsidP="0026375D">
      <w:pPr>
        <w:pStyle w:val="ListParagraph"/>
        <w:rPr>
          <w:rFonts w:cstheme="minorHAnsi"/>
          <w:color w:val="FF0000"/>
        </w:rPr>
      </w:pPr>
      <w:r>
        <w:rPr>
          <w:rFonts w:cstheme="minorHAnsi"/>
          <w:color w:val="FF0000"/>
        </w:rPr>
        <w:br/>
      </w:r>
    </w:p>
    <w:p w14:paraId="7B2A0894" w14:textId="77777777" w:rsidR="00221EE5" w:rsidRDefault="00221EE5">
      <w:pPr>
        <w:rPr>
          <w:rFonts w:cstheme="minorHAnsi"/>
          <w:color w:val="FF0000"/>
        </w:rPr>
      </w:pPr>
      <w:r>
        <w:rPr>
          <w:rFonts w:cstheme="minorHAnsi"/>
          <w:color w:val="FF0000"/>
        </w:rPr>
        <w:br w:type="page"/>
      </w:r>
    </w:p>
    <w:p w14:paraId="003B54B8" w14:textId="77777777" w:rsidR="0026375D" w:rsidRDefault="0026375D" w:rsidP="0026375D">
      <w:pPr>
        <w:pStyle w:val="ListParagraph"/>
        <w:rPr>
          <w:rFonts w:cstheme="minorHAnsi"/>
        </w:rPr>
      </w:pPr>
    </w:p>
    <w:p w14:paraId="5822F341" w14:textId="0C911C14" w:rsidR="005E60B7" w:rsidRPr="00781BF8" w:rsidRDefault="009E7305" w:rsidP="009E7305">
      <w:pPr>
        <w:pStyle w:val="ListParagraph"/>
        <w:numPr>
          <w:ilvl w:val="0"/>
          <w:numId w:val="1"/>
        </w:numPr>
        <w:rPr>
          <w:rFonts w:cstheme="minorHAnsi"/>
          <w:b/>
          <w:bCs/>
        </w:rPr>
      </w:pPr>
      <w:r w:rsidRPr="00781BF8">
        <w:rPr>
          <w:rFonts w:cstheme="minorHAnsi"/>
          <w:b/>
          <w:bCs/>
        </w:rPr>
        <w:t>Table 8</w:t>
      </w:r>
      <w:r w:rsidR="00916C22" w:rsidRPr="00781BF8">
        <w:rPr>
          <w:rFonts w:cstheme="minorHAnsi"/>
          <w:b/>
          <w:bCs/>
        </w:rPr>
        <w:t xml:space="preserve"> from your response</w:t>
      </w:r>
      <w:r w:rsidRPr="00781BF8">
        <w:rPr>
          <w:rFonts w:cstheme="minorHAnsi"/>
          <w:b/>
          <w:bCs/>
        </w:rPr>
        <w:t xml:space="preserve"> provides different sets of data for IP, OP, ED, and PRR. (Responses pg.14) Please </w:t>
      </w:r>
      <w:r w:rsidR="0091738E" w:rsidRPr="00781BF8">
        <w:rPr>
          <w:rFonts w:cstheme="minorHAnsi"/>
          <w:b/>
          <w:bCs/>
        </w:rPr>
        <w:t>provide the time period for each of the data sets.</w:t>
      </w:r>
    </w:p>
    <w:tbl>
      <w:tblPr>
        <w:tblW w:w="101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885"/>
        <w:gridCol w:w="495"/>
        <w:gridCol w:w="704"/>
        <w:gridCol w:w="699"/>
        <w:gridCol w:w="726"/>
        <w:gridCol w:w="744"/>
        <w:gridCol w:w="706"/>
        <w:gridCol w:w="781"/>
        <w:gridCol w:w="773"/>
        <w:gridCol w:w="615"/>
        <w:gridCol w:w="706"/>
        <w:gridCol w:w="700"/>
        <w:gridCol w:w="659"/>
      </w:tblGrid>
      <w:tr w:rsidR="005E60B7" w:rsidRPr="00D60BD3" w14:paraId="02E57580" w14:textId="77777777" w:rsidTr="00150529">
        <w:trPr>
          <w:trHeight w:val="394"/>
          <w:jc w:val="center"/>
        </w:trPr>
        <w:tc>
          <w:tcPr>
            <w:tcW w:w="10193" w:type="dxa"/>
            <w:gridSpan w:val="13"/>
            <w:tcBorders>
              <w:bottom w:val="single" w:sz="4" w:space="0" w:color="auto"/>
            </w:tcBorders>
            <w:shd w:val="clear" w:color="auto" w:fill="D9D9D9"/>
            <w:vAlign w:val="center"/>
          </w:tcPr>
          <w:p w14:paraId="205F4BA3" w14:textId="77777777" w:rsidR="005E60B7" w:rsidRPr="00D60BD3" w:rsidRDefault="005E60B7" w:rsidP="00911FD3">
            <w:pPr>
              <w:spacing w:after="0" w:line="240" w:lineRule="auto"/>
              <w:contextualSpacing/>
              <w:jc w:val="center"/>
              <w:rPr>
                <w:rFonts w:cstheme="minorHAnsi"/>
                <w:b/>
                <w:bCs/>
                <w:sz w:val="20"/>
                <w:szCs w:val="20"/>
              </w:rPr>
            </w:pPr>
            <w:r w:rsidRPr="00D60BD3">
              <w:rPr>
                <w:rFonts w:cstheme="minorHAnsi"/>
                <w:b/>
                <w:bCs/>
                <w:color w:val="000000"/>
              </w:rPr>
              <w:t>Table 8: Historical Cardiovascular Procedure Wait Times</w:t>
            </w:r>
          </w:p>
        </w:tc>
      </w:tr>
      <w:tr w:rsidR="00150529" w:rsidRPr="00D60BD3" w14:paraId="7F97A4E5" w14:textId="77777777" w:rsidTr="00F27D70">
        <w:trPr>
          <w:jc w:val="center"/>
        </w:trPr>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5BD6" w14:textId="77777777" w:rsidR="00150529" w:rsidRPr="00D60BD3" w:rsidRDefault="00150529" w:rsidP="00911FD3">
            <w:pPr>
              <w:spacing w:after="0" w:line="240" w:lineRule="auto"/>
              <w:contextualSpacing/>
              <w:rPr>
                <w:rFonts w:cstheme="minorHAnsi"/>
              </w:rPr>
            </w:pPr>
          </w:p>
        </w:tc>
        <w:tc>
          <w:tcPr>
            <w:tcW w:w="262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tcPr>
          <w:p w14:paraId="7F098329" w14:textId="5A0E3702" w:rsidR="00150529" w:rsidRPr="00D60BD3" w:rsidRDefault="00150529" w:rsidP="00911FD3">
            <w:pPr>
              <w:spacing w:after="0" w:line="240" w:lineRule="auto"/>
              <w:contextualSpacing/>
              <w:jc w:val="center"/>
              <w:rPr>
                <w:rFonts w:cstheme="minorHAnsi"/>
                <w:b/>
                <w:bCs/>
                <w:color w:val="000000"/>
              </w:rPr>
            </w:pPr>
            <w:r>
              <w:rPr>
                <w:rFonts w:cstheme="minorHAnsi"/>
                <w:b/>
                <w:bCs/>
                <w:color w:val="000000"/>
              </w:rPr>
              <w:t>FY17</w:t>
            </w:r>
          </w:p>
        </w:tc>
        <w:tc>
          <w:tcPr>
            <w:tcW w:w="3004" w:type="dxa"/>
            <w:gridSpan w:val="4"/>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72BBEA33" w14:textId="6261E856" w:rsidR="00150529" w:rsidRPr="00D60BD3" w:rsidRDefault="00150529" w:rsidP="00911FD3">
            <w:pPr>
              <w:spacing w:after="0" w:line="240" w:lineRule="auto"/>
              <w:contextualSpacing/>
              <w:jc w:val="center"/>
              <w:rPr>
                <w:rFonts w:cstheme="minorHAnsi"/>
                <w:b/>
                <w:bCs/>
                <w:color w:val="000000"/>
              </w:rPr>
            </w:pPr>
            <w:r>
              <w:rPr>
                <w:rFonts w:cstheme="minorHAnsi"/>
                <w:b/>
                <w:bCs/>
                <w:color w:val="000000"/>
              </w:rPr>
              <w:t>FY19</w:t>
            </w:r>
          </w:p>
        </w:tc>
        <w:tc>
          <w:tcPr>
            <w:tcW w:w="268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tcPr>
          <w:p w14:paraId="6EF31C75" w14:textId="3053C1AD" w:rsidR="00150529" w:rsidRPr="00D60BD3" w:rsidRDefault="00150529" w:rsidP="00911FD3">
            <w:pPr>
              <w:spacing w:after="0" w:line="240" w:lineRule="auto"/>
              <w:contextualSpacing/>
              <w:jc w:val="center"/>
              <w:rPr>
                <w:rFonts w:cstheme="minorHAnsi"/>
                <w:b/>
                <w:bCs/>
                <w:color w:val="000000"/>
              </w:rPr>
            </w:pPr>
            <w:r>
              <w:rPr>
                <w:rFonts w:cstheme="minorHAnsi"/>
                <w:b/>
                <w:bCs/>
                <w:color w:val="000000"/>
              </w:rPr>
              <w:t>FY20</w:t>
            </w:r>
          </w:p>
        </w:tc>
      </w:tr>
      <w:tr w:rsidR="003D3833" w:rsidRPr="00D60BD3" w14:paraId="5FE7A392" w14:textId="77777777" w:rsidTr="00150529">
        <w:trPr>
          <w:jc w:val="center"/>
        </w:trPr>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95557" w14:textId="69F63994" w:rsidR="005E60B7" w:rsidRPr="00D60BD3" w:rsidRDefault="005E60B7" w:rsidP="00911FD3">
            <w:pPr>
              <w:spacing w:after="0" w:line="240" w:lineRule="auto"/>
              <w:contextualSpacing/>
              <w:rPr>
                <w:rFonts w:cstheme="minorHAnsi"/>
              </w:rPr>
            </w:pPr>
            <w:r w:rsidRPr="00D60BD3">
              <w:rPr>
                <w:rFonts w:cstheme="minorHAnsi"/>
              </w:rPr>
              <w:t>Wait Times (days)</w:t>
            </w:r>
          </w:p>
        </w:tc>
        <w:tc>
          <w:tcPr>
            <w:tcW w:w="495"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hideMark/>
          </w:tcPr>
          <w:p w14:paraId="27ABBA09" w14:textId="1B8AD5A6" w:rsidR="005E60B7" w:rsidRPr="00D60BD3" w:rsidRDefault="005E60B7" w:rsidP="00911FD3">
            <w:pPr>
              <w:spacing w:after="0" w:line="240" w:lineRule="auto"/>
              <w:contextualSpacing/>
              <w:jc w:val="center"/>
              <w:rPr>
                <w:rFonts w:cstheme="minorHAnsi"/>
                <w:b/>
                <w:bCs/>
              </w:rPr>
            </w:pPr>
            <w:r w:rsidRPr="00D60BD3">
              <w:rPr>
                <w:rFonts w:cstheme="minorHAnsi"/>
                <w:b/>
                <w:bCs/>
                <w:color w:val="000000"/>
              </w:rPr>
              <w:t>IP</w:t>
            </w:r>
          </w:p>
        </w:tc>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hideMark/>
          </w:tcPr>
          <w:p w14:paraId="020CA412" w14:textId="7114ACFA" w:rsidR="005E60B7" w:rsidRPr="00D60BD3" w:rsidRDefault="005E60B7" w:rsidP="00911FD3">
            <w:pPr>
              <w:spacing w:after="0" w:line="240" w:lineRule="auto"/>
              <w:contextualSpacing/>
              <w:jc w:val="center"/>
              <w:rPr>
                <w:rFonts w:cstheme="minorHAnsi"/>
                <w:b/>
                <w:bCs/>
              </w:rPr>
            </w:pPr>
            <w:r w:rsidRPr="00D60BD3">
              <w:rPr>
                <w:rFonts w:cstheme="minorHAnsi"/>
                <w:b/>
                <w:bCs/>
                <w:color w:val="000000"/>
              </w:rPr>
              <w:t>OP</w:t>
            </w:r>
          </w:p>
        </w:tc>
        <w:tc>
          <w:tcPr>
            <w:tcW w:w="699"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hideMark/>
          </w:tcPr>
          <w:p w14:paraId="39FEEDE1" w14:textId="1EAFAC37" w:rsidR="005E60B7" w:rsidRPr="00D60BD3" w:rsidRDefault="005E60B7" w:rsidP="00911FD3">
            <w:pPr>
              <w:spacing w:after="0" w:line="240" w:lineRule="auto"/>
              <w:contextualSpacing/>
              <w:jc w:val="center"/>
              <w:rPr>
                <w:rFonts w:cstheme="minorHAnsi"/>
                <w:b/>
                <w:bCs/>
              </w:rPr>
            </w:pPr>
            <w:r w:rsidRPr="00D60BD3">
              <w:rPr>
                <w:rFonts w:cstheme="minorHAnsi"/>
                <w:b/>
                <w:bCs/>
                <w:color w:val="000000"/>
              </w:rPr>
              <w:t>ED</w:t>
            </w:r>
          </w:p>
        </w:tc>
        <w:tc>
          <w:tcPr>
            <w:tcW w:w="7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F89215" w14:textId="678EC6DC" w:rsidR="005E60B7" w:rsidRPr="00D60BD3" w:rsidRDefault="005E60B7" w:rsidP="00911FD3">
            <w:pPr>
              <w:spacing w:after="0" w:line="240" w:lineRule="auto"/>
              <w:contextualSpacing/>
              <w:jc w:val="center"/>
              <w:rPr>
                <w:rFonts w:cstheme="minorHAnsi"/>
                <w:b/>
                <w:bCs/>
                <w:color w:val="000000"/>
              </w:rPr>
            </w:pPr>
            <w:r w:rsidRPr="00D60BD3">
              <w:rPr>
                <w:rFonts w:cstheme="minorHAnsi"/>
                <w:b/>
                <w:bCs/>
                <w:color w:val="000000"/>
              </w:rPr>
              <w:t>PPR</w:t>
            </w:r>
          </w:p>
        </w:tc>
        <w:tc>
          <w:tcPr>
            <w:tcW w:w="744"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hideMark/>
          </w:tcPr>
          <w:p w14:paraId="7208E2BA" w14:textId="76B9BB84" w:rsidR="005E60B7" w:rsidRPr="00D60BD3" w:rsidRDefault="005E60B7" w:rsidP="00911FD3">
            <w:pPr>
              <w:spacing w:after="0" w:line="240" w:lineRule="auto"/>
              <w:contextualSpacing/>
              <w:jc w:val="center"/>
              <w:rPr>
                <w:rFonts w:cstheme="minorHAnsi"/>
                <w:b/>
                <w:bCs/>
              </w:rPr>
            </w:pPr>
            <w:r w:rsidRPr="00D60BD3">
              <w:rPr>
                <w:rFonts w:cstheme="minorHAnsi"/>
                <w:b/>
                <w:bCs/>
                <w:color w:val="000000"/>
              </w:rPr>
              <w:t>IP</w:t>
            </w:r>
          </w:p>
        </w:tc>
        <w:tc>
          <w:tcPr>
            <w:tcW w:w="706"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hideMark/>
          </w:tcPr>
          <w:p w14:paraId="59EEF520" w14:textId="05F9929F" w:rsidR="005E60B7" w:rsidRPr="00D60BD3" w:rsidRDefault="005E60B7" w:rsidP="00911FD3">
            <w:pPr>
              <w:spacing w:after="0" w:line="240" w:lineRule="auto"/>
              <w:contextualSpacing/>
              <w:jc w:val="center"/>
              <w:rPr>
                <w:rFonts w:cstheme="minorHAnsi"/>
                <w:b/>
                <w:bCs/>
              </w:rPr>
            </w:pPr>
            <w:r w:rsidRPr="00D60BD3">
              <w:rPr>
                <w:rFonts w:cstheme="minorHAnsi"/>
                <w:b/>
                <w:bCs/>
                <w:color w:val="000000"/>
              </w:rPr>
              <w:t>OP</w:t>
            </w:r>
          </w:p>
        </w:tc>
        <w:tc>
          <w:tcPr>
            <w:tcW w:w="7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hideMark/>
          </w:tcPr>
          <w:p w14:paraId="3F3EBAB2" w14:textId="7636D615" w:rsidR="005E60B7" w:rsidRPr="00D60BD3" w:rsidRDefault="005E60B7" w:rsidP="00911FD3">
            <w:pPr>
              <w:spacing w:after="0" w:line="240" w:lineRule="auto"/>
              <w:contextualSpacing/>
              <w:jc w:val="center"/>
              <w:rPr>
                <w:rFonts w:cstheme="minorHAnsi"/>
                <w:b/>
                <w:bCs/>
              </w:rPr>
            </w:pPr>
            <w:r w:rsidRPr="00D60BD3">
              <w:rPr>
                <w:rFonts w:cstheme="minorHAnsi"/>
                <w:b/>
                <w:bCs/>
                <w:color w:val="000000"/>
              </w:rPr>
              <w:t>ED</w:t>
            </w:r>
          </w:p>
        </w:tc>
        <w:tc>
          <w:tcPr>
            <w:tcW w:w="7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8D11FB" w14:textId="724F9A66" w:rsidR="005E60B7" w:rsidRPr="00D60BD3" w:rsidRDefault="005E60B7" w:rsidP="00911FD3">
            <w:pPr>
              <w:spacing w:after="0" w:line="240" w:lineRule="auto"/>
              <w:contextualSpacing/>
              <w:jc w:val="center"/>
              <w:rPr>
                <w:rFonts w:cstheme="minorHAnsi"/>
                <w:b/>
                <w:bCs/>
                <w:color w:val="000000"/>
              </w:rPr>
            </w:pPr>
            <w:r w:rsidRPr="00D60BD3">
              <w:rPr>
                <w:rFonts w:cstheme="minorHAnsi"/>
                <w:b/>
                <w:bCs/>
                <w:color w:val="000000"/>
              </w:rPr>
              <w:t>PPR</w:t>
            </w:r>
          </w:p>
        </w:tc>
        <w:tc>
          <w:tcPr>
            <w:tcW w:w="615"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hideMark/>
          </w:tcPr>
          <w:p w14:paraId="12F7C9CA" w14:textId="58082EFB" w:rsidR="005E60B7" w:rsidRPr="00D60BD3" w:rsidRDefault="005E60B7" w:rsidP="00911FD3">
            <w:pPr>
              <w:spacing w:after="0" w:line="240" w:lineRule="auto"/>
              <w:contextualSpacing/>
              <w:jc w:val="center"/>
              <w:rPr>
                <w:rFonts w:cstheme="minorHAnsi"/>
                <w:b/>
                <w:bCs/>
              </w:rPr>
            </w:pPr>
            <w:r w:rsidRPr="00D60BD3">
              <w:rPr>
                <w:rFonts w:cstheme="minorHAnsi"/>
                <w:b/>
                <w:bCs/>
                <w:color w:val="000000"/>
              </w:rPr>
              <w:t>IP</w:t>
            </w:r>
          </w:p>
        </w:tc>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hideMark/>
          </w:tcPr>
          <w:p w14:paraId="47050AAC" w14:textId="77777777" w:rsidR="005E60B7" w:rsidRPr="00D60BD3" w:rsidRDefault="005E60B7" w:rsidP="00911FD3">
            <w:pPr>
              <w:spacing w:after="0" w:line="240" w:lineRule="auto"/>
              <w:contextualSpacing/>
              <w:jc w:val="center"/>
              <w:rPr>
                <w:rFonts w:cstheme="minorHAnsi"/>
                <w:b/>
                <w:bCs/>
              </w:rPr>
            </w:pPr>
            <w:r w:rsidRPr="00D60BD3">
              <w:rPr>
                <w:rFonts w:cstheme="minorHAnsi"/>
                <w:b/>
                <w:bCs/>
                <w:color w:val="000000"/>
              </w:rPr>
              <w:t>OP</w:t>
            </w:r>
          </w:p>
        </w:tc>
        <w:tc>
          <w:tcPr>
            <w:tcW w:w="70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hideMark/>
          </w:tcPr>
          <w:p w14:paraId="27773C7B" w14:textId="77777777" w:rsidR="005E60B7" w:rsidRPr="00D60BD3" w:rsidRDefault="005E60B7" w:rsidP="00911FD3">
            <w:pPr>
              <w:spacing w:after="0" w:line="240" w:lineRule="auto"/>
              <w:contextualSpacing/>
              <w:jc w:val="center"/>
              <w:rPr>
                <w:rFonts w:cstheme="minorHAnsi"/>
                <w:b/>
                <w:bCs/>
              </w:rPr>
            </w:pPr>
            <w:r w:rsidRPr="00D60BD3">
              <w:rPr>
                <w:rFonts w:cstheme="minorHAnsi"/>
                <w:b/>
                <w:bCs/>
                <w:color w:val="000000"/>
              </w:rPr>
              <w:t>ED</w:t>
            </w:r>
          </w:p>
        </w:tc>
        <w:tc>
          <w:tcPr>
            <w:tcW w:w="6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5805EA" w14:textId="77777777" w:rsidR="005E60B7" w:rsidRPr="00D60BD3" w:rsidRDefault="005E60B7" w:rsidP="00911FD3">
            <w:pPr>
              <w:spacing w:after="0" w:line="240" w:lineRule="auto"/>
              <w:contextualSpacing/>
              <w:jc w:val="center"/>
              <w:rPr>
                <w:rFonts w:cstheme="minorHAnsi"/>
                <w:b/>
                <w:bCs/>
                <w:color w:val="000000"/>
              </w:rPr>
            </w:pPr>
            <w:r w:rsidRPr="00D60BD3">
              <w:rPr>
                <w:rFonts w:cstheme="minorHAnsi"/>
                <w:b/>
                <w:bCs/>
                <w:color w:val="000000"/>
              </w:rPr>
              <w:t>PPR</w:t>
            </w:r>
          </w:p>
        </w:tc>
      </w:tr>
      <w:tr w:rsidR="005E60B7" w:rsidRPr="00D60BD3" w14:paraId="2E5679BC" w14:textId="77777777" w:rsidTr="00150529">
        <w:trPr>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547AEF68" w14:textId="77777777" w:rsidR="005E60B7" w:rsidRPr="00D60BD3" w:rsidRDefault="005E60B7" w:rsidP="00911FD3">
            <w:pPr>
              <w:spacing w:after="0" w:line="240" w:lineRule="auto"/>
              <w:ind w:firstLine="150"/>
              <w:contextualSpacing/>
              <w:rPr>
                <w:rFonts w:cstheme="minorHAnsi"/>
              </w:rPr>
            </w:pPr>
            <w:r w:rsidRPr="00D60BD3">
              <w:rPr>
                <w:rFonts w:cstheme="minorHAnsi"/>
              </w:rPr>
              <w:t>Cath Lab</w:t>
            </w:r>
          </w:p>
        </w:tc>
        <w:tc>
          <w:tcPr>
            <w:tcW w:w="4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B3F3AAE"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1.4</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3BAED25"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11.5</w:t>
            </w:r>
          </w:p>
        </w:tc>
        <w:tc>
          <w:tcPr>
            <w:tcW w:w="6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528664F"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0.1</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14:paraId="79E98B36" w14:textId="77777777" w:rsidR="005E60B7" w:rsidRPr="00D60BD3" w:rsidRDefault="005E60B7" w:rsidP="00911FD3">
            <w:pPr>
              <w:spacing w:after="0" w:line="240" w:lineRule="auto"/>
              <w:contextualSpacing/>
              <w:jc w:val="center"/>
              <w:rPr>
                <w:rFonts w:cstheme="minorHAnsi"/>
                <w:color w:val="000000"/>
              </w:rPr>
            </w:pPr>
            <w:r w:rsidRPr="00D60BD3">
              <w:rPr>
                <w:rFonts w:cstheme="minorHAnsi"/>
                <w:color w:val="000000"/>
              </w:rPr>
              <w:t>14.9</w:t>
            </w:r>
          </w:p>
        </w:tc>
        <w:tc>
          <w:tcPr>
            <w:tcW w:w="7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F8E7E65"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1.4</w:t>
            </w:r>
          </w:p>
        </w:tc>
        <w:tc>
          <w:tcPr>
            <w:tcW w:w="7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893B232"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16.9</w:t>
            </w:r>
          </w:p>
        </w:tc>
        <w:tc>
          <w:tcPr>
            <w:tcW w:w="7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5280946"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0.2</w:t>
            </w:r>
          </w:p>
        </w:tc>
        <w:tc>
          <w:tcPr>
            <w:tcW w:w="773" w:type="dxa"/>
            <w:tcBorders>
              <w:top w:val="single" w:sz="4" w:space="0" w:color="auto"/>
              <w:left w:val="single" w:sz="4" w:space="0" w:color="auto"/>
              <w:bottom w:val="single" w:sz="4" w:space="0" w:color="auto"/>
              <w:right w:val="single" w:sz="4" w:space="0" w:color="auto"/>
            </w:tcBorders>
            <w:shd w:val="clear" w:color="auto" w:fill="auto"/>
            <w:hideMark/>
          </w:tcPr>
          <w:p w14:paraId="6BF8857D" w14:textId="77777777" w:rsidR="005E60B7" w:rsidRPr="00D60BD3" w:rsidRDefault="005E60B7" w:rsidP="00911FD3">
            <w:pPr>
              <w:spacing w:after="0" w:line="240" w:lineRule="auto"/>
              <w:contextualSpacing/>
              <w:jc w:val="center"/>
              <w:rPr>
                <w:rFonts w:cstheme="minorHAnsi"/>
                <w:color w:val="000000"/>
              </w:rPr>
            </w:pPr>
            <w:r w:rsidRPr="00D60BD3">
              <w:rPr>
                <w:rFonts w:cstheme="minorHAnsi"/>
                <w:color w:val="000000"/>
              </w:rPr>
              <w:t>23.9</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25FC0E"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1.9</w:t>
            </w:r>
          </w:p>
        </w:tc>
        <w:tc>
          <w:tcPr>
            <w:tcW w:w="7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4437171"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12.5</w:t>
            </w:r>
          </w:p>
        </w:tc>
        <w:tc>
          <w:tcPr>
            <w:tcW w:w="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A63B30C"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0.1</w:t>
            </w:r>
          </w:p>
        </w:tc>
        <w:tc>
          <w:tcPr>
            <w:tcW w:w="659" w:type="dxa"/>
            <w:tcBorders>
              <w:top w:val="single" w:sz="4" w:space="0" w:color="auto"/>
              <w:left w:val="single" w:sz="4" w:space="0" w:color="auto"/>
              <w:bottom w:val="single" w:sz="4" w:space="0" w:color="auto"/>
              <w:right w:val="single" w:sz="4" w:space="0" w:color="auto"/>
            </w:tcBorders>
          </w:tcPr>
          <w:p w14:paraId="6DD8B9A2" w14:textId="77777777" w:rsidR="005E60B7" w:rsidRPr="00D60BD3" w:rsidRDefault="005E60B7" w:rsidP="00911FD3">
            <w:pPr>
              <w:spacing w:after="0" w:line="240" w:lineRule="auto"/>
              <w:contextualSpacing/>
              <w:jc w:val="center"/>
              <w:rPr>
                <w:rFonts w:cstheme="minorHAnsi"/>
                <w:color w:val="000000"/>
              </w:rPr>
            </w:pPr>
            <w:r w:rsidRPr="00D60BD3">
              <w:rPr>
                <w:rFonts w:cstheme="minorHAnsi"/>
                <w:color w:val="000000"/>
              </w:rPr>
              <w:t>31.4</w:t>
            </w:r>
          </w:p>
        </w:tc>
      </w:tr>
      <w:tr w:rsidR="005E60B7" w:rsidRPr="00D60BD3" w14:paraId="24714435" w14:textId="77777777" w:rsidTr="00150529">
        <w:trPr>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4688DAC4" w14:textId="77777777" w:rsidR="005E60B7" w:rsidRPr="00D60BD3" w:rsidRDefault="005E60B7" w:rsidP="00911FD3">
            <w:pPr>
              <w:spacing w:after="0" w:line="240" w:lineRule="auto"/>
              <w:ind w:firstLine="150"/>
              <w:contextualSpacing/>
              <w:rPr>
                <w:rFonts w:cstheme="minorHAnsi"/>
              </w:rPr>
            </w:pPr>
            <w:r w:rsidRPr="00D60BD3">
              <w:rPr>
                <w:rFonts w:cstheme="minorHAnsi"/>
              </w:rPr>
              <w:t>EP Lab</w:t>
            </w:r>
          </w:p>
        </w:tc>
        <w:tc>
          <w:tcPr>
            <w:tcW w:w="4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B3D7742"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1.5</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014E196"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12.6</w:t>
            </w:r>
          </w:p>
        </w:tc>
        <w:tc>
          <w:tcPr>
            <w:tcW w:w="6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C1F23B0"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2.0</w:t>
            </w:r>
          </w:p>
        </w:tc>
        <w:tc>
          <w:tcPr>
            <w:tcW w:w="726" w:type="dxa"/>
            <w:tcBorders>
              <w:top w:val="single" w:sz="4" w:space="0" w:color="auto"/>
              <w:left w:val="single" w:sz="4" w:space="0" w:color="auto"/>
              <w:bottom w:val="single" w:sz="4" w:space="0" w:color="auto"/>
              <w:right w:val="single" w:sz="4" w:space="0" w:color="auto"/>
            </w:tcBorders>
            <w:shd w:val="clear" w:color="auto" w:fill="auto"/>
            <w:hideMark/>
          </w:tcPr>
          <w:p w14:paraId="61A8FBDD" w14:textId="77777777" w:rsidR="005E60B7" w:rsidRPr="00D60BD3" w:rsidRDefault="005E60B7" w:rsidP="00911FD3">
            <w:pPr>
              <w:spacing w:after="0" w:line="240" w:lineRule="auto"/>
              <w:contextualSpacing/>
              <w:jc w:val="center"/>
              <w:rPr>
                <w:rFonts w:cstheme="minorHAnsi"/>
                <w:color w:val="000000"/>
              </w:rPr>
            </w:pPr>
            <w:r w:rsidRPr="00D60BD3">
              <w:rPr>
                <w:rFonts w:cstheme="minorHAnsi"/>
                <w:color w:val="000000"/>
              </w:rPr>
              <w:t>40.7</w:t>
            </w:r>
          </w:p>
        </w:tc>
        <w:tc>
          <w:tcPr>
            <w:tcW w:w="7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AD340D4"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1.6</w:t>
            </w:r>
          </w:p>
        </w:tc>
        <w:tc>
          <w:tcPr>
            <w:tcW w:w="7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56ABBF1"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11.4</w:t>
            </w:r>
          </w:p>
        </w:tc>
        <w:tc>
          <w:tcPr>
            <w:tcW w:w="7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AB8C57E"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0.2</w:t>
            </w:r>
          </w:p>
        </w:tc>
        <w:tc>
          <w:tcPr>
            <w:tcW w:w="773" w:type="dxa"/>
            <w:tcBorders>
              <w:top w:val="single" w:sz="4" w:space="0" w:color="auto"/>
              <w:left w:val="single" w:sz="4" w:space="0" w:color="auto"/>
              <w:bottom w:val="single" w:sz="4" w:space="0" w:color="auto"/>
              <w:right w:val="single" w:sz="4" w:space="0" w:color="auto"/>
            </w:tcBorders>
            <w:shd w:val="clear" w:color="auto" w:fill="auto"/>
            <w:hideMark/>
          </w:tcPr>
          <w:p w14:paraId="4D7D74C6" w14:textId="77777777" w:rsidR="005E60B7" w:rsidRPr="00D60BD3" w:rsidRDefault="005E60B7" w:rsidP="00911FD3">
            <w:pPr>
              <w:spacing w:after="0" w:line="240" w:lineRule="auto"/>
              <w:contextualSpacing/>
              <w:jc w:val="center"/>
              <w:rPr>
                <w:rFonts w:cstheme="minorHAnsi"/>
                <w:color w:val="000000"/>
              </w:rPr>
            </w:pPr>
            <w:r w:rsidRPr="00D60BD3">
              <w:rPr>
                <w:rFonts w:cstheme="minorHAnsi"/>
                <w:color w:val="000000"/>
              </w:rPr>
              <w:t>42.2</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0F5AF63"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1.3</w:t>
            </w:r>
          </w:p>
        </w:tc>
        <w:tc>
          <w:tcPr>
            <w:tcW w:w="7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C56528A"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9.3</w:t>
            </w:r>
          </w:p>
        </w:tc>
        <w:tc>
          <w:tcPr>
            <w:tcW w:w="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6A94F5A" w14:textId="77777777" w:rsidR="005E60B7" w:rsidRPr="00D60BD3" w:rsidRDefault="005E60B7" w:rsidP="00911FD3">
            <w:pPr>
              <w:spacing w:after="0" w:line="240" w:lineRule="auto"/>
              <w:contextualSpacing/>
              <w:jc w:val="center"/>
              <w:rPr>
                <w:rFonts w:cstheme="minorHAnsi"/>
              </w:rPr>
            </w:pPr>
            <w:r w:rsidRPr="00D60BD3">
              <w:rPr>
                <w:rFonts w:cstheme="minorHAnsi"/>
                <w:color w:val="000000"/>
              </w:rPr>
              <w:t>0.2</w:t>
            </w:r>
          </w:p>
        </w:tc>
        <w:tc>
          <w:tcPr>
            <w:tcW w:w="659" w:type="dxa"/>
            <w:tcBorders>
              <w:top w:val="single" w:sz="4" w:space="0" w:color="auto"/>
              <w:left w:val="single" w:sz="4" w:space="0" w:color="auto"/>
              <w:bottom w:val="single" w:sz="4" w:space="0" w:color="auto"/>
              <w:right w:val="single" w:sz="4" w:space="0" w:color="auto"/>
            </w:tcBorders>
          </w:tcPr>
          <w:p w14:paraId="4855F3A8" w14:textId="77777777" w:rsidR="005E60B7" w:rsidRPr="00D60BD3" w:rsidRDefault="005E60B7" w:rsidP="00911FD3">
            <w:pPr>
              <w:spacing w:after="0" w:line="240" w:lineRule="auto"/>
              <w:contextualSpacing/>
              <w:jc w:val="center"/>
              <w:rPr>
                <w:rFonts w:cstheme="minorHAnsi"/>
                <w:color w:val="000000"/>
              </w:rPr>
            </w:pPr>
            <w:r w:rsidRPr="00D60BD3">
              <w:rPr>
                <w:rFonts w:cstheme="minorHAnsi"/>
                <w:color w:val="000000"/>
              </w:rPr>
              <w:t>58.2</w:t>
            </w:r>
          </w:p>
        </w:tc>
      </w:tr>
    </w:tbl>
    <w:p w14:paraId="593341D3" w14:textId="6E5BCF93" w:rsidR="00FE4821" w:rsidRDefault="00FE4821" w:rsidP="005E60B7">
      <w:pPr>
        <w:rPr>
          <w:rFonts w:cstheme="minorHAnsi"/>
        </w:rPr>
      </w:pPr>
    </w:p>
    <w:p w14:paraId="653349F5" w14:textId="58311DBA" w:rsidR="00221EE5" w:rsidRDefault="00500D82" w:rsidP="00C47756">
      <w:pPr>
        <w:ind w:left="720"/>
        <w:rPr>
          <w:rFonts w:cstheme="minorHAnsi"/>
        </w:rPr>
      </w:pPr>
      <w:r>
        <w:rPr>
          <w:rFonts w:cstheme="minorHAnsi"/>
        </w:rPr>
        <w:t>Response: The time periods for the above chart</w:t>
      </w:r>
      <w:r w:rsidR="00150529">
        <w:rPr>
          <w:rFonts w:cstheme="minorHAnsi"/>
        </w:rPr>
        <w:t xml:space="preserve"> have been added and</w:t>
      </w:r>
      <w:r>
        <w:rPr>
          <w:rFonts w:cstheme="minorHAnsi"/>
        </w:rPr>
        <w:t xml:space="preserve"> align with </w:t>
      </w:r>
      <w:r w:rsidR="00150529">
        <w:rPr>
          <w:rFonts w:cstheme="minorHAnsi"/>
        </w:rPr>
        <w:t xml:space="preserve">the first Table 8 chart that is on page 13 of the responses. </w:t>
      </w:r>
    </w:p>
    <w:p w14:paraId="7BFB0D79" w14:textId="794E9419" w:rsidR="00BA55F4" w:rsidRPr="00781BF8" w:rsidRDefault="006577BB" w:rsidP="0047539A">
      <w:pPr>
        <w:pStyle w:val="ListParagraph"/>
        <w:numPr>
          <w:ilvl w:val="0"/>
          <w:numId w:val="1"/>
        </w:numPr>
        <w:rPr>
          <w:rFonts w:cstheme="minorHAnsi"/>
          <w:b/>
          <w:bCs/>
        </w:rPr>
      </w:pPr>
      <w:r w:rsidRPr="00781BF8">
        <w:rPr>
          <w:rFonts w:cstheme="minorHAnsi"/>
          <w:b/>
          <w:bCs/>
        </w:rPr>
        <w:t>The responses to DoN questions states that MGH’s large CAR-T and Blood and Marrow Transplantation Program will heavily utilize this setting (infusion bays) as treatments require less inpatient times and move towards earlier discharge (Responses, pg. 13). However, the Application states that additional inpatient capacity is needed because CAR T-cell therapy can only be administered in the hospital, as side effects can be severe</w:t>
      </w:r>
      <w:r w:rsidR="00DD2442" w:rsidRPr="00781BF8">
        <w:rPr>
          <w:rFonts w:cstheme="minorHAnsi"/>
          <w:b/>
          <w:bCs/>
        </w:rPr>
        <w:t xml:space="preserve">. Depending on the individual’s reaction to this immunotherapy, the length of stay can range from one week to one month, which can have significant effects on MGH’s inpatient bed capacity. </w:t>
      </w:r>
      <w:r w:rsidRPr="00781BF8">
        <w:rPr>
          <w:rFonts w:cstheme="minorHAnsi"/>
          <w:b/>
          <w:bCs/>
        </w:rPr>
        <w:t>(DoN Application, pg. 21).</w:t>
      </w:r>
      <w:r w:rsidR="004A55A9" w:rsidRPr="00781BF8">
        <w:rPr>
          <w:rFonts w:cstheme="minorHAnsi"/>
          <w:b/>
          <w:bCs/>
        </w:rPr>
        <w:t xml:space="preserve"> Briefly explain </w:t>
      </w:r>
      <w:r w:rsidR="00870916" w:rsidRPr="00781BF8">
        <w:rPr>
          <w:rFonts w:cstheme="minorHAnsi"/>
          <w:b/>
          <w:bCs/>
        </w:rPr>
        <w:t xml:space="preserve">how </w:t>
      </w:r>
      <w:r w:rsidR="004A55A9" w:rsidRPr="00781BF8">
        <w:rPr>
          <w:rFonts w:cstheme="minorHAnsi"/>
          <w:b/>
          <w:bCs/>
        </w:rPr>
        <w:t xml:space="preserve">infusion bays will address </w:t>
      </w:r>
      <w:r w:rsidR="00870916" w:rsidRPr="00781BF8">
        <w:rPr>
          <w:rFonts w:cstheme="minorHAnsi"/>
          <w:b/>
          <w:bCs/>
        </w:rPr>
        <w:t xml:space="preserve">the </w:t>
      </w:r>
      <w:r w:rsidR="004A55A9" w:rsidRPr="00781BF8">
        <w:rPr>
          <w:rFonts w:cstheme="minorHAnsi"/>
          <w:b/>
          <w:bCs/>
        </w:rPr>
        <w:t xml:space="preserve">care needs of CAR-T cell patients. </w:t>
      </w:r>
    </w:p>
    <w:p w14:paraId="5694811C" w14:textId="7E38CD7D" w:rsidR="0047539A" w:rsidRDefault="0047539A" w:rsidP="0047539A">
      <w:pPr>
        <w:pStyle w:val="ListParagraph"/>
        <w:rPr>
          <w:rFonts w:cstheme="minorHAnsi"/>
        </w:rPr>
      </w:pPr>
    </w:p>
    <w:p w14:paraId="491C362F" w14:textId="5315D06A" w:rsidR="00791279" w:rsidRDefault="00C47756" w:rsidP="00651CD4">
      <w:pPr>
        <w:pStyle w:val="ListParagraph"/>
        <w:rPr>
          <w:rFonts w:cstheme="minorHAnsi"/>
          <w:b/>
          <w:bCs/>
        </w:rPr>
      </w:pPr>
      <w:r>
        <w:rPr>
          <w:rFonts w:cstheme="minorHAnsi"/>
        </w:rPr>
        <w:t xml:space="preserve">Response: As the Response on pg. 13 indicates, MGH’s CAR-T and Blood and Marrow Transplantation Program will heavily utilize inpatient capacity. The responses indicate that the program will utilize the </w:t>
      </w:r>
      <w:r>
        <w:rPr>
          <w:rFonts w:cstheme="minorHAnsi"/>
          <w:i/>
        </w:rPr>
        <w:t xml:space="preserve">urgent care </w:t>
      </w:r>
      <w:r w:rsidRPr="00232912">
        <w:rPr>
          <w:rFonts w:cstheme="minorHAnsi"/>
          <w:iCs/>
        </w:rPr>
        <w:t>bays</w:t>
      </w:r>
      <w:r>
        <w:rPr>
          <w:rFonts w:cstheme="minorHAnsi"/>
          <w:iCs/>
        </w:rPr>
        <w:t xml:space="preserve">, not infusion bays.  </w:t>
      </w:r>
      <w:r>
        <w:rPr>
          <w:rFonts w:cstheme="minorHAnsi"/>
        </w:rPr>
        <w:t>Currently, CAR-T is used for a limited number of cancer diagnoses and due to the nature of the treatment, patients require long inpatient stays. With time, it is expected that patients with diagnoses for which CAR-T is currently appropriate will be discharged sooner and can be cared for in the outpatient setting as needed following discharge.  With earlier discharge, these patients will require access to urgent care services for symptom management such as providing IV hydration.  It is important to note that as CAR-T is expanded to treat additional cancers, these new CAR-T patients will require longer lengths of stay. As a result, adequate capacity for both inpatient beds and urgent care will be needed as treatments progress and new treatments are developed.</w:t>
      </w:r>
      <w:r w:rsidR="00651CD4">
        <w:rPr>
          <w:rFonts w:cstheme="minorHAnsi"/>
          <w:b/>
          <w:bCs/>
        </w:rPr>
        <w:t xml:space="preserve"> </w:t>
      </w:r>
    </w:p>
    <w:p w14:paraId="7526DF5D" w14:textId="27678313" w:rsidR="00FE4821" w:rsidRPr="00781BF8" w:rsidRDefault="00FE4821" w:rsidP="005E60B7">
      <w:pPr>
        <w:rPr>
          <w:rFonts w:cstheme="minorHAnsi"/>
          <w:b/>
          <w:bCs/>
        </w:rPr>
      </w:pPr>
      <w:r w:rsidRPr="00781BF8">
        <w:rPr>
          <w:rFonts w:cstheme="minorHAnsi"/>
          <w:b/>
          <w:bCs/>
        </w:rPr>
        <w:t>Imaging</w:t>
      </w:r>
    </w:p>
    <w:p w14:paraId="3411ABDF" w14:textId="7C6A72B1" w:rsidR="005E60B7" w:rsidRDefault="00932518" w:rsidP="0024480F">
      <w:pPr>
        <w:pStyle w:val="ListParagraph"/>
        <w:numPr>
          <w:ilvl w:val="0"/>
          <w:numId w:val="1"/>
        </w:numPr>
        <w:rPr>
          <w:rFonts w:cstheme="minorHAnsi"/>
          <w:b/>
          <w:bCs/>
        </w:rPr>
      </w:pPr>
      <w:r w:rsidRPr="00781BF8">
        <w:rPr>
          <w:rFonts w:cstheme="minorHAnsi"/>
          <w:b/>
          <w:bCs/>
        </w:rPr>
        <w:t xml:space="preserve">The total exam volume </w:t>
      </w:r>
      <w:r w:rsidR="004F7ACA" w:rsidRPr="00781BF8">
        <w:rPr>
          <w:rFonts w:cstheme="minorHAnsi"/>
          <w:b/>
          <w:bCs/>
        </w:rPr>
        <w:t xml:space="preserve">in the table below </w:t>
      </w:r>
      <w:r w:rsidRPr="00781BF8">
        <w:rPr>
          <w:rFonts w:cstheme="minorHAnsi"/>
          <w:b/>
          <w:bCs/>
        </w:rPr>
        <w:t xml:space="preserve">is not equal to the rows directly above it. What does the </w:t>
      </w:r>
      <w:r w:rsidR="000E5788" w:rsidRPr="00781BF8">
        <w:rPr>
          <w:rFonts w:cstheme="minorHAnsi"/>
          <w:b/>
          <w:bCs/>
        </w:rPr>
        <w:t xml:space="preserve">row </w:t>
      </w:r>
      <w:r w:rsidRPr="00781BF8">
        <w:rPr>
          <w:rFonts w:cstheme="minorHAnsi"/>
          <w:b/>
          <w:bCs/>
        </w:rPr>
        <w:t>Total Exam volume include (</w:t>
      </w:r>
      <w:r w:rsidR="00714F72" w:rsidRPr="00781BF8">
        <w:rPr>
          <w:rFonts w:cstheme="minorHAnsi"/>
          <w:b/>
          <w:bCs/>
        </w:rPr>
        <w:t>Responses</w:t>
      </w:r>
      <w:r w:rsidRPr="00781BF8">
        <w:rPr>
          <w:rFonts w:cstheme="minorHAnsi"/>
          <w:b/>
          <w:bCs/>
        </w:rPr>
        <w:t xml:space="preserve"> pg.</w:t>
      </w:r>
      <w:r w:rsidR="005E60B7" w:rsidRPr="00781BF8">
        <w:rPr>
          <w:rFonts w:cstheme="minorHAnsi"/>
          <w:b/>
          <w:bCs/>
        </w:rPr>
        <w:t xml:space="preserve"> </w:t>
      </w:r>
      <w:r w:rsidR="009E568E" w:rsidRPr="00781BF8">
        <w:rPr>
          <w:rFonts w:cstheme="minorHAnsi"/>
          <w:b/>
          <w:bCs/>
        </w:rPr>
        <w:t>19)?</w:t>
      </w:r>
    </w:p>
    <w:p w14:paraId="6C73C397" w14:textId="77777777" w:rsidR="00791279" w:rsidRDefault="00791279" w:rsidP="00E5193D">
      <w:pPr>
        <w:pStyle w:val="ListParagraph"/>
        <w:jc w:val="center"/>
        <w:rPr>
          <w:rFonts w:cstheme="minorHAnsi"/>
          <w:b/>
          <w:bCs/>
        </w:rPr>
      </w:pPr>
    </w:p>
    <w:p w14:paraId="55606FBF" w14:textId="5A579173" w:rsidR="00E5193D" w:rsidRPr="00150529" w:rsidRDefault="00E5193D" w:rsidP="00E5193D">
      <w:pPr>
        <w:pStyle w:val="ListParagraph"/>
        <w:jc w:val="center"/>
        <w:rPr>
          <w:rFonts w:cstheme="minorHAnsi"/>
          <w:b/>
          <w:bCs/>
        </w:rPr>
      </w:pPr>
      <w:r w:rsidRPr="00150529">
        <w:rPr>
          <w:rFonts w:cstheme="minorHAnsi"/>
          <w:b/>
          <w:bCs/>
        </w:rPr>
        <w:t>Historical CT scan volume and unique patients broken out by cardiac, oncology, and med/surg.</w:t>
      </w:r>
    </w:p>
    <w:tbl>
      <w:tblPr>
        <w:tblW w:w="5780" w:type="dxa"/>
        <w:tblInd w:w="1955" w:type="dxa"/>
        <w:tblLook w:val="04A0" w:firstRow="1" w:lastRow="0" w:firstColumn="1" w:lastColumn="0" w:noHBand="0" w:noVBand="1"/>
      </w:tblPr>
      <w:tblGrid>
        <w:gridCol w:w="2900"/>
        <w:gridCol w:w="960"/>
        <w:gridCol w:w="960"/>
        <w:gridCol w:w="960"/>
      </w:tblGrid>
      <w:tr w:rsidR="005E60B7" w:rsidRPr="00A30620" w14:paraId="171DB660" w14:textId="77777777" w:rsidTr="00477793">
        <w:trPr>
          <w:trHeight w:val="330"/>
        </w:trPr>
        <w:tc>
          <w:tcPr>
            <w:tcW w:w="2900" w:type="dxa"/>
            <w:tcBorders>
              <w:top w:val="single" w:sz="8" w:space="0" w:color="000000"/>
              <w:left w:val="single" w:sz="8" w:space="0" w:color="000000"/>
              <w:bottom w:val="single" w:sz="8" w:space="0" w:color="auto"/>
              <w:right w:val="single" w:sz="4" w:space="0" w:color="auto"/>
            </w:tcBorders>
            <w:shd w:val="clear" w:color="auto" w:fill="E7E6E6" w:themeFill="background2"/>
            <w:noWrap/>
            <w:vAlign w:val="bottom"/>
            <w:hideMark/>
          </w:tcPr>
          <w:p w14:paraId="0F70ABE6" w14:textId="77777777" w:rsidR="005E60B7" w:rsidRPr="00A30620" w:rsidRDefault="005E60B7" w:rsidP="00911FD3">
            <w:pPr>
              <w:spacing w:after="0" w:line="240" w:lineRule="auto"/>
              <w:rPr>
                <w:rFonts w:eastAsia="Times New Roman" w:cstheme="minorHAnsi"/>
                <w:sz w:val="20"/>
                <w:szCs w:val="20"/>
              </w:rPr>
            </w:pPr>
          </w:p>
          <w:p w14:paraId="707F4874" w14:textId="77777777" w:rsidR="005E60B7" w:rsidRPr="00A30620" w:rsidRDefault="005E60B7" w:rsidP="00911FD3">
            <w:pPr>
              <w:spacing w:after="0" w:line="240" w:lineRule="auto"/>
              <w:rPr>
                <w:rFonts w:eastAsia="Times New Roman" w:cstheme="minorHAnsi"/>
                <w:b/>
                <w:bCs/>
                <w:sz w:val="20"/>
                <w:szCs w:val="20"/>
              </w:rPr>
            </w:pPr>
            <w:r w:rsidRPr="00A30620">
              <w:rPr>
                <w:rFonts w:eastAsia="Times New Roman" w:cstheme="minorHAnsi"/>
                <w:b/>
                <w:bCs/>
                <w:sz w:val="20"/>
                <w:szCs w:val="20"/>
              </w:rPr>
              <w:t>Specialty  Volume</w:t>
            </w:r>
          </w:p>
        </w:tc>
        <w:tc>
          <w:tcPr>
            <w:tcW w:w="960" w:type="dxa"/>
            <w:tcBorders>
              <w:top w:val="single" w:sz="8" w:space="0" w:color="000000"/>
              <w:left w:val="single" w:sz="8" w:space="0" w:color="auto"/>
              <w:bottom w:val="single" w:sz="8" w:space="0" w:color="auto"/>
              <w:right w:val="single" w:sz="4" w:space="0" w:color="auto"/>
            </w:tcBorders>
            <w:shd w:val="clear" w:color="auto" w:fill="E7E6E6" w:themeFill="background2"/>
            <w:noWrap/>
            <w:vAlign w:val="bottom"/>
            <w:hideMark/>
          </w:tcPr>
          <w:p w14:paraId="5E0B894B" w14:textId="77777777" w:rsidR="005E60B7" w:rsidRPr="00A30620" w:rsidRDefault="005E60B7" w:rsidP="00911FD3">
            <w:pPr>
              <w:spacing w:after="0" w:line="240" w:lineRule="auto"/>
              <w:rPr>
                <w:rFonts w:eastAsia="Times New Roman" w:cstheme="minorHAnsi"/>
                <w:b/>
                <w:bCs/>
                <w:sz w:val="20"/>
                <w:szCs w:val="20"/>
              </w:rPr>
            </w:pPr>
            <w:r w:rsidRPr="00A30620">
              <w:rPr>
                <w:rFonts w:eastAsia="Times New Roman" w:cstheme="minorHAnsi"/>
                <w:b/>
                <w:bCs/>
                <w:sz w:val="20"/>
                <w:szCs w:val="20"/>
              </w:rPr>
              <w:t>FY18</w:t>
            </w:r>
          </w:p>
        </w:tc>
        <w:tc>
          <w:tcPr>
            <w:tcW w:w="960" w:type="dxa"/>
            <w:tcBorders>
              <w:top w:val="single" w:sz="8" w:space="0" w:color="000000"/>
              <w:left w:val="single" w:sz="8" w:space="0" w:color="auto"/>
              <w:bottom w:val="single" w:sz="8" w:space="0" w:color="auto"/>
              <w:right w:val="single" w:sz="4" w:space="0" w:color="auto"/>
            </w:tcBorders>
            <w:shd w:val="clear" w:color="auto" w:fill="E7E6E6" w:themeFill="background2"/>
            <w:noWrap/>
            <w:vAlign w:val="bottom"/>
            <w:hideMark/>
          </w:tcPr>
          <w:p w14:paraId="7B9EE586" w14:textId="77777777" w:rsidR="005E60B7" w:rsidRPr="00A30620" w:rsidRDefault="005E60B7" w:rsidP="00911FD3">
            <w:pPr>
              <w:spacing w:after="0" w:line="240" w:lineRule="auto"/>
              <w:rPr>
                <w:rFonts w:eastAsia="Times New Roman" w:cstheme="minorHAnsi"/>
                <w:b/>
                <w:bCs/>
                <w:sz w:val="20"/>
                <w:szCs w:val="20"/>
              </w:rPr>
            </w:pPr>
            <w:r w:rsidRPr="00A30620">
              <w:rPr>
                <w:rFonts w:eastAsia="Times New Roman" w:cstheme="minorHAnsi"/>
                <w:b/>
                <w:bCs/>
                <w:sz w:val="20"/>
                <w:szCs w:val="20"/>
              </w:rPr>
              <w:t>FY19</w:t>
            </w:r>
          </w:p>
        </w:tc>
        <w:tc>
          <w:tcPr>
            <w:tcW w:w="960" w:type="dxa"/>
            <w:tcBorders>
              <w:top w:val="single" w:sz="8" w:space="0" w:color="000000"/>
              <w:left w:val="single" w:sz="8" w:space="0" w:color="auto"/>
              <w:bottom w:val="single" w:sz="8" w:space="0" w:color="auto"/>
              <w:right w:val="single" w:sz="4" w:space="0" w:color="auto"/>
            </w:tcBorders>
            <w:shd w:val="clear" w:color="auto" w:fill="E7E6E6" w:themeFill="background2"/>
            <w:noWrap/>
            <w:vAlign w:val="bottom"/>
            <w:hideMark/>
          </w:tcPr>
          <w:p w14:paraId="19D8395F" w14:textId="77777777" w:rsidR="005E60B7" w:rsidRPr="00A30620" w:rsidRDefault="005E60B7" w:rsidP="00911FD3">
            <w:pPr>
              <w:spacing w:after="0" w:line="240" w:lineRule="auto"/>
              <w:rPr>
                <w:rFonts w:eastAsia="Times New Roman" w:cstheme="minorHAnsi"/>
                <w:b/>
                <w:bCs/>
                <w:sz w:val="20"/>
                <w:szCs w:val="20"/>
              </w:rPr>
            </w:pPr>
            <w:r w:rsidRPr="00A30620">
              <w:rPr>
                <w:rFonts w:eastAsia="Times New Roman" w:cstheme="minorHAnsi"/>
                <w:b/>
                <w:bCs/>
                <w:sz w:val="20"/>
                <w:szCs w:val="20"/>
              </w:rPr>
              <w:t>FY20</w:t>
            </w:r>
          </w:p>
        </w:tc>
      </w:tr>
      <w:tr w:rsidR="005E60B7" w:rsidRPr="00A30620" w14:paraId="069A2186" w14:textId="77777777" w:rsidTr="00911FD3">
        <w:trPr>
          <w:trHeight w:val="315"/>
        </w:trPr>
        <w:tc>
          <w:tcPr>
            <w:tcW w:w="2900" w:type="dxa"/>
            <w:tcBorders>
              <w:top w:val="single" w:sz="8" w:space="0" w:color="auto"/>
              <w:left w:val="single" w:sz="8" w:space="0" w:color="000000"/>
              <w:bottom w:val="single" w:sz="4" w:space="0" w:color="auto"/>
              <w:right w:val="single" w:sz="4" w:space="0" w:color="auto"/>
            </w:tcBorders>
            <w:shd w:val="clear" w:color="auto" w:fill="auto"/>
            <w:noWrap/>
            <w:vAlign w:val="bottom"/>
            <w:hideMark/>
          </w:tcPr>
          <w:p w14:paraId="69EA3193" w14:textId="77777777" w:rsidR="005E60B7" w:rsidRPr="00A30620" w:rsidRDefault="005E60B7" w:rsidP="00911FD3">
            <w:pPr>
              <w:spacing w:after="0" w:line="240" w:lineRule="auto"/>
              <w:rPr>
                <w:rFonts w:eastAsia="Times New Roman" w:cstheme="minorHAnsi"/>
                <w:color w:val="000000"/>
                <w:sz w:val="20"/>
                <w:szCs w:val="20"/>
              </w:rPr>
            </w:pPr>
            <w:r w:rsidRPr="00A30620">
              <w:rPr>
                <w:rFonts w:eastAsia="Times New Roman" w:cstheme="minorHAnsi"/>
                <w:color w:val="000000"/>
                <w:sz w:val="20"/>
                <w:szCs w:val="20"/>
              </w:rPr>
              <w:t>ONCOLOGY</w:t>
            </w:r>
          </w:p>
        </w:tc>
        <w:tc>
          <w:tcPr>
            <w:tcW w:w="960" w:type="dxa"/>
            <w:tcBorders>
              <w:top w:val="single" w:sz="8" w:space="0" w:color="auto"/>
              <w:left w:val="nil"/>
              <w:bottom w:val="single" w:sz="4" w:space="0" w:color="auto"/>
              <w:right w:val="single" w:sz="4" w:space="0" w:color="auto"/>
            </w:tcBorders>
            <w:shd w:val="clear" w:color="auto" w:fill="auto"/>
            <w:noWrap/>
            <w:vAlign w:val="bottom"/>
          </w:tcPr>
          <w:p w14:paraId="587CD727"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29,395</w:t>
            </w:r>
          </w:p>
        </w:tc>
        <w:tc>
          <w:tcPr>
            <w:tcW w:w="960" w:type="dxa"/>
            <w:tcBorders>
              <w:top w:val="single" w:sz="8" w:space="0" w:color="auto"/>
              <w:left w:val="nil"/>
              <w:bottom w:val="single" w:sz="4" w:space="0" w:color="auto"/>
              <w:right w:val="single" w:sz="4" w:space="0" w:color="auto"/>
            </w:tcBorders>
            <w:shd w:val="clear" w:color="auto" w:fill="auto"/>
            <w:noWrap/>
            <w:vAlign w:val="bottom"/>
          </w:tcPr>
          <w:p w14:paraId="4856CB95"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33,021</w:t>
            </w:r>
          </w:p>
        </w:tc>
        <w:tc>
          <w:tcPr>
            <w:tcW w:w="960" w:type="dxa"/>
            <w:tcBorders>
              <w:top w:val="single" w:sz="8" w:space="0" w:color="auto"/>
              <w:left w:val="nil"/>
              <w:bottom w:val="single" w:sz="4" w:space="0" w:color="auto"/>
              <w:right w:val="single" w:sz="4" w:space="0" w:color="auto"/>
            </w:tcBorders>
            <w:shd w:val="clear" w:color="auto" w:fill="auto"/>
            <w:noWrap/>
            <w:vAlign w:val="bottom"/>
          </w:tcPr>
          <w:p w14:paraId="44CCF9DB"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31,140</w:t>
            </w:r>
          </w:p>
        </w:tc>
      </w:tr>
      <w:tr w:rsidR="005E60B7" w:rsidRPr="00A30620" w14:paraId="532BA6E7" w14:textId="77777777" w:rsidTr="00911FD3">
        <w:trPr>
          <w:trHeight w:val="315"/>
        </w:trPr>
        <w:tc>
          <w:tcPr>
            <w:tcW w:w="2900" w:type="dxa"/>
            <w:tcBorders>
              <w:top w:val="nil"/>
              <w:left w:val="single" w:sz="8" w:space="0" w:color="000000"/>
              <w:bottom w:val="single" w:sz="4" w:space="0" w:color="auto"/>
              <w:right w:val="single" w:sz="4" w:space="0" w:color="auto"/>
            </w:tcBorders>
            <w:shd w:val="clear" w:color="auto" w:fill="auto"/>
            <w:noWrap/>
            <w:vAlign w:val="bottom"/>
            <w:hideMark/>
          </w:tcPr>
          <w:p w14:paraId="6204D8C9" w14:textId="77777777" w:rsidR="005E60B7" w:rsidRPr="00A30620" w:rsidRDefault="005E60B7" w:rsidP="00911FD3">
            <w:pPr>
              <w:spacing w:after="0" w:line="240" w:lineRule="auto"/>
              <w:rPr>
                <w:rFonts w:eastAsia="Times New Roman" w:cstheme="minorHAnsi"/>
                <w:color w:val="000000"/>
                <w:sz w:val="20"/>
                <w:szCs w:val="20"/>
              </w:rPr>
            </w:pPr>
            <w:r w:rsidRPr="00A30620">
              <w:rPr>
                <w:rFonts w:eastAsia="Times New Roman" w:cstheme="minorHAnsi"/>
                <w:color w:val="000000"/>
                <w:sz w:val="20"/>
                <w:szCs w:val="20"/>
              </w:rPr>
              <w:lastRenderedPageBreak/>
              <w:t>CARDIAC</w:t>
            </w:r>
          </w:p>
        </w:tc>
        <w:tc>
          <w:tcPr>
            <w:tcW w:w="960" w:type="dxa"/>
            <w:tcBorders>
              <w:top w:val="nil"/>
              <w:left w:val="nil"/>
              <w:bottom w:val="single" w:sz="4" w:space="0" w:color="auto"/>
              <w:right w:val="single" w:sz="4" w:space="0" w:color="auto"/>
            </w:tcBorders>
            <w:shd w:val="clear" w:color="auto" w:fill="auto"/>
            <w:noWrap/>
            <w:vAlign w:val="bottom"/>
          </w:tcPr>
          <w:p w14:paraId="6EFD7F51"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3,734</w:t>
            </w:r>
          </w:p>
        </w:tc>
        <w:tc>
          <w:tcPr>
            <w:tcW w:w="960" w:type="dxa"/>
            <w:tcBorders>
              <w:top w:val="nil"/>
              <w:left w:val="nil"/>
              <w:bottom w:val="single" w:sz="4" w:space="0" w:color="auto"/>
              <w:right w:val="single" w:sz="4" w:space="0" w:color="auto"/>
            </w:tcBorders>
            <w:shd w:val="clear" w:color="auto" w:fill="auto"/>
            <w:noWrap/>
            <w:vAlign w:val="bottom"/>
          </w:tcPr>
          <w:p w14:paraId="0E0A40A3"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4,032</w:t>
            </w:r>
          </w:p>
        </w:tc>
        <w:tc>
          <w:tcPr>
            <w:tcW w:w="960" w:type="dxa"/>
            <w:tcBorders>
              <w:top w:val="nil"/>
              <w:left w:val="nil"/>
              <w:bottom w:val="single" w:sz="4" w:space="0" w:color="auto"/>
              <w:right w:val="single" w:sz="4" w:space="0" w:color="auto"/>
            </w:tcBorders>
            <w:shd w:val="clear" w:color="auto" w:fill="auto"/>
            <w:noWrap/>
            <w:vAlign w:val="bottom"/>
          </w:tcPr>
          <w:p w14:paraId="3A5E6A95"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3,619</w:t>
            </w:r>
          </w:p>
        </w:tc>
      </w:tr>
      <w:tr w:rsidR="005E60B7" w:rsidRPr="00A30620" w14:paraId="4C425DEB" w14:textId="77777777" w:rsidTr="00911FD3">
        <w:trPr>
          <w:trHeight w:val="315"/>
        </w:trPr>
        <w:tc>
          <w:tcPr>
            <w:tcW w:w="2900" w:type="dxa"/>
            <w:tcBorders>
              <w:top w:val="nil"/>
              <w:left w:val="single" w:sz="8" w:space="0" w:color="000000"/>
              <w:bottom w:val="single" w:sz="4" w:space="0" w:color="auto"/>
              <w:right w:val="single" w:sz="4" w:space="0" w:color="auto"/>
            </w:tcBorders>
            <w:shd w:val="clear" w:color="auto" w:fill="auto"/>
            <w:noWrap/>
            <w:vAlign w:val="bottom"/>
          </w:tcPr>
          <w:p w14:paraId="4CAEBE6A" w14:textId="77777777" w:rsidR="005E60B7" w:rsidRPr="00A30620" w:rsidRDefault="005E60B7" w:rsidP="00911FD3">
            <w:pPr>
              <w:spacing w:after="0" w:line="240" w:lineRule="auto"/>
              <w:rPr>
                <w:rFonts w:eastAsia="Times New Roman" w:cstheme="minorHAnsi"/>
                <w:color w:val="000000"/>
                <w:sz w:val="20"/>
                <w:szCs w:val="20"/>
              </w:rPr>
            </w:pPr>
            <w:r w:rsidRPr="00A30620">
              <w:rPr>
                <w:rFonts w:eastAsia="Times New Roman" w:cstheme="minorHAnsi"/>
                <w:color w:val="000000"/>
                <w:sz w:val="20"/>
                <w:szCs w:val="20"/>
              </w:rPr>
              <w:t xml:space="preserve">INTERNAL MEDICINE </w:t>
            </w:r>
          </w:p>
        </w:tc>
        <w:tc>
          <w:tcPr>
            <w:tcW w:w="960" w:type="dxa"/>
            <w:tcBorders>
              <w:top w:val="nil"/>
              <w:left w:val="nil"/>
              <w:bottom w:val="single" w:sz="4" w:space="0" w:color="auto"/>
              <w:right w:val="single" w:sz="4" w:space="0" w:color="auto"/>
            </w:tcBorders>
            <w:shd w:val="clear" w:color="auto" w:fill="auto"/>
            <w:noWrap/>
            <w:vAlign w:val="bottom"/>
          </w:tcPr>
          <w:p w14:paraId="66CBC1D2"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14,268</w:t>
            </w:r>
          </w:p>
        </w:tc>
        <w:tc>
          <w:tcPr>
            <w:tcW w:w="960" w:type="dxa"/>
            <w:tcBorders>
              <w:top w:val="nil"/>
              <w:left w:val="nil"/>
              <w:bottom w:val="single" w:sz="4" w:space="0" w:color="auto"/>
              <w:right w:val="single" w:sz="4" w:space="0" w:color="auto"/>
            </w:tcBorders>
            <w:shd w:val="clear" w:color="auto" w:fill="auto"/>
            <w:noWrap/>
            <w:vAlign w:val="bottom"/>
          </w:tcPr>
          <w:p w14:paraId="31D782E9"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16,067</w:t>
            </w:r>
          </w:p>
        </w:tc>
        <w:tc>
          <w:tcPr>
            <w:tcW w:w="960" w:type="dxa"/>
            <w:tcBorders>
              <w:top w:val="nil"/>
              <w:left w:val="nil"/>
              <w:bottom w:val="single" w:sz="4" w:space="0" w:color="auto"/>
              <w:right w:val="single" w:sz="4" w:space="0" w:color="auto"/>
            </w:tcBorders>
            <w:shd w:val="clear" w:color="auto" w:fill="auto"/>
            <w:noWrap/>
            <w:vAlign w:val="bottom"/>
          </w:tcPr>
          <w:p w14:paraId="33C5F485"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13,918</w:t>
            </w:r>
          </w:p>
        </w:tc>
      </w:tr>
      <w:tr w:rsidR="005E60B7" w:rsidRPr="00A30620" w14:paraId="2D91CDD0" w14:textId="77777777" w:rsidTr="00911FD3">
        <w:trPr>
          <w:trHeight w:val="315"/>
        </w:trPr>
        <w:tc>
          <w:tcPr>
            <w:tcW w:w="2900" w:type="dxa"/>
            <w:tcBorders>
              <w:top w:val="nil"/>
              <w:left w:val="single" w:sz="8" w:space="0" w:color="000000"/>
              <w:bottom w:val="single" w:sz="4" w:space="0" w:color="auto"/>
              <w:right w:val="single" w:sz="4" w:space="0" w:color="auto"/>
            </w:tcBorders>
            <w:shd w:val="clear" w:color="auto" w:fill="auto"/>
            <w:noWrap/>
            <w:vAlign w:val="bottom"/>
          </w:tcPr>
          <w:p w14:paraId="2919E4C7" w14:textId="77777777" w:rsidR="005E60B7" w:rsidRPr="00A30620" w:rsidRDefault="005E60B7" w:rsidP="00911FD3">
            <w:pPr>
              <w:spacing w:after="0" w:line="240" w:lineRule="auto"/>
              <w:rPr>
                <w:rFonts w:eastAsia="Times New Roman" w:cstheme="minorHAnsi"/>
                <w:color w:val="000000"/>
                <w:sz w:val="20"/>
                <w:szCs w:val="20"/>
              </w:rPr>
            </w:pPr>
            <w:r w:rsidRPr="00A30620">
              <w:rPr>
                <w:rFonts w:eastAsia="Times New Roman" w:cstheme="minorHAnsi"/>
                <w:color w:val="000000"/>
                <w:sz w:val="20"/>
                <w:szCs w:val="20"/>
              </w:rPr>
              <w:t>SURGERY</w:t>
            </w:r>
          </w:p>
        </w:tc>
        <w:tc>
          <w:tcPr>
            <w:tcW w:w="960" w:type="dxa"/>
            <w:tcBorders>
              <w:top w:val="nil"/>
              <w:left w:val="nil"/>
              <w:bottom w:val="single" w:sz="4" w:space="0" w:color="auto"/>
              <w:right w:val="single" w:sz="4" w:space="0" w:color="auto"/>
            </w:tcBorders>
            <w:shd w:val="clear" w:color="auto" w:fill="auto"/>
            <w:noWrap/>
            <w:vAlign w:val="bottom"/>
          </w:tcPr>
          <w:p w14:paraId="616A690D"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5,155</w:t>
            </w:r>
          </w:p>
        </w:tc>
        <w:tc>
          <w:tcPr>
            <w:tcW w:w="960" w:type="dxa"/>
            <w:tcBorders>
              <w:top w:val="nil"/>
              <w:left w:val="nil"/>
              <w:bottom w:val="single" w:sz="4" w:space="0" w:color="auto"/>
              <w:right w:val="single" w:sz="4" w:space="0" w:color="auto"/>
            </w:tcBorders>
            <w:shd w:val="clear" w:color="auto" w:fill="auto"/>
            <w:noWrap/>
            <w:vAlign w:val="bottom"/>
          </w:tcPr>
          <w:p w14:paraId="4A4D11DB"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5,939</w:t>
            </w:r>
          </w:p>
        </w:tc>
        <w:tc>
          <w:tcPr>
            <w:tcW w:w="960" w:type="dxa"/>
            <w:tcBorders>
              <w:top w:val="nil"/>
              <w:left w:val="nil"/>
              <w:bottom w:val="single" w:sz="4" w:space="0" w:color="auto"/>
              <w:right w:val="single" w:sz="4" w:space="0" w:color="auto"/>
            </w:tcBorders>
            <w:shd w:val="clear" w:color="auto" w:fill="auto"/>
            <w:noWrap/>
            <w:vAlign w:val="bottom"/>
          </w:tcPr>
          <w:p w14:paraId="09B2DB40"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5,171</w:t>
            </w:r>
          </w:p>
        </w:tc>
      </w:tr>
      <w:tr w:rsidR="005E60B7" w:rsidRPr="00A30620" w14:paraId="682F9013" w14:textId="77777777" w:rsidTr="00911FD3">
        <w:trPr>
          <w:trHeight w:val="330"/>
        </w:trPr>
        <w:tc>
          <w:tcPr>
            <w:tcW w:w="2900" w:type="dxa"/>
            <w:tcBorders>
              <w:top w:val="single" w:sz="8" w:space="0" w:color="auto"/>
              <w:left w:val="single" w:sz="8" w:space="0" w:color="000000"/>
              <w:bottom w:val="single" w:sz="8" w:space="0" w:color="auto"/>
              <w:right w:val="single" w:sz="4" w:space="0" w:color="auto"/>
            </w:tcBorders>
            <w:shd w:val="clear" w:color="auto" w:fill="auto"/>
            <w:noWrap/>
            <w:vAlign w:val="bottom"/>
            <w:hideMark/>
          </w:tcPr>
          <w:p w14:paraId="4D917ACE" w14:textId="77777777" w:rsidR="005E60B7" w:rsidRPr="00A30620" w:rsidRDefault="005E60B7" w:rsidP="00911FD3">
            <w:pPr>
              <w:spacing w:after="0" w:line="240" w:lineRule="auto"/>
              <w:rPr>
                <w:rFonts w:eastAsia="Times New Roman" w:cstheme="minorHAnsi"/>
                <w:color w:val="000000"/>
                <w:sz w:val="20"/>
                <w:szCs w:val="20"/>
              </w:rPr>
            </w:pPr>
            <w:r w:rsidRPr="00A30620">
              <w:rPr>
                <w:rFonts w:eastAsia="Times New Roman" w:cstheme="minorHAnsi"/>
                <w:color w:val="000000"/>
                <w:sz w:val="20"/>
                <w:szCs w:val="20"/>
              </w:rPr>
              <w:t>TOTAL EXAM</w:t>
            </w:r>
          </w:p>
        </w:tc>
        <w:tc>
          <w:tcPr>
            <w:tcW w:w="960" w:type="dxa"/>
            <w:tcBorders>
              <w:top w:val="single" w:sz="8" w:space="0" w:color="auto"/>
              <w:left w:val="nil"/>
              <w:bottom w:val="single" w:sz="8" w:space="0" w:color="auto"/>
              <w:right w:val="single" w:sz="4" w:space="0" w:color="auto"/>
            </w:tcBorders>
            <w:shd w:val="clear" w:color="auto" w:fill="auto"/>
            <w:noWrap/>
            <w:vAlign w:val="bottom"/>
          </w:tcPr>
          <w:p w14:paraId="61210D4C"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103,733</w:t>
            </w:r>
          </w:p>
        </w:tc>
        <w:tc>
          <w:tcPr>
            <w:tcW w:w="960" w:type="dxa"/>
            <w:tcBorders>
              <w:top w:val="single" w:sz="8" w:space="0" w:color="auto"/>
              <w:left w:val="nil"/>
              <w:bottom w:val="single" w:sz="8" w:space="0" w:color="auto"/>
              <w:right w:val="single" w:sz="4" w:space="0" w:color="auto"/>
            </w:tcBorders>
            <w:shd w:val="clear" w:color="auto" w:fill="auto"/>
            <w:noWrap/>
            <w:vAlign w:val="bottom"/>
          </w:tcPr>
          <w:p w14:paraId="4C07FBFE"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113,195</w:t>
            </w:r>
          </w:p>
        </w:tc>
        <w:tc>
          <w:tcPr>
            <w:tcW w:w="960" w:type="dxa"/>
            <w:tcBorders>
              <w:top w:val="single" w:sz="8" w:space="0" w:color="auto"/>
              <w:left w:val="nil"/>
              <w:bottom w:val="single" w:sz="8" w:space="0" w:color="auto"/>
              <w:right w:val="single" w:sz="4" w:space="0" w:color="auto"/>
            </w:tcBorders>
            <w:shd w:val="clear" w:color="auto" w:fill="auto"/>
            <w:noWrap/>
            <w:vAlign w:val="bottom"/>
          </w:tcPr>
          <w:p w14:paraId="695B21E0" w14:textId="77777777" w:rsidR="005E60B7" w:rsidRPr="00A30620" w:rsidRDefault="005E60B7" w:rsidP="00911FD3">
            <w:pPr>
              <w:jc w:val="right"/>
              <w:rPr>
                <w:rFonts w:cstheme="minorHAnsi"/>
                <w:color w:val="000000"/>
                <w:sz w:val="20"/>
                <w:szCs w:val="20"/>
              </w:rPr>
            </w:pPr>
            <w:r w:rsidRPr="00A30620">
              <w:rPr>
                <w:rFonts w:cstheme="minorHAnsi"/>
                <w:color w:val="000000"/>
                <w:sz w:val="20"/>
                <w:szCs w:val="20"/>
              </w:rPr>
              <w:t>106,328</w:t>
            </w:r>
          </w:p>
        </w:tc>
      </w:tr>
    </w:tbl>
    <w:p w14:paraId="7B8113C7" w14:textId="1839CC50" w:rsidR="006E18E3" w:rsidRDefault="006E18E3" w:rsidP="006E18E3">
      <w:pPr>
        <w:rPr>
          <w:rFonts w:cstheme="minorHAnsi"/>
        </w:rPr>
      </w:pPr>
    </w:p>
    <w:p w14:paraId="7C5FD0F5" w14:textId="41D3FE94" w:rsidR="00150529" w:rsidRDefault="00150529" w:rsidP="00150529">
      <w:pPr>
        <w:ind w:left="720"/>
        <w:rPr>
          <w:rFonts w:cstheme="minorHAnsi"/>
        </w:rPr>
      </w:pPr>
      <w:r>
        <w:rPr>
          <w:rFonts w:cstheme="minorHAnsi"/>
        </w:rPr>
        <w:t>Response: The original table provided at Responses pg. 19 listed scans by service type in the proposed project, along with total scans for the hospital. The follow</w:t>
      </w:r>
      <w:r w:rsidR="00C47756">
        <w:rPr>
          <w:rFonts w:cstheme="minorHAnsi"/>
        </w:rPr>
        <w:t>ing</w:t>
      </w:r>
      <w:r>
        <w:rPr>
          <w:rFonts w:cstheme="minorHAnsi"/>
        </w:rPr>
        <w:t xml:space="preserve"> table includes a</w:t>
      </w:r>
      <w:r w:rsidR="00C47756">
        <w:rPr>
          <w:rFonts w:cstheme="minorHAnsi"/>
        </w:rPr>
        <w:t xml:space="preserve"> row for </w:t>
      </w:r>
      <w:r>
        <w:rPr>
          <w:rFonts w:cstheme="minorHAnsi"/>
        </w:rPr>
        <w:t>“other” which represents all scan types exclusive of oncology, cardiac, internal medicine and surgery.</w:t>
      </w:r>
      <w:r w:rsidR="00D158DD">
        <w:rPr>
          <w:rFonts w:cstheme="minorHAnsi"/>
        </w:rPr>
        <w:t xml:space="preserve">  Illustrative examples of service lines in </w:t>
      </w:r>
      <w:r w:rsidR="00E12EB4">
        <w:rPr>
          <w:rFonts w:cstheme="minorHAnsi"/>
        </w:rPr>
        <w:t>“</w:t>
      </w:r>
      <w:r w:rsidR="00D158DD">
        <w:rPr>
          <w:rFonts w:cstheme="minorHAnsi"/>
        </w:rPr>
        <w:t>other</w:t>
      </w:r>
      <w:r w:rsidR="00E12EB4">
        <w:rPr>
          <w:rFonts w:cstheme="minorHAnsi"/>
        </w:rPr>
        <w:t>”</w:t>
      </w:r>
      <w:r w:rsidR="00D158DD">
        <w:rPr>
          <w:rFonts w:cstheme="minorHAnsi"/>
        </w:rPr>
        <w:t xml:space="preserve"> would be orthopedics, neurology, gynecology</w:t>
      </w:r>
      <w:r w:rsidR="00651D28">
        <w:rPr>
          <w:rFonts w:cstheme="minorHAnsi"/>
        </w:rPr>
        <w:t>,</w:t>
      </w:r>
      <w:r w:rsidR="00D158DD">
        <w:rPr>
          <w:rFonts w:cstheme="minorHAnsi"/>
        </w:rPr>
        <w:t xml:space="preserve"> and pediatrics. </w:t>
      </w:r>
    </w:p>
    <w:p w14:paraId="13A26327" w14:textId="066C4DF5" w:rsidR="009135AF" w:rsidRPr="00C47756" w:rsidRDefault="009135AF" w:rsidP="009135AF">
      <w:pPr>
        <w:rPr>
          <w:b/>
          <w:bCs/>
        </w:rPr>
      </w:pPr>
      <w:r>
        <w:rPr>
          <w:rFonts w:cstheme="minorHAnsi"/>
        </w:rPr>
        <w:tab/>
      </w:r>
      <w:r w:rsidR="00150529" w:rsidRPr="00C47756">
        <w:rPr>
          <w:b/>
          <w:bCs/>
        </w:rPr>
        <w:t>Historical CT Scans</w:t>
      </w:r>
    </w:p>
    <w:tbl>
      <w:tblPr>
        <w:tblW w:w="4660" w:type="dxa"/>
        <w:tblInd w:w="722" w:type="dxa"/>
        <w:tblCellMar>
          <w:left w:w="0" w:type="dxa"/>
          <w:right w:w="0" w:type="dxa"/>
        </w:tblCellMar>
        <w:tblLook w:val="04A0" w:firstRow="1" w:lastRow="0" w:firstColumn="1" w:lastColumn="0" w:noHBand="0" w:noVBand="1"/>
      </w:tblPr>
      <w:tblGrid>
        <w:gridCol w:w="1780"/>
        <w:gridCol w:w="960"/>
        <w:gridCol w:w="960"/>
        <w:gridCol w:w="960"/>
      </w:tblGrid>
      <w:tr w:rsidR="009135AF" w14:paraId="5FC9B026" w14:textId="77777777" w:rsidTr="009135AF">
        <w:trPr>
          <w:trHeight w:val="300"/>
        </w:trPr>
        <w:tc>
          <w:tcPr>
            <w:tcW w:w="1780" w:type="dxa"/>
            <w:tcBorders>
              <w:top w:val="single" w:sz="8" w:space="0" w:color="000000"/>
              <w:left w:val="single" w:sz="8" w:space="0" w:color="000000"/>
              <w:bottom w:val="nil"/>
              <w:right w:val="single" w:sz="8" w:space="0" w:color="auto"/>
            </w:tcBorders>
            <w:shd w:val="clear" w:color="auto" w:fill="E7E6E6"/>
            <w:noWrap/>
            <w:tcMar>
              <w:top w:w="0" w:type="dxa"/>
              <w:left w:w="108" w:type="dxa"/>
              <w:bottom w:w="0" w:type="dxa"/>
              <w:right w:w="108" w:type="dxa"/>
            </w:tcMar>
            <w:vAlign w:val="center"/>
            <w:hideMark/>
          </w:tcPr>
          <w:p w14:paraId="57C28A83" w14:textId="77777777" w:rsidR="009135AF" w:rsidRDefault="009135AF">
            <w:r>
              <w:rPr>
                <w:color w:val="000000"/>
                <w:sz w:val="20"/>
                <w:szCs w:val="20"/>
              </w:rPr>
              <w:t> </w:t>
            </w:r>
          </w:p>
        </w:tc>
        <w:tc>
          <w:tcPr>
            <w:tcW w:w="960" w:type="dxa"/>
            <w:vMerge w:val="restart"/>
            <w:tcBorders>
              <w:top w:val="single" w:sz="8" w:space="0" w:color="000000"/>
              <w:left w:val="nil"/>
              <w:bottom w:val="single" w:sz="8" w:space="0" w:color="000000"/>
              <w:right w:val="single" w:sz="8" w:space="0" w:color="auto"/>
            </w:tcBorders>
            <w:shd w:val="clear" w:color="auto" w:fill="E7E6E6"/>
            <w:noWrap/>
            <w:tcMar>
              <w:top w:w="0" w:type="dxa"/>
              <w:left w:w="108" w:type="dxa"/>
              <w:bottom w:w="0" w:type="dxa"/>
              <w:right w:w="108" w:type="dxa"/>
            </w:tcMar>
            <w:vAlign w:val="center"/>
            <w:hideMark/>
          </w:tcPr>
          <w:p w14:paraId="5D489808" w14:textId="77777777" w:rsidR="009135AF" w:rsidRDefault="009135AF">
            <w:r>
              <w:rPr>
                <w:b/>
                <w:bCs/>
                <w:color w:val="000000"/>
                <w:sz w:val="20"/>
                <w:szCs w:val="20"/>
              </w:rPr>
              <w:t>FY18</w:t>
            </w:r>
          </w:p>
        </w:tc>
        <w:tc>
          <w:tcPr>
            <w:tcW w:w="960" w:type="dxa"/>
            <w:vMerge w:val="restart"/>
            <w:tcBorders>
              <w:top w:val="single" w:sz="8" w:space="0" w:color="000000"/>
              <w:left w:val="nil"/>
              <w:bottom w:val="single" w:sz="8" w:space="0" w:color="000000"/>
              <w:right w:val="single" w:sz="8" w:space="0" w:color="auto"/>
            </w:tcBorders>
            <w:shd w:val="clear" w:color="auto" w:fill="E7E6E6"/>
            <w:noWrap/>
            <w:tcMar>
              <w:top w:w="0" w:type="dxa"/>
              <w:left w:w="108" w:type="dxa"/>
              <w:bottom w:w="0" w:type="dxa"/>
              <w:right w:w="108" w:type="dxa"/>
            </w:tcMar>
            <w:vAlign w:val="center"/>
            <w:hideMark/>
          </w:tcPr>
          <w:p w14:paraId="44FD5FF2" w14:textId="77777777" w:rsidR="009135AF" w:rsidRDefault="009135AF">
            <w:r>
              <w:rPr>
                <w:b/>
                <w:bCs/>
                <w:color w:val="000000"/>
                <w:sz w:val="20"/>
                <w:szCs w:val="20"/>
              </w:rPr>
              <w:t>FY19</w:t>
            </w:r>
          </w:p>
        </w:tc>
        <w:tc>
          <w:tcPr>
            <w:tcW w:w="960" w:type="dxa"/>
            <w:vMerge w:val="restart"/>
            <w:tcBorders>
              <w:top w:val="single" w:sz="8" w:space="0" w:color="000000"/>
              <w:left w:val="nil"/>
              <w:bottom w:val="single" w:sz="8" w:space="0" w:color="000000"/>
              <w:right w:val="single" w:sz="8" w:space="0" w:color="auto"/>
            </w:tcBorders>
            <w:shd w:val="clear" w:color="auto" w:fill="E7E6E6"/>
            <w:noWrap/>
            <w:tcMar>
              <w:top w:w="0" w:type="dxa"/>
              <w:left w:w="108" w:type="dxa"/>
              <w:bottom w:w="0" w:type="dxa"/>
              <w:right w:w="108" w:type="dxa"/>
            </w:tcMar>
            <w:vAlign w:val="center"/>
            <w:hideMark/>
          </w:tcPr>
          <w:p w14:paraId="4756961D" w14:textId="77777777" w:rsidR="009135AF" w:rsidRDefault="009135AF">
            <w:r>
              <w:rPr>
                <w:b/>
                <w:bCs/>
                <w:color w:val="000000"/>
                <w:sz w:val="20"/>
                <w:szCs w:val="20"/>
              </w:rPr>
              <w:t>FY20</w:t>
            </w:r>
          </w:p>
        </w:tc>
      </w:tr>
      <w:tr w:rsidR="009135AF" w14:paraId="10A7F52A" w14:textId="77777777" w:rsidTr="009135AF">
        <w:trPr>
          <w:trHeight w:val="315"/>
        </w:trPr>
        <w:tc>
          <w:tcPr>
            <w:tcW w:w="1780" w:type="dxa"/>
            <w:tcBorders>
              <w:top w:val="nil"/>
              <w:left w:val="single" w:sz="8" w:space="0" w:color="000000"/>
              <w:bottom w:val="single" w:sz="8" w:space="0" w:color="auto"/>
              <w:right w:val="single" w:sz="8" w:space="0" w:color="auto"/>
            </w:tcBorders>
            <w:shd w:val="clear" w:color="auto" w:fill="E7E6E6"/>
            <w:noWrap/>
            <w:tcMar>
              <w:top w:w="0" w:type="dxa"/>
              <w:left w:w="108" w:type="dxa"/>
              <w:bottom w:w="0" w:type="dxa"/>
              <w:right w:w="108" w:type="dxa"/>
            </w:tcMar>
            <w:vAlign w:val="center"/>
            <w:hideMark/>
          </w:tcPr>
          <w:p w14:paraId="577784EF" w14:textId="70572C37" w:rsidR="009135AF" w:rsidRDefault="00BF665C">
            <w:r>
              <w:rPr>
                <w:b/>
                <w:bCs/>
                <w:color w:val="000000"/>
                <w:sz w:val="20"/>
                <w:szCs w:val="20"/>
              </w:rPr>
              <w:t>Specialty Volume</w:t>
            </w:r>
          </w:p>
        </w:tc>
        <w:tc>
          <w:tcPr>
            <w:tcW w:w="0" w:type="auto"/>
            <w:vMerge/>
            <w:tcBorders>
              <w:top w:val="single" w:sz="8" w:space="0" w:color="000000"/>
              <w:left w:val="nil"/>
              <w:bottom w:val="single" w:sz="8" w:space="0" w:color="000000"/>
              <w:right w:val="single" w:sz="8" w:space="0" w:color="auto"/>
            </w:tcBorders>
            <w:vAlign w:val="center"/>
            <w:hideMark/>
          </w:tcPr>
          <w:p w14:paraId="1F33AA94" w14:textId="77777777" w:rsidR="009135AF" w:rsidRDefault="009135AF">
            <w:pPr>
              <w:rPr>
                <w:rFonts w:ascii="Calibri" w:hAnsi="Calibri" w:cs="Calibri"/>
              </w:rPr>
            </w:pPr>
          </w:p>
        </w:tc>
        <w:tc>
          <w:tcPr>
            <w:tcW w:w="0" w:type="auto"/>
            <w:vMerge/>
            <w:tcBorders>
              <w:top w:val="single" w:sz="8" w:space="0" w:color="000000"/>
              <w:left w:val="nil"/>
              <w:bottom w:val="single" w:sz="8" w:space="0" w:color="000000"/>
              <w:right w:val="single" w:sz="8" w:space="0" w:color="auto"/>
            </w:tcBorders>
            <w:vAlign w:val="center"/>
            <w:hideMark/>
          </w:tcPr>
          <w:p w14:paraId="1C23BCDF" w14:textId="77777777" w:rsidR="009135AF" w:rsidRDefault="009135AF">
            <w:pPr>
              <w:rPr>
                <w:rFonts w:ascii="Calibri" w:hAnsi="Calibri" w:cs="Calibri"/>
              </w:rPr>
            </w:pPr>
          </w:p>
        </w:tc>
        <w:tc>
          <w:tcPr>
            <w:tcW w:w="0" w:type="auto"/>
            <w:vMerge/>
            <w:tcBorders>
              <w:top w:val="single" w:sz="8" w:space="0" w:color="000000"/>
              <w:left w:val="nil"/>
              <w:bottom w:val="single" w:sz="8" w:space="0" w:color="000000"/>
              <w:right w:val="single" w:sz="8" w:space="0" w:color="auto"/>
            </w:tcBorders>
            <w:vAlign w:val="center"/>
            <w:hideMark/>
          </w:tcPr>
          <w:p w14:paraId="221166F8" w14:textId="77777777" w:rsidR="009135AF" w:rsidRDefault="009135AF">
            <w:pPr>
              <w:rPr>
                <w:rFonts w:ascii="Calibri" w:hAnsi="Calibri" w:cs="Calibri"/>
              </w:rPr>
            </w:pPr>
          </w:p>
        </w:tc>
      </w:tr>
      <w:tr w:rsidR="009135AF" w14:paraId="7C2DB731" w14:textId="77777777" w:rsidTr="009135AF">
        <w:trPr>
          <w:trHeight w:val="315"/>
        </w:trPr>
        <w:tc>
          <w:tcPr>
            <w:tcW w:w="1780" w:type="dxa"/>
            <w:tcBorders>
              <w:top w:val="nil"/>
              <w:left w:val="single" w:sz="8" w:space="0" w:color="000000"/>
              <w:bottom w:val="single" w:sz="8" w:space="0" w:color="auto"/>
              <w:right w:val="single" w:sz="8" w:space="0" w:color="auto"/>
            </w:tcBorders>
            <w:noWrap/>
            <w:tcMar>
              <w:top w:w="0" w:type="dxa"/>
              <w:left w:w="108" w:type="dxa"/>
              <w:bottom w:w="0" w:type="dxa"/>
              <w:right w:w="108" w:type="dxa"/>
            </w:tcMar>
            <w:vAlign w:val="center"/>
            <w:hideMark/>
          </w:tcPr>
          <w:p w14:paraId="16750129" w14:textId="77777777" w:rsidR="009135AF" w:rsidRDefault="009135AF">
            <w:r>
              <w:rPr>
                <w:color w:val="000000"/>
                <w:sz w:val="20"/>
                <w:szCs w:val="20"/>
              </w:rPr>
              <w:t>ONCOLOGY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BA3E84" w14:textId="77777777" w:rsidR="009135AF" w:rsidRDefault="009135AF">
            <w:pPr>
              <w:jc w:val="right"/>
            </w:pPr>
            <w:r>
              <w:rPr>
                <w:color w:val="000000"/>
                <w:sz w:val="20"/>
                <w:szCs w:val="20"/>
              </w:rPr>
              <w:t>29,395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FCFF69" w14:textId="77777777" w:rsidR="009135AF" w:rsidRDefault="009135AF">
            <w:pPr>
              <w:jc w:val="right"/>
            </w:pPr>
            <w:r>
              <w:rPr>
                <w:color w:val="000000"/>
                <w:sz w:val="20"/>
                <w:szCs w:val="20"/>
              </w:rPr>
              <w:t>33,021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DF0E21" w14:textId="77777777" w:rsidR="009135AF" w:rsidRDefault="009135AF">
            <w:pPr>
              <w:jc w:val="right"/>
            </w:pPr>
            <w:r>
              <w:rPr>
                <w:color w:val="000000"/>
                <w:sz w:val="20"/>
                <w:szCs w:val="20"/>
              </w:rPr>
              <w:t>31,140</w:t>
            </w:r>
          </w:p>
        </w:tc>
      </w:tr>
      <w:tr w:rsidR="009135AF" w14:paraId="438E0BD1" w14:textId="77777777" w:rsidTr="009135AF">
        <w:trPr>
          <w:trHeight w:val="315"/>
        </w:trPr>
        <w:tc>
          <w:tcPr>
            <w:tcW w:w="1780" w:type="dxa"/>
            <w:tcBorders>
              <w:top w:val="nil"/>
              <w:left w:val="single" w:sz="8" w:space="0" w:color="000000"/>
              <w:bottom w:val="single" w:sz="8" w:space="0" w:color="auto"/>
              <w:right w:val="single" w:sz="8" w:space="0" w:color="auto"/>
            </w:tcBorders>
            <w:noWrap/>
            <w:tcMar>
              <w:top w:w="0" w:type="dxa"/>
              <w:left w:w="108" w:type="dxa"/>
              <w:bottom w:w="0" w:type="dxa"/>
              <w:right w:w="108" w:type="dxa"/>
            </w:tcMar>
            <w:vAlign w:val="center"/>
            <w:hideMark/>
          </w:tcPr>
          <w:p w14:paraId="00D9C8C6" w14:textId="77777777" w:rsidR="009135AF" w:rsidRDefault="009135AF">
            <w:r>
              <w:rPr>
                <w:color w:val="000000"/>
                <w:sz w:val="20"/>
                <w:szCs w:val="20"/>
              </w:rPr>
              <w:t>CARDIAC</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F812CC" w14:textId="77777777" w:rsidR="009135AF" w:rsidRDefault="009135AF">
            <w:pPr>
              <w:jc w:val="right"/>
            </w:pPr>
            <w:r>
              <w:rPr>
                <w:color w:val="000000"/>
                <w:sz w:val="20"/>
                <w:szCs w:val="20"/>
              </w:rPr>
              <w:t>3,734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F5DECB" w14:textId="77777777" w:rsidR="009135AF" w:rsidRDefault="009135AF">
            <w:pPr>
              <w:jc w:val="right"/>
            </w:pPr>
            <w:r>
              <w:rPr>
                <w:color w:val="000000"/>
                <w:sz w:val="20"/>
                <w:szCs w:val="20"/>
              </w:rPr>
              <w:t>4,032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711061" w14:textId="77777777" w:rsidR="009135AF" w:rsidRDefault="009135AF">
            <w:pPr>
              <w:jc w:val="right"/>
            </w:pPr>
            <w:r>
              <w:rPr>
                <w:color w:val="000000"/>
                <w:sz w:val="20"/>
                <w:szCs w:val="20"/>
              </w:rPr>
              <w:t>3,619</w:t>
            </w:r>
          </w:p>
        </w:tc>
      </w:tr>
      <w:tr w:rsidR="009135AF" w14:paraId="6FCAFB8B" w14:textId="77777777" w:rsidTr="009135AF">
        <w:trPr>
          <w:trHeight w:val="315"/>
        </w:trPr>
        <w:tc>
          <w:tcPr>
            <w:tcW w:w="1780" w:type="dxa"/>
            <w:tcBorders>
              <w:top w:val="nil"/>
              <w:left w:val="single" w:sz="8" w:space="0" w:color="000000"/>
              <w:bottom w:val="single" w:sz="8" w:space="0" w:color="auto"/>
              <w:right w:val="single" w:sz="8" w:space="0" w:color="auto"/>
            </w:tcBorders>
            <w:noWrap/>
            <w:tcMar>
              <w:top w:w="0" w:type="dxa"/>
              <w:left w:w="108" w:type="dxa"/>
              <w:bottom w:w="0" w:type="dxa"/>
              <w:right w:w="108" w:type="dxa"/>
            </w:tcMar>
            <w:vAlign w:val="center"/>
            <w:hideMark/>
          </w:tcPr>
          <w:p w14:paraId="3B681BB4" w14:textId="77777777" w:rsidR="009135AF" w:rsidRDefault="009135AF">
            <w:r>
              <w:rPr>
                <w:color w:val="000000"/>
                <w:sz w:val="20"/>
                <w:szCs w:val="20"/>
              </w:rPr>
              <w:t xml:space="preserve">INTERNAL MEDICINE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FBACDF" w14:textId="77777777" w:rsidR="009135AF" w:rsidRDefault="009135AF">
            <w:pPr>
              <w:jc w:val="right"/>
            </w:pPr>
            <w:r>
              <w:rPr>
                <w:color w:val="000000"/>
                <w:sz w:val="20"/>
                <w:szCs w:val="20"/>
              </w:rPr>
              <w:t>14,268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23B0BF" w14:textId="77777777" w:rsidR="009135AF" w:rsidRDefault="009135AF">
            <w:pPr>
              <w:jc w:val="right"/>
            </w:pPr>
            <w:r>
              <w:rPr>
                <w:color w:val="000000"/>
                <w:sz w:val="20"/>
                <w:szCs w:val="20"/>
              </w:rPr>
              <w:t>16,067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4038AC" w14:textId="77777777" w:rsidR="009135AF" w:rsidRDefault="009135AF">
            <w:pPr>
              <w:jc w:val="right"/>
            </w:pPr>
            <w:r>
              <w:rPr>
                <w:color w:val="000000"/>
                <w:sz w:val="20"/>
                <w:szCs w:val="20"/>
              </w:rPr>
              <w:t>13,918</w:t>
            </w:r>
          </w:p>
        </w:tc>
      </w:tr>
      <w:tr w:rsidR="009135AF" w14:paraId="72845B05" w14:textId="77777777" w:rsidTr="009135AF">
        <w:trPr>
          <w:trHeight w:val="315"/>
        </w:trPr>
        <w:tc>
          <w:tcPr>
            <w:tcW w:w="1780" w:type="dxa"/>
            <w:tcBorders>
              <w:top w:val="nil"/>
              <w:left w:val="single" w:sz="8" w:space="0" w:color="000000"/>
              <w:bottom w:val="single" w:sz="8" w:space="0" w:color="auto"/>
              <w:right w:val="single" w:sz="8" w:space="0" w:color="auto"/>
            </w:tcBorders>
            <w:noWrap/>
            <w:tcMar>
              <w:top w:w="0" w:type="dxa"/>
              <w:left w:w="108" w:type="dxa"/>
              <w:bottom w:w="0" w:type="dxa"/>
              <w:right w:w="108" w:type="dxa"/>
            </w:tcMar>
            <w:vAlign w:val="center"/>
            <w:hideMark/>
          </w:tcPr>
          <w:p w14:paraId="5920F443" w14:textId="77777777" w:rsidR="009135AF" w:rsidRDefault="009135AF">
            <w:r>
              <w:rPr>
                <w:color w:val="000000"/>
                <w:sz w:val="20"/>
                <w:szCs w:val="20"/>
              </w:rPr>
              <w:t>SURGERY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47966A" w14:textId="77777777" w:rsidR="009135AF" w:rsidRDefault="009135AF">
            <w:pPr>
              <w:jc w:val="right"/>
            </w:pPr>
            <w:r>
              <w:rPr>
                <w:color w:val="000000"/>
                <w:sz w:val="20"/>
                <w:szCs w:val="20"/>
              </w:rPr>
              <w:t>5,155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6245D0" w14:textId="77777777" w:rsidR="009135AF" w:rsidRDefault="009135AF">
            <w:pPr>
              <w:jc w:val="right"/>
            </w:pPr>
            <w:r>
              <w:rPr>
                <w:color w:val="000000"/>
                <w:sz w:val="20"/>
                <w:szCs w:val="20"/>
              </w:rPr>
              <w:t>5,939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1D0638" w14:textId="77777777" w:rsidR="009135AF" w:rsidRDefault="009135AF">
            <w:pPr>
              <w:jc w:val="right"/>
            </w:pPr>
            <w:r>
              <w:rPr>
                <w:color w:val="000000"/>
                <w:sz w:val="20"/>
                <w:szCs w:val="20"/>
              </w:rPr>
              <w:t>5,171</w:t>
            </w:r>
          </w:p>
        </w:tc>
      </w:tr>
      <w:tr w:rsidR="009135AF" w14:paraId="582B22C2" w14:textId="77777777" w:rsidTr="009135AF">
        <w:trPr>
          <w:trHeight w:val="315"/>
        </w:trPr>
        <w:tc>
          <w:tcPr>
            <w:tcW w:w="1780" w:type="dxa"/>
            <w:tcBorders>
              <w:top w:val="nil"/>
              <w:left w:val="single" w:sz="8" w:space="0" w:color="000000"/>
              <w:bottom w:val="single" w:sz="8" w:space="0" w:color="auto"/>
              <w:right w:val="single" w:sz="8" w:space="0" w:color="auto"/>
            </w:tcBorders>
            <w:noWrap/>
            <w:tcMar>
              <w:top w:w="0" w:type="dxa"/>
              <w:left w:w="108" w:type="dxa"/>
              <w:bottom w:w="0" w:type="dxa"/>
              <w:right w:w="108" w:type="dxa"/>
            </w:tcMar>
            <w:vAlign w:val="center"/>
            <w:hideMark/>
          </w:tcPr>
          <w:p w14:paraId="5AA4D65C" w14:textId="77777777" w:rsidR="009135AF" w:rsidRDefault="009135AF">
            <w:r>
              <w:rPr>
                <w:color w:val="000000"/>
                <w:sz w:val="20"/>
                <w:szCs w:val="20"/>
              </w:rPr>
              <w:t>OTHER</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C077E5" w14:textId="77777777" w:rsidR="009135AF" w:rsidRDefault="009135AF">
            <w:pPr>
              <w:jc w:val="right"/>
            </w:pPr>
            <w:r>
              <w:rPr>
                <w:color w:val="000000"/>
                <w:sz w:val="20"/>
                <w:szCs w:val="20"/>
              </w:rPr>
              <w:t>51,181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C431F4" w14:textId="77777777" w:rsidR="009135AF" w:rsidRDefault="009135AF">
            <w:pPr>
              <w:jc w:val="right"/>
            </w:pPr>
            <w:r>
              <w:rPr>
                <w:color w:val="000000"/>
                <w:sz w:val="20"/>
                <w:szCs w:val="20"/>
              </w:rPr>
              <w:t>54,136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BD4C75" w14:textId="77777777" w:rsidR="009135AF" w:rsidRDefault="009135AF">
            <w:pPr>
              <w:jc w:val="right"/>
            </w:pPr>
            <w:r>
              <w:rPr>
                <w:color w:val="000000"/>
                <w:sz w:val="20"/>
                <w:szCs w:val="20"/>
              </w:rPr>
              <w:t>52,480</w:t>
            </w:r>
          </w:p>
        </w:tc>
      </w:tr>
      <w:tr w:rsidR="009135AF" w14:paraId="4085E85F" w14:textId="77777777" w:rsidTr="009135AF">
        <w:trPr>
          <w:trHeight w:val="315"/>
        </w:trPr>
        <w:tc>
          <w:tcPr>
            <w:tcW w:w="1780" w:type="dxa"/>
            <w:tcBorders>
              <w:top w:val="nil"/>
              <w:left w:val="single" w:sz="8" w:space="0" w:color="000000"/>
              <w:bottom w:val="single" w:sz="8" w:space="0" w:color="auto"/>
              <w:right w:val="single" w:sz="8" w:space="0" w:color="auto"/>
            </w:tcBorders>
            <w:noWrap/>
            <w:tcMar>
              <w:top w:w="0" w:type="dxa"/>
              <w:left w:w="108" w:type="dxa"/>
              <w:bottom w:w="0" w:type="dxa"/>
              <w:right w:w="108" w:type="dxa"/>
            </w:tcMar>
            <w:vAlign w:val="center"/>
            <w:hideMark/>
          </w:tcPr>
          <w:p w14:paraId="09E148DE" w14:textId="77777777" w:rsidR="009135AF" w:rsidRDefault="009135AF">
            <w:r>
              <w:rPr>
                <w:color w:val="000000"/>
                <w:sz w:val="20"/>
                <w:szCs w:val="20"/>
              </w:rPr>
              <w:t>TOTAL EXAM</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B51EB4" w14:textId="77777777" w:rsidR="009135AF" w:rsidRDefault="009135AF">
            <w:pPr>
              <w:jc w:val="right"/>
            </w:pPr>
            <w:r>
              <w:rPr>
                <w:color w:val="000000"/>
                <w:sz w:val="20"/>
                <w:szCs w:val="20"/>
              </w:rPr>
              <w:t>103,733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679FC2" w14:textId="77777777" w:rsidR="009135AF" w:rsidRDefault="009135AF">
            <w:pPr>
              <w:jc w:val="right"/>
            </w:pPr>
            <w:r>
              <w:rPr>
                <w:color w:val="000000"/>
                <w:sz w:val="20"/>
                <w:szCs w:val="20"/>
              </w:rPr>
              <w:t>113,195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688A14" w14:textId="77777777" w:rsidR="009135AF" w:rsidRDefault="009135AF">
            <w:pPr>
              <w:jc w:val="right"/>
            </w:pPr>
            <w:r>
              <w:rPr>
                <w:color w:val="000000"/>
                <w:sz w:val="20"/>
                <w:szCs w:val="20"/>
              </w:rPr>
              <w:t>106,328</w:t>
            </w:r>
          </w:p>
        </w:tc>
      </w:tr>
    </w:tbl>
    <w:p w14:paraId="1A205A5B" w14:textId="2DCA7E75" w:rsidR="00A64196" w:rsidRDefault="00A64196" w:rsidP="009135AF">
      <w:pPr>
        <w:rPr>
          <w:rFonts w:cstheme="minorHAnsi"/>
        </w:rPr>
      </w:pPr>
    </w:p>
    <w:p w14:paraId="1D818B7C" w14:textId="1F299AF8" w:rsidR="005E60B7" w:rsidRPr="00781BF8" w:rsidRDefault="00932518" w:rsidP="0024480F">
      <w:pPr>
        <w:pStyle w:val="ListParagraph"/>
        <w:numPr>
          <w:ilvl w:val="0"/>
          <w:numId w:val="1"/>
        </w:numPr>
        <w:rPr>
          <w:rFonts w:cstheme="minorHAnsi"/>
          <w:b/>
          <w:bCs/>
        </w:rPr>
      </w:pPr>
      <w:r w:rsidRPr="00781BF8">
        <w:rPr>
          <w:rFonts w:cstheme="minorHAnsi"/>
          <w:b/>
          <w:bCs/>
        </w:rPr>
        <w:t>Total exam volume</w:t>
      </w:r>
      <w:r w:rsidR="004F7ACA" w:rsidRPr="00781BF8">
        <w:rPr>
          <w:rFonts w:cstheme="minorHAnsi"/>
          <w:b/>
          <w:bCs/>
        </w:rPr>
        <w:t xml:space="preserve"> in the table below</w:t>
      </w:r>
      <w:r w:rsidRPr="00781BF8">
        <w:rPr>
          <w:rFonts w:cstheme="minorHAnsi"/>
          <w:b/>
          <w:bCs/>
        </w:rPr>
        <w:t xml:space="preserve"> is not equal to the rows directly above it. What does the </w:t>
      </w:r>
      <w:r w:rsidR="000E5788" w:rsidRPr="00781BF8">
        <w:rPr>
          <w:rFonts w:cstheme="minorHAnsi"/>
          <w:b/>
          <w:bCs/>
        </w:rPr>
        <w:t xml:space="preserve">row </w:t>
      </w:r>
      <w:r w:rsidRPr="00781BF8">
        <w:rPr>
          <w:rFonts w:cstheme="minorHAnsi"/>
          <w:b/>
          <w:bCs/>
        </w:rPr>
        <w:t>Total Exam volume include? (</w:t>
      </w:r>
      <w:r w:rsidR="00714F72" w:rsidRPr="00781BF8">
        <w:rPr>
          <w:rFonts w:cstheme="minorHAnsi"/>
          <w:b/>
          <w:bCs/>
        </w:rPr>
        <w:t>Responses</w:t>
      </w:r>
      <w:r w:rsidRPr="00781BF8">
        <w:rPr>
          <w:rFonts w:cstheme="minorHAnsi"/>
          <w:b/>
          <w:bCs/>
        </w:rPr>
        <w:t xml:space="preserve"> pg.20)</w:t>
      </w:r>
      <w:r w:rsidR="005E60B7" w:rsidRPr="00781BF8">
        <w:rPr>
          <w:rFonts w:cstheme="minorHAnsi"/>
          <w:b/>
          <w:bCs/>
        </w:rPr>
        <w:t xml:space="preserve"> </w:t>
      </w:r>
    </w:p>
    <w:p w14:paraId="45659397" w14:textId="33D2C384" w:rsidR="00E02752" w:rsidRDefault="00E02752" w:rsidP="00E02752">
      <w:pPr>
        <w:pStyle w:val="ListParagraph"/>
        <w:rPr>
          <w:rFonts w:cstheme="minorHAnsi"/>
          <w:b/>
          <w:bCs/>
        </w:rPr>
      </w:pPr>
    </w:p>
    <w:p w14:paraId="49323FAC" w14:textId="372EEAA8" w:rsidR="00BF665C" w:rsidRPr="00C47756" w:rsidRDefault="00E5193D" w:rsidP="00C47756">
      <w:pPr>
        <w:pStyle w:val="ListParagraph"/>
        <w:rPr>
          <w:rFonts w:cstheme="minorHAnsi"/>
          <w:b/>
          <w:bCs/>
        </w:rPr>
      </w:pPr>
      <w:r w:rsidRPr="00781BF8">
        <w:rPr>
          <w:rFonts w:cstheme="minorHAnsi"/>
          <w:b/>
          <w:bCs/>
        </w:rPr>
        <w:t>Historical MRI scan volume broken down by specialty broken out by cardiac, oncology, and med/surg.</w:t>
      </w:r>
    </w:p>
    <w:tbl>
      <w:tblPr>
        <w:tblW w:w="5780" w:type="dxa"/>
        <w:tblInd w:w="1955" w:type="dxa"/>
        <w:tblLook w:val="04A0" w:firstRow="1" w:lastRow="0" w:firstColumn="1" w:lastColumn="0" w:noHBand="0" w:noVBand="1"/>
      </w:tblPr>
      <w:tblGrid>
        <w:gridCol w:w="2900"/>
        <w:gridCol w:w="960"/>
        <w:gridCol w:w="960"/>
        <w:gridCol w:w="960"/>
      </w:tblGrid>
      <w:tr w:rsidR="005E60B7" w:rsidRPr="00A30620" w14:paraId="06A33C86" w14:textId="77777777" w:rsidTr="00477793">
        <w:trPr>
          <w:trHeight w:val="330"/>
        </w:trPr>
        <w:tc>
          <w:tcPr>
            <w:tcW w:w="2900" w:type="dxa"/>
            <w:tcBorders>
              <w:top w:val="single" w:sz="8" w:space="0" w:color="000000"/>
              <w:left w:val="single" w:sz="8" w:space="0" w:color="000000"/>
              <w:bottom w:val="single" w:sz="8" w:space="0" w:color="auto"/>
              <w:right w:val="single" w:sz="4" w:space="0" w:color="auto"/>
            </w:tcBorders>
            <w:shd w:val="clear" w:color="auto" w:fill="E7E6E6" w:themeFill="background2"/>
            <w:noWrap/>
            <w:vAlign w:val="bottom"/>
            <w:hideMark/>
          </w:tcPr>
          <w:p w14:paraId="793D092E" w14:textId="77777777" w:rsidR="005E60B7" w:rsidRPr="00A30620" w:rsidRDefault="005E60B7" w:rsidP="00911FD3">
            <w:pPr>
              <w:spacing w:after="0" w:line="240" w:lineRule="auto"/>
              <w:rPr>
                <w:rFonts w:eastAsia="Times New Roman" w:cstheme="minorHAnsi"/>
                <w:sz w:val="20"/>
                <w:szCs w:val="20"/>
              </w:rPr>
            </w:pPr>
          </w:p>
          <w:p w14:paraId="35962173" w14:textId="77777777" w:rsidR="005E60B7" w:rsidRPr="00A30620" w:rsidRDefault="005E60B7" w:rsidP="00911FD3">
            <w:pPr>
              <w:spacing w:after="0" w:line="240" w:lineRule="auto"/>
              <w:rPr>
                <w:rFonts w:eastAsia="Times New Roman" w:cstheme="minorHAnsi"/>
                <w:b/>
                <w:bCs/>
                <w:sz w:val="20"/>
                <w:szCs w:val="20"/>
              </w:rPr>
            </w:pPr>
            <w:r w:rsidRPr="00A30620">
              <w:rPr>
                <w:rFonts w:eastAsia="Times New Roman" w:cstheme="minorHAnsi"/>
                <w:b/>
                <w:bCs/>
                <w:sz w:val="20"/>
                <w:szCs w:val="20"/>
              </w:rPr>
              <w:t>Specialty Volume</w:t>
            </w:r>
          </w:p>
        </w:tc>
        <w:tc>
          <w:tcPr>
            <w:tcW w:w="960" w:type="dxa"/>
            <w:tcBorders>
              <w:top w:val="single" w:sz="8" w:space="0" w:color="000000"/>
              <w:left w:val="single" w:sz="8" w:space="0" w:color="auto"/>
              <w:bottom w:val="single" w:sz="8" w:space="0" w:color="auto"/>
              <w:right w:val="single" w:sz="4" w:space="0" w:color="auto"/>
            </w:tcBorders>
            <w:shd w:val="clear" w:color="auto" w:fill="E7E6E6" w:themeFill="background2"/>
            <w:noWrap/>
            <w:vAlign w:val="bottom"/>
            <w:hideMark/>
          </w:tcPr>
          <w:p w14:paraId="5B8DF671" w14:textId="77777777" w:rsidR="005E60B7" w:rsidRPr="00A30620" w:rsidRDefault="005E60B7" w:rsidP="00911FD3">
            <w:pPr>
              <w:spacing w:after="0" w:line="240" w:lineRule="auto"/>
              <w:rPr>
                <w:rFonts w:eastAsia="Times New Roman" w:cstheme="minorHAnsi"/>
                <w:b/>
                <w:bCs/>
                <w:sz w:val="20"/>
                <w:szCs w:val="20"/>
              </w:rPr>
            </w:pPr>
            <w:r w:rsidRPr="00A30620">
              <w:rPr>
                <w:rFonts w:eastAsia="Times New Roman" w:cstheme="minorHAnsi"/>
                <w:b/>
                <w:bCs/>
                <w:sz w:val="20"/>
                <w:szCs w:val="20"/>
              </w:rPr>
              <w:t>FY18</w:t>
            </w:r>
          </w:p>
        </w:tc>
        <w:tc>
          <w:tcPr>
            <w:tcW w:w="960" w:type="dxa"/>
            <w:tcBorders>
              <w:top w:val="single" w:sz="8" w:space="0" w:color="000000"/>
              <w:left w:val="single" w:sz="8" w:space="0" w:color="auto"/>
              <w:bottom w:val="single" w:sz="8" w:space="0" w:color="auto"/>
              <w:right w:val="single" w:sz="4" w:space="0" w:color="auto"/>
            </w:tcBorders>
            <w:shd w:val="clear" w:color="auto" w:fill="E7E6E6" w:themeFill="background2"/>
            <w:noWrap/>
            <w:vAlign w:val="bottom"/>
            <w:hideMark/>
          </w:tcPr>
          <w:p w14:paraId="703439B2" w14:textId="77777777" w:rsidR="005E60B7" w:rsidRPr="00A30620" w:rsidRDefault="005E60B7" w:rsidP="00911FD3">
            <w:pPr>
              <w:spacing w:after="0" w:line="240" w:lineRule="auto"/>
              <w:rPr>
                <w:rFonts w:eastAsia="Times New Roman" w:cstheme="minorHAnsi"/>
                <w:b/>
                <w:bCs/>
                <w:sz w:val="20"/>
                <w:szCs w:val="20"/>
              </w:rPr>
            </w:pPr>
            <w:r w:rsidRPr="00A30620">
              <w:rPr>
                <w:rFonts w:eastAsia="Times New Roman" w:cstheme="minorHAnsi"/>
                <w:b/>
                <w:bCs/>
                <w:sz w:val="20"/>
                <w:szCs w:val="20"/>
              </w:rPr>
              <w:t>FY19</w:t>
            </w:r>
          </w:p>
        </w:tc>
        <w:tc>
          <w:tcPr>
            <w:tcW w:w="960" w:type="dxa"/>
            <w:tcBorders>
              <w:top w:val="single" w:sz="8" w:space="0" w:color="000000"/>
              <w:left w:val="single" w:sz="8" w:space="0" w:color="auto"/>
              <w:bottom w:val="single" w:sz="8" w:space="0" w:color="auto"/>
              <w:right w:val="single" w:sz="4" w:space="0" w:color="auto"/>
            </w:tcBorders>
            <w:shd w:val="clear" w:color="auto" w:fill="E7E6E6" w:themeFill="background2"/>
            <w:noWrap/>
            <w:vAlign w:val="bottom"/>
            <w:hideMark/>
          </w:tcPr>
          <w:p w14:paraId="1E964A0B" w14:textId="77777777" w:rsidR="005E60B7" w:rsidRPr="00A30620" w:rsidRDefault="005E60B7" w:rsidP="00911FD3">
            <w:pPr>
              <w:spacing w:after="0" w:line="240" w:lineRule="auto"/>
              <w:rPr>
                <w:rFonts w:eastAsia="Times New Roman" w:cstheme="minorHAnsi"/>
                <w:b/>
                <w:bCs/>
                <w:sz w:val="20"/>
                <w:szCs w:val="20"/>
              </w:rPr>
            </w:pPr>
            <w:r w:rsidRPr="00A30620">
              <w:rPr>
                <w:rFonts w:eastAsia="Times New Roman" w:cstheme="minorHAnsi"/>
                <w:b/>
                <w:bCs/>
                <w:sz w:val="20"/>
                <w:szCs w:val="20"/>
              </w:rPr>
              <w:t>FY20</w:t>
            </w:r>
          </w:p>
        </w:tc>
      </w:tr>
      <w:tr w:rsidR="005E60B7" w:rsidRPr="00A30620" w14:paraId="7CFC88B6" w14:textId="77777777" w:rsidTr="00911FD3">
        <w:trPr>
          <w:trHeight w:val="315"/>
        </w:trPr>
        <w:tc>
          <w:tcPr>
            <w:tcW w:w="2900" w:type="dxa"/>
            <w:tcBorders>
              <w:top w:val="single" w:sz="8" w:space="0" w:color="auto"/>
              <w:left w:val="single" w:sz="8" w:space="0" w:color="000000"/>
              <w:bottom w:val="single" w:sz="4" w:space="0" w:color="auto"/>
              <w:right w:val="single" w:sz="4" w:space="0" w:color="auto"/>
            </w:tcBorders>
            <w:shd w:val="clear" w:color="auto" w:fill="auto"/>
            <w:noWrap/>
            <w:vAlign w:val="bottom"/>
            <w:hideMark/>
          </w:tcPr>
          <w:p w14:paraId="3F55A0D2" w14:textId="77777777" w:rsidR="005E60B7" w:rsidRPr="00A30620" w:rsidRDefault="005E60B7" w:rsidP="00911FD3">
            <w:pPr>
              <w:spacing w:after="0" w:line="240" w:lineRule="auto"/>
              <w:rPr>
                <w:rFonts w:eastAsia="Times New Roman" w:cstheme="minorHAnsi"/>
                <w:color w:val="000000"/>
                <w:sz w:val="20"/>
                <w:szCs w:val="20"/>
              </w:rPr>
            </w:pPr>
            <w:r w:rsidRPr="00A30620">
              <w:rPr>
                <w:rFonts w:eastAsia="Times New Roman" w:cstheme="minorHAnsi"/>
                <w:color w:val="000000"/>
                <w:sz w:val="20"/>
                <w:szCs w:val="20"/>
              </w:rPr>
              <w:t>ONCOLOGY</w:t>
            </w:r>
          </w:p>
        </w:tc>
        <w:tc>
          <w:tcPr>
            <w:tcW w:w="960" w:type="dxa"/>
            <w:tcBorders>
              <w:top w:val="single" w:sz="8" w:space="0" w:color="auto"/>
              <w:left w:val="nil"/>
              <w:bottom w:val="single" w:sz="4" w:space="0" w:color="auto"/>
              <w:right w:val="single" w:sz="4" w:space="0" w:color="auto"/>
            </w:tcBorders>
            <w:shd w:val="clear" w:color="auto" w:fill="auto"/>
            <w:noWrap/>
            <w:vAlign w:val="bottom"/>
          </w:tcPr>
          <w:p w14:paraId="53075E59"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10,989</w:t>
            </w:r>
          </w:p>
        </w:tc>
        <w:tc>
          <w:tcPr>
            <w:tcW w:w="960" w:type="dxa"/>
            <w:tcBorders>
              <w:top w:val="single" w:sz="8" w:space="0" w:color="auto"/>
              <w:left w:val="nil"/>
              <w:bottom w:val="single" w:sz="4" w:space="0" w:color="auto"/>
              <w:right w:val="single" w:sz="4" w:space="0" w:color="auto"/>
            </w:tcBorders>
            <w:shd w:val="clear" w:color="auto" w:fill="auto"/>
            <w:noWrap/>
            <w:vAlign w:val="bottom"/>
          </w:tcPr>
          <w:p w14:paraId="5CBB4FCD"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13,968</w:t>
            </w:r>
          </w:p>
        </w:tc>
        <w:tc>
          <w:tcPr>
            <w:tcW w:w="960" w:type="dxa"/>
            <w:tcBorders>
              <w:top w:val="single" w:sz="8" w:space="0" w:color="auto"/>
              <w:left w:val="nil"/>
              <w:bottom w:val="single" w:sz="4" w:space="0" w:color="auto"/>
              <w:right w:val="single" w:sz="4" w:space="0" w:color="auto"/>
            </w:tcBorders>
            <w:shd w:val="clear" w:color="auto" w:fill="auto"/>
            <w:noWrap/>
            <w:vAlign w:val="bottom"/>
          </w:tcPr>
          <w:p w14:paraId="18F152A7"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12,874</w:t>
            </w:r>
          </w:p>
        </w:tc>
      </w:tr>
      <w:tr w:rsidR="005E60B7" w:rsidRPr="00A30620" w14:paraId="6C470297" w14:textId="77777777" w:rsidTr="00911FD3">
        <w:trPr>
          <w:trHeight w:val="315"/>
        </w:trPr>
        <w:tc>
          <w:tcPr>
            <w:tcW w:w="2900" w:type="dxa"/>
            <w:tcBorders>
              <w:top w:val="nil"/>
              <w:left w:val="single" w:sz="8" w:space="0" w:color="000000"/>
              <w:bottom w:val="single" w:sz="4" w:space="0" w:color="auto"/>
              <w:right w:val="single" w:sz="4" w:space="0" w:color="auto"/>
            </w:tcBorders>
            <w:shd w:val="clear" w:color="auto" w:fill="auto"/>
            <w:noWrap/>
            <w:vAlign w:val="bottom"/>
            <w:hideMark/>
          </w:tcPr>
          <w:p w14:paraId="7F15A939" w14:textId="77777777" w:rsidR="005E60B7" w:rsidRPr="00A30620" w:rsidRDefault="005E60B7" w:rsidP="00911FD3">
            <w:pPr>
              <w:spacing w:after="0" w:line="240" w:lineRule="auto"/>
              <w:rPr>
                <w:rFonts w:eastAsia="Times New Roman" w:cstheme="minorHAnsi"/>
                <w:color w:val="000000"/>
                <w:sz w:val="20"/>
                <w:szCs w:val="20"/>
              </w:rPr>
            </w:pPr>
            <w:r w:rsidRPr="00A30620">
              <w:rPr>
                <w:rFonts w:eastAsia="Times New Roman" w:cstheme="minorHAnsi"/>
                <w:color w:val="000000"/>
                <w:sz w:val="20"/>
                <w:szCs w:val="20"/>
              </w:rPr>
              <w:t>CARDIAC</w:t>
            </w:r>
          </w:p>
        </w:tc>
        <w:tc>
          <w:tcPr>
            <w:tcW w:w="960" w:type="dxa"/>
            <w:tcBorders>
              <w:top w:val="nil"/>
              <w:left w:val="nil"/>
              <w:bottom w:val="single" w:sz="4" w:space="0" w:color="auto"/>
              <w:right w:val="single" w:sz="4" w:space="0" w:color="auto"/>
            </w:tcBorders>
            <w:shd w:val="clear" w:color="auto" w:fill="auto"/>
            <w:noWrap/>
            <w:vAlign w:val="bottom"/>
          </w:tcPr>
          <w:p w14:paraId="7D09DA54"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1,392</w:t>
            </w:r>
          </w:p>
        </w:tc>
        <w:tc>
          <w:tcPr>
            <w:tcW w:w="960" w:type="dxa"/>
            <w:tcBorders>
              <w:top w:val="nil"/>
              <w:left w:val="nil"/>
              <w:bottom w:val="single" w:sz="4" w:space="0" w:color="auto"/>
              <w:right w:val="single" w:sz="4" w:space="0" w:color="auto"/>
            </w:tcBorders>
            <w:shd w:val="clear" w:color="auto" w:fill="auto"/>
            <w:noWrap/>
            <w:vAlign w:val="bottom"/>
          </w:tcPr>
          <w:p w14:paraId="7E09B4A2"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1,945</w:t>
            </w:r>
          </w:p>
        </w:tc>
        <w:tc>
          <w:tcPr>
            <w:tcW w:w="960" w:type="dxa"/>
            <w:tcBorders>
              <w:top w:val="nil"/>
              <w:left w:val="nil"/>
              <w:bottom w:val="single" w:sz="4" w:space="0" w:color="auto"/>
              <w:right w:val="single" w:sz="4" w:space="0" w:color="auto"/>
            </w:tcBorders>
            <w:shd w:val="clear" w:color="auto" w:fill="auto"/>
            <w:noWrap/>
            <w:vAlign w:val="bottom"/>
          </w:tcPr>
          <w:p w14:paraId="5563AF40"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1,454</w:t>
            </w:r>
          </w:p>
        </w:tc>
      </w:tr>
      <w:tr w:rsidR="005E60B7" w:rsidRPr="00A30620" w14:paraId="2D9F7277" w14:textId="77777777" w:rsidTr="00911FD3">
        <w:trPr>
          <w:trHeight w:val="315"/>
        </w:trPr>
        <w:tc>
          <w:tcPr>
            <w:tcW w:w="2900" w:type="dxa"/>
            <w:tcBorders>
              <w:top w:val="nil"/>
              <w:left w:val="single" w:sz="8" w:space="0" w:color="000000"/>
              <w:bottom w:val="single" w:sz="4" w:space="0" w:color="auto"/>
              <w:right w:val="single" w:sz="4" w:space="0" w:color="auto"/>
            </w:tcBorders>
            <w:shd w:val="clear" w:color="auto" w:fill="auto"/>
            <w:noWrap/>
            <w:vAlign w:val="bottom"/>
          </w:tcPr>
          <w:p w14:paraId="7B3B3A9C" w14:textId="77777777" w:rsidR="005E60B7" w:rsidRPr="00A30620" w:rsidRDefault="005E60B7" w:rsidP="00911FD3">
            <w:pPr>
              <w:spacing w:after="0" w:line="240" w:lineRule="auto"/>
              <w:rPr>
                <w:rFonts w:eastAsia="Times New Roman" w:cstheme="minorHAnsi"/>
                <w:color w:val="000000"/>
                <w:sz w:val="20"/>
                <w:szCs w:val="20"/>
              </w:rPr>
            </w:pPr>
            <w:r w:rsidRPr="00A30620">
              <w:rPr>
                <w:rFonts w:eastAsia="Times New Roman" w:cstheme="minorHAnsi"/>
                <w:color w:val="000000"/>
                <w:sz w:val="20"/>
                <w:szCs w:val="20"/>
              </w:rPr>
              <w:t xml:space="preserve">INTERNAL MEDICINE </w:t>
            </w:r>
          </w:p>
        </w:tc>
        <w:tc>
          <w:tcPr>
            <w:tcW w:w="960" w:type="dxa"/>
            <w:tcBorders>
              <w:top w:val="nil"/>
              <w:left w:val="nil"/>
              <w:bottom w:val="single" w:sz="4" w:space="0" w:color="auto"/>
              <w:right w:val="single" w:sz="4" w:space="0" w:color="auto"/>
            </w:tcBorders>
            <w:shd w:val="clear" w:color="auto" w:fill="auto"/>
            <w:noWrap/>
            <w:vAlign w:val="bottom"/>
          </w:tcPr>
          <w:p w14:paraId="2A447845"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9,017</w:t>
            </w:r>
          </w:p>
        </w:tc>
        <w:tc>
          <w:tcPr>
            <w:tcW w:w="960" w:type="dxa"/>
            <w:tcBorders>
              <w:top w:val="nil"/>
              <w:left w:val="nil"/>
              <w:bottom w:val="single" w:sz="4" w:space="0" w:color="auto"/>
              <w:right w:val="single" w:sz="4" w:space="0" w:color="auto"/>
            </w:tcBorders>
            <w:shd w:val="clear" w:color="auto" w:fill="auto"/>
            <w:noWrap/>
            <w:vAlign w:val="bottom"/>
          </w:tcPr>
          <w:p w14:paraId="1FC6C3D0"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11,163</w:t>
            </w:r>
          </w:p>
        </w:tc>
        <w:tc>
          <w:tcPr>
            <w:tcW w:w="960" w:type="dxa"/>
            <w:tcBorders>
              <w:top w:val="nil"/>
              <w:left w:val="nil"/>
              <w:bottom w:val="single" w:sz="4" w:space="0" w:color="auto"/>
              <w:right w:val="single" w:sz="4" w:space="0" w:color="auto"/>
            </w:tcBorders>
            <w:shd w:val="clear" w:color="auto" w:fill="auto"/>
            <w:noWrap/>
            <w:vAlign w:val="bottom"/>
          </w:tcPr>
          <w:p w14:paraId="2752C6C0"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9,990</w:t>
            </w:r>
          </w:p>
        </w:tc>
      </w:tr>
      <w:tr w:rsidR="005E60B7" w:rsidRPr="00A30620" w14:paraId="791451BD" w14:textId="77777777" w:rsidTr="00911FD3">
        <w:trPr>
          <w:trHeight w:val="315"/>
        </w:trPr>
        <w:tc>
          <w:tcPr>
            <w:tcW w:w="2900" w:type="dxa"/>
            <w:tcBorders>
              <w:top w:val="nil"/>
              <w:left w:val="single" w:sz="8" w:space="0" w:color="000000"/>
              <w:bottom w:val="single" w:sz="4" w:space="0" w:color="auto"/>
              <w:right w:val="single" w:sz="4" w:space="0" w:color="auto"/>
            </w:tcBorders>
            <w:shd w:val="clear" w:color="auto" w:fill="auto"/>
            <w:noWrap/>
            <w:vAlign w:val="bottom"/>
          </w:tcPr>
          <w:p w14:paraId="58F71A58" w14:textId="77777777" w:rsidR="005E60B7" w:rsidRPr="00A30620" w:rsidRDefault="005E60B7" w:rsidP="00911FD3">
            <w:pPr>
              <w:spacing w:after="0" w:line="240" w:lineRule="auto"/>
              <w:rPr>
                <w:rFonts w:eastAsia="Times New Roman" w:cstheme="minorHAnsi"/>
                <w:color w:val="000000"/>
                <w:sz w:val="20"/>
                <w:szCs w:val="20"/>
              </w:rPr>
            </w:pPr>
            <w:r w:rsidRPr="00A30620">
              <w:rPr>
                <w:rFonts w:eastAsia="Times New Roman" w:cstheme="minorHAnsi"/>
                <w:color w:val="000000"/>
                <w:sz w:val="20"/>
                <w:szCs w:val="20"/>
              </w:rPr>
              <w:t>SURGERY</w:t>
            </w:r>
          </w:p>
        </w:tc>
        <w:tc>
          <w:tcPr>
            <w:tcW w:w="960" w:type="dxa"/>
            <w:tcBorders>
              <w:top w:val="nil"/>
              <w:left w:val="nil"/>
              <w:bottom w:val="single" w:sz="4" w:space="0" w:color="auto"/>
              <w:right w:val="single" w:sz="4" w:space="0" w:color="auto"/>
            </w:tcBorders>
            <w:shd w:val="clear" w:color="auto" w:fill="auto"/>
            <w:noWrap/>
            <w:vAlign w:val="bottom"/>
          </w:tcPr>
          <w:p w14:paraId="1ABA7704"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1,321</w:t>
            </w:r>
          </w:p>
        </w:tc>
        <w:tc>
          <w:tcPr>
            <w:tcW w:w="960" w:type="dxa"/>
            <w:tcBorders>
              <w:top w:val="nil"/>
              <w:left w:val="nil"/>
              <w:bottom w:val="single" w:sz="4" w:space="0" w:color="auto"/>
              <w:right w:val="single" w:sz="4" w:space="0" w:color="auto"/>
            </w:tcBorders>
            <w:shd w:val="clear" w:color="auto" w:fill="auto"/>
            <w:noWrap/>
            <w:vAlign w:val="bottom"/>
          </w:tcPr>
          <w:p w14:paraId="7E748E25"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1,639</w:t>
            </w:r>
          </w:p>
        </w:tc>
        <w:tc>
          <w:tcPr>
            <w:tcW w:w="960" w:type="dxa"/>
            <w:tcBorders>
              <w:top w:val="nil"/>
              <w:left w:val="nil"/>
              <w:bottom w:val="single" w:sz="4" w:space="0" w:color="auto"/>
              <w:right w:val="single" w:sz="4" w:space="0" w:color="auto"/>
            </w:tcBorders>
            <w:shd w:val="clear" w:color="auto" w:fill="auto"/>
            <w:noWrap/>
            <w:vAlign w:val="bottom"/>
          </w:tcPr>
          <w:p w14:paraId="587E1C66"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1,520</w:t>
            </w:r>
          </w:p>
        </w:tc>
      </w:tr>
      <w:tr w:rsidR="005E60B7" w:rsidRPr="00A30620" w14:paraId="62ED1974" w14:textId="77777777" w:rsidTr="00911FD3">
        <w:trPr>
          <w:trHeight w:val="330"/>
        </w:trPr>
        <w:tc>
          <w:tcPr>
            <w:tcW w:w="2900" w:type="dxa"/>
            <w:tcBorders>
              <w:top w:val="single" w:sz="8" w:space="0" w:color="auto"/>
              <w:left w:val="single" w:sz="8" w:space="0" w:color="000000"/>
              <w:bottom w:val="single" w:sz="8" w:space="0" w:color="auto"/>
              <w:right w:val="single" w:sz="4" w:space="0" w:color="auto"/>
            </w:tcBorders>
            <w:shd w:val="clear" w:color="auto" w:fill="auto"/>
            <w:noWrap/>
            <w:vAlign w:val="bottom"/>
            <w:hideMark/>
          </w:tcPr>
          <w:p w14:paraId="1B90B3F4" w14:textId="77777777" w:rsidR="005E60B7" w:rsidRPr="00A30620" w:rsidRDefault="005E60B7" w:rsidP="00911FD3">
            <w:pPr>
              <w:spacing w:after="0" w:line="240" w:lineRule="auto"/>
              <w:rPr>
                <w:rFonts w:eastAsia="Times New Roman" w:cstheme="minorHAnsi"/>
                <w:color w:val="000000"/>
                <w:sz w:val="20"/>
                <w:szCs w:val="20"/>
              </w:rPr>
            </w:pPr>
            <w:r w:rsidRPr="00A30620">
              <w:rPr>
                <w:rFonts w:eastAsia="Times New Roman" w:cstheme="minorHAnsi"/>
                <w:color w:val="000000"/>
                <w:sz w:val="20"/>
                <w:szCs w:val="20"/>
              </w:rPr>
              <w:t>TOTAL EXAM</w:t>
            </w:r>
          </w:p>
        </w:tc>
        <w:tc>
          <w:tcPr>
            <w:tcW w:w="960" w:type="dxa"/>
            <w:tcBorders>
              <w:top w:val="single" w:sz="8" w:space="0" w:color="auto"/>
              <w:left w:val="nil"/>
              <w:bottom w:val="single" w:sz="8" w:space="0" w:color="auto"/>
              <w:right w:val="single" w:sz="4" w:space="0" w:color="auto"/>
            </w:tcBorders>
            <w:shd w:val="clear" w:color="auto" w:fill="auto"/>
            <w:noWrap/>
            <w:vAlign w:val="bottom"/>
          </w:tcPr>
          <w:p w14:paraId="19544786"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73,212</w:t>
            </w:r>
          </w:p>
        </w:tc>
        <w:tc>
          <w:tcPr>
            <w:tcW w:w="960" w:type="dxa"/>
            <w:tcBorders>
              <w:top w:val="single" w:sz="8" w:space="0" w:color="auto"/>
              <w:left w:val="nil"/>
              <w:bottom w:val="single" w:sz="8" w:space="0" w:color="auto"/>
              <w:right w:val="single" w:sz="4" w:space="0" w:color="auto"/>
            </w:tcBorders>
            <w:shd w:val="clear" w:color="auto" w:fill="auto"/>
            <w:noWrap/>
            <w:vAlign w:val="bottom"/>
          </w:tcPr>
          <w:p w14:paraId="514895C7"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77,431</w:t>
            </w:r>
          </w:p>
        </w:tc>
        <w:tc>
          <w:tcPr>
            <w:tcW w:w="960" w:type="dxa"/>
            <w:tcBorders>
              <w:top w:val="single" w:sz="8" w:space="0" w:color="auto"/>
              <w:left w:val="nil"/>
              <w:bottom w:val="single" w:sz="8" w:space="0" w:color="auto"/>
              <w:right w:val="single" w:sz="4" w:space="0" w:color="auto"/>
            </w:tcBorders>
            <w:shd w:val="clear" w:color="auto" w:fill="auto"/>
            <w:noWrap/>
            <w:vAlign w:val="bottom"/>
          </w:tcPr>
          <w:p w14:paraId="68A6D2AD" w14:textId="77777777" w:rsidR="005E60B7" w:rsidRPr="00A30620" w:rsidRDefault="005E60B7" w:rsidP="00911FD3">
            <w:pPr>
              <w:spacing w:after="0" w:line="240" w:lineRule="auto"/>
              <w:jc w:val="right"/>
              <w:rPr>
                <w:rFonts w:cstheme="minorHAnsi"/>
                <w:color w:val="000000"/>
                <w:sz w:val="20"/>
                <w:szCs w:val="20"/>
              </w:rPr>
            </w:pPr>
            <w:r w:rsidRPr="00A30620">
              <w:rPr>
                <w:rFonts w:cstheme="minorHAnsi"/>
                <w:color w:val="000000"/>
                <w:sz w:val="20"/>
                <w:szCs w:val="20"/>
              </w:rPr>
              <w:t>78,264</w:t>
            </w:r>
          </w:p>
        </w:tc>
      </w:tr>
    </w:tbl>
    <w:p w14:paraId="2A6B9A75" w14:textId="0E4D9F57" w:rsidR="005E60B7" w:rsidRDefault="005E60B7" w:rsidP="005E60B7">
      <w:pPr>
        <w:pStyle w:val="ListParagraph"/>
        <w:rPr>
          <w:rFonts w:cstheme="minorHAnsi"/>
        </w:rPr>
      </w:pPr>
    </w:p>
    <w:p w14:paraId="03F76608" w14:textId="0DF2C7A8" w:rsidR="00150529" w:rsidRDefault="00150529" w:rsidP="00150529">
      <w:pPr>
        <w:ind w:left="720"/>
        <w:rPr>
          <w:rFonts w:cstheme="minorHAnsi"/>
        </w:rPr>
      </w:pPr>
      <w:r>
        <w:rPr>
          <w:rFonts w:cstheme="minorHAnsi"/>
        </w:rPr>
        <w:lastRenderedPageBreak/>
        <w:t>Response: The original table provided at Responses pg. 19 listed scans by service type in the proposed project, along with total scans for the hospital. The follow</w:t>
      </w:r>
      <w:r w:rsidR="00C47756">
        <w:rPr>
          <w:rFonts w:cstheme="minorHAnsi"/>
        </w:rPr>
        <w:t>ing</w:t>
      </w:r>
      <w:r>
        <w:rPr>
          <w:rFonts w:cstheme="minorHAnsi"/>
        </w:rPr>
        <w:t xml:space="preserve"> table includes a</w:t>
      </w:r>
      <w:r w:rsidR="00C47756">
        <w:rPr>
          <w:rFonts w:cstheme="minorHAnsi"/>
        </w:rPr>
        <w:t xml:space="preserve"> row for</w:t>
      </w:r>
      <w:r>
        <w:rPr>
          <w:rFonts w:cstheme="minorHAnsi"/>
        </w:rPr>
        <w:t xml:space="preserve"> “other” which represents all scan types exclusive of oncology, cardiac, internal medicine and surgery.</w:t>
      </w:r>
      <w:r w:rsidR="00D158DD">
        <w:rPr>
          <w:rFonts w:cstheme="minorHAnsi"/>
        </w:rPr>
        <w:t xml:space="preserve">  Illustrative examples of service lines in </w:t>
      </w:r>
      <w:r w:rsidR="00E12EB4">
        <w:rPr>
          <w:rFonts w:cstheme="minorHAnsi"/>
        </w:rPr>
        <w:t>“</w:t>
      </w:r>
      <w:r w:rsidR="00D158DD">
        <w:rPr>
          <w:rFonts w:cstheme="minorHAnsi"/>
        </w:rPr>
        <w:t>other</w:t>
      </w:r>
      <w:r w:rsidR="00E12EB4">
        <w:rPr>
          <w:rFonts w:cstheme="minorHAnsi"/>
        </w:rPr>
        <w:t>”</w:t>
      </w:r>
      <w:r w:rsidR="00D158DD">
        <w:rPr>
          <w:rFonts w:cstheme="minorHAnsi"/>
        </w:rPr>
        <w:t xml:space="preserve"> would be orthopedics, neurology, gynecology</w:t>
      </w:r>
      <w:r w:rsidR="00651D28">
        <w:rPr>
          <w:rFonts w:cstheme="minorHAnsi"/>
        </w:rPr>
        <w:t>,</w:t>
      </w:r>
      <w:r w:rsidR="00D158DD">
        <w:rPr>
          <w:rFonts w:cstheme="minorHAnsi"/>
        </w:rPr>
        <w:t xml:space="preserve"> and pediatrics.</w:t>
      </w:r>
    </w:p>
    <w:p w14:paraId="1A9A1CB3" w14:textId="06ACD5E9" w:rsidR="009135AF" w:rsidRPr="00A64196" w:rsidRDefault="00150529" w:rsidP="00A64196">
      <w:pPr>
        <w:ind w:left="720" w:firstLine="360"/>
        <w:rPr>
          <w:b/>
          <w:bCs/>
        </w:rPr>
      </w:pPr>
      <w:r w:rsidRPr="00A64196">
        <w:rPr>
          <w:b/>
          <w:bCs/>
        </w:rPr>
        <w:t>Historical MRI Scans</w:t>
      </w:r>
    </w:p>
    <w:tbl>
      <w:tblPr>
        <w:tblW w:w="4660" w:type="dxa"/>
        <w:tblInd w:w="1109" w:type="dxa"/>
        <w:tblCellMar>
          <w:left w:w="0" w:type="dxa"/>
          <w:right w:w="0" w:type="dxa"/>
        </w:tblCellMar>
        <w:tblLook w:val="04A0" w:firstRow="1" w:lastRow="0" w:firstColumn="1" w:lastColumn="0" w:noHBand="0" w:noVBand="1"/>
      </w:tblPr>
      <w:tblGrid>
        <w:gridCol w:w="1780"/>
        <w:gridCol w:w="960"/>
        <w:gridCol w:w="960"/>
        <w:gridCol w:w="960"/>
      </w:tblGrid>
      <w:tr w:rsidR="009135AF" w14:paraId="49064A80" w14:textId="77777777" w:rsidTr="009135AF">
        <w:trPr>
          <w:trHeight w:val="300"/>
        </w:trPr>
        <w:tc>
          <w:tcPr>
            <w:tcW w:w="1780" w:type="dxa"/>
            <w:tcBorders>
              <w:top w:val="single" w:sz="8" w:space="0" w:color="000000"/>
              <w:left w:val="single" w:sz="8" w:space="0" w:color="000000"/>
              <w:bottom w:val="nil"/>
              <w:right w:val="single" w:sz="8" w:space="0" w:color="auto"/>
            </w:tcBorders>
            <w:shd w:val="clear" w:color="auto" w:fill="E7E6E6"/>
            <w:noWrap/>
            <w:tcMar>
              <w:top w:w="0" w:type="dxa"/>
              <w:left w:w="108" w:type="dxa"/>
              <w:bottom w:w="0" w:type="dxa"/>
              <w:right w:w="108" w:type="dxa"/>
            </w:tcMar>
            <w:vAlign w:val="center"/>
            <w:hideMark/>
          </w:tcPr>
          <w:p w14:paraId="254BB43A" w14:textId="77777777" w:rsidR="009135AF" w:rsidRDefault="009135AF">
            <w:r>
              <w:rPr>
                <w:color w:val="000000"/>
                <w:sz w:val="20"/>
                <w:szCs w:val="20"/>
              </w:rPr>
              <w:t> </w:t>
            </w:r>
          </w:p>
        </w:tc>
        <w:tc>
          <w:tcPr>
            <w:tcW w:w="960" w:type="dxa"/>
            <w:vMerge w:val="restart"/>
            <w:tcBorders>
              <w:top w:val="single" w:sz="8" w:space="0" w:color="000000"/>
              <w:left w:val="nil"/>
              <w:bottom w:val="single" w:sz="8" w:space="0" w:color="000000"/>
              <w:right w:val="single" w:sz="8" w:space="0" w:color="auto"/>
            </w:tcBorders>
            <w:shd w:val="clear" w:color="auto" w:fill="E7E6E6"/>
            <w:noWrap/>
            <w:tcMar>
              <w:top w:w="0" w:type="dxa"/>
              <w:left w:w="108" w:type="dxa"/>
              <w:bottom w:w="0" w:type="dxa"/>
              <w:right w:w="108" w:type="dxa"/>
            </w:tcMar>
            <w:vAlign w:val="center"/>
            <w:hideMark/>
          </w:tcPr>
          <w:p w14:paraId="644DED8F" w14:textId="77777777" w:rsidR="009135AF" w:rsidRDefault="009135AF">
            <w:r>
              <w:rPr>
                <w:b/>
                <w:bCs/>
                <w:color w:val="000000"/>
                <w:sz w:val="20"/>
                <w:szCs w:val="20"/>
              </w:rPr>
              <w:t>FY18</w:t>
            </w:r>
          </w:p>
        </w:tc>
        <w:tc>
          <w:tcPr>
            <w:tcW w:w="960" w:type="dxa"/>
            <w:vMerge w:val="restart"/>
            <w:tcBorders>
              <w:top w:val="single" w:sz="8" w:space="0" w:color="000000"/>
              <w:left w:val="nil"/>
              <w:bottom w:val="single" w:sz="8" w:space="0" w:color="000000"/>
              <w:right w:val="single" w:sz="8" w:space="0" w:color="auto"/>
            </w:tcBorders>
            <w:shd w:val="clear" w:color="auto" w:fill="E7E6E6"/>
            <w:noWrap/>
            <w:tcMar>
              <w:top w:w="0" w:type="dxa"/>
              <w:left w:w="108" w:type="dxa"/>
              <w:bottom w:w="0" w:type="dxa"/>
              <w:right w:w="108" w:type="dxa"/>
            </w:tcMar>
            <w:vAlign w:val="center"/>
            <w:hideMark/>
          </w:tcPr>
          <w:p w14:paraId="1C9F74A6" w14:textId="77777777" w:rsidR="009135AF" w:rsidRDefault="009135AF">
            <w:r>
              <w:rPr>
                <w:b/>
                <w:bCs/>
                <w:color w:val="000000"/>
                <w:sz w:val="20"/>
                <w:szCs w:val="20"/>
              </w:rPr>
              <w:t>FY19</w:t>
            </w:r>
          </w:p>
        </w:tc>
        <w:tc>
          <w:tcPr>
            <w:tcW w:w="960" w:type="dxa"/>
            <w:vMerge w:val="restart"/>
            <w:tcBorders>
              <w:top w:val="single" w:sz="8" w:space="0" w:color="000000"/>
              <w:left w:val="nil"/>
              <w:bottom w:val="single" w:sz="8" w:space="0" w:color="000000"/>
              <w:right w:val="single" w:sz="8" w:space="0" w:color="auto"/>
            </w:tcBorders>
            <w:shd w:val="clear" w:color="auto" w:fill="E7E6E6"/>
            <w:noWrap/>
            <w:tcMar>
              <w:top w:w="0" w:type="dxa"/>
              <w:left w:w="108" w:type="dxa"/>
              <w:bottom w:w="0" w:type="dxa"/>
              <w:right w:w="108" w:type="dxa"/>
            </w:tcMar>
            <w:vAlign w:val="center"/>
            <w:hideMark/>
          </w:tcPr>
          <w:p w14:paraId="2C4AB4C9" w14:textId="77777777" w:rsidR="009135AF" w:rsidRDefault="009135AF">
            <w:r>
              <w:rPr>
                <w:b/>
                <w:bCs/>
                <w:color w:val="000000"/>
                <w:sz w:val="20"/>
                <w:szCs w:val="20"/>
              </w:rPr>
              <w:t>FY20</w:t>
            </w:r>
          </w:p>
        </w:tc>
      </w:tr>
      <w:tr w:rsidR="009135AF" w14:paraId="541B74BF" w14:textId="77777777" w:rsidTr="009135AF">
        <w:trPr>
          <w:trHeight w:val="315"/>
        </w:trPr>
        <w:tc>
          <w:tcPr>
            <w:tcW w:w="1780" w:type="dxa"/>
            <w:tcBorders>
              <w:top w:val="nil"/>
              <w:left w:val="single" w:sz="8" w:space="0" w:color="000000"/>
              <w:bottom w:val="single" w:sz="8" w:space="0" w:color="auto"/>
              <w:right w:val="single" w:sz="8" w:space="0" w:color="auto"/>
            </w:tcBorders>
            <w:shd w:val="clear" w:color="auto" w:fill="E7E6E6"/>
            <w:noWrap/>
            <w:tcMar>
              <w:top w:w="0" w:type="dxa"/>
              <w:left w:w="108" w:type="dxa"/>
              <w:bottom w:w="0" w:type="dxa"/>
              <w:right w:w="108" w:type="dxa"/>
            </w:tcMar>
            <w:vAlign w:val="center"/>
            <w:hideMark/>
          </w:tcPr>
          <w:p w14:paraId="1164F548" w14:textId="77777777" w:rsidR="009135AF" w:rsidRDefault="009135AF">
            <w:r>
              <w:rPr>
                <w:b/>
                <w:bCs/>
                <w:color w:val="000000"/>
                <w:sz w:val="20"/>
                <w:szCs w:val="20"/>
              </w:rPr>
              <w:t>Specialty Volume</w:t>
            </w:r>
          </w:p>
        </w:tc>
        <w:tc>
          <w:tcPr>
            <w:tcW w:w="0" w:type="auto"/>
            <w:vMerge/>
            <w:tcBorders>
              <w:top w:val="single" w:sz="8" w:space="0" w:color="000000"/>
              <w:left w:val="nil"/>
              <w:bottom w:val="single" w:sz="8" w:space="0" w:color="000000"/>
              <w:right w:val="single" w:sz="8" w:space="0" w:color="auto"/>
            </w:tcBorders>
            <w:vAlign w:val="center"/>
            <w:hideMark/>
          </w:tcPr>
          <w:p w14:paraId="69228A65" w14:textId="77777777" w:rsidR="009135AF" w:rsidRDefault="009135AF">
            <w:pPr>
              <w:rPr>
                <w:rFonts w:ascii="Calibri" w:hAnsi="Calibri" w:cs="Calibri"/>
              </w:rPr>
            </w:pPr>
          </w:p>
        </w:tc>
        <w:tc>
          <w:tcPr>
            <w:tcW w:w="0" w:type="auto"/>
            <w:vMerge/>
            <w:tcBorders>
              <w:top w:val="single" w:sz="8" w:space="0" w:color="000000"/>
              <w:left w:val="nil"/>
              <w:bottom w:val="single" w:sz="8" w:space="0" w:color="000000"/>
              <w:right w:val="single" w:sz="8" w:space="0" w:color="auto"/>
            </w:tcBorders>
            <w:vAlign w:val="center"/>
            <w:hideMark/>
          </w:tcPr>
          <w:p w14:paraId="6D242A38" w14:textId="77777777" w:rsidR="009135AF" w:rsidRDefault="009135AF">
            <w:pPr>
              <w:rPr>
                <w:rFonts w:ascii="Calibri" w:hAnsi="Calibri" w:cs="Calibri"/>
              </w:rPr>
            </w:pPr>
          </w:p>
        </w:tc>
        <w:tc>
          <w:tcPr>
            <w:tcW w:w="0" w:type="auto"/>
            <w:vMerge/>
            <w:tcBorders>
              <w:top w:val="single" w:sz="8" w:space="0" w:color="000000"/>
              <w:left w:val="nil"/>
              <w:bottom w:val="single" w:sz="8" w:space="0" w:color="000000"/>
              <w:right w:val="single" w:sz="8" w:space="0" w:color="auto"/>
            </w:tcBorders>
            <w:vAlign w:val="center"/>
            <w:hideMark/>
          </w:tcPr>
          <w:p w14:paraId="1F7484E8" w14:textId="77777777" w:rsidR="009135AF" w:rsidRDefault="009135AF">
            <w:pPr>
              <w:rPr>
                <w:rFonts w:ascii="Calibri" w:hAnsi="Calibri" w:cs="Calibri"/>
              </w:rPr>
            </w:pPr>
          </w:p>
        </w:tc>
      </w:tr>
      <w:tr w:rsidR="009135AF" w14:paraId="4DAC8C61" w14:textId="77777777" w:rsidTr="009135AF">
        <w:trPr>
          <w:trHeight w:val="315"/>
        </w:trPr>
        <w:tc>
          <w:tcPr>
            <w:tcW w:w="1780" w:type="dxa"/>
            <w:tcBorders>
              <w:top w:val="nil"/>
              <w:left w:val="single" w:sz="8" w:space="0" w:color="000000"/>
              <w:bottom w:val="single" w:sz="8" w:space="0" w:color="auto"/>
              <w:right w:val="single" w:sz="8" w:space="0" w:color="auto"/>
            </w:tcBorders>
            <w:noWrap/>
            <w:tcMar>
              <w:top w:w="0" w:type="dxa"/>
              <w:left w:w="108" w:type="dxa"/>
              <w:bottom w:w="0" w:type="dxa"/>
              <w:right w:w="108" w:type="dxa"/>
            </w:tcMar>
            <w:vAlign w:val="center"/>
            <w:hideMark/>
          </w:tcPr>
          <w:p w14:paraId="3C5AB3A1" w14:textId="77777777" w:rsidR="009135AF" w:rsidRDefault="009135AF">
            <w:r>
              <w:rPr>
                <w:color w:val="000000"/>
                <w:sz w:val="20"/>
                <w:szCs w:val="20"/>
              </w:rPr>
              <w:t>ONCOLOGY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AA0512" w14:textId="77777777" w:rsidR="009135AF" w:rsidRDefault="009135AF">
            <w:pPr>
              <w:jc w:val="right"/>
            </w:pPr>
            <w:r>
              <w:rPr>
                <w:color w:val="000000"/>
                <w:sz w:val="20"/>
                <w:szCs w:val="20"/>
              </w:rPr>
              <w:t>10,989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917EB8" w14:textId="77777777" w:rsidR="009135AF" w:rsidRDefault="009135AF">
            <w:pPr>
              <w:jc w:val="right"/>
            </w:pPr>
            <w:r>
              <w:rPr>
                <w:color w:val="000000"/>
                <w:sz w:val="20"/>
                <w:szCs w:val="20"/>
              </w:rPr>
              <w:t>13,968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B74A5B" w14:textId="77777777" w:rsidR="009135AF" w:rsidRDefault="009135AF">
            <w:pPr>
              <w:jc w:val="right"/>
            </w:pPr>
            <w:r>
              <w:rPr>
                <w:color w:val="000000"/>
                <w:sz w:val="20"/>
                <w:szCs w:val="20"/>
              </w:rPr>
              <w:t>12,874</w:t>
            </w:r>
          </w:p>
        </w:tc>
      </w:tr>
      <w:tr w:rsidR="009135AF" w14:paraId="563BDEAA" w14:textId="77777777" w:rsidTr="009135AF">
        <w:trPr>
          <w:trHeight w:val="315"/>
        </w:trPr>
        <w:tc>
          <w:tcPr>
            <w:tcW w:w="1780" w:type="dxa"/>
            <w:tcBorders>
              <w:top w:val="nil"/>
              <w:left w:val="single" w:sz="8" w:space="0" w:color="000000"/>
              <w:bottom w:val="single" w:sz="8" w:space="0" w:color="auto"/>
              <w:right w:val="single" w:sz="8" w:space="0" w:color="auto"/>
            </w:tcBorders>
            <w:noWrap/>
            <w:tcMar>
              <w:top w:w="0" w:type="dxa"/>
              <w:left w:w="108" w:type="dxa"/>
              <w:bottom w:w="0" w:type="dxa"/>
              <w:right w:w="108" w:type="dxa"/>
            </w:tcMar>
            <w:vAlign w:val="center"/>
            <w:hideMark/>
          </w:tcPr>
          <w:p w14:paraId="6F9240DF" w14:textId="77777777" w:rsidR="009135AF" w:rsidRDefault="009135AF">
            <w:r>
              <w:rPr>
                <w:color w:val="000000"/>
                <w:sz w:val="20"/>
                <w:szCs w:val="20"/>
              </w:rPr>
              <w:t>CARDIAC</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CFB0D5" w14:textId="77777777" w:rsidR="009135AF" w:rsidRDefault="009135AF">
            <w:pPr>
              <w:jc w:val="right"/>
            </w:pPr>
            <w:r>
              <w:rPr>
                <w:color w:val="000000"/>
                <w:sz w:val="20"/>
                <w:szCs w:val="20"/>
              </w:rPr>
              <w:t>1,392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BFC51B" w14:textId="77777777" w:rsidR="009135AF" w:rsidRDefault="009135AF">
            <w:pPr>
              <w:jc w:val="right"/>
            </w:pPr>
            <w:r>
              <w:rPr>
                <w:color w:val="000000"/>
                <w:sz w:val="20"/>
                <w:szCs w:val="20"/>
              </w:rPr>
              <w:t>1,945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F95B9A" w14:textId="77777777" w:rsidR="009135AF" w:rsidRDefault="009135AF">
            <w:pPr>
              <w:jc w:val="right"/>
            </w:pPr>
            <w:r>
              <w:rPr>
                <w:color w:val="000000"/>
                <w:sz w:val="20"/>
                <w:szCs w:val="20"/>
              </w:rPr>
              <w:t>1,454</w:t>
            </w:r>
          </w:p>
        </w:tc>
      </w:tr>
      <w:tr w:rsidR="009135AF" w14:paraId="5E15B4F2" w14:textId="77777777" w:rsidTr="009135AF">
        <w:trPr>
          <w:trHeight w:val="315"/>
        </w:trPr>
        <w:tc>
          <w:tcPr>
            <w:tcW w:w="1780" w:type="dxa"/>
            <w:tcBorders>
              <w:top w:val="nil"/>
              <w:left w:val="single" w:sz="8" w:space="0" w:color="000000"/>
              <w:bottom w:val="single" w:sz="8" w:space="0" w:color="auto"/>
              <w:right w:val="single" w:sz="8" w:space="0" w:color="auto"/>
            </w:tcBorders>
            <w:noWrap/>
            <w:tcMar>
              <w:top w:w="0" w:type="dxa"/>
              <w:left w:w="108" w:type="dxa"/>
              <w:bottom w:w="0" w:type="dxa"/>
              <w:right w:w="108" w:type="dxa"/>
            </w:tcMar>
            <w:vAlign w:val="center"/>
            <w:hideMark/>
          </w:tcPr>
          <w:p w14:paraId="51D9F0AF" w14:textId="77777777" w:rsidR="009135AF" w:rsidRDefault="009135AF">
            <w:r>
              <w:rPr>
                <w:color w:val="000000"/>
                <w:sz w:val="20"/>
                <w:szCs w:val="20"/>
              </w:rPr>
              <w:t xml:space="preserve">INTERNAL MEDICINE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F33AA6" w14:textId="77777777" w:rsidR="009135AF" w:rsidRDefault="009135AF">
            <w:pPr>
              <w:jc w:val="right"/>
            </w:pPr>
            <w:r>
              <w:rPr>
                <w:color w:val="000000"/>
                <w:sz w:val="20"/>
                <w:szCs w:val="20"/>
              </w:rPr>
              <w:t>9,017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1DBA4F" w14:textId="77777777" w:rsidR="009135AF" w:rsidRDefault="009135AF">
            <w:pPr>
              <w:jc w:val="right"/>
            </w:pPr>
            <w:r>
              <w:rPr>
                <w:color w:val="000000"/>
                <w:sz w:val="20"/>
                <w:szCs w:val="20"/>
              </w:rPr>
              <w:t>11,163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8157E4" w14:textId="77777777" w:rsidR="009135AF" w:rsidRDefault="009135AF">
            <w:pPr>
              <w:jc w:val="right"/>
            </w:pPr>
            <w:r>
              <w:rPr>
                <w:color w:val="000000"/>
                <w:sz w:val="20"/>
                <w:szCs w:val="20"/>
              </w:rPr>
              <w:t>9,990</w:t>
            </w:r>
          </w:p>
        </w:tc>
      </w:tr>
      <w:tr w:rsidR="009135AF" w14:paraId="1EC3EBEA" w14:textId="77777777" w:rsidTr="009135AF">
        <w:trPr>
          <w:trHeight w:val="315"/>
        </w:trPr>
        <w:tc>
          <w:tcPr>
            <w:tcW w:w="1780" w:type="dxa"/>
            <w:tcBorders>
              <w:top w:val="nil"/>
              <w:left w:val="single" w:sz="8" w:space="0" w:color="000000"/>
              <w:bottom w:val="single" w:sz="8" w:space="0" w:color="auto"/>
              <w:right w:val="single" w:sz="8" w:space="0" w:color="auto"/>
            </w:tcBorders>
            <w:noWrap/>
            <w:tcMar>
              <w:top w:w="0" w:type="dxa"/>
              <w:left w:w="108" w:type="dxa"/>
              <w:bottom w:w="0" w:type="dxa"/>
              <w:right w:w="108" w:type="dxa"/>
            </w:tcMar>
            <w:vAlign w:val="center"/>
            <w:hideMark/>
          </w:tcPr>
          <w:p w14:paraId="01CB9012" w14:textId="77777777" w:rsidR="009135AF" w:rsidRDefault="009135AF">
            <w:r>
              <w:rPr>
                <w:color w:val="000000"/>
                <w:sz w:val="20"/>
                <w:szCs w:val="20"/>
              </w:rPr>
              <w:t>SURGERY</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62A215" w14:textId="77777777" w:rsidR="009135AF" w:rsidRDefault="009135AF">
            <w:pPr>
              <w:jc w:val="right"/>
            </w:pPr>
            <w:r>
              <w:rPr>
                <w:color w:val="000000"/>
                <w:sz w:val="20"/>
                <w:szCs w:val="20"/>
              </w:rPr>
              <w:t>1,321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F0EB87" w14:textId="77777777" w:rsidR="009135AF" w:rsidRDefault="009135AF">
            <w:pPr>
              <w:jc w:val="right"/>
            </w:pPr>
            <w:r>
              <w:rPr>
                <w:color w:val="000000"/>
                <w:sz w:val="20"/>
                <w:szCs w:val="20"/>
              </w:rPr>
              <w:t>1,639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887A2D" w14:textId="77777777" w:rsidR="009135AF" w:rsidRDefault="009135AF">
            <w:pPr>
              <w:jc w:val="right"/>
            </w:pPr>
            <w:r>
              <w:rPr>
                <w:color w:val="000000"/>
                <w:sz w:val="20"/>
                <w:szCs w:val="20"/>
              </w:rPr>
              <w:t>1,520</w:t>
            </w:r>
          </w:p>
        </w:tc>
      </w:tr>
      <w:tr w:rsidR="009135AF" w14:paraId="1687064B" w14:textId="77777777" w:rsidTr="009135AF">
        <w:trPr>
          <w:trHeight w:val="315"/>
        </w:trPr>
        <w:tc>
          <w:tcPr>
            <w:tcW w:w="1780" w:type="dxa"/>
            <w:tcBorders>
              <w:top w:val="nil"/>
              <w:left w:val="single" w:sz="8" w:space="0" w:color="000000"/>
              <w:bottom w:val="single" w:sz="8" w:space="0" w:color="auto"/>
              <w:right w:val="single" w:sz="8" w:space="0" w:color="auto"/>
            </w:tcBorders>
            <w:noWrap/>
            <w:tcMar>
              <w:top w:w="0" w:type="dxa"/>
              <w:left w:w="108" w:type="dxa"/>
              <w:bottom w:w="0" w:type="dxa"/>
              <w:right w:w="108" w:type="dxa"/>
            </w:tcMar>
            <w:vAlign w:val="center"/>
            <w:hideMark/>
          </w:tcPr>
          <w:p w14:paraId="5D3E2222" w14:textId="77777777" w:rsidR="009135AF" w:rsidRDefault="009135AF">
            <w:r>
              <w:rPr>
                <w:color w:val="000000"/>
                <w:sz w:val="20"/>
                <w:szCs w:val="20"/>
              </w:rPr>
              <w:t>OTHER</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B0600C" w14:textId="77777777" w:rsidR="009135AF" w:rsidRDefault="009135AF">
            <w:pPr>
              <w:jc w:val="right"/>
            </w:pPr>
            <w:r>
              <w:rPr>
                <w:color w:val="000000"/>
                <w:sz w:val="20"/>
                <w:szCs w:val="20"/>
              </w:rPr>
              <w:t>50,493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618334" w14:textId="77777777" w:rsidR="009135AF" w:rsidRDefault="009135AF">
            <w:pPr>
              <w:jc w:val="right"/>
            </w:pPr>
            <w:r>
              <w:rPr>
                <w:color w:val="000000"/>
                <w:sz w:val="20"/>
                <w:szCs w:val="20"/>
              </w:rPr>
              <w:t>48,716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F32960" w14:textId="77777777" w:rsidR="009135AF" w:rsidRDefault="009135AF">
            <w:pPr>
              <w:jc w:val="right"/>
            </w:pPr>
            <w:r>
              <w:rPr>
                <w:color w:val="000000"/>
                <w:sz w:val="20"/>
                <w:szCs w:val="20"/>
              </w:rPr>
              <w:t>52,426</w:t>
            </w:r>
          </w:p>
        </w:tc>
      </w:tr>
      <w:tr w:rsidR="009135AF" w14:paraId="5466E7BD" w14:textId="77777777" w:rsidTr="009135AF">
        <w:trPr>
          <w:trHeight w:val="315"/>
        </w:trPr>
        <w:tc>
          <w:tcPr>
            <w:tcW w:w="1780" w:type="dxa"/>
            <w:tcBorders>
              <w:top w:val="nil"/>
              <w:left w:val="single" w:sz="8" w:space="0" w:color="000000"/>
              <w:bottom w:val="single" w:sz="8" w:space="0" w:color="auto"/>
              <w:right w:val="single" w:sz="8" w:space="0" w:color="auto"/>
            </w:tcBorders>
            <w:noWrap/>
            <w:tcMar>
              <w:top w:w="0" w:type="dxa"/>
              <w:left w:w="108" w:type="dxa"/>
              <w:bottom w:w="0" w:type="dxa"/>
              <w:right w:w="108" w:type="dxa"/>
            </w:tcMar>
            <w:vAlign w:val="center"/>
            <w:hideMark/>
          </w:tcPr>
          <w:p w14:paraId="55092A7C" w14:textId="77777777" w:rsidR="009135AF" w:rsidRDefault="009135AF">
            <w:r>
              <w:rPr>
                <w:color w:val="000000"/>
                <w:sz w:val="20"/>
                <w:szCs w:val="20"/>
              </w:rPr>
              <w:t>TOTAL EXAM</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AFBC93" w14:textId="77777777" w:rsidR="009135AF" w:rsidRDefault="009135AF">
            <w:pPr>
              <w:jc w:val="right"/>
            </w:pPr>
            <w:r>
              <w:rPr>
                <w:color w:val="000000"/>
                <w:sz w:val="20"/>
                <w:szCs w:val="20"/>
              </w:rPr>
              <w:t>73,212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E231F5" w14:textId="77777777" w:rsidR="009135AF" w:rsidRDefault="009135AF">
            <w:pPr>
              <w:jc w:val="right"/>
            </w:pPr>
            <w:r>
              <w:rPr>
                <w:color w:val="000000"/>
                <w:sz w:val="20"/>
                <w:szCs w:val="20"/>
              </w:rPr>
              <w:t>77,431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A38D0D" w14:textId="77777777" w:rsidR="009135AF" w:rsidRDefault="009135AF">
            <w:pPr>
              <w:jc w:val="right"/>
            </w:pPr>
            <w:r>
              <w:rPr>
                <w:color w:val="000000"/>
                <w:sz w:val="20"/>
                <w:szCs w:val="20"/>
              </w:rPr>
              <w:t>78,264</w:t>
            </w:r>
          </w:p>
        </w:tc>
      </w:tr>
    </w:tbl>
    <w:p w14:paraId="0AC7CE86" w14:textId="77777777" w:rsidR="00E02482" w:rsidRPr="00C47756" w:rsidRDefault="00E02482" w:rsidP="00C47756">
      <w:pPr>
        <w:rPr>
          <w:rFonts w:cstheme="minorHAnsi"/>
        </w:rPr>
      </w:pPr>
    </w:p>
    <w:p w14:paraId="353D79C2" w14:textId="79A9AAC5" w:rsidR="00FE4821" w:rsidRPr="00781BF8" w:rsidRDefault="00FE4821" w:rsidP="0024480F">
      <w:pPr>
        <w:pStyle w:val="ListParagraph"/>
        <w:numPr>
          <w:ilvl w:val="0"/>
          <w:numId w:val="1"/>
        </w:numPr>
        <w:rPr>
          <w:rFonts w:cstheme="minorHAnsi"/>
          <w:b/>
          <w:bCs/>
        </w:rPr>
      </w:pPr>
      <w:r w:rsidRPr="00781BF8">
        <w:rPr>
          <w:rFonts w:cstheme="minorHAnsi"/>
          <w:b/>
          <w:bCs/>
        </w:rPr>
        <w:t>The responses state</w:t>
      </w:r>
      <w:r w:rsidR="00160C24" w:rsidRPr="00781BF8">
        <w:rPr>
          <w:rFonts w:cstheme="minorHAnsi"/>
          <w:b/>
          <w:bCs/>
        </w:rPr>
        <w:t>s</w:t>
      </w:r>
      <w:r w:rsidRPr="00781BF8">
        <w:rPr>
          <w:rFonts w:cstheme="minorHAnsi"/>
          <w:b/>
          <w:bCs/>
        </w:rPr>
        <w:t xml:space="preserve"> that there are 42,750 prostate cancer (“PCa”) diagnoses annually in Massachusetts according to ACS data. In addition, there are currently approximately 52,745 prostate cancer survivors in Massachusetts according to SEER database. The estimated death from prostate cancer is 12,540. On average, at a given time there are approximately 82,950 PCa patients in the State. According to new modeling data approximately 54% of patients benefit from PSMA based imaging (i.e., 44,793 patients annually). Patients require PET/CT imaging for staging, re-staging and PRRT planning for PMSA therapies. For Massachusetts alone, this equates to 187 PSMA pet scans in a working day (20 working days per month). Given MGB serves around 10% of the State’s population (700,000 patients), this comes out to 19 scans across all MGB sites (Responses p. 21).</w:t>
      </w:r>
    </w:p>
    <w:p w14:paraId="1E85F599" w14:textId="777D7DD1" w:rsidR="006E18E3" w:rsidRPr="00781BF8" w:rsidRDefault="00FE4821" w:rsidP="006E18E3">
      <w:pPr>
        <w:pStyle w:val="ListParagraph"/>
        <w:numPr>
          <w:ilvl w:val="1"/>
          <w:numId w:val="16"/>
        </w:numPr>
        <w:rPr>
          <w:rFonts w:cstheme="minorHAnsi"/>
          <w:b/>
          <w:bCs/>
        </w:rPr>
      </w:pPr>
      <w:r w:rsidRPr="00781BF8">
        <w:rPr>
          <w:rFonts w:cstheme="minorHAnsi"/>
          <w:b/>
          <w:bCs/>
        </w:rPr>
        <w:t xml:space="preserve">Will scans be accessed across all MGB sites or will they be consolidated at the main campus? </w:t>
      </w:r>
    </w:p>
    <w:p w14:paraId="2450A613" w14:textId="44FFF727" w:rsidR="006E18E3" w:rsidRDefault="006E18E3" w:rsidP="006E18E3">
      <w:pPr>
        <w:pStyle w:val="ListParagraph"/>
        <w:rPr>
          <w:rFonts w:cstheme="minorHAnsi"/>
        </w:rPr>
      </w:pPr>
    </w:p>
    <w:p w14:paraId="77A837FC" w14:textId="3D541489" w:rsidR="00FE4821" w:rsidRPr="009F1F42" w:rsidRDefault="00150529" w:rsidP="009F1F42">
      <w:pPr>
        <w:pStyle w:val="ListParagraph"/>
        <w:ind w:left="1080"/>
      </w:pPr>
      <w:r>
        <w:t xml:space="preserve">Response: </w:t>
      </w:r>
      <w:r w:rsidR="006E18E3">
        <w:t>The PSMA exam (performed on a PET</w:t>
      </w:r>
      <w:r>
        <w:t>/</w:t>
      </w:r>
      <w:r w:rsidR="006E18E3">
        <w:t>CT) was just approved</w:t>
      </w:r>
      <w:r>
        <w:t xml:space="preserve"> by Medicare</w:t>
      </w:r>
      <w:r w:rsidR="006E18E3">
        <w:t xml:space="preserve"> in Jan 2022. </w:t>
      </w:r>
      <w:r>
        <w:t>Currently, these scans are performed at MGH</w:t>
      </w:r>
      <w:r w:rsidR="00446476">
        <w:t xml:space="preserve"> (main campus and Chelsea)</w:t>
      </w:r>
      <w:r>
        <w:t xml:space="preserve">, with the goal for them to also be available at all PET/CTs at MGB facilities. MGH will not be the exclusive location for PSMA scans for the MGB patient panel. </w:t>
      </w:r>
      <w:r w:rsidR="000276AD">
        <w:t xml:space="preserve"> However, it is important to note that not all community provides have PET capabilities due to </w:t>
      </w:r>
      <w:r w:rsidR="00F3604D">
        <w:t>specialized equipment (cyclotron) and staff to operate (</w:t>
      </w:r>
      <w:r w:rsidR="00A64196">
        <w:t>physicists</w:t>
      </w:r>
      <w:r w:rsidR="00F3604D">
        <w:t xml:space="preserve"> and </w:t>
      </w:r>
      <w:r w:rsidR="000276AD">
        <w:t>radio pharmacists</w:t>
      </w:r>
      <w:r w:rsidR="00F3604D">
        <w:t>).</w:t>
      </w:r>
    </w:p>
    <w:p w14:paraId="2758C082" w14:textId="77777777" w:rsidR="00E02482" w:rsidRPr="00D77442" w:rsidRDefault="00E02482" w:rsidP="00FE4821">
      <w:pPr>
        <w:pStyle w:val="ListParagraph"/>
        <w:ind w:left="1440"/>
        <w:rPr>
          <w:rFonts w:cstheme="minorHAnsi"/>
        </w:rPr>
      </w:pPr>
    </w:p>
    <w:p w14:paraId="4E1E8DA5" w14:textId="77777777" w:rsidR="00E34877" w:rsidRPr="00781BF8" w:rsidRDefault="00E34877" w:rsidP="00E34877">
      <w:pPr>
        <w:pStyle w:val="ListParagraph"/>
        <w:numPr>
          <w:ilvl w:val="0"/>
          <w:numId w:val="1"/>
        </w:numPr>
        <w:rPr>
          <w:rFonts w:cstheme="minorHAnsi"/>
          <w:b/>
          <w:bCs/>
        </w:rPr>
      </w:pPr>
      <w:r w:rsidRPr="00781BF8">
        <w:rPr>
          <w:rFonts w:cstheme="minorHAnsi"/>
          <w:b/>
          <w:bCs/>
        </w:rPr>
        <w:t>MGH obtained approval in 2019 to operate one PET/MR unit on its main campus and the unit is in the process of being implemented (Application pg. 26)</w:t>
      </w:r>
    </w:p>
    <w:p w14:paraId="052CDADF" w14:textId="77777777" w:rsidR="00E34877" w:rsidRPr="00781BF8" w:rsidRDefault="00E34877" w:rsidP="00E34877">
      <w:pPr>
        <w:pStyle w:val="ListParagraph"/>
        <w:numPr>
          <w:ilvl w:val="0"/>
          <w:numId w:val="11"/>
        </w:numPr>
        <w:rPr>
          <w:rFonts w:cstheme="minorHAnsi"/>
          <w:b/>
          <w:bCs/>
        </w:rPr>
      </w:pPr>
      <w:r w:rsidRPr="00781BF8">
        <w:rPr>
          <w:rFonts w:cstheme="minorHAnsi"/>
          <w:b/>
          <w:bCs/>
        </w:rPr>
        <w:lastRenderedPageBreak/>
        <w:t xml:space="preserve">Where are patients who currently need PET/MR scans currently accessing these services? </w:t>
      </w:r>
    </w:p>
    <w:p w14:paraId="24D54E04" w14:textId="77777777" w:rsidR="00E34877" w:rsidRPr="00781BF8" w:rsidRDefault="00E34877" w:rsidP="00E34877">
      <w:pPr>
        <w:pStyle w:val="ListParagraph"/>
        <w:ind w:left="1080"/>
        <w:rPr>
          <w:b/>
          <w:bCs/>
          <w:color w:val="4472C4"/>
        </w:rPr>
      </w:pPr>
    </w:p>
    <w:p w14:paraId="04EC61A1" w14:textId="6A85CF38" w:rsidR="00E34877" w:rsidRPr="00E34877" w:rsidRDefault="002E0471" w:rsidP="00E34877">
      <w:pPr>
        <w:pStyle w:val="ListParagraph"/>
        <w:ind w:left="1080"/>
      </w:pPr>
      <w:r>
        <w:t xml:space="preserve">Response: </w:t>
      </w:r>
      <w:r w:rsidR="00150529">
        <w:t xml:space="preserve">Clinical use of PET/MR is not currently available in New England. </w:t>
      </w:r>
      <w:r w:rsidR="00390C5B">
        <w:t>The</w:t>
      </w:r>
      <w:r>
        <w:t xml:space="preserve"> 2019 </w:t>
      </w:r>
      <w:r w:rsidR="00390C5B">
        <w:t xml:space="preserve">approved PET/MR will be the first PET/MR for clinical use in the region. </w:t>
      </w:r>
      <w:r w:rsidR="00F3604D">
        <w:t xml:space="preserve"> Today patients are receiving conventional imaging from CT, MRI or PET/CT but PET/MR has proven to be a valuable tool for subspecialty diagnosis, staging and treatment that provides better soft tissue contrast, less radiation dose, and as our research is showing additional findings not seen on PET/CT in many patients.</w:t>
      </w:r>
    </w:p>
    <w:p w14:paraId="7B6A1F59" w14:textId="77777777" w:rsidR="00E34877" w:rsidRPr="00E34877" w:rsidRDefault="00E34877" w:rsidP="00E34877">
      <w:pPr>
        <w:pStyle w:val="ListParagraph"/>
        <w:ind w:left="1080"/>
        <w:rPr>
          <w:rFonts w:cstheme="minorHAnsi"/>
        </w:rPr>
      </w:pPr>
    </w:p>
    <w:p w14:paraId="31418C93" w14:textId="77777777" w:rsidR="00E34877" w:rsidRPr="00781BF8" w:rsidRDefault="00E34877" w:rsidP="00E34877">
      <w:pPr>
        <w:pStyle w:val="ListParagraph"/>
        <w:numPr>
          <w:ilvl w:val="0"/>
          <w:numId w:val="11"/>
        </w:numPr>
        <w:rPr>
          <w:rFonts w:cstheme="minorHAnsi"/>
          <w:b/>
          <w:bCs/>
        </w:rPr>
      </w:pPr>
      <w:r w:rsidRPr="00781BF8">
        <w:rPr>
          <w:rFonts w:cstheme="minorHAnsi"/>
          <w:b/>
          <w:bCs/>
        </w:rPr>
        <w:t xml:space="preserve">Would making the unimplemented unit full time meet Patient Panel need (i.e. if demand exists, why not make it full-time?) If not, will it remain a part-time unit as originally intended? </w:t>
      </w:r>
    </w:p>
    <w:p w14:paraId="72E6E4A4" w14:textId="77777777" w:rsidR="00150529" w:rsidRDefault="00150529" w:rsidP="00E34877">
      <w:pPr>
        <w:pStyle w:val="ListParagraph"/>
        <w:ind w:left="1080"/>
        <w:rPr>
          <w:u w:val="single"/>
        </w:rPr>
      </w:pPr>
    </w:p>
    <w:p w14:paraId="25576F19" w14:textId="33670C09" w:rsidR="00E34877" w:rsidRPr="00E34877" w:rsidRDefault="002E0471" w:rsidP="00E34877">
      <w:pPr>
        <w:pStyle w:val="ListParagraph"/>
        <w:ind w:left="1080"/>
      </w:pPr>
      <w:r>
        <w:t xml:space="preserve">Response: </w:t>
      </w:r>
      <w:r w:rsidR="00150529">
        <w:t>The DoN approval</w:t>
      </w:r>
      <w:r w:rsidR="00390C5B">
        <w:t xml:space="preserve"> issued in 2019</w:t>
      </w:r>
      <w:r w:rsidR="00150529">
        <w:t xml:space="preserve"> for MGH to acquire a PET/MR </w:t>
      </w:r>
      <w:r w:rsidR="00390C5B">
        <w:t xml:space="preserve">was approved for part time clinical PET/MR use, part time research and part time MR only use. There is continuing need to perform research </w:t>
      </w:r>
      <w:r w:rsidR="00221EE5">
        <w:t xml:space="preserve">on </w:t>
      </w:r>
      <w:r w:rsidR="00390C5B">
        <w:t>the approved unit in order to advance potential use of the technology. In addition, there is excess demand for MRI at the hospital and as such</w:t>
      </w:r>
      <w:r w:rsidR="00BF665C">
        <w:t>,</w:t>
      </w:r>
      <w:r w:rsidR="00390C5B">
        <w:t xml:space="preserve"> the hospital </w:t>
      </w:r>
      <w:r w:rsidR="00C47756">
        <w:t xml:space="preserve">received approval </w:t>
      </w:r>
      <w:r w:rsidR="00390C5B">
        <w:t xml:space="preserve">to use the unit part-time for MRI imaging. </w:t>
      </w:r>
      <w:r w:rsidR="00C47756">
        <w:t>Accordingly,</w:t>
      </w:r>
      <w:r w:rsidR="00221EE5">
        <w:t xml:space="preserve"> and based on </w:t>
      </w:r>
      <w:r w:rsidR="00BF665C">
        <w:t xml:space="preserve">MGH’s </w:t>
      </w:r>
      <w:r w:rsidR="00221EE5">
        <w:t>current understand</w:t>
      </w:r>
      <w:r w:rsidR="00CB4E2E">
        <w:t>ing</w:t>
      </w:r>
      <w:r w:rsidR="00221EE5">
        <w:t xml:space="preserve"> of future utilization, </w:t>
      </w:r>
      <w:r w:rsidR="004E7C86">
        <w:t xml:space="preserve">MGH </w:t>
      </w:r>
      <w:r w:rsidR="00221EE5">
        <w:t>do</w:t>
      </w:r>
      <w:r w:rsidR="004E7C86">
        <w:t>es</w:t>
      </w:r>
      <w:r w:rsidR="00221EE5">
        <w:t xml:space="preserve"> not believe </w:t>
      </w:r>
      <w:r w:rsidR="004E7C86">
        <w:t>it</w:t>
      </w:r>
      <w:r w:rsidR="00221EE5">
        <w:t xml:space="preserve"> should alter the plan and</w:t>
      </w:r>
      <w:r w:rsidR="00390C5B">
        <w:t xml:space="preserve"> use the approved unit solely for clinical </w:t>
      </w:r>
      <w:r w:rsidR="00221EE5">
        <w:t>care</w:t>
      </w:r>
      <w:r w:rsidR="00390C5B">
        <w:t xml:space="preserve">. </w:t>
      </w:r>
    </w:p>
    <w:p w14:paraId="264DE3FB" w14:textId="77777777" w:rsidR="00E34877" w:rsidRPr="00E34877" w:rsidRDefault="00E34877" w:rsidP="00E34877">
      <w:pPr>
        <w:pStyle w:val="ListParagraph"/>
        <w:ind w:left="1080"/>
        <w:rPr>
          <w:rFonts w:cstheme="minorHAnsi"/>
        </w:rPr>
      </w:pPr>
    </w:p>
    <w:p w14:paraId="152FDC1E" w14:textId="77777777" w:rsidR="00E34877" w:rsidRPr="00781BF8" w:rsidRDefault="00E34877" w:rsidP="00E34877">
      <w:pPr>
        <w:pStyle w:val="ListParagraph"/>
        <w:numPr>
          <w:ilvl w:val="0"/>
          <w:numId w:val="11"/>
        </w:numPr>
        <w:rPr>
          <w:rFonts w:cstheme="minorHAnsi"/>
          <w:b/>
          <w:bCs/>
        </w:rPr>
      </w:pPr>
      <w:r w:rsidRPr="00781BF8">
        <w:rPr>
          <w:rFonts w:cstheme="minorHAnsi"/>
          <w:b/>
          <w:bCs/>
        </w:rPr>
        <w:t>What is the scheduled time frame for implementation of the previously approved PET/MR unit?</w:t>
      </w:r>
    </w:p>
    <w:p w14:paraId="4967DA4B" w14:textId="666B57C6" w:rsidR="009F1F42" w:rsidRDefault="002E0471" w:rsidP="00651CD4">
      <w:pPr>
        <w:spacing w:after="0"/>
        <w:ind w:left="1080"/>
      </w:pPr>
      <w:r>
        <w:t xml:space="preserve">Response: </w:t>
      </w:r>
      <w:r w:rsidR="00390C5B">
        <w:t>Implementation of the unit has been delayed by the pandemic. The current timeline is to license the unit and begin scanning patients in the summer of 2023.</w:t>
      </w:r>
    </w:p>
    <w:p w14:paraId="47ADD4CD" w14:textId="77777777" w:rsidR="009F1F42" w:rsidRPr="00C47756" w:rsidRDefault="009F1F42" w:rsidP="00A64196">
      <w:pPr>
        <w:spacing w:after="0"/>
      </w:pPr>
    </w:p>
    <w:p w14:paraId="4FBDF3D1" w14:textId="60D43B06" w:rsidR="00A57972" w:rsidRPr="00781BF8" w:rsidRDefault="00A3407C" w:rsidP="0024480F">
      <w:pPr>
        <w:pStyle w:val="ListParagraph"/>
        <w:numPr>
          <w:ilvl w:val="0"/>
          <w:numId w:val="1"/>
        </w:numPr>
        <w:rPr>
          <w:rFonts w:cstheme="minorHAnsi"/>
          <w:b/>
          <w:bCs/>
        </w:rPr>
      </w:pPr>
      <w:r w:rsidRPr="00781BF8">
        <w:rPr>
          <w:rFonts w:cstheme="minorHAnsi"/>
          <w:b/>
          <w:bCs/>
        </w:rPr>
        <w:t xml:space="preserve"> </w:t>
      </w:r>
      <w:r w:rsidR="001C5BC3" w:rsidRPr="00781BF8">
        <w:rPr>
          <w:rFonts w:cstheme="minorHAnsi"/>
          <w:b/>
          <w:bCs/>
        </w:rPr>
        <w:t xml:space="preserve">Please </w:t>
      </w:r>
      <w:r w:rsidR="00640DCC" w:rsidRPr="00781BF8">
        <w:rPr>
          <w:rFonts w:cstheme="minorHAnsi"/>
          <w:b/>
          <w:bCs/>
        </w:rPr>
        <w:t xml:space="preserve">confirm </w:t>
      </w:r>
      <w:r w:rsidR="001C5BC3" w:rsidRPr="00781BF8">
        <w:rPr>
          <w:rFonts w:cstheme="minorHAnsi"/>
          <w:b/>
          <w:bCs/>
        </w:rPr>
        <w:t>that each row represents one imaging unit</w:t>
      </w:r>
      <w:r w:rsidR="0092386E" w:rsidRPr="00781BF8">
        <w:rPr>
          <w:rFonts w:cstheme="minorHAnsi"/>
          <w:b/>
          <w:bCs/>
        </w:rPr>
        <w:t xml:space="preserve"> (Responses pg. 16).</w:t>
      </w:r>
    </w:p>
    <w:tbl>
      <w:tblPr>
        <w:tblW w:w="6581" w:type="dxa"/>
        <w:jc w:val="center"/>
        <w:tblLook w:val="04A0" w:firstRow="1" w:lastRow="0" w:firstColumn="1" w:lastColumn="0" w:noHBand="0" w:noVBand="1"/>
      </w:tblPr>
      <w:tblGrid>
        <w:gridCol w:w="3017"/>
        <w:gridCol w:w="3564"/>
      </w:tblGrid>
      <w:tr w:rsidR="00A57972" w:rsidRPr="00D60BD3" w14:paraId="0EA8FCC8" w14:textId="77777777" w:rsidTr="00911FD3">
        <w:trPr>
          <w:trHeight w:val="330"/>
          <w:jc w:val="center"/>
        </w:trPr>
        <w:tc>
          <w:tcPr>
            <w:tcW w:w="3017" w:type="dxa"/>
            <w:tcBorders>
              <w:top w:val="single" w:sz="8" w:space="0" w:color="auto"/>
              <w:left w:val="single" w:sz="4" w:space="0" w:color="auto"/>
              <w:bottom w:val="single" w:sz="8" w:space="0" w:color="auto"/>
              <w:right w:val="nil"/>
            </w:tcBorders>
            <w:shd w:val="clear" w:color="000000" w:fill="000000"/>
            <w:noWrap/>
            <w:vAlign w:val="center"/>
            <w:hideMark/>
          </w:tcPr>
          <w:p w14:paraId="22DCDDAE" w14:textId="77777777" w:rsidR="00A57972" w:rsidRPr="00D60BD3" w:rsidRDefault="00A57972" w:rsidP="00911FD3">
            <w:pPr>
              <w:spacing w:after="0" w:line="240" w:lineRule="auto"/>
              <w:rPr>
                <w:rFonts w:eastAsia="Times New Roman" w:cstheme="minorHAnsi"/>
                <w:b/>
                <w:bCs/>
              </w:rPr>
            </w:pPr>
            <w:r w:rsidRPr="00D60BD3">
              <w:rPr>
                <w:rFonts w:eastAsia="Times New Roman" w:cstheme="minorHAnsi"/>
                <w:b/>
                <w:bCs/>
              </w:rPr>
              <w:t>CT</w:t>
            </w:r>
          </w:p>
        </w:tc>
        <w:tc>
          <w:tcPr>
            <w:tcW w:w="3564"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0E3126C5" w14:textId="77777777" w:rsidR="00A57972" w:rsidRPr="00D60BD3" w:rsidRDefault="00A57972" w:rsidP="00911FD3">
            <w:pPr>
              <w:spacing w:after="0" w:line="240" w:lineRule="auto"/>
              <w:rPr>
                <w:rFonts w:eastAsia="Times New Roman" w:cstheme="minorHAnsi"/>
                <w:b/>
                <w:bCs/>
              </w:rPr>
            </w:pPr>
            <w:r w:rsidRPr="00D60BD3">
              <w:rPr>
                <w:rFonts w:eastAsia="Times New Roman" w:cstheme="minorHAnsi"/>
                <w:b/>
                <w:bCs/>
              </w:rPr>
              <w:t>HOURS OF OPERATION</w:t>
            </w:r>
          </w:p>
        </w:tc>
      </w:tr>
      <w:tr w:rsidR="00A57972" w:rsidRPr="00D60BD3" w14:paraId="3B350B09" w14:textId="77777777" w:rsidTr="00911FD3">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03F63464"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ED</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1744887E"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24 X 7</w:t>
            </w:r>
          </w:p>
        </w:tc>
      </w:tr>
      <w:tr w:rsidR="00A57972" w:rsidRPr="00D60BD3" w14:paraId="7EA9D33B" w14:textId="77777777" w:rsidTr="00911FD3">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7CF53A1F"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ED</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66C3C001"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24 X 7</w:t>
            </w:r>
          </w:p>
        </w:tc>
      </w:tr>
      <w:tr w:rsidR="00A57972" w:rsidRPr="00D60BD3" w14:paraId="0E3A301F" w14:textId="77777777" w:rsidTr="00911FD3">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54197BB6"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Cardiac/Inpatient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70ABE9EE" w14:textId="4DCA0931" w:rsidR="00A57972" w:rsidRPr="00D60BD3" w:rsidRDefault="00A57972" w:rsidP="00911FD3">
            <w:pPr>
              <w:spacing w:after="0" w:line="240" w:lineRule="auto"/>
              <w:rPr>
                <w:rFonts w:eastAsia="Times New Roman" w:cstheme="minorHAnsi"/>
              </w:rPr>
            </w:pPr>
            <w:r w:rsidRPr="00D60BD3">
              <w:rPr>
                <w:rFonts w:eastAsia="Times New Roman" w:cstheme="minorHAnsi"/>
              </w:rPr>
              <w:t>M-F 8a-12a</w:t>
            </w:r>
            <w:r w:rsidR="00030111">
              <w:rPr>
                <w:rFonts w:eastAsia="Times New Roman" w:cstheme="minorHAnsi"/>
              </w:rPr>
              <w:t xml:space="preserve">, </w:t>
            </w:r>
            <w:r w:rsidRPr="00D60BD3">
              <w:rPr>
                <w:rFonts w:eastAsia="Times New Roman" w:cstheme="minorHAnsi"/>
              </w:rPr>
              <w:t>SS 8a-8p</w:t>
            </w:r>
          </w:p>
        </w:tc>
      </w:tr>
      <w:tr w:rsidR="00A57972" w:rsidRPr="00D60BD3" w14:paraId="3CB88856" w14:textId="77777777" w:rsidTr="00911FD3">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6954D506"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Inpatient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767D371F" w14:textId="191F99A8" w:rsidR="00A57972" w:rsidRPr="00D60BD3" w:rsidRDefault="00A57972" w:rsidP="00911FD3">
            <w:pPr>
              <w:spacing w:after="0" w:line="240" w:lineRule="auto"/>
              <w:rPr>
                <w:rFonts w:eastAsia="Times New Roman" w:cstheme="minorHAnsi"/>
              </w:rPr>
            </w:pPr>
            <w:r w:rsidRPr="00D60BD3">
              <w:rPr>
                <w:rFonts w:eastAsia="Times New Roman" w:cstheme="minorHAnsi"/>
              </w:rPr>
              <w:t>M-F 8a-12a</w:t>
            </w:r>
            <w:r w:rsidR="00030111">
              <w:rPr>
                <w:rFonts w:eastAsia="Times New Roman" w:cstheme="minorHAnsi"/>
              </w:rPr>
              <w:t xml:space="preserve">, </w:t>
            </w:r>
            <w:r w:rsidRPr="00D60BD3">
              <w:rPr>
                <w:rFonts w:eastAsia="Times New Roman" w:cstheme="minorHAnsi"/>
              </w:rPr>
              <w:t>SS 8a-8p</w:t>
            </w:r>
          </w:p>
        </w:tc>
      </w:tr>
      <w:tr w:rsidR="00A57972" w:rsidRPr="00D60BD3" w14:paraId="6183DE86" w14:textId="77777777" w:rsidTr="00911FD3">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0E5330A0"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Inpatient/Outpatient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287D1463" w14:textId="0F424877" w:rsidR="00A57972" w:rsidRPr="00D60BD3" w:rsidRDefault="00A57972" w:rsidP="00911FD3">
            <w:pPr>
              <w:spacing w:after="0" w:line="240" w:lineRule="auto"/>
              <w:rPr>
                <w:rFonts w:eastAsia="Times New Roman" w:cstheme="minorHAnsi"/>
              </w:rPr>
            </w:pPr>
            <w:r w:rsidRPr="00D60BD3">
              <w:rPr>
                <w:rFonts w:eastAsia="Times New Roman" w:cstheme="minorHAnsi"/>
              </w:rPr>
              <w:t>M-F 8a-12a</w:t>
            </w:r>
            <w:r w:rsidR="00030111">
              <w:rPr>
                <w:rFonts w:eastAsia="Times New Roman" w:cstheme="minorHAnsi"/>
              </w:rPr>
              <w:t xml:space="preserve">, </w:t>
            </w:r>
            <w:r w:rsidRPr="00D60BD3">
              <w:rPr>
                <w:rFonts w:eastAsia="Times New Roman" w:cstheme="minorHAnsi"/>
              </w:rPr>
              <w:t>SS 8a-8p</w:t>
            </w:r>
          </w:p>
        </w:tc>
      </w:tr>
      <w:tr w:rsidR="00A57972" w:rsidRPr="00D60BD3" w14:paraId="465AF50A" w14:textId="77777777" w:rsidTr="00911FD3">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1AFC9C3D"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Inpatient/Outpatient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680296AA" w14:textId="29C7DBCA" w:rsidR="00A57972" w:rsidRPr="00D60BD3" w:rsidRDefault="00A57972" w:rsidP="00911FD3">
            <w:pPr>
              <w:spacing w:after="0" w:line="240" w:lineRule="auto"/>
              <w:rPr>
                <w:rFonts w:eastAsia="Times New Roman" w:cstheme="minorHAnsi"/>
              </w:rPr>
            </w:pPr>
            <w:r w:rsidRPr="00D60BD3">
              <w:rPr>
                <w:rFonts w:eastAsia="Times New Roman" w:cstheme="minorHAnsi"/>
              </w:rPr>
              <w:t>M-F 8a-12a</w:t>
            </w:r>
            <w:r w:rsidR="00030111">
              <w:rPr>
                <w:rFonts w:eastAsia="Times New Roman" w:cstheme="minorHAnsi"/>
              </w:rPr>
              <w:t xml:space="preserve">, </w:t>
            </w:r>
            <w:r w:rsidRPr="00D60BD3">
              <w:rPr>
                <w:rFonts w:eastAsia="Times New Roman" w:cstheme="minorHAnsi"/>
              </w:rPr>
              <w:t>SS 8a-8p</w:t>
            </w:r>
          </w:p>
        </w:tc>
      </w:tr>
      <w:tr w:rsidR="00A57972" w:rsidRPr="00D60BD3" w14:paraId="2ECE0B80" w14:textId="77777777" w:rsidTr="00911FD3">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2A774F16"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 xml:space="preserve">Outpatient </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3E21B949"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 xml:space="preserve">M-F 8a-8p </w:t>
            </w:r>
          </w:p>
        </w:tc>
      </w:tr>
      <w:tr w:rsidR="00A57972" w:rsidRPr="00D60BD3" w14:paraId="0ED1D940" w14:textId="77777777" w:rsidTr="00911FD3">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319BE925"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Outpatient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454BFA65"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M-F 8a-8p</w:t>
            </w:r>
          </w:p>
        </w:tc>
      </w:tr>
      <w:tr w:rsidR="00A57972" w:rsidRPr="00D60BD3" w14:paraId="7B595140" w14:textId="77777777" w:rsidTr="00911FD3">
        <w:trPr>
          <w:trHeight w:val="330"/>
          <w:jc w:val="center"/>
        </w:trPr>
        <w:tc>
          <w:tcPr>
            <w:tcW w:w="3017" w:type="dxa"/>
            <w:tcBorders>
              <w:top w:val="nil"/>
              <w:left w:val="single" w:sz="4" w:space="0" w:color="auto"/>
              <w:bottom w:val="single" w:sz="8" w:space="0" w:color="auto"/>
              <w:right w:val="nil"/>
            </w:tcBorders>
            <w:shd w:val="clear" w:color="auto" w:fill="auto"/>
            <w:noWrap/>
            <w:vAlign w:val="center"/>
            <w:hideMark/>
          </w:tcPr>
          <w:p w14:paraId="23881696"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 xml:space="preserve">Inpatient </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36D74405" w14:textId="24F8CC55" w:rsidR="00A57972" w:rsidRPr="00D60BD3" w:rsidRDefault="00A57972" w:rsidP="00911FD3">
            <w:pPr>
              <w:spacing w:after="0" w:line="240" w:lineRule="auto"/>
              <w:rPr>
                <w:rFonts w:eastAsia="Times New Roman" w:cstheme="minorHAnsi"/>
              </w:rPr>
            </w:pPr>
            <w:r w:rsidRPr="00D60BD3">
              <w:rPr>
                <w:rFonts w:eastAsia="Times New Roman" w:cstheme="minorHAnsi"/>
              </w:rPr>
              <w:t>M-F 8a-12a</w:t>
            </w:r>
            <w:r w:rsidR="00030111">
              <w:rPr>
                <w:rFonts w:eastAsia="Times New Roman" w:cstheme="minorHAnsi"/>
              </w:rPr>
              <w:t xml:space="preserve">, </w:t>
            </w:r>
            <w:r w:rsidRPr="00D60BD3">
              <w:rPr>
                <w:rFonts w:eastAsia="Times New Roman" w:cstheme="minorHAnsi"/>
              </w:rPr>
              <w:t>SS 8a-8p</w:t>
            </w:r>
          </w:p>
        </w:tc>
      </w:tr>
      <w:tr w:rsidR="00A57972" w:rsidRPr="00D60BD3" w14:paraId="0363C95C" w14:textId="77777777" w:rsidTr="00911FD3">
        <w:trPr>
          <w:trHeight w:val="330"/>
          <w:jc w:val="center"/>
        </w:trPr>
        <w:tc>
          <w:tcPr>
            <w:tcW w:w="3017" w:type="dxa"/>
            <w:tcBorders>
              <w:top w:val="nil"/>
              <w:left w:val="single" w:sz="4" w:space="0" w:color="auto"/>
              <w:bottom w:val="single" w:sz="8" w:space="0" w:color="auto"/>
              <w:right w:val="single" w:sz="8" w:space="0" w:color="auto"/>
            </w:tcBorders>
            <w:shd w:val="clear" w:color="auto" w:fill="auto"/>
            <w:noWrap/>
            <w:vAlign w:val="center"/>
            <w:hideMark/>
          </w:tcPr>
          <w:p w14:paraId="2C8EF17F"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OR (IntraOperative)</w:t>
            </w:r>
          </w:p>
        </w:tc>
        <w:tc>
          <w:tcPr>
            <w:tcW w:w="3564" w:type="dxa"/>
            <w:tcBorders>
              <w:top w:val="nil"/>
              <w:left w:val="nil"/>
              <w:bottom w:val="single" w:sz="8" w:space="0" w:color="auto"/>
              <w:right w:val="single" w:sz="8" w:space="0" w:color="auto"/>
            </w:tcBorders>
            <w:shd w:val="clear" w:color="auto" w:fill="auto"/>
            <w:noWrap/>
            <w:vAlign w:val="center"/>
            <w:hideMark/>
          </w:tcPr>
          <w:p w14:paraId="02D368B0"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 xml:space="preserve">M-F 8a-12a </w:t>
            </w:r>
          </w:p>
        </w:tc>
      </w:tr>
      <w:tr w:rsidR="00A57972" w:rsidRPr="00D60BD3" w14:paraId="2383F021" w14:textId="77777777" w:rsidTr="00911FD3">
        <w:trPr>
          <w:trHeight w:val="330"/>
          <w:jc w:val="center"/>
        </w:trPr>
        <w:tc>
          <w:tcPr>
            <w:tcW w:w="3017" w:type="dxa"/>
            <w:tcBorders>
              <w:top w:val="nil"/>
              <w:left w:val="single" w:sz="4" w:space="0" w:color="auto"/>
              <w:bottom w:val="single" w:sz="8" w:space="0" w:color="auto"/>
              <w:right w:val="single" w:sz="8" w:space="0" w:color="auto"/>
            </w:tcBorders>
            <w:shd w:val="clear" w:color="auto" w:fill="auto"/>
            <w:noWrap/>
            <w:vAlign w:val="center"/>
            <w:hideMark/>
          </w:tcPr>
          <w:p w14:paraId="2630825A"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Portable</w:t>
            </w:r>
          </w:p>
        </w:tc>
        <w:tc>
          <w:tcPr>
            <w:tcW w:w="3564" w:type="dxa"/>
            <w:tcBorders>
              <w:top w:val="nil"/>
              <w:left w:val="nil"/>
              <w:bottom w:val="single" w:sz="8" w:space="0" w:color="auto"/>
              <w:right w:val="single" w:sz="8" w:space="0" w:color="auto"/>
            </w:tcBorders>
            <w:shd w:val="clear" w:color="auto" w:fill="auto"/>
            <w:noWrap/>
            <w:vAlign w:val="center"/>
            <w:hideMark/>
          </w:tcPr>
          <w:p w14:paraId="2E057C72"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 xml:space="preserve">M-F 8a-5p </w:t>
            </w:r>
          </w:p>
        </w:tc>
      </w:tr>
      <w:tr w:rsidR="00A57972" w:rsidRPr="00D60BD3" w14:paraId="1CDA65C3" w14:textId="77777777" w:rsidTr="00911FD3">
        <w:trPr>
          <w:trHeight w:val="315"/>
          <w:jc w:val="center"/>
        </w:trPr>
        <w:tc>
          <w:tcPr>
            <w:tcW w:w="3017" w:type="dxa"/>
            <w:tcBorders>
              <w:top w:val="single" w:sz="8" w:space="0" w:color="auto"/>
              <w:left w:val="single" w:sz="4" w:space="0" w:color="auto"/>
              <w:bottom w:val="single" w:sz="4" w:space="0" w:color="auto"/>
              <w:right w:val="nil"/>
            </w:tcBorders>
            <w:shd w:val="clear" w:color="000000" w:fill="000000"/>
            <w:noWrap/>
            <w:vAlign w:val="bottom"/>
            <w:hideMark/>
          </w:tcPr>
          <w:p w14:paraId="179FE17E" w14:textId="77777777" w:rsidR="00A57972" w:rsidRPr="00D60BD3" w:rsidRDefault="00A57972" w:rsidP="00911FD3">
            <w:pPr>
              <w:spacing w:after="0" w:line="240" w:lineRule="auto"/>
              <w:rPr>
                <w:rFonts w:eastAsia="Times New Roman" w:cstheme="minorHAnsi"/>
                <w:b/>
                <w:bCs/>
              </w:rPr>
            </w:pPr>
            <w:r w:rsidRPr="00D60BD3">
              <w:rPr>
                <w:rFonts w:eastAsia="Times New Roman" w:cstheme="minorHAnsi"/>
                <w:b/>
                <w:bCs/>
              </w:rPr>
              <w:t>PET/CT</w:t>
            </w:r>
          </w:p>
        </w:tc>
        <w:tc>
          <w:tcPr>
            <w:tcW w:w="3564" w:type="dxa"/>
            <w:tcBorders>
              <w:top w:val="single" w:sz="8" w:space="0" w:color="auto"/>
              <w:left w:val="single" w:sz="4" w:space="0" w:color="auto"/>
              <w:bottom w:val="single" w:sz="4" w:space="0" w:color="auto"/>
              <w:right w:val="single" w:sz="8" w:space="0" w:color="auto"/>
            </w:tcBorders>
            <w:shd w:val="clear" w:color="000000" w:fill="000000"/>
            <w:noWrap/>
            <w:vAlign w:val="bottom"/>
            <w:hideMark/>
          </w:tcPr>
          <w:p w14:paraId="6B9A6325" w14:textId="77777777" w:rsidR="00A57972" w:rsidRPr="00D60BD3" w:rsidRDefault="00A57972" w:rsidP="00911FD3">
            <w:pPr>
              <w:spacing w:after="0" w:line="240" w:lineRule="auto"/>
              <w:rPr>
                <w:rFonts w:eastAsia="Times New Roman" w:cstheme="minorHAnsi"/>
                <w:b/>
                <w:bCs/>
              </w:rPr>
            </w:pPr>
            <w:r w:rsidRPr="00D60BD3">
              <w:rPr>
                <w:rFonts w:eastAsia="Times New Roman" w:cstheme="minorHAnsi"/>
                <w:b/>
                <w:bCs/>
              </w:rPr>
              <w:t>HOURS OF OPERATION</w:t>
            </w:r>
          </w:p>
        </w:tc>
      </w:tr>
      <w:tr w:rsidR="00A57972" w:rsidRPr="00D60BD3" w14:paraId="063A1F9B" w14:textId="77777777" w:rsidTr="00911FD3">
        <w:trPr>
          <w:trHeight w:val="315"/>
          <w:jc w:val="center"/>
        </w:trPr>
        <w:tc>
          <w:tcPr>
            <w:tcW w:w="3017" w:type="dxa"/>
            <w:tcBorders>
              <w:top w:val="nil"/>
              <w:left w:val="single" w:sz="4" w:space="0" w:color="auto"/>
              <w:bottom w:val="single" w:sz="4" w:space="0" w:color="auto"/>
              <w:right w:val="nil"/>
            </w:tcBorders>
            <w:shd w:val="clear" w:color="auto" w:fill="auto"/>
            <w:noWrap/>
            <w:vAlign w:val="bottom"/>
            <w:hideMark/>
          </w:tcPr>
          <w:p w14:paraId="017EA783"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lastRenderedPageBreak/>
              <w:t>Inpatient/Outpatient</w:t>
            </w:r>
          </w:p>
        </w:tc>
        <w:tc>
          <w:tcPr>
            <w:tcW w:w="3564" w:type="dxa"/>
            <w:tcBorders>
              <w:top w:val="nil"/>
              <w:left w:val="single" w:sz="4" w:space="0" w:color="auto"/>
              <w:bottom w:val="single" w:sz="4" w:space="0" w:color="auto"/>
              <w:right w:val="single" w:sz="8" w:space="0" w:color="auto"/>
            </w:tcBorders>
            <w:shd w:val="clear" w:color="auto" w:fill="auto"/>
            <w:noWrap/>
            <w:vAlign w:val="bottom"/>
            <w:hideMark/>
          </w:tcPr>
          <w:p w14:paraId="72ECEC82"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M-F 7a-5p</w:t>
            </w:r>
          </w:p>
        </w:tc>
      </w:tr>
      <w:tr w:rsidR="00A57972" w:rsidRPr="00D60BD3" w14:paraId="741EBD78" w14:textId="77777777" w:rsidTr="00911FD3">
        <w:trPr>
          <w:trHeight w:val="315"/>
          <w:jc w:val="center"/>
        </w:trPr>
        <w:tc>
          <w:tcPr>
            <w:tcW w:w="3017" w:type="dxa"/>
            <w:tcBorders>
              <w:top w:val="nil"/>
              <w:left w:val="single" w:sz="4" w:space="0" w:color="auto"/>
              <w:bottom w:val="single" w:sz="4" w:space="0" w:color="auto"/>
              <w:right w:val="nil"/>
            </w:tcBorders>
            <w:shd w:val="clear" w:color="auto" w:fill="auto"/>
            <w:noWrap/>
            <w:vAlign w:val="bottom"/>
            <w:hideMark/>
          </w:tcPr>
          <w:p w14:paraId="7EDB3D5E"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Inpatient/Outpatient</w:t>
            </w:r>
          </w:p>
        </w:tc>
        <w:tc>
          <w:tcPr>
            <w:tcW w:w="3564" w:type="dxa"/>
            <w:tcBorders>
              <w:top w:val="nil"/>
              <w:left w:val="single" w:sz="4" w:space="0" w:color="auto"/>
              <w:bottom w:val="single" w:sz="4" w:space="0" w:color="auto"/>
              <w:right w:val="single" w:sz="8" w:space="0" w:color="auto"/>
            </w:tcBorders>
            <w:shd w:val="clear" w:color="auto" w:fill="auto"/>
            <w:noWrap/>
            <w:vAlign w:val="bottom"/>
            <w:hideMark/>
          </w:tcPr>
          <w:p w14:paraId="3BCE4AF7"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M-F 7a-5p</w:t>
            </w:r>
          </w:p>
        </w:tc>
      </w:tr>
      <w:tr w:rsidR="00A57972" w:rsidRPr="00D60BD3" w14:paraId="01740385" w14:textId="77777777" w:rsidTr="00911FD3">
        <w:trPr>
          <w:trHeight w:val="315"/>
          <w:jc w:val="center"/>
        </w:trPr>
        <w:tc>
          <w:tcPr>
            <w:tcW w:w="3017" w:type="dxa"/>
            <w:tcBorders>
              <w:top w:val="single" w:sz="8" w:space="0" w:color="auto"/>
              <w:left w:val="single" w:sz="4" w:space="0" w:color="auto"/>
              <w:bottom w:val="single" w:sz="8" w:space="0" w:color="auto"/>
              <w:right w:val="nil"/>
            </w:tcBorders>
            <w:shd w:val="clear" w:color="000000" w:fill="000000"/>
            <w:noWrap/>
            <w:vAlign w:val="center"/>
            <w:hideMark/>
          </w:tcPr>
          <w:p w14:paraId="5A579955" w14:textId="77777777" w:rsidR="00A57972" w:rsidRPr="00D60BD3" w:rsidRDefault="00A57972" w:rsidP="00911FD3">
            <w:pPr>
              <w:spacing w:after="0" w:line="240" w:lineRule="auto"/>
              <w:rPr>
                <w:rFonts w:eastAsia="Times New Roman" w:cstheme="minorHAnsi"/>
                <w:b/>
                <w:bCs/>
              </w:rPr>
            </w:pPr>
            <w:r w:rsidRPr="00D60BD3">
              <w:rPr>
                <w:rFonts w:eastAsia="Times New Roman" w:cstheme="minorHAnsi"/>
                <w:b/>
                <w:bCs/>
              </w:rPr>
              <w:t>MRI</w:t>
            </w:r>
          </w:p>
        </w:tc>
        <w:tc>
          <w:tcPr>
            <w:tcW w:w="3564"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6DA22BB7" w14:textId="77777777" w:rsidR="00A57972" w:rsidRPr="00D60BD3" w:rsidRDefault="00A57972" w:rsidP="00911FD3">
            <w:pPr>
              <w:spacing w:after="0" w:line="240" w:lineRule="auto"/>
              <w:rPr>
                <w:rFonts w:eastAsia="Times New Roman" w:cstheme="minorHAnsi"/>
                <w:b/>
                <w:bCs/>
              </w:rPr>
            </w:pPr>
            <w:r w:rsidRPr="00D60BD3">
              <w:rPr>
                <w:rFonts w:eastAsia="Times New Roman" w:cstheme="minorHAnsi"/>
                <w:b/>
                <w:bCs/>
              </w:rPr>
              <w:t>HOURS OF OPERATIONS</w:t>
            </w:r>
          </w:p>
        </w:tc>
      </w:tr>
      <w:tr w:rsidR="00A57972" w:rsidRPr="00D60BD3" w14:paraId="50DDE729" w14:textId="77777777" w:rsidTr="00911FD3">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5AB7B87E"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ED</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552D95EF"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24 X 7</w:t>
            </w:r>
          </w:p>
        </w:tc>
      </w:tr>
      <w:tr w:rsidR="00A57972" w:rsidRPr="00D60BD3" w14:paraId="41240056" w14:textId="77777777" w:rsidTr="00911FD3">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6BF9FAF7"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Inpatient/Outpatient/ER</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701DC539" w14:textId="7D34B0AD" w:rsidR="00A57972" w:rsidRPr="00D60BD3" w:rsidRDefault="00A57972" w:rsidP="00911FD3">
            <w:pPr>
              <w:spacing w:after="0" w:line="240" w:lineRule="auto"/>
              <w:rPr>
                <w:rFonts w:eastAsia="Times New Roman" w:cstheme="minorHAnsi"/>
              </w:rPr>
            </w:pPr>
            <w:r w:rsidRPr="00D60BD3">
              <w:rPr>
                <w:rFonts w:eastAsia="Times New Roman" w:cstheme="minorHAnsi"/>
              </w:rPr>
              <w:t>M-F 7a-11:30p</w:t>
            </w:r>
            <w:r w:rsidR="00030111">
              <w:rPr>
                <w:rFonts w:eastAsia="Times New Roman" w:cstheme="minorHAnsi"/>
              </w:rPr>
              <w:t xml:space="preserve">, </w:t>
            </w:r>
            <w:r w:rsidRPr="00D60BD3">
              <w:rPr>
                <w:rFonts w:eastAsia="Times New Roman" w:cstheme="minorHAnsi"/>
              </w:rPr>
              <w:t>SS 7a-730p</w:t>
            </w:r>
          </w:p>
        </w:tc>
      </w:tr>
      <w:tr w:rsidR="00A57972" w:rsidRPr="00D60BD3" w14:paraId="6F4DEE6C" w14:textId="77777777" w:rsidTr="00911FD3">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1D2DBAFC"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Inpatient/Outpatient/ER</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7E6B23EB" w14:textId="1F5BEC22" w:rsidR="00A57972" w:rsidRPr="00D60BD3" w:rsidRDefault="00A57972" w:rsidP="00911FD3">
            <w:pPr>
              <w:spacing w:after="0" w:line="240" w:lineRule="auto"/>
              <w:rPr>
                <w:rFonts w:eastAsia="Times New Roman" w:cstheme="minorHAnsi"/>
              </w:rPr>
            </w:pPr>
            <w:r w:rsidRPr="00D60BD3">
              <w:rPr>
                <w:rFonts w:eastAsia="Times New Roman" w:cstheme="minorHAnsi"/>
              </w:rPr>
              <w:t>M-F 7a-11:30p</w:t>
            </w:r>
            <w:r w:rsidR="00030111">
              <w:rPr>
                <w:rFonts w:eastAsia="Times New Roman" w:cstheme="minorHAnsi"/>
              </w:rPr>
              <w:t xml:space="preserve">, </w:t>
            </w:r>
            <w:r w:rsidRPr="00D60BD3">
              <w:rPr>
                <w:rFonts w:eastAsia="Times New Roman" w:cstheme="minorHAnsi"/>
              </w:rPr>
              <w:t>SS 7a-730p</w:t>
            </w:r>
          </w:p>
        </w:tc>
      </w:tr>
      <w:tr w:rsidR="00A57972" w:rsidRPr="00D60BD3" w14:paraId="53EF65D3" w14:textId="77777777" w:rsidTr="00911FD3">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1BC08F69"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Inpatient/Outpatient/ER</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454A7175" w14:textId="185188A8" w:rsidR="00A57972" w:rsidRPr="00D60BD3" w:rsidRDefault="00A57972" w:rsidP="00911FD3">
            <w:pPr>
              <w:spacing w:after="0" w:line="240" w:lineRule="auto"/>
              <w:rPr>
                <w:rFonts w:eastAsia="Times New Roman" w:cstheme="minorHAnsi"/>
              </w:rPr>
            </w:pPr>
            <w:r w:rsidRPr="00D60BD3">
              <w:rPr>
                <w:rFonts w:eastAsia="Times New Roman" w:cstheme="minorHAnsi"/>
              </w:rPr>
              <w:t>M-F 7a-11:30p</w:t>
            </w:r>
            <w:r w:rsidR="00030111">
              <w:rPr>
                <w:rFonts w:eastAsia="Times New Roman" w:cstheme="minorHAnsi"/>
              </w:rPr>
              <w:t xml:space="preserve">, </w:t>
            </w:r>
            <w:r w:rsidRPr="00D60BD3">
              <w:rPr>
                <w:rFonts w:eastAsia="Times New Roman" w:cstheme="minorHAnsi"/>
              </w:rPr>
              <w:t>SS 7a-730p</w:t>
            </w:r>
          </w:p>
        </w:tc>
      </w:tr>
      <w:tr w:rsidR="00A57972" w:rsidRPr="00D60BD3" w14:paraId="4B835E91" w14:textId="77777777" w:rsidTr="00911FD3">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22224511"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Outpatient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17C068DB" w14:textId="1EB4A1E8" w:rsidR="00A57972" w:rsidRPr="00D60BD3" w:rsidRDefault="00A57972" w:rsidP="00911FD3">
            <w:pPr>
              <w:spacing w:after="0" w:line="240" w:lineRule="auto"/>
              <w:rPr>
                <w:rFonts w:eastAsia="Times New Roman" w:cstheme="minorHAnsi"/>
              </w:rPr>
            </w:pPr>
            <w:r w:rsidRPr="00D60BD3">
              <w:rPr>
                <w:rFonts w:eastAsia="Times New Roman" w:cstheme="minorHAnsi"/>
              </w:rPr>
              <w:t>M-F 7a-11:30p</w:t>
            </w:r>
            <w:r w:rsidR="00030111">
              <w:rPr>
                <w:rFonts w:eastAsia="Times New Roman" w:cstheme="minorHAnsi"/>
              </w:rPr>
              <w:t xml:space="preserve">, </w:t>
            </w:r>
            <w:r w:rsidRPr="00D60BD3">
              <w:rPr>
                <w:rFonts w:eastAsia="Times New Roman" w:cstheme="minorHAnsi"/>
              </w:rPr>
              <w:t>SS 7a-730p</w:t>
            </w:r>
          </w:p>
        </w:tc>
      </w:tr>
      <w:tr w:rsidR="00A57972" w:rsidRPr="00D60BD3" w14:paraId="52191439" w14:textId="77777777" w:rsidTr="00911FD3">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09CFC5AF"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 xml:space="preserve">Outpatient </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02DF785C" w14:textId="33ED2AF3" w:rsidR="00A57972" w:rsidRPr="00D60BD3" w:rsidRDefault="00A57972" w:rsidP="00911FD3">
            <w:pPr>
              <w:spacing w:after="0" w:line="240" w:lineRule="auto"/>
              <w:rPr>
                <w:rFonts w:eastAsia="Times New Roman" w:cstheme="minorHAnsi"/>
              </w:rPr>
            </w:pPr>
            <w:r w:rsidRPr="00D60BD3">
              <w:rPr>
                <w:rFonts w:eastAsia="Times New Roman" w:cstheme="minorHAnsi"/>
              </w:rPr>
              <w:t>M-F 7a-11:30p</w:t>
            </w:r>
            <w:r w:rsidR="00030111">
              <w:rPr>
                <w:rFonts w:eastAsia="Times New Roman" w:cstheme="minorHAnsi"/>
              </w:rPr>
              <w:t xml:space="preserve">, </w:t>
            </w:r>
            <w:r w:rsidRPr="00D60BD3">
              <w:rPr>
                <w:rFonts w:eastAsia="Times New Roman" w:cstheme="minorHAnsi"/>
              </w:rPr>
              <w:t>SS 7a-1130p</w:t>
            </w:r>
          </w:p>
        </w:tc>
      </w:tr>
      <w:tr w:rsidR="00A57972" w:rsidRPr="00D60BD3" w14:paraId="7053FA90" w14:textId="77777777" w:rsidTr="00911FD3">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2729AE65"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Outpatient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05142173"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 xml:space="preserve">M-F 6a-11:30p </w:t>
            </w:r>
          </w:p>
        </w:tc>
      </w:tr>
      <w:tr w:rsidR="00A57972" w:rsidRPr="00D60BD3" w14:paraId="53E95778" w14:textId="77777777" w:rsidTr="00911FD3">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60C05295"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Outpatient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4D2D0A1A"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M-F 6a-630p</w:t>
            </w:r>
          </w:p>
        </w:tc>
      </w:tr>
      <w:tr w:rsidR="00A57972" w:rsidRPr="00D60BD3" w14:paraId="38DB1F77" w14:textId="77777777" w:rsidTr="00911FD3">
        <w:trPr>
          <w:trHeight w:val="315"/>
          <w:jc w:val="center"/>
        </w:trPr>
        <w:tc>
          <w:tcPr>
            <w:tcW w:w="3017" w:type="dxa"/>
            <w:tcBorders>
              <w:top w:val="nil"/>
              <w:left w:val="single" w:sz="4" w:space="0" w:color="auto"/>
              <w:bottom w:val="single" w:sz="8" w:space="0" w:color="auto"/>
              <w:right w:val="nil"/>
            </w:tcBorders>
            <w:shd w:val="clear" w:color="auto" w:fill="auto"/>
            <w:noWrap/>
            <w:vAlign w:val="center"/>
            <w:hideMark/>
          </w:tcPr>
          <w:p w14:paraId="39CD7022"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Outpatient</w:t>
            </w:r>
          </w:p>
        </w:tc>
        <w:tc>
          <w:tcPr>
            <w:tcW w:w="3564" w:type="dxa"/>
            <w:tcBorders>
              <w:top w:val="nil"/>
              <w:left w:val="single" w:sz="8" w:space="0" w:color="auto"/>
              <w:bottom w:val="single" w:sz="8" w:space="0" w:color="auto"/>
              <w:right w:val="single" w:sz="8" w:space="0" w:color="auto"/>
            </w:tcBorders>
            <w:shd w:val="clear" w:color="auto" w:fill="auto"/>
            <w:noWrap/>
            <w:vAlign w:val="center"/>
            <w:hideMark/>
          </w:tcPr>
          <w:p w14:paraId="1953A484"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M-F 6a-630p</w:t>
            </w:r>
          </w:p>
        </w:tc>
      </w:tr>
      <w:tr w:rsidR="00A57972" w:rsidRPr="00D60BD3" w14:paraId="37F78424" w14:textId="77777777" w:rsidTr="00911FD3">
        <w:trPr>
          <w:trHeight w:val="315"/>
          <w:jc w:val="center"/>
        </w:trPr>
        <w:tc>
          <w:tcPr>
            <w:tcW w:w="3017" w:type="dxa"/>
            <w:tcBorders>
              <w:top w:val="nil"/>
              <w:left w:val="single" w:sz="4" w:space="0" w:color="auto"/>
              <w:bottom w:val="single" w:sz="8" w:space="0" w:color="auto"/>
              <w:right w:val="single" w:sz="8" w:space="0" w:color="auto"/>
            </w:tcBorders>
            <w:shd w:val="clear" w:color="auto" w:fill="auto"/>
            <w:noWrap/>
            <w:vAlign w:val="center"/>
            <w:hideMark/>
          </w:tcPr>
          <w:p w14:paraId="4952E4F5"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OR (IntraOperative)</w:t>
            </w:r>
          </w:p>
        </w:tc>
        <w:tc>
          <w:tcPr>
            <w:tcW w:w="3564" w:type="dxa"/>
            <w:tcBorders>
              <w:top w:val="nil"/>
              <w:left w:val="nil"/>
              <w:bottom w:val="single" w:sz="8" w:space="0" w:color="auto"/>
              <w:right w:val="single" w:sz="8" w:space="0" w:color="auto"/>
            </w:tcBorders>
            <w:shd w:val="clear" w:color="auto" w:fill="auto"/>
            <w:noWrap/>
            <w:vAlign w:val="center"/>
            <w:hideMark/>
          </w:tcPr>
          <w:p w14:paraId="0C2664D9" w14:textId="77777777" w:rsidR="00A57972" w:rsidRPr="00D60BD3" w:rsidRDefault="00A57972" w:rsidP="00911FD3">
            <w:pPr>
              <w:spacing w:after="0" w:line="240" w:lineRule="auto"/>
              <w:rPr>
                <w:rFonts w:eastAsia="Times New Roman" w:cstheme="minorHAnsi"/>
              </w:rPr>
            </w:pPr>
            <w:r w:rsidRPr="00D60BD3">
              <w:rPr>
                <w:rFonts w:eastAsia="Times New Roman" w:cstheme="minorHAnsi"/>
              </w:rPr>
              <w:t>M-F 8a-4:30p</w:t>
            </w:r>
          </w:p>
        </w:tc>
      </w:tr>
    </w:tbl>
    <w:p w14:paraId="7E1A1B88" w14:textId="219761CE" w:rsidR="005E60B7" w:rsidRDefault="005E60B7" w:rsidP="005E60B7">
      <w:pPr>
        <w:ind w:left="360"/>
        <w:rPr>
          <w:rFonts w:cstheme="minorHAnsi"/>
        </w:rPr>
      </w:pPr>
    </w:p>
    <w:p w14:paraId="43A6247E" w14:textId="4C496BEE" w:rsidR="00E02482" w:rsidRDefault="00841D1B" w:rsidP="00C47756">
      <w:pPr>
        <w:ind w:left="360" w:firstLine="360"/>
        <w:rPr>
          <w:rFonts w:cstheme="minorHAnsi"/>
        </w:rPr>
      </w:pPr>
      <w:r>
        <w:rPr>
          <w:rFonts w:cstheme="minorHAnsi"/>
        </w:rPr>
        <w:t>Response: Correct. Each row represents one imaging unit.</w:t>
      </w:r>
    </w:p>
    <w:p w14:paraId="18C7AD11" w14:textId="5CA8EB85" w:rsidR="000E5788" w:rsidRPr="00841D1B" w:rsidRDefault="000E5788" w:rsidP="000E5788">
      <w:pPr>
        <w:pStyle w:val="ListParagraph"/>
        <w:numPr>
          <w:ilvl w:val="0"/>
          <w:numId w:val="1"/>
        </w:numPr>
        <w:spacing w:after="0"/>
        <w:rPr>
          <w:rFonts w:cstheme="minorHAnsi"/>
          <w:b/>
          <w:bCs/>
        </w:rPr>
      </w:pPr>
      <w:r w:rsidRPr="00841D1B">
        <w:rPr>
          <w:rFonts w:cstheme="minorHAnsi"/>
          <w:b/>
          <w:bCs/>
        </w:rPr>
        <w:t>Responses p.29</w:t>
      </w:r>
    </w:p>
    <w:p w14:paraId="3F4731AE" w14:textId="77777777" w:rsidR="000E5788" w:rsidRPr="00841D1B" w:rsidRDefault="000E5788" w:rsidP="000E5788">
      <w:pPr>
        <w:spacing w:after="0" w:line="240" w:lineRule="auto"/>
        <w:ind w:left="720"/>
        <w:rPr>
          <w:rFonts w:cstheme="minorHAnsi"/>
          <w:b/>
          <w:bCs/>
        </w:rPr>
      </w:pPr>
      <w:r w:rsidRPr="00841D1B">
        <w:rPr>
          <w:rFonts w:cstheme="minorHAnsi"/>
          <w:b/>
          <w:bCs/>
        </w:rPr>
        <w:t xml:space="preserve">Race, Ethnicity, and Language (REaL) data: MGB created standardization in definitions and developed trainings for staff who collect these data. The Year 1 goal is less than 5% missingness for MGB’s 1.1M patients. </w:t>
      </w:r>
    </w:p>
    <w:p w14:paraId="2949A526" w14:textId="27EDFEAD" w:rsidR="000E5788" w:rsidRPr="004C0B3F" w:rsidRDefault="000E5788" w:rsidP="004C0B3F">
      <w:pPr>
        <w:pStyle w:val="ListParagraph"/>
        <w:numPr>
          <w:ilvl w:val="1"/>
          <w:numId w:val="1"/>
        </w:numPr>
        <w:rPr>
          <w:rFonts w:cstheme="minorHAnsi"/>
          <w:b/>
          <w:bCs/>
        </w:rPr>
      </w:pPr>
      <w:r w:rsidRPr="004C0B3F">
        <w:rPr>
          <w:rFonts w:cstheme="minorHAnsi"/>
          <w:b/>
          <w:bCs/>
        </w:rPr>
        <w:t>Year 1 represents what year?</w:t>
      </w:r>
    </w:p>
    <w:p w14:paraId="336061F4" w14:textId="77777777" w:rsidR="000E5788" w:rsidRDefault="000E5788" w:rsidP="000E5788">
      <w:pPr>
        <w:pStyle w:val="ListParagraph"/>
        <w:rPr>
          <w:rFonts w:cstheme="minorHAnsi"/>
        </w:rPr>
      </w:pPr>
    </w:p>
    <w:p w14:paraId="14C6D9F5" w14:textId="58E49818" w:rsidR="009135AF" w:rsidRPr="00C47756" w:rsidRDefault="002E0471" w:rsidP="00C47756">
      <w:pPr>
        <w:pStyle w:val="ListParagraph"/>
        <w:ind w:firstLine="360"/>
        <w:rPr>
          <w:rFonts w:cstheme="minorHAnsi"/>
          <w:u w:val="single"/>
        </w:rPr>
      </w:pPr>
      <w:r>
        <w:t xml:space="preserve">Response: </w:t>
      </w:r>
      <w:r w:rsidR="00390C5B">
        <w:t>Y</w:t>
      </w:r>
      <w:r w:rsidR="009135AF">
        <w:t xml:space="preserve">ear 1 was FY21. </w:t>
      </w:r>
    </w:p>
    <w:p w14:paraId="4F39B746" w14:textId="77777777" w:rsidR="00E02482" w:rsidRPr="00D60BD3" w:rsidRDefault="00E02482" w:rsidP="00DF4CFD">
      <w:pPr>
        <w:pStyle w:val="ListParagraph"/>
        <w:rPr>
          <w:rFonts w:cstheme="minorHAnsi"/>
        </w:rPr>
      </w:pPr>
    </w:p>
    <w:p w14:paraId="2BBFC4C2" w14:textId="2348FF77" w:rsidR="00AE45A6" w:rsidRPr="00841D1B" w:rsidRDefault="00D855A3" w:rsidP="000E5788">
      <w:pPr>
        <w:pStyle w:val="ListParagraph"/>
        <w:numPr>
          <w:ilvl w:val="0"/>
          <w:numId w:val="1"/>
        </w:numPr>
        <w:rPr>
          <w:rFonts w:cstheme="minorHAnsi"/>
          <w:b/>
          <w:bCs/>
        </w:rPr>
      </w:pPr>
      <w:r w:rsidRPr="00841D1B">
        <w:rPr>
          <w:rFonts w:cstheme="minorHAnsi"/>
          <w:b/>
          <w:bCs/>
        </w:rPr>
        <w:t xml:space="preserve">Confirm </w:t>
      </w:r>
      <w:r w:rsidR="00C23E20" w:rsidRPr="00841D1B">
        <w:rPr>
          <w:rFonts w:cstheme="minorHAnsi"/>
          <w:b/>
          <w:bCs/>
        </w:rPr>
        <w:t xml:space="preserve">that the overall is a total of the services listed because the </w:t>
      </w:r>
      <w:r w:rsidR="007A2CB3" w:rsidRPr="00841D1B">
        <w:rPr>
          <w:rFonts w:cstheme="minorHAnsi"/>
          <w:b/>
          <w:bCs/>
        </w:rPr>
        <w:t xml:space="preserve">bed day </w:t>
      </w:r>
      <w:r w:rsidR="00C23E20" w:rsidRPr="00841D1B">
        <w:rPr>
          <w:rFonts w:cstheme="minorHAnsi"/>
          <w:b/>
          <w:bCs/>
        </w:rPr>
        <w:t xml:space="preserve">numbers </w:t>
      </w:r>
      <w:r w:rsidR="007A2CB3" w:rsidRPr="00841D1B">
        <w:rPr>
          <w:rFonts w:cstheme="minorHAnsi"/>
          <w:b/>
          <w:bCs/>
        </w:rPr>
        <w:t xml:space="preserve">within the high acuity and low acuity areas </w:t>
      </w:r>
      <w:r w:rsidR="00C23E20" w:rsidRPr="00841D1B">
        <w:rPr>
          <w:rFonts w:cstheme="minorHAnsi"/>
          <w:b/>
          <w:bCs/>
        </w:rPr>
        <w:t>don’t add up</w:t>
      </w:r>
      <w:r w:rsidR="0053116F" w:rsidRPr="00841D1B">
        <w:rPr>
          <w:rFonts w:cstheme="minorHAnsi"/>
          <w:b/>
          <w:bCs/>
        </w:rPr>
        <w:t xml:space="preserve"> </w:t>
      </w:r>
      <w:r w:rsidRPr="00841D1B">
        <w:rPr>
          <w:rFonts w:cstheme="minorHAnsi"/>
          <w:b/>
          <w:bCs/>
        </w:rPr>
        <w:t>(Responses pg.7).</w:t>
      </w:r>
    </w:p>
    <w:p w14:paraId="77E8D913" w14:textId="7403F1D3" w:rsidR="00AE45A6" w:rsidRPr="00D60BD3" w:rsidRDefault="00AE45A6" w:rsidP="00AE45A6">
      <w:pPr>
        <w:jc w:val="center"/>
        <w:rPr>
          <w:rFonts w:cstheme="minorHAnsi"/>
          <w:b/>
          <w:bCs/>
          <w:sz w:val="24"/>
          <w:szCs w:val="24"/>
        </w:rPr>
      </w:pPr>
      <w:r w:rsidRPr="00D60BD3">
        <w:rPr>
          <w:rFonts w:cstheme="minorHAnsi"/>
          <w:b/>
          <w:bCs/>
          <w:sz w:val="24"/>
          <w:szCs w:val="24"/>
        </w:rPr>
        <w:t>Inpatient Discharges – Case Mix Index and Acuity</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530"/>
        <w:gridCol w:w="1530"/>
        <w:gridCol w:w="2700"/>
      </w:tblGrid>
      <w:tr w:rsidR="00AE45A6" w:rsidRPr="00A30620" w14:paraId="57B5EB69" w14:textId="77777777" w:rsidTr="00911FD3">
        <w:trPr>
          <w:trHeight w:val="377"/>
          <w:jc w:val="center"/>
        </w:trPr>
        <w:tc>
          <w:tcPr>
            <w:tcW w:w="8905" w:type="dxa"/>
            <w:gridSpan w:val="4"/>
            <w:shd w:val="clear" w:color="000000" w:fill="FFFFFF"/>
            <w:noWrap/>
            <w:vAlign w:val="center"/>
            <w:hideMark/>
          </w:tcPr>
          <w:p w14:paraId="3ADC93A8" w14:textId="77777777" w:rsidR="00AE45A6" w:rsidRPr="00A30620" w:rsidRDefault="00AE45A6" w:rsidP="00911FD3">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Actual</w:t>
            </w:r>
            <w:r w:rsidRPr="00A30620">
              <w:rPr>
                <w:rFonts w:eastAsia="Times New Roman" w:cstheme="minorHAnsi"/>
                <w:b/>
                <w:bCs/>
                <w:color w:val="000000"/>
                <w:vertAlign w:val="superscript"/>
              </w:rPr>
              <w:footnoteReference w:id="1"/>
            </w:r>
            <w:r w:rsidRPr="00A30620">
              <w:rPr>
                <w:rFonts w:eastAsia="Times New Roman" w:cstheme="minorHAnsi"/>
                <w:b/>
                <w:bCs/>
                <w:color w:val="000000"/>
              </w:rPr>
              <w:t xml:space="preserve"> FY19 MGH IP Discharges: CMI and LOS by Acuity &amp; Service</w:t>
            </w:r>
          </w:p>
          <w:p w14:paraId="3B196148" w14:textId="77777777" w:rsidR="00AE45A6" w:rsidRPr="00A30620" w:rsidRDefault="00AE45A6" w:rsidP="00911FD3">
            <w:pPr>
              <w:spacing w:after="0" w:line="240" w:lineRule="auto"/>
              <w:contextualSpacing/>
              <w:jc w:val="center"/>
              <w:rPr>
                <w:rFonts w:eastAsia="Times New Roman" w:cstheme="minorHAnsi"/>
                <w:color w:val="000000"/>
              </w:rPr>
            </w:pPr>
          </w:p>
        </w:tc>
      </w:tr>
      <w:tr w:rsidR="00AE45A6" w:rsidRPr="00A30620" w14:paraId="1DD0D914" w14:textId="77777777" w:rsidTr="00911FD3">
        <w:trPr>
          <w:trHeight w:val="300"/>
          <w:jc w:val="center"/>
        </w:trPr>
        <w:tc>
          <w:tcPr>
            <w:tcW w:w="3145" w:type="dxa"/>
            <w:shd w:val="clear" w:color="000000" w:fill="D9E1F2"/>
            <w:noWrap/>
            <w:vAlign w:val="center"/>
            <w:hideMark/>
          </w:tcPr>
          <w:p w14:paraId="7914F654" w14:textId="77777777" w:rsidR="00AE45A6" w:rsidRPr="00A30620" w:rsidRDefault="00AE45A6" w:rsidP="00911FD3">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Service Line</w:t>
            </w:r>
          </w:p>
        </w:tc>
        <w:tc>
          <w:tcPr>
            <w:tcW w:w="1530" w:type="dxa"/>
            <w:shd w:val="clear" w:color="000000" w:fill="D9E1F2"/>
            <w:noWrap/>
            <w:vAlign w:val="center"/>
            <w:hideMark/>
          </w:tcPr>
          <w:p w14:paraId="343AF6E4" w14:textId="77777777" w:rsidR="00AE45A6" w:rsidRPr="00A30620" w:rsidRDefault="00AE45A6" w:rsidP="00911FD3">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Average CMI</w:t>
            </w:r>
          </w:p>
        </w:tc>
        <w:tc>
          <w:tcPr>
            <w:tcW w:w="1530" w:type="dxa"/>
            <w:shd w:val="clear" w:color="000000" w:fill="D9E1F2"/>
            <w:noWrap/>
            <w:vAlign w:val="center"/>
            <w:hideMark/>
          </w:tcPr>
          <w:p w14:paraId="551E64C4" w14:textId="77777777" w:rsidR="00AE45A6" w:rsidRPr="00A30620" w:rsidRDefault="00AE45A6" w:rsidP="00911FD3">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Average LOS</w:t>
            </w:r>
          </w:p>
        </w:tc>
        <w:tc>
          <w:tcPr>
            <w:tcW w:w="2700" w:type="dxa"/>
            <w:shd w:val="clear" w:color="000000" w:fill="D9E1F2"/>
            <w:vAlign w:val="center"/>
            <w:hideMark/>
          </w:tcPr>
          <w:p w14:paraId="0A0C882D" w14:textId="77777777" w:rsidR="00AE45A6" w:rsidRPr="00A30620" w:rsidRDefault="00AE45A6" w:rsidP="00911FD3">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Count of Bed Days</w:t>
            </w:r>
          </w:p>
        </w:tc>
      </w:tr>
      <w:tr w:rsidR="00AE45A6" w:rsidRPr="00A30620" w14:paraId="125E5E2D" w14:textId="77777777" w:rsidTr="00E27668">
        <w:trPr>
          <w:trHeight w:val="242"/>
          <w:jc w:val="center"/>
        </w:trPr>
        <w:tc>
          <w:tcPr>
            <w:tcW w:w="3145" w:type="dxa"/>
            <w:shd w:val="clear" w:color="000000" w:fill="FFFFFF"/>
            <w:noWrap/>
            <w:vAlign w:val="center"/>
            <w:hideMark/>
          </w:tcPr>
          <w:p w14:paraId="7024869D" w14:textId="77777777" w:rsidR="00AE45A6" w:rsidRPr="00A30620" w:rsidRDefault="00AE45A6" w:rsidP="00911FD3">
            <w:pPr>
              <w:spacing w:after="0" w:line="240" w:lineRule="auto"/>
              <w:rPr>
                <w:rFonts w:eastAsia="Times New Roman" w:cstheme="minorHAnsi"/>
                <w:b/>
                <w:bCs/>
                <w:color w:val="000000"/>
              </w:rPr>
            </w:pPr>
            <w:r w:rsidRPr="00A30620">
              <w:rPr>
                <w:rFonts w:eastAsia="Times New Roman" w:cstheme="minorHAnsi"/>
                <w:b/>
                <w:bCs/>
                <w:color w:val="000000"/>
              </w:rPr>
              <w:t>High Acuity (Tertiary) Overall</w:t>
            </w:r>
          </w:p>
        </w:tc>
        <w:tc>
          <w:tcPr>
            <w:tcW w:w="1530" w:type="dxa"/>
            <w:shd w:val="clear" w:color="000000" w:fill="FFFFFF"/>
            <w:noWrap/>
            <w:vAlign w:val="center"/>
            <w:hideMark/>
          </w:tcPr>
          <w:p w14:paraId="444D37A3" w14:textId="77777777" w:rsidR="00AE45A6" w:rsidRPr="00A30620" w:rsidRDefault="00AE45A6" w:rsidP="00911FD3">
            <w:pPr>
              <w:spacing w:after="0" w:line="240" w:lineRule="auto"/>
              <w:jc w:val="center"/>
              <w:rPr>
                <w:rFonts w:eastAsia="Times New Roman" w:cstheme="minorHAnsi"/>
                <w:b/>
                <w:bCs/>
                <w:color w:val="000000"/>
              </w:rPr>
            </w:pPr>
            <w:r w:rsidRPr="00A30620">
              <w:rPr>
                <w:rFonts w:eastAsia="Times New Roman" w:cstheme="minorHAnsi"/>
                <w:b/>
                <w:bCs/>
                <w:color w:val="000000"/>
              </w:rPr>
              <w:t>4.48</w:t>
            </w:r>
          </w:p>
        </w:tc>
        <w:tc>
          <w:tcPr>
            <w:tcW w:w="1530" w:type="dxa"/>
            <w:shd w:val="clear" w:color="000000" w:fill="FFFFFF"/>
            <w:noWrap/>
            <w:vAlign w:val="center"/>
            <w:hideMark/>
          </w:tcPr>
          <w:p w14:paraId="615C32C4" w14:textId="77777777" w:rsidR="00AE45A6" w:rsidRPr="00A30620" w:rsidRDefault="00AE45A6" w:rsidP="00911FD3">
            <w:pPr>
              <w:spacing w:after="0" w:line="240" w:lineRule="auto"/>
              <w:jc w:val="center"/>
              <w:rPr>
                <w:rFonts w:eastAsia="Times New Roman" w:cstheme="minorHAnsi"/>
                <w:b/>
                <w:bCs/>
                <w:color w:val="000000"/>
              </w:rPr>
            </w:pPr>
            <w:r w:rsidRPr="00A30620">
              <w:rPr>
                <w:rFonts w:eastAsia="Times New Roman" w:cstheme="minorHAnsi"/>
                <w:b/>
                <w:bCs/>
                <w:color w:val="000000"/>
              </w:rPr>
              <w:t>9.48</w:t>
            </w:r>
          </w:p>
        </w:tc>
        <w:tc>
          <w:tcPr>
            <w:tcW w:w="2700" w:type="dxa"/>
            <w:shd w:val="clear" w:color="auto" w:fill="FFFF00"/>
            <w:noWrap/>
            <w:vAlign w:val="center"/>
            <w:hideMark/>
          </w:tcPr>
          <w:p w14:paraId="29147F24" w14:textId="77777777" w:rsidR="00AE45A6" w:rsidRPr="00A30620" w:rsidRDefault="00AE45A6" w:rsidP="00911FD3">
            <w:pPr>
              <w:spacing w:after="0" w:line="240" w:lineRule="auto"/>
              <w:jc w:val="center"/>
              <w:rPr>
                <w:rFonts w:eastAsia="Times New Roman" w:cstheme="minorHAnsi"/>
                <w:b/>
                <w:bCs/>
                <w:color w:val="000000"/>
              </w:rPr>
            </w:pPr>
            <w:r w:rsidRPr="00A30620">
              <w:rPr>
                <w:rFonts w:eastAsia="Times New Roman" w:cstheme="minorHAnsi"/>
                <w:b/>
                <w:bCs/>
                <w:color w:val="000000"/>
              </w:rPr>
              <w:t>72,799</w:t>
            </w:r>
          </w:p>
        </w:tc>
      </w:tr>
      <w:tr w:rsidR="00AE45A6" w:rsidRPr="00A30620" w14:paraId="43661E3E" w14:textId="77777777" w:rsidTr="00911FD3">
        <w:trPr>
          <w:trHeight w:val="300"/>
          <w:jc w:val="center"/>
        </w:trPr>
        <w:tc>
          <w:tcPr>
            <w:tcW w:w="3145" w:type="dxa"/>
            <w:shd w:val="clear" w:color="000000" w:fill="FFFFFF"/>
            <w:noWrap/>
            <w:vAlign w:val="center"/>
            <w:hideMark/>
          </w:tcPr>
          <w:p w14:paraId="494F8C82" w14:textId="77777777" w:rsidR="00AE45A6" w:rsidRPr="00A30620" w:rsidRDefault="00AE45A6" w:rsidP="00911FD3">
            <w:pPr>
              <w:spacing w:after="0" w:line="240" w:lineRule="auto"/>
              <w:rPr>
                <w:rFonts w:eastAsia="Times New Roman" w:cstheme="minorHAnsi"/>
                <w:color w:val="000000"/>
              </w:rPr>
            </w:pPr>
            <w:r w:rsidRPr="00A30620">
              <w:rPr>
                <w:rFonts w:eastAsia="Times New Roman" w:cstheme="minorHAnsi"/>
                <w:color w:val="000000"/>
              </w:rPr>
              <w:t>Cancer</w:t>
            </w:r>
          </w:p>
        </w:tc>
        <w:tc>
          <w:tcPr>
            <w:tcW w:w="1530" w:type="dxa"/>
            <w:shd w:val="clear" w:color="000000" w:fill="FFFFFF"/>
            <w:noWrap/>
            <w:vAlign w:val="center"/>
            <w:hideMark/>
          </w:tcPr>
          <w:p w14:paraId="0BCE3EDB"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3.66</w:t>
            </w:r>
          </w:p>
        </w:tc>
        <w:tc>
          <w:tcPr>
            <w:tcW w:w="1530" w:type="dxa"/>
            <w:shd w:val="clear" w:color="000000" w:fill="FFFFFF"/>
            <w:noWrap/>
            <w:vAlign w:val="center"/>
            <w:hideMark/>
          </w:tcPr>
          <w:p w14:paraId="024E130E"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8.54</w:t>
            </w:r>
          </w:p>
        </w:tc>
        <w:tc>
          <w:tcPr>
            <w:tcW w:w="2700" w:type="dxa"/>
            <w:shd w:val="clear" w:color="000000" w:fill="FFFFFF"/>
            <w:noWrap/>
            <w:vAlign w:val="center"/>
            <w:hideMark/>
          </w:tcPr>
          <w:p w14:paraId="083DBC1B"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20,764</w:t>
            </w:r>
          </w:p>
        </w:tc>
      </w:tr>
      <w:tr w:rsidR="00AE45A6" w:rsidRPr="00A30620" w14:paraId="159DB034" w14:textId="77777777" w:rsidTr="00911FD3">
        <w:trPr>
          <w:trHeight w:val="300"/>
          <w:jc w:val="center"/>
        </w:trPr>
        <w:tc>
          <w:tcPr>
            <w:tcW w:w="3145" w:type="dxa"/>
            <w:shd w:val="clear" w:color="000000" w:fill="FFFFFF"/>
            <w:noWrap/>
            <w:vAlign w:val="center"/>
            <w:hideMark/>
          </w:tcPr>
          <w:p w14:paraId="3FA31777" w14:textId="77777777" w:rsidR="00AE45A6" w:rsidRPr="00A30620" w:rsidRDefault="00AE45A6" w:rsidP="00911FD3">
            <w:pPr>
              <w:spacing w:after="0" w:line="240" w:lineRule="auto"/>
              <w:rPr>
                <w:rFonts w:eastAsia="Times New Roman" w:cstheme="minorHAnsi"/>
                <w:color w:val="000000"/>
              </w:rPr>
            </w:pPr>
            <w:r w:rsidRPr="00A30620">
              <w:rPr>
                <w:rFonts w:eastAsia="Times New Roman" w:cstheme="minorHAnsi"/>
                <w:color w:val="000000"/>
              </w:rPr>
              <w:t>Cardiovascular</w:t>
            </w:r>
          </w:p>
        </w:tc>
        <w:tc>
          <w:tcPr>
            <w:tcW w:w="1530" w:type="dxa"/>
            <w:shd w:val="clear" w:color="000000" w:fill="FFFFFF"/>
            <w:noWrap/>
            <w:vAlign w:val="center"/>
            <w:hideMark/>
          </w:tcPr>
          <w:p w14:paraId="6EC810CF"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5.97</w:t>
            </w:r>
          </w:p>
        </w:tc>
        <w:tc>
          <w:tcPr>
            <w:tcW w:w="1530" w:type="dxa"/>
            <w:shd w:val="clear" w:color="000000" w:fill="FFFFFF"/>
            <w:noWrap/>
            <w:vAlign w:val="center"/>
            <w:hideMark/>
          </w:tcPr>
          <w:p w14:paraId="0C39DA93"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11.51</w:t>
            </w:r>
          </w:p>
        </w:tc>
        <w:tc>
          <w:tcPr>
            <w:tcW w:w="2700" w:type="dxa"/>
            <w:shd w:val="clear" w:color="000000" w:fill="FFFFFF"/>
            <w:noWrap/>
            <w:vAlign w:val="center"/>
            <w:hideMark/>
          </w:tcPr>
          <w:p w14:paraId="2282F92B"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21,021</w:t>
            </w:r>
          </w:p>
        </w:tc>
      </w:tr>
      <w:tr w:rsidR="00AE45A6" w:rsidRPr="00A30620" w14:paraId="2143138D" w14:textId="77777777" w:rsidTr="00911FD3">
        <w:trPr>
          <w:trHeight w:val="300"/>
          <w:jc w:val="center"/>
        </w:trPr>
        <w:tc>
          <w:tcPr>
            <w:tcW w:w="3145" w:type="dxa"/>
            <w:shd w:val="clear" w:color="000000" w:fill="FFFFFF"/>
            <w:noWrap/>
            <w:vAlign w:val="center"/>
            <w:hideMark/>
          </w:tcPr>
          <w:p w14:paraId="5D7D7C9A" w14:textId="77777777" w:rsidR="00AE45A6" w:rsidRPr="00A30620" w:rsidRDefault="00AE45A6" w:rsidP="00911FD3">
            <w:pPr>
              <w:spacing w:after="0" w:line="240" w:lineRule="auto"/>
              <w:rPr>
                <w:rFonts w:eastAsia="Times New Roman" w:cstheme="minorHAnsi"/>
                <w:color w:val="000000"/>
              </w:rPr>
            </w:pPr>
            <w:r w:rsidRPr="00A30620">
              <w:rPr>
                <w:rFonts w:eastAsia="Times New Roman" w:cstheme="minorHAnsi"/>
                <w:color w:val="000000"/>
              </w:rPr>
              <w:t>Med/Surg</w:t>
            </w:r>
          </w:p>
        </w:tc>
        <w:tc>
          <w:tcPr>
            <w:tcW w:w="1530" w:type="dxa"/>
            <w:shd w:val="clear" w:color="000000" w:fill="FFFFFF"/>
            <w:noWrap/>
            <w:vAlign w:val="center"/>
            <w:hideMark/>
          </w:tcPr>
          <w:p w14:paraId="32220540"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4.45</w:t>
            </w:r>
          </w:p>
        </w:tc>
        <w:tc>
          <w:tcPr>
            <w:tcW w:w="1530" w:type="dxa"/>
            <w:shd w:val="clear" w:color="000000" w:fill="FFFFFF"/>
            <w:noWrap/>
            <w:vAlign w:val="center"/>
            <w:hideMark/>
          </w:tcPr>
          <w:p w14:paraId="5E3031E7"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9.32</w:t>
            </w:r>
          </w:p>
        </w:tc>
        <w:tc>
          <w:tcPr>
            <w:tcW w:w="2700" w:type="dxa"/>
            <w:shd w:val="clear" w:color="000000" w:fill="FFFFFF"/>
            <w:noWrap/>
            <w:vAlign w:val="center"/>
            <w:hideMark/>
          </w:tcPr>
          <w:p w14:paraId="79F759F5"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28,323</w:t>
            </w:r>
          </w:p>
        </w:tc>
      </w:tr>
      <w:tr w:rsidR="00AE45A6" w:rsidRPr="00A30620" w14:paraId="6431A245" w14:textId="77777777" w:rsidTr="00E27668">
        <w:trPr>
          <w:trHeight w:val="300"/>
          <w:jc w:val="center"/>
        </w:trPr>
        <w:tc>
          <w:tcPr>
            <w:tcW w:w="3145" w:type="dxa"/>
            <w:shd w:val="clear" w:color="000000" w:fill="FFFFFF"/>
            <w:vAlign w:val="center"/>
            <w:hideMark/>
          </w:tcPr>
          <w:p w14:paraId="2551D254" w14:textId="77777777" w:rsidR="00AE45A6" w:rsidRPr="00A30620" w:rsidRDefault="00AE45A6" w:rsidP="00911FD3">
            <w:pPr>
              <w:spacing w:after="0" w:line="240" w:lineRule="auto"/>
              <w:rPr>
                <w:rFonts w:eastAsia="Times New Roman" w:cstheme="minorHAnsi"/>
                <w:b/>
                <w:bCs/>
                <w:color w:val="000000"/>
              </w:rPr>
            </w:pPr>
            <w:r w:rsidRPr="00A30620">
              <w:rPr>
                <w:rFonts w:eastAsia="Times New Roman" w:cstheme="minorHAnsi"/>
                <w:b/>
                <w:bCs/>
                <w:color w:val="000000"/>
              </w:rPr>
              <w:t>Low Acuity Overall</w:t>
            </w:r>
          </w:p>
        </w:tc>
        <w:tc>
          <w:tcPr>
            <w:tcW w:w="1530" w:type="dxa"/>
            <w:shd w:val="clear" w:color="000000" w:fill="FFFFFF"/>
            <w:noWrap/>
            <w:vAlign w:val="center"/>
            <w:hideMark/>
          </w:tcPr>
          <w:p w14:paraId="4EFEACA4" w14:textId="77777777" w:rsidR="00AE45A6" w:rsidRPr="00A30620" w:rsidRDefault="00AE45A6" w:rsidP="00911FD3">
            <w:pPr>
              <w:spacing w:after="0" w:line="240" w:lineRule="auto"/>
              <w:jc w:val="center"/>
              <w:rPr>
                <w:rFonts w:eastAsia="Times New Roman" w:cstheme="minorHAnsi"/>
                <w:b/>
                <w:bCs/>
                <w:color w:val="000000"/>
              </w:rPr>
            </w:pPr>
            <w:r w:rsidRPr="00A30620">
              <w:rPr>
                <w:rFonts w:eastAsia="Times New Roman" w:cstheme="minorHAnsi"/>
                <w:b/>
                <w:bCs/>
                <w:color w:val="000000"/>
              </w:rPr>
              <w:t>1.63</w:t>
            </w:r>
          </w:p>
        </w:tc>
        <w:tc>
          <w:tcPr>
            <w:tcW w:w="1530" w:type="dxa"/>
            <w:shd w:val="clear" w:color="000000" w:fill="FFFFFF"/>
            <w:noWrap/>
            <w:vAlign w:val="center"/>
            <w:hideMark/>
          </w:tcPr>
          <w:p w14:paraId="1B31FE66" w14:textId="77777777" w:rsidR="00AE45A6" w:rsidRPr="00A30620" w:rsidRDefault="00AE45A6" w:rsidP="00911FD3">
            <w:pPr>
              <w:spacing w:after="0" w:line="240" w:lineRule="auto"/>
              <w:jc w:val="center"/>
              <w:rPr>
                <w:rFonts w:eastAsia="Times New Roman" w:cstheme="minorHAnsi"/>
                <w:b/>
                <w:bCs/>
                <w:color w:val="000000"/>
              </w:rPr>
            </w:pPr>
            <w:r w:rsidRPr="00A30620">
              <w:rPr>
                <w:rFonts w:eastAsia="Times New Roman" w:cstheme="minorHAnsi"/>
                <w:b/>
                <w:bCs/>
                <w:color w:val="000000"/>
              </w:rPr>
              <w:t>5.57</w:t>
            </w:r>
          </w:p>
        </w:tc>
        <w:tc>
          <w:tcPr>
            <w:tcW w:w="2700" w:type="dxa"/>
            <w:shd w:val="clear" w:color="auto" w:fill="FFFF00"/>
            <w:noWrap/>
            <w:vAlign w:val="center"/>
            <w:hideMark/>
          </w:tcPr>
          <w:p w14:paraId="67F95B54" w14:textId="77777777" w:rsidR="00AE45A6" w:rsidRPr="00A30620" w:rsidRDefault="00AE45A6" w:rsidP="00911FD3">
            <w:pPr>
              <w:spacing w:after="0" w:line="240" w:lineRule="auto"/>
              <w:jc w:val="center"/>
              <w:rPr>
                <w:rFonts w:eastAsia="Times New Roman" w:cstheme="minorHAnsi"/>
                <w:b/>
                <w:bCs/>
                <w:color w:val="000000"/>
              </w:rPr>
            </w:pPr>
            <w:r w:rsidRPr="00A30620">
              <w:rPr>
                <w:rFonts w:eastAsia="Times New Roman" w:cstheme="minorHAnsi"/>
                <w:b/>
                <w:bCs/>
                <w:color w:val="000000"/>
              </w:rPr>
              <w:t>258,824</w:t>
            </w:r>
          </w:p>
        </w:tc>
      </w:tr>
      <w:tr w:rsidR="00AE45A6" w:rsidRPr="00A30620" w14:paraId="6DB57AA6" w14:textId="77777777" w:rsidTr="00911FD3">
        <w:trPr>
          <w:trHeight w:val="300"/>
          <w:jc w:val="center"/>
        </w:trPr>
        <w:tc>
          <w:tcPr>
            <w:tcW w:w="3145" w:type="dxa"/>
            <w:shd w:val="clear" w:color="000000" w:fill="FFFFFF"/>
            <w:noWrap/>
            <w:vAlign w:val="center"/>
            <w:hideMark/>
          </w:tcPr>
          <w:p w14:paraId="5F2B1B77" w14:textId="77777777" w:rsidR="00AE45A6" w:rsidRPr="00A30620" w:rsidRDefault="00AE45A6" w:rsidP="00911FD3">
            <w:pPr>
              <w:spacing w:after="0" w:line="240" w:lineRule="auto"/>
              <w:rPr>
                <w:rFonts w:eastAsia="Times New Roman" w:cstheme="minorHAnsi"/>
                <w:color w:val="000000"/>
              </w:rPr>
            </w:pPr>
            <w:r w:rsidRPr="00A30620">
              <w:rPr>
                <w:rFonts w:eastAsia="Times New Roman" w:cstheme="minorHAnsi"/>
                <w:color w:val="000000"/>
              </w:rPr>
              <w:t>Cancer</w:t>
            </w:r>
          </w:p>
        </w:tc>
        <w:tc>
          <w:tcPr>
            <w:tcW w:w="1530" w:type="dxa"/>
            <w:shd w:val="clear" w:color="000000" w:fill="FFFFFF"/>
            <w:noWrap/>
            <w:vAlign w:val="center"/>
            <w:hideMark/>
          </w:tcPr>
          <w:p w14:paraId="13C97B60"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1.93</w:t>
            </w:r>
          </w:p>
        </w:tc>
        <w:tc>
          <w:tcPr>
            <w:tcW w:w="1530" w:type="dxa"/>
            <w:shd w:val="clear" w:color="000000" w:fill="FFFFFF"/>
            <w:noWrap/>
            <w:vAlign w:val="center"/>
            <w:hideMark/>
          </w:tcPr>
          <w:p w14:paraId="338ECEDE"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5.95</w:t>
            </w:r>
          </w:p>
        </w:tc>
        <w:tc>
          <w:tcPr>
            <w:tcW w:w="2700" w:type="dxa"/>
            <w:shd w:val="clear" w:color="000000" w:fill="FFFFFF"/>
            <w:noWrap/>
            <w:vAlign w:val="center"/>
            <w:hideMark/>
          </w:tcPr>
          <w:p w14:paraId="08A2EEF2"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42,030</w:t>
            </w:r>
          </w:p>
        </w:tc>
      </w:tr>
      <w:tr w:rsidR="00AE45A6" w:rsidRPr="00A30620" w14:paraId="7AA03D39" w14:textId="77777777" w:rsidTr="00911FD3">
        <w:trPr>
          <w:trHeight w:val="300"/>
          <w:jc w:val="center"/>
        </w:trPr>
        <w:tc>
          <w:tcPr>
            <w:tcW w:w="3145" w:type="dxa"/>
            <w:shd w:val="clear" w:color="000000" w:fill="FFFFFF"/>
            <w:noWrap/>
            <w:vAlign w:val="center"/>
            <w:hideMark/>
          </w:tcPr>
          <w:p w14:paraId="662F301B" w14:textId="77777777" w:rsidR="00AE45A6" w:rsidRPr="00A30620" w:rsidRDefault="00AE45A6" w:rsidP="00911FD3">
            <w:pPr>
              <w:spacing w:after="0" w:line="240" w:lineRule="auto"/>
              <w:rPr>
                <w:rFonts w:eastAsia="Times New Roman" w:cstheme="minorHAnsi"/>
                <w:color w:val="000000"/>
              </w:rPr>
            </w:pPr>
            <w:r w:rsidRPr="00A30620">
              <w:rPr>
                <w:rFonts w:eastAsia="Times New Roman" w:cstheme="minorHAnsi"/>
                <w:color w:val="000000"/>
              </w:rPr>
              <w:t>Cardiovascular</w:t>
            </w:r>
          </w:p>
        </w:tc>
        <w:tc>
          <w:tcPr>
            <w:tcW w:w="1530" w:type="dxa"/>
            <w:shd w:val="clear" w:color="000000" w:fill="FFFFFF"/>
            <w:noWrap/>
            <w:vAlign w:val="center"/>
            <w:hideMark/>
          </w:tcPr>
          <w:p w14:paraId="3B557B1D"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1.87</w:t>
            </w:r>
          </w:p>
        </w:tc>
        <w:tc>
          <w:tcPr>
            <w:tcW w:w="1530" w:type="dxa"/>
            <w:shd w:val="clear" w:color="000000" w:fill="FFFFFF"/>
            <w:noWrap/>
            <w:vAlign w:val="center"/>
            <w:hideMark/>
          </w:tcPr>
          <w:p w14:paraId="5960D250"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6.08</w:t>
            </w:r>
          </w:p>
        </w:tc>
        <w:tc>
          <w:tcPr>
            <w:tcW w:w="2700" w:type="dxa"/>
            <w:shd w:val="clear" w:color="000000" w:fill="FFFFFF"/>
            <w:noWrap/>
            <w:vAlign w:val="center"/>
            <w:hideMark/>
          </w:tcPr>
          <w:p w14:paraId="72712B8A" w14:textId="77777777" w:rsidR="00AE45A6" w:rsidRPr="00A30620" w:rsidRDefault="00AE45A6" w:rsidP="00911FD3">
            <w:pPr>
              <w:spacing w:after="0" w:line="240" w:lineRule="auto"/>
              <w:jc w:val="center"/>
              <w:rPr>
                <w:rFonts w:eastAsia="Times New Roman" w:cstheme="minorHAnsi"/>
                <w:color w:val="000000"/>
              </w:rPr>
            </w:pPr>
            <w:r w:rsidRPr="00A30620">
              <w:rPr>
                <w:rFonts w:eastAsia="Times New Roman" w:cstheme="minorHAnsi"/>
                <w:color w:val="000000"/>
              </w:rPr>
              <w:t>29,276</w:t>
            </w:r>
          </w:p>
        </w:tc>
      </w:tr>
      <w:tr w:rsidR="00AE45A6" w:rsidRPr="00A30620" w14:paraId="26B33EFB" w14:textId="77777777" w:rsidTr="00911FD3">
        <w:trPr>
          <w:trHeight w:val="300"/>
          <w:jc w:val="center"/>
        </w:trPr>
        <w:tc>
          <w:tcPr>
            <w:tcW w:w="3145" w:type="dxa"/>
            <w:shd w:val="clear" w:color="000000" w:fill="FFFFFF"/>
            <w:noWrap/>
            <w:vAlign w:val="center"/>
            <w:hideMark/>
          </w:tcPr>
          <w:p w14:paraId="7059A9B7" w14:textId="77777777" w:rsidR="00AE45A6" w:rsidRPr="00A30620" w:rsidRDefault="00AE45A6" w:rsidP="00911FD3">
            <w:pPr>
              <w:spacing w:after="0" w:line="240" w:lineRule="auto"/>
              <w:contextualSpacing/>
              <w:rPr>
                <w:rFonts w:eastAsia="Times New Roman" w:cstheme="minorHAnsi"/>
                <w:color w:val="000000"/>
              </w:rPr>
            </w:pPr>
            <w:r w:rsidRPr="00A30620">
              <w:rPr>
                <w:rFonts w:eastAsia="Times New Roman" w:cstheme="minorHAnsi"/>
                <w:color w:val="000000"/>
              </w:rPr>
              <w:t>Med/Surg</w:t>
            </w:r>
          </w:p>
        </w:tc>
        <w:tc>
          <w:tcPr>
            <w:tcW w:w="1530" w:type="dxa"/>
            <w:shd w:val="clear" w:color="000000" w:fill="FFFFFF"/>
            <w:noWrap/>
            <w:vAlign w:val="center"/>
            <w:hideMark/>
          </w:tcPr>
          <w:p w14:paraId="3AD0D4FB" w14:textId="77777777" w:rsidR="00AE45A6" w:rsidRPr="00A30620" w:rsidRDefault="00AE45A6" w:rsidP="00911FD3">
            <w:pPr>
              <w:spacing w:after="0" w:line="240" w:lineRule="auto"/>
              <w:contextualSpacing/>
              <w:jc w:val="center"/>
              <w:rPr>
                <w:rFonts w:eastAsia="Times New Roman" w:cstheme="minorHAnsi"/>
                <w:color w:val="000000"/>
              </w:rPr>
            </w:pPr>
            <w:r w:rsidRPr="00A30620">
              <w:rPr>
                <w:rFonts w:eastAsia="Times New Roman" w:cstheme="minorHAnsi"/>
                <w:color w:val="000000"/>
              </w:rPr>
              <w:t>1.92</w:t>
            </w:r>
          </w:p>
        </w:tc>
        <w:tc>
          <w:tcPr>
            <w:tcW w:w="1530" w:type="dxa"/>
            <w:shd w:val="clear" w:color="000000" w:fill="FFFFFF"/>
            <w:noWrap/>
            <w:vAlign w:val="center"/>
            <w:hideMark/>
          </w:tcPr>
          <w:p w14:paraId="788772A1" w14:textId="77777777" w:rsidR="00AE45A6" w:rsidRPr="00A30620" w:rsidRDefault="00AE45A6" w:rsidP="00911FD3">
            <w:pPr>
              <w:spacing w:after="0" w:line="240" w:lineRule="auto"/>
              <w:contextualSpacing/>
              <w:jc w:val="center"/>
              <w:rPr>
                <w:rFonts w:eastAsia="Times New Roman" w:cstheme="minorHAnsi"/>
                <w:color w:val="000000"/>
              </w:rPr>
            </w:pPr>
            <w:r w:rsidRPr="00A30620">
              <w:rPr>
                <w:rFonts w:eastAsia="Times New Roman" w:cstheme="minorHAnsi"/>
                <w:color w:val="000000"/>
              </w:rPr>
              <w:t>5.91</w:t>
            </w:r>
          </w:p>
        </w:tc>
        <w:tc>
          <w:tcPr>
            <w:tcW w:w="2700" w:type="dxa"/>
            <w:shd w:val="clear" w:color="000000" w:fill="FFFFFF"/>
            <w:noWrap/>
            <w:vAlign w:val="center"/>
            <w:hideMark/>
          </w:tcPr>
          <w:p w14:paraId="7F457555" w14:textId="77777777" w:rsidR="00AE45A6" w:rsidRPr="00A30620" w:rsidRDefault="00AE45A6" w:rsidP="00911FD3">
            <w:pPr>
              <w:spacing w:after="0" w:line="240" w:lineRule="auto"/>
              <w:contextualSpacing/>
              <w:jc w:val="center"/>
              <w:rPr>
                <w:rFonts w:eastAsia="Times New Roman" w:cstheme="minorHAnsi"/>
                <w:color w:val="000000"/>
              </w:rPr>
            </w:pPr>
            <w:r w:rsidRPr="00A30620">
              <w:rPr>
                <w:rFonts w:eastAsia="Times New Roman" w:cstheme="minorHAnsi"/>
                <w:color w:val="000000"/>
              </w:rPr>
              <w:t>137,750</w:t>
            </w:r>
          </w:p>
        </w:tc>
      </w:tr>
      <w:tr w:rsidR="00AE45A6" w:rsidRPr="00A30620" w14:paraId="4598B490" w14:textId="77777777" w:rsidTr="00E27668">
        <w:trPr>
          <w:trHeight w:val="300"/>
          <w:jc w:val="center"/>
        </w:trPr>
        <w:tc>
          <w:tcPr>
            <w:tcW w:w="3145" w:type="dxa"/>
            <w:shd w:val="clear" w:color="000000" w:fill="D9E1F2"/>
            <w:noWrap/>
            <w:vAlign w:val="center"/>
            <w:hideMark/>
          </w:tcPr>
          <w:p w14:paraId="4583FBD3" w14:textId="77777777" w:rsidR="00AE45A6" w:rsidRPr="00A30620" w:rsidRDefault="00AE45A6" w:rsidP="00911FD3">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lastRenderedPageBreak/>
              <w:t>Total</w:t>
            </w:r>
          </w:p>
        </w:tc>
        <w:tc>
          <w:tcPr>
            <w:tcW w:w="1530" w:type="dxa"/>
            <w:shd w:val="clear" w:color="000000" w:fill="D9E1F2"/>
            <w:noWrap/>
            <w:vAlign w:val="center"/>
            <w:hideMark/>
          </w:tcPr>
          <w:p w14:paraId="7360A2EB" w14:textId="77777777" w:rsidR="00AE45A6" w:rsidRPr="00A30620" w:rsidRDefault="00AE45A6" w:rsidP="00911FD3">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2.03</w:t>
            </w:r>
          </w:p>
        </w:tc>
        <w:tc>
          <w:tcPr>
            <w:tcW w:w="1530" w:type="dxa"/>
            <w:shd w:val="clear" w:color="000000" w:fill="D9E1F2"/>
            <w:noWrap/>
            <w:vAlign w:val="center"/>
            <w:hideMark/>
          </w:tcPr>
          <w:p w14:paraId="5D570655" w14:textId="77777777" w:rsidR="00AE45A6" w:rsidRPr="00A30620" w:rsidRDefault="00AE45A6" w:rsidP="00911FD3">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6.13</w:t>
            </w:r>
          </w:p>
        </w:tc>
        <w:tc>
          <w:tcPr>
            <w:tcW w:w="2700" w:type="dxa"/>
            <w:shd w:val="clear" w:color="auto" w:fill="FFFF00"/>
            <w:noWrap/>
            <w:vAlign w:val="center"/>
            <w:hideMark/>
          </w:tcPr>
          <w:p w14:paraId="6E9AD98C" w14:textId="77777777" w:rsidR="00AE45A6" w:rsidRPr="00A30620" w:rsidRDefault="00AE45A6" w:rsidP="00911FD3">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331,623</w:t>
            </w:r>
          </w:p>
        </w:tc>
      </w:tr>
    </w:tbl>
    <w:p w14:paraId="534731CA" w14:textId="77777777" w:rsidR="00E02482" w:rsidRDefault="00E02482" w:rsidP="00C47756"/>
    <w:p w14:paraId="500C6E62" w14:textId="59748CF9" w:rsidR="00E34877" w:rsidRPr="002B4DC7" w:rsidRDefault="004C0B3F" w:rsidP="00791279">
      <w:pPr>
        <w:ind w:left="720"/>
        <w:rPr>
          <w:rFonts w:eastAsia="Times New Roman"/>
        </w:rPr>
      </w:pPr>
      <w:r>
        <w:t xml:space="preserve">Response: The </w:t>
      </w:r>
      <w:r w:rsidR="00E71E75">
        <w:t>highlighted totals in the above table include</w:t>
      </w:r>
      <w:r w:rsidR="00E04642">
        <w:t xml:space="preserve"> all hospital</w:t>
      </w:r>
      <w:r w:rsidR="00E71E75">
        <w:t xml:space="preserve"> bed days</w:t>
      </w:r>
      <w:r w:rsidR="00E04642">
        <w:t xml:space="preserve"> which includes more than c</w:t>
      </w:r>
      <w:r w:rsidR="00E71E75">
        <w:t xml:space="preserve">ancer, cardiovascular </w:t>
      </w:r>
      <w:r w:rsidR="00E04642">
        <w:t xml:space="preserve">and </w:t>
      </w:r>
      <w:r w:rsidR="00E71E75">
        <w:t>med/sur</w:t>
      </w:r>
      <w:r w:rsidR="00E04642">
        <w:t>g bed days</w:t>
      </w:r>
      <w:r w:rsidR="00E02482">
        <w:t xml:space="preserve"> (e.g., pediatrics and mental health)</w:t>
      </w:r>
      <w:r w:rsidR="00E71E75">
        <w:t xml:space="preserve">. </w:t>
      </w:r>
      <w:r w:rsidR="006642D3">
        <w:t xml:space="preserve">The following table removes those additional bed days from the totals so that the totals reflect only cancer, cardiovascular and med/surg patient days. </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530"/>
        <w:gridCol w:w="1530"/>
        <w:gridCol w:w="2700"/>
      </w:tblGrid>
      <w:tr w:rsidR="00F27D70" w:rsidRPr="00A30620" w14:paraId="1C8DC80F" w14:textId="77777777" w:rsidTr="00F27D70">
        <w:trPr>
          <w:trHeight w:val="377"/>
          <w:jc w:val="center"/>
        </w:trPr>
        <w:tc>
          <w:tcPr>
            <w:tcW w:w="8905" w:type="dxa"/>
            <w:gridSpan w:val="4"/>
            <w:shd w:val="clear" w:color="000000" w:fill="FFFFFF"/>
            <w:noWrap/>
            <w:vAlign w:val="center"/>
            <w:hideMark/>
          </w:tcPr>
          <w:p w14:paraId="7DD5BE54" w14:textId="77777777" w:rsidR="00F27D70" w:rsidRPr="00A30620" w:rsidRDefault="00F27D70" w:rsidP="00F27D70">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Actual</w:t>
            </w:r>
            <w:r w:rsidRPr="00A30620">
              <w:rPr>
                <w:rFonts w:eastAsia="Times New Roman" w:cstheme="minorHAnsi"/>
                <w:b/>
                <w:bCs/>
                <w:color w:val="000000"/>
                <w:vertAlign w:val="superscript"/>
              </w:rPr>
              <w:footnoteReference w:id="2"/>
            </w:r>
            <w:r w:rsidRPr="00A30620">
              <w:rPr>
                <w:rFonts w:eastAsia="Times New Roman" w:cstheme="minorHAnsi"/>
                <w:b/>
                <w:bCs/>
                <w:color w:val="000000"/>
              </w:rPr>
              <w:t xml:space="preserve"> FY19 MGH IP Discharges: CMI and LOS by Acuity &amp; Service</w:t>
            </w:r>
          </w:p>
          <w:p w14:paraId="0BF3A1AB" w14:textId="77777777" w:rsidR="00F27D70" w:rsidRPr="00A30620" w:rsidRDefault="00F27D70" w:rsidP="00F27D70">
            <w:pPr>
              <w:spacing w:after="0" w:line="240" w:lineRule="auto"/>
              <w:contextualSpacing/>
              <w:jc w:val="center"/>
              <w:rPr>
                <w:rFonts w:eastAsia="Times New Roman" w:cstheme="minorHAnsi"/>
                <w:color w:val="000000"/>
              </w:rPr>
            </w:pPr>
          </w:p>
        </w:tc>
      </w:tr>
      <w:tr w:rsidR="00F27D70" w:rsidRPr="00A30620" w14:paraId="5550630E" w14:textId="77777777" w:rsidTr="00F27D70">
        <w:trPr>
          <w:trHeight w:val="300"/>
          <w:jc w:val="center"/>
        </w:trPr>
        <w:tc>
          <w:tcPr>
            <w:tcW w:w="3145" w:type="dxa"/>
            <w:shd w:val="clear" w:color="000000" w:fill="D9E1F2"/>
            <w:noWrap/>
            <w:vAlign w:val="center"/>
            <w:hideMark/>
          </w:tcPr>
          <w:p w14:paraId="06409E00" w14:textId="77777777" w:rsidR="00F27D70" w:rsidRPr="00A30620" w:rsidRDefault="00F27D70" w:rsidP="00F27D70">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Service Line</w:t>
            </w:r>
          </w:p>
        </w:tc>
        <w:tc>
          <w:tcPr>
            <w:tcW w:w="1530" w:type="dxa"/>
            <w:shd w:val="clear" w:color="000000" w:fill="D9E1F2"/>
            <w:noWrap/>
            <w:vAlign w:val="center"/>
            <w:hideMark/>
          </w:tcPr>
          <w:p w14:paraId="77FA2277" w14:textId="77777777" w:rsidR="00F27D70" w:rsidRPr="00A30620" w:rsidRDefault="00F27D70" w:rsidP="00F27D70">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Average CMI</w:t>
            </w:r>
          </w:p>
        </w:tc>
        <w:tc>
          <w:tcPr>
            <w:tcW w:w="1530" w:type="dxa"/>
            <w:shd w:val="clear" w:color="000000" w:fill="D9E1F2"/>
            <w:noWrap/>
            <w:vAlign w:val="center"/>
            <w:hideMark/>
          </w:tcPr>
          <w:p w14:paraId="52091F79" w14:textId="77777777" w:rsidR="00F27D70" w:rsidRPr="00A30620" w:rsidRDefault="00F27D70" w:rsidP="00F27D70">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Average LOS</w:t>
            </w:r>
          </w:p>
        </w:tc>
        <w:tc>
          <w:tcPr>
            <w:tcW w:w="2700" w:type="dxa"/>
            <w:shd w:val="clear" w:color="000000" w:fill="D9E1F2"/>
            <w:vAlign w:val="center"/>
            <w:hideMark/>
          </w:tcPr>
          <w:p w14:paraId="430942B1" w14:textId="77777777" w:rsidR="00F27D70" w:rsidRPr="00A30620" w:rsidRDefault="00F27D70" w:rsidP="00F27D70">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Count of Bed Days</w:t>
            </w:r>
          </w:p>
        </w:tc>
      </w:tr>
      <w:tr w:rsidR="006642D3" w:rsidRPr="00A30620" w14:paraId="6AF2F232" w14:textId="77777777" w:rsidTr="00F27D70">
        <w:trPr>
          <w:trHeight w:val="242"/>
          <w:jc w:val="center"/>
        </w:trPr>
        <w:tc>
          <w:tcPr>
            <w:tcW w:w="3145" w:type="dxa"/>
            <w:shd w:val="clear" w:color="000000" w:fill="FFFFFF"/>
            <w:noWrap/>
            <w:vAlign w:val="center"/>
            <w:hideMark/>
          </w:tcPr>
          <w:p w14:paraId="07F4F95D" w14:textId="77777777" w:rsidR="006642D3" w:rsidRPr="00A30620" w:rsidRDefault="006642D3" w:rsidP="006642D3">
            <w:pPr>
              <w:spacing w:after="0" w:line="240" w:lineRule="auto"/>
              <w:rPr>
                <w:rFonts w:eastAsia="Times New Roman" w:cstheme="minorHAnsi"/>
                <w:b/>
                <w:bCs/>
                <w:color w:val="000000"/>
              </w:rPr>
            </w:pPr>
            <w:r w:rsidRPr="00A30620">
              <w:rPr>
                <w:rFonts w:eastAsia="Times New Roman" w:cstheme="minorHAnsi"/>
                <w:b/>
                <w:bCs/>
                <w:color w:val="000000"/>
              </w:rPr>
              <w:t>High Acuity (Tertiary) Overall</w:t>
            </w:r>
          </w:p>
        </w:tc>
        <w:tc>
          <w:tcPr>
            <w:tcW w:w="1530" w:type="dxa"/>
            <w:shd w:val="clear" w:color="000000" w:fill="FFFFFF"/>
            <w:noWrap/>
            <w:vAlign w:val="center"/>
            <w:hideMark/>
          </w:tcPr>
          <w:p w14:paraId="5C0F2021" w14:textId="77777777" w:rsidR="006642D3" w:rsidRPr="00A30620" w:rsidRDefault="006642D3" w:rsidP="006642D3">
            <w:pPr>
              <w:spacing w:after="0" w:line="240" w:lineRule="auto"/>
              <w:jc w:val="center"/>
              <w:rPr>
                <w:rFonts w:eastAsia="Times New Roman" w:cstheme="minorHAnsi"/>
                <w:b/>
                <w:bCs/>
                <w:color w:val="000000"/>
              </w:rPr>
            </w:pPr>
            <w:r w:rsidRPr="00A30620">
              <w:rPr>
                <w:rFonts w:eastAsia="Times New Roman" w:cstheme="minorHAnsi"/>
                <w:b/>
                <w:bCs/>
                <w:color w:val="000000"/>
              </w:rPr>
              <w:t>4.48</w:t>
            </w:r>
          </w:p>
        </w:tc>
        <w:tc>
          <w:tcPr>
            <w:tcW w:w="1530" w:type="dxa"/>
            <w:shd w:val="clear" w:color="000000" w:fill="FFFFFF"/>
            <w:noWrap/>
            <w:vAlign w:val="center"/>
            <w:hideMark/>
          </w:tcPr>
          <w:p w14:paraId="4B50666F" w14:textId="77777777" w:rsidR="006642D3" w:rsidRPr="00A30620" w:rsidRDefault="006642D3" w:rsidP="006642D3">
            <w:pPr>
              <w:spacing w:after="0" w:line="240" w:lineRule="auto"/>
              <w:jc w:val="center"/>
              <w:rPr>
                <w:rFonts w:eastAsia="Times New Roman" w:cstheme="minorHAnsi"/>
                <w:b/>
                <w:bCs/>
                <w:color w:val="000000"/>
              </w:rPr>
            </w:pPr>
            <w:r w:rsidRPr="00A30620">
              <w:rPr>
                <w:rFonts w:eastAsia="Times New Roman" w:cstheme="minorHAnsi"/>
                <w:b/>
                <w:bCs/>
                <w:color w:val="000000"/>
              </w:rPr>
              <w:t>9.48</w:t>
            </w:r>
          </w:p>
        </w:tc>
        <w:tc>
          <w:tcPr>
            <w:tcW w:w="2700" w:type="dxa"/>
            <w:shd w:val="clear" w:color="auto" w:fill="FFFF00"/>
            <w:noWrap/>
            <w:vAlign w:val="center"/>
            <w:hideMark/>
          </w:tcPr>
          <w:p w14:paraId="66767EFF" w14:textId="2FFD0C0A" w:rsidR="006642D3" w:rsidRPr="00A30620" w:rsidRDefault="006642D3" w:rsidP="006642D3">
            <w:pPr>
              <w:spacing w:after="0" w:line="240" w:lineRule="auto"/>
              <w:jc w:val="center"/>
              <w:rPr>
                <w:rFonts w:eastAsia="Times New Roman" w:cstheme="minorHAnsi"/>
                <w:b/>
                <w:bCs/>
                <w:color w:val="000000"/>
              </w:rPr>
            </w:pPr>
            <w:r>
              <w:rPr>
                <w:rFonts w:ascii="Calibri" w:hAnsi="Calibri" w:cs="Calibri"/>
                <w:b/>
                <w:bCs/>
                <w:color w:val="000000"/>
              </w:rPr>
              <w:t>70,108</w:t>
            </w:r>
          </w:p>
        </w:tc>
      </w:tr>
      <w:tr w:rsidR="006642D3" w:rsidRPr="00A30620" w14:paraId="1A66CF56" w14:textId="77777777" w:rsidTr="00F27D70">
        <w:trPr>
          <w:trHeight w:val="300"/>
          <w:jc w:val="center"/>
        </w:trPr>
        <w:tc>
          <w:tcPr>
            <w:tcW w:w="3145" w:type="dxa"/>
            <w:shd w:val="clear" w:color="000000" w:fill="FFFFFF"/>
            <w:noWrap/>
            <w:vAlign w:val="center"/>
            <w:hideMark/>
          </w:tcPr>
          <w:p w14:paraId="05426825" w14:textId="77777777" w:rsidR="006642D3" w:rsidRPr="00A30620" w:rsidRDefault="006642D3" w:rsidP="006642D3">
            <w:pPr>
              <w:spacing w:after="0" w:line="240" w:lineRule="auto"/>
              <w:rPr>
                <w:rFonts w:eastAsia="Times New Roman" w:cstheme="minorHAnsi"/>
                <w:color w:val="000000"/>
              </w:rPr>
            </w:pPr>
            <w:r w:rsidRPr="00A30620">
              <w:rPr>
                <w:rFonts w:eastAsia="Times New Roman" w:cstheme="minorHAnsi"/>
                <w:color w:val="000000"/>
              </w:rPr>
              <w:t>Cancer</w:t>
            </w:r>
          </w:p>
        </w:tc>
        <w:tc>
          <w:tcPr>
            <w:tcW w:w="1530" w:type="dxa"/>
            <w:shd w:val="clear" w:color="000000" w:fill="FFFFFF"/>
            <w:noWrap/>
            <w:vAlign w:val="center"/>
            <w:hideMark/>
          </w:tcPr>
          <w:p w14:paraId="5FA21035" w14:textId="77777777" w:rsidR="006642D3" w:rsidRPr="00A30620" w:rsidRDefault="006642D3" w:rsidP="006642D3">
            <w:pPr>
              <w:spacing w:after="0" w:line="240" w:lineRule="auto"/>
              <w:jc w:val="center"/>
              <w:rPr>
                <w:rFonts w:eastAsia="Times New Roman" w:cstheme="minorHAnsi"/>
                <w:color w:val="000000"/>
              </w:rPr>
            </w:pPr>
            <w:r w:rsidRPr="00A30620">
              <w:rPr>
                <w:rFonts w:eastAsia="Times New Roman" w:cstheme="minorHAnsi"/>
                <w:color w:val="000000"/>
              </w:rPr>
              <w:t>3.66</w:t>
            </w:r>
          </w:p>
        </w:tc>
        <w:tc>
          <w:tcPr>
            <w:tcW w:w="1530" w:type="dxa"/>
            <w:shd w:val="clear" w:color="000000" w:fill="FFFFFF"/>
            <w:noWrap/>
            <w:vAlign w:val="center"/>
            <w:hideMark/>
          </w:tcPr>
          <w:p w14:paraId="6754A701" w14:textId="77777777" w:rsidR="006642D3" w:rsidRPr="00A30620" w:rsidRDefault="006642D3" w:rsidP="006642D3">
            <w:pPr>
              <w:spacing w:after="0" w:line="240" w:lineRule="auto"/>
              <w:jc w:val="center"/>
              <w:rPr>
                <w:rFonts w:eastAsia="Times New Roman" w:cstheme="minorHAnsi"/>
                <w:color w:val="000000"/>
              </w:rPr>
            </w:pPr>
            <w:r w:rsidRPr="00A30620">
              <w:rPr>
                <w:rFonts w:eastAsia="Times New Roman" w:cstheme="minorHAnsi"/>
                <w:color w:val="000000"/>
              </w:rPr>
              <w:t>8.54</w:t>
            </w:r>
          </w:p>
        </w:tc>
        <w:tc>
          <w:tcPr>
            <w:tcW w:w="2700" w:type="dxa"/>
            <w:shd w:val="clear" w:color="000000" w:fill="FFFFFF"/>
            <w:noWrap/>
            <w:vAlign w:val="center"/>
            <w:hideMark/>
          </w:tcPr>
          <w:p w14:paraId="3597C4D4" w14:textId="02274AE1" w:rsidR="006642D3" w:rsidRPr="00A30620" w:rsidRDefault="006642D3" w:rsidP="006642D3">
            <w:pPr>
              <w:spacing w:after="0" w:line="240" w:lineRule="auto"/>
              <w:jc w:val="center"/>
              <w:rPr>
                <w:rFonts w:eastAsia="Times New Roman" w:cstheme="minorHAnsi"/>
                <w:color w:val="000000"/>
              </w:rPr>
            </w:pPr>
            <w:r>
              <w:rPr>
                <w:rFonts w:ascii="Calibri" w:hAnsi="Calibri" w:cs="Calibri"/>
                <w:color w:val="000000"/>
              </w:rPr>
              <w:t>20,764</w:t>
            </w:r>
          </w:p>
        </w:tc>
      </w:tr>
      <w:tr w:rsidR="006642D3" w:rsidRPr="00A30620" w14:paraId="4F0688EE" w14:textId="77777777" w:rsidTr="00F27D70">
        <w:trPr>
          <w:trHeight w:val="300"/>
          <w:jc w:val="center"/>
        </w:trPr>
        <w:tc>
          <w:tcPr>
            <w:tcW w:w="3145" w:type="dxa"/>
            <w:shd w:val="clear" w:color="000000" w:fill="FFFFFF"/>
            <w:noWrap/>
            <w:vAlign w:val="center"/>
            <w:hideMark/>
          </w:tcPr>
          <w:p w14:paraId="752CD34E" w14:textId="77777777" w:rsidR="006642D3" w:rsidRPr="00A30620" w:rsidRDefault="006642D3" w:rsidP="006642D3">
            <w:pPr>
              <w:spacing w:after="0" w:line="240" w:lineRule="auto"/>
              <w:rPr>
                <w:rFonts w:eastAsia="Times New Roman" w:cstheme="minorHAnsi"/>
                <w:color w:val="000000"/>
              </w:rPr>
            </w:pPr>
            <w:r w:rsidRPr="00A30620">
              <w:rPr>
                <w:rFonts w:eastAsia="Times New Roman" w:cstheme="minorHAnsi"/>
                <w:color w:val="000000"/>
              </w:rPr>
              <w:t>Cardiovascular</w:t>
            </w:r>
          </w:p>
        </w:tc>
        <w:tc>
          <w:tcPr>
            <w:tcW w:w="1530" w:type="dxa"/>
            <w:shd w:val="clear" w:color="000000" w:fill="FFFFFF"/>
            <w:noWrap/>
            <w:vAlign w:val="center"/>
            <w:hideMark/>
          </w:tcPr>
          <w:p w14:paraId="53B358F6" w14:textId="77777777" w:rsidR="006642D3" w:rsidRPr="00A30620" w:rsidRDefault="006642D3" w:rsidP="006642D3">
            <w:pPr>
              <w:spacing w:after="0" w:line="240" w:lineRule="auto"/>
              <w:jc w:val="center"/>
              <w:rPr>
                <w:rFonts w:eastAsia="Times New Roman" w:cstheme="minorHAnsi"/>
                <w:color w:val="000000"/>
              </w:rPr>
            </w:pPr>
            <w:r w:rsidRPr="00A30620">
              <w:rPr>
                <w:rFonts w:eastAsia="Times New Roman" w:cstheme="minorHAnsi"/>
                <w:color w:val="000000"/>
              </w:rPr>
              <w:t>5.97</w:t>
            </w:r>
          </w:p>
        </w:tc>
        <w:tc>
          <w:tcPr>
            <w:tcW w:w="1530" w:type="dxa"/>
            <w:shd w:val="clear" w:color="000000" w:fill="FFFFFF"/>
            <w:noWrap/>
            <w:vAlign w:val="center"/>
            <w:hideMark/>
          </w:tcPr>
          <w:p w14:paraId="2268B880" w14:textId="77777777" w:rsidR="006642D3" w:rsidRPr="00A30620" w:rsidRDefault="006642D3" w:rsidP="006642D3">
            <w:pPr>
              <w:spacing w:after="0" w:line="240" w:lineRule="auto"/>
              <w:jc w:val="center"/>
              <w:rPr>
                <w:rFonts w:eastAsia="Times New Roman" w:cstheme="minorHAnsi"/>
                <w:color w:val="000000"/>
              </w:rPr>
            </w:pPr>
            <w:r w:rsidRPr="00A30620">
              <w:rPr>
                <w:rFonts w:eastAsia="Times New Roman" w:cstheme="minorHAnsi"/>
                <w:color w:val="000000"/>
              </w:rPr>
              <w:t>11.51</w:t>
            </w:r>
          </w:p>
        </w:tc>
        <w:tc>
          <w:tcPr>
            <w:tcW w:w="2700" w:type="dxa"/>
            <w:shd w:val="clear" w:color="000000" w:fill="FFFFFF"/>
            <w:noWrap/>
            <w:vAlign w:val="center"/>
            <w:hideMark/>
          </w:tcPr>
          <w:p w14:paraId="267AC5E4" w14:textId="443B6C17" w:rsidR="006642D3" w:rsidRPr="00A30620" w:rsidRDefault="006642D3" w:rsidP="006642D3">
            <w:pPr>
              <w:spacing w:after="0" w:line="240" w:lineRule="auto"/>
              <w:jc w:val="center"/>
              <w:rPr>
                <w:rFonts w:eastAsia="Times New Roman" w:cstheme="minorHAnsi"/>
                <w:color w:val="000000"/>
              </w:rPr>
            </w:pPr>
            <w:r>
              <w:rPr>
                <w:rFonts w:ascii="Calibri" w:hAnsi="Calibri" w:cs="Calibri"/>
                <w:color w:val="000000"/>
              </w:rPr>
              <w:t>21,021</w:t>
            </w:r>
          </w:p>
        </w:tc>
      </w:tr>
      <w:tr w:rsidR="006642D3" w:rsidRPr="00A30620" w14:paraId="6DAFAA37" w14:textId="77777777" w:rsidTr="00F27D70">
        <w:trPr>
          <w:trHeight w:val="300"/>
          <w:jc w:val="center"/>
        </w:trPr>
        <w:tc>
          <w:tcPr>
            <w:tcW w:w="3145" w:type="dxa"/>
            <w:shd w:val="clear" w:color="000000" w:fill="FFFFFF"/>
            <w:noWrap/>
            <w:vAlign w:val="center"/>
            <w:hideMark/>
          </w:tcPr>
          <w:p w14:paraId="48BFE8C7" w14:textId="77777777" w:rsidR="006642D3" w:rsidRPr="00A30620" w:rsidRDefault="006642D3" w:rsidP="006642D3">
            <w:pPr>
              <w:spacing w:after="0" w:line="240" w:lineRule="auto"/>
              <w:rPr>
                <w:rFonts w:eastAsia="Times New Roman" w:cstheme="minorHAnsi"/>
                <w:color w:val="000000"/>
              </w:rPr>
            </w:pPr>
            <w:r w:rsidRPr="00A30620">
              <w:rPr>
                <w:rFonts w:eastAsia="Times New Roman" w:cstheme="minorHAnsi"/>
                <w:color w:val="000000"/>
              </w:rPr>
              <w:t>Med/Surg</w:t>
            </w:r>
          </w:p>
        </w:tc>
        <w:tc>
          <w:tcPr>
            <w:tcW w:w="1530" w:type="dxa"/>
            <w:shd w:val="clear" w:color="000000" w:fill="FFFFFF"/>
            <w:noWrap/>
            <w:vAlign w:val="center"/>
            <w:hideMark/>
          </w:tcPr>
          <w:p w14:paraId="0551FDBA" w14:textId="77777777" w:rsidR="006642D3" w:rsidRPr="00A30620" w:rsidRDefault="006642D3" w:rsidP="006642D3">
            <w:pPr>
              <w:spacing w:after="0" w:line="240" w:lineRule="auto"/>
              <w:jc w:val="center"/>
              <w:rPr>
                <w:rFonts w:eastAsia="Times New Roman" w:cstheme="minorHAnsi"/>
                <w:color w:val="000000"/>
              </w:rPr>
            </w:pPr>
            <w:r w:rsidRPr="00A30620">
              <w:rPr>
                <w:rFonts w:eastAsia="Times New Roman" w:cstheme="minorHAnsi"/>
                <w:color w:val="000000"/>
              </w:rPr>
              <w:t>4.45</w:t>
            </w:r>
          </w:p>
        </w:tc>
        <w:tc>
          <w:tcPr>
            <w:tcW w:w="1530" w:type="dxa"/>
            <w:shd w:val="clear" w:color="000000" w:fill="FFFFFF"/>
            <w:noWrap/>
            <w:vAlign w:val="center"/>
            <w:hideMark/>
          </w:tcPr>
          <w:p w14:paraId="357F7D78" w14:textId="77777777" w:rsidR="006642D3" w:rsidRPr="00A30620" w:rsidRDefault="006642D3" w:rsidP="006642D3">
            <w:pPr>
              <w:spacing w:after="0" w:line="240" w:lineRule="auto"/>
              <w:jc w:val="center"/>
              <w:rPr>
                <w:rFonts w:eastAsia="Times New Roman" w:cstheme="minorHAnsi"/>
                <w:color w:val="000000"/>
              </w:rPr>
            </w:pPr>
            <w:r w:rsidRPr="00A30620">
              <w:rPr>
                <w:rFonts w:eastAsia="Times New Roman" w:cstheme="minorHAnsi"/>
                <w:color w:val="000000"/>
              </w:rPr>
              <w:t>9.32</w:t>
            </w:r>
          </w:p>
        </w:tc>
        <w:tc>
          <w:tcPr>
            <w:tcW w:w="2700" w:type="dxa"/>
            <w:shd w:val="clear" w:color="000000" w:fill="FFFFFF"/>
            <w:noWrap/>
            <w:vAlign w:val="center"/>
            <w:hideMark/>
          </w:tcPr>
          <w:p w14:paraId="76FD4792" w14:textId="60CB5669" w:rsidR="006642D3" w:rsidRPr="00A30620" w:rsidRDefault="006642D3" w:rsidP="006642D3">
            <w:pPr>
              <w:spacing w:after="0" w:line="240" w:lineRule="auto"/>
              <w:jc w:val="center"/>
              <w:rPr>
                <w:rFonts w:eastAsia="Times New Roman" w:cstheme="minorHAnsi"/>
                <w:color w:val="000000"/>
              </w:rPr>
            </w:pPr>
            <w:r>
              <w:rPr>
                <w:rFonts w:ascii="Calibri" w:hAnsi="Calibri" w:cs="Calibri"/>
                <w:color w:val="000000"/>
              </w:rPr>
              <w:t>28,323</w:t>
            </w:r>
          </w:p>
        </w:tc>
      </w:tr>
      <w:tr w:rsidR="006642D3" w:rsidRPr="00A30620" w14:paraId="1C233422" w14:textId="77777777" w:rsidTr="00F27D70">
        <w:trPr>
          <w:trHeight w:val="300"/>
          <w:jc w:val="center"/>
        </w:trPr>
        <w:tc>
          <w:tcPr>
            <w:tcW w:w="3145" w:type="dxa"/>
            <w:shd w:val="clear" w:color="000000" w:fill="FFFFFF"/>
            <w:vAlign w:val="center"/>
            <w:hideMark/>
          </w:tcPr>
          <w:p w14:paraId="0721FBB1" w14:textId="77777777" w:rsidR="006642D3" w:rsidRPr="00A30620" w:rsidRDefault="006642D3" w:rsidP="006642D3">
            <w:pPr>
              <w:spacing w:after="0" w:line="240" w:lineRule="auto"/>
              <w:rPr>
                <w:rFonts w:eastAsia="Times New Roman" w:cstheme="minorHAnsi"/>
                <w:b/>
                <w:bCs/>
                <w:color w:val="000000"/>
              </w:rPr>
            </w:pPr>
            <w:r w:rsidRPr="00A30620">
              <w:rPr>
                <w:rFonts w:eastAsia="Times New Roman" w:cstheme="minorHAnsi"/>
                <w:b/>
                <w:bCs/>
                <w:color w:val="000000"/>
              </w:rPr>
              <w:t>Low Acuity Overall</w:t>
            </w:r>
          </w:p>
        </w:tc>
        <w:tc>
          <w:tcPr>
            <w:tcW w:w="1530" w:type="dxa"/>
            <w:shd w:val="clear" w:color="000000" w:fill="FFFFFF"/>
            <w:noWrap/>
            <w:vAlign w:val="center"/>
            <w:hideMark/>
          </w:tcPr>
          <w:p w14:paraId="3DC16495" w14:textId="77777777" w:rsidR="006642D3" w:rsidRPr="00A30620" w:rsidRDefault="006642D3" w:rsidP="006642D3">
            <w:pPr>
              <w:spacing w:after="0" w:line="240" w:lineRule="auto"/>
              <w:jc w:val="center"/>
              <w:rPr>
                <w:rFonts w:eastAsia="Times New Roman" w:cstheme="minorHAnsi"/>
                <w:b/>
                <w:bCs/>
                <w:color w:val="000000"/>
              </w:rPr>
            </w:pPr>
            <w:r w:rsidRPr="00A30620">
              <w:rPr>
                <w:rFonts w:eastAsia="Times New Roman" w:cstheme="minorHAnsi"/>
                <w:b/>
                <w:bCs/>
                <w:color w:val="000000"/>
              </w:rPr>
              <w:t>1.63</w:t>
            </w:r>
          </w:p>
        </w:tc>
        <w:tc>
          <w:tcPr>
            <w:tcW w:w="1530" w:type="dxa"/>
            <w:shd w:val="clear" w:color="000000" w:fill="FFFFFF"/>
            <w:noWrap/>
            <w:vAlign w:val="center"/>
            <w:hideMark/>
          </w:tcPr>
          <w:p w14:paraId="3F3C7335" w14:textId="77777777" w:rsidR="006642D3" w:rsidRPr="00A30620" w:rsidRDefault="006642D3" w:rsidP="006642D3">
            <w:pPr>
              <w:spacing w:after="0" w:line="240" w:lineRule="auto"/>
              <w:jc w:val="center"/>
              <w:rPr>
                <w:rFonts w:eastAsia="Times New Roman" w:cstheme="minorHAnsi"/>
                <w:b/>
                <w:bCs/>
                <w:color w:val="000000"/>
              </w:rPr>
            </w:pPr>
            <w:r w:rsidRPr="00A30620">
              <w:rPr>
                <w:rFonts w:eastAsia="Times New Roman" w:cstheme="minorHAnsi"/>
                <w:b/>
                <w:bCs/>
                <w:color w:val="000000"/>
              </w:rPr>
              <w:t>5.57</w:t>
            </w:r>
          </w:p>
        </w:tc>
        <w:tc>
          <w:tcPr>
            <w:tcW w:w="2700" w:type="dxa"/>
            <w:shd w:val="clear" w:color="auto" w:fill="FFFF00"/>
            <w:noWrap/>
            <w:vAlign w:val="center"/>
            <w:hideMark/>
          </w:tcPr>
          <w:p w14:paraId="0D1C923F" w14:textId="7F7A66CE" w:rsidR="006642D3" w:rsidRPr="00A30620" w:rsidRDefault="006642D3" w:rsidP="006642D3">
            <w:pPr>
              <w:spacing w:after="0" w:line="240" w:lineRule="auto"/>
              <w:jc w:val="center"/>
              <w:rPr>
                <w:rFonts w:eastAsia="Times New Roman" w:cstheme="minorHAnsi"/>
                <w:b/>
                <w:bCs/>
                <w:color w:val="000000"/>
              </w:rPr>
            </w:pPr>
            <w:r>
              <w:rPr>
                <w:rFonts w:ascii="Calibri" w:hAnsi="Calibri" w:cs="Calibri"/>
                <w:b/>
                <w:bCs/>
                <w:color w:val="000000"/>
              </w:rPr>
              <w:t>209,056</w:t>
            </w:r>
          </w:p>
        </w:tc>
      </w:tr>
      <w:tr w:rsidR="006642D3" w:rsidRPr="00A30620" w14:paraId="26F52CD8" w14:textId="77777777" w:rsidTr="00F27D70">
        <w:trPr>
          <w:trHeight w:val="300"/>
          <w:jc w:val="center"/>
        </w:trPr>
        <w:tc>
          <w:tcPr>
            <w:tcW w:w="3145" w:type="dxa"/>
            <w:shd w:val="clear" w:color="000000" w:fill="FFFFFF"/>
            <w:noWrap/>
            <w:vAlign w:val="center"/>
            <w:hideMark/>
          </w:tcPr>
          <w:p w14:paraId="0D93CD81" w14:textId="77777777" w:rsidR="006642D3" w:rsidRPr="00A30620" w:rsidRDefault="006642D3" w:rsidP="006642D3">
            <w:pPr>
              <w:spacing w:after="0" w:line="240" w:lineRule="auto"/>
              <w:rPr>
                <w:rFonts w:eastAsia="Times New Roman" w:cstheme="minorHAnsi"/>
                <w:color w:val="000000"/>
              </w:rPr>
            </w:pPr>
            <w:r w:rsidRPr="00A30620">
              <w:rPr>
                <w:rFonts w:eastAsia="Times New Roman" w:cstheme="minorHAnsi"/>
                <w:color w:val="000000"/>
              </w:rPr>
              <w:t>Cancer</w:t>
            </w:r>
          </w:p>
        </w:tc>
        <w:tc>
          <w:tcPr>
            <w:tcW w:w="1530" w:type="dxa"/>
            <w:shd w:val="clear" w:color="000000" w:fill="FFFFFF"/>
            <w:noWrap/>
            <w:vAlign w:val="center"/>
            <w:hideMark/>
          </w:tcPr>
          <w:p w14:paraId="7A3F7679" w14:textId="77777777" w:rsidR="006642D3" w:rsidRPr="00A30620" w:rsidRDefault="006642D3" w:rsidP="006642D3">
            <w:pPr>
              <w:spacing w:after="0" w:line="240" w:lineRule="auto"/>
              <w:jc w:val="center"/>
              <w:rPr>
                <w:rFonts w:eastAsia="Times New Roman" w:cstheme="minorHAnsi"/>
                <w:color w:val="000000"/>
              </w:rPr>
            </w:pPr>
            <w:r w:rsidRPr="00A30620">
              <w:rPr>
                <w:rFonts w:eastAsia="Times New Roman" w:cstheme="minorHAnsi"/>
                <w:color w:val="000000"/>
              </w:rPr>
              <w:t>1.93</w:t>
            </w:r>
          </w:p>
        </w:tc>
        <w:tc>
          <w:tcPr>
            <w:tcW w:w="1530" w:type="dxa"/>
            <w:shd w:val="clear" w:color="000000" w:fill="FFFFFF"/>
            <w:noWrap/>
            <w:vAlign w:val="center"/>
            <w:hideMark/>
          </w:tcPr>
          <w:p w14:paraId="6FB0EB07" w14:textId="77777777" w:rsidR="006642D3" w:rsidRPr="00A30620" w:rsidRDefault="006642D3" w:rsidP="006642D3">
            <w:pPr>
              <w:spacing w:after="0" w:line="240" w:lineRule="auto"/>
              <w:jc w:val="center"/>
              <w:rPr>
                <w:rFonts w:eastAsia="Times New Roman" w:cstheme="minorHAnsi"/>
                <w:color w:val="000000"/>
              </w:rPr>
            </w:pPr>
            <w:r w:rsidRPr="00A30620">
              <w:rPr>
                <w:rFonts w:eastAsia="Times New Roman" w:cstheme="minorHAnsi"/>
                <w:color w:val="000000"/>
              </w:rPr>
              <w:t>5.95</w:t>
            </w:r>
          </w:p>
        </w:tc>
        <w:tc>
          <w:tcPr>
            <w:tcW w:w="2700" w:type="dxa"/>
            <w:shd w:val="clear" w:color="000000" w:fill="FFFFFF"/>
            <w:noWrap/>
            <w:vAlign w:val="center"/>
            <w:hideMark/>
          </w:tcPr>
          <w:p w14:paraId="71355B1C" w14:textId="09588337" w:rsidR="006642D3" w:rsidRPr="00A30620" w:rsidRDefault="006642D3" w:rsidP="006642D3">
            <w:pPr>
              <w:spacing w:after="0" w:line="240" w:lineRule="auto"/>
              <w:jc w:val="center"/>
              <w:rPr>
                <w:rFonts w:eastAsia="Times New Roman" w:cstheme="minorHAnsi"/>
                <w:color w:val="000000"/>
              </w:rPr>
            </w:pPr>
            <w:r>
              <w:rPr>
                <w:rFonts w:ascii="Calibri" w:hAnsi="Calibri" w:cs="Calibri"/>
                <w:color w:val="000000"/>
              </w:rPr>
              <w:t>42,030</w:t>
            </w:r>
          </w:p>
        </w:tc>
      </w:tr>
      <w:tr w:rsidR="006642D3" w:rsidRPr="00A30620" w14:paraId="62D93608" w14:textId="77777777" w:rsidTr="00F27D70">
        <w:trPr>
          <w:trHeight w:val="300"/>
          <w:jc w:val="center"/>
        </w:trPr>
        <w:tc>
          <w:tcPr>
            <w:tcW w:w="3145" w:type="dxa"/>
            <w:shd w:val="clear" w:color="000000" w:fill="FFFFFF"/>
            <w:noWrap/>
            <w:vAlign w:val="center"/>
            <w:hideMark/>
          </w:tcPr>
          <w:p w14:paraId="26C6350F" w14:textId="77777777" w:rsidR="006642D3" w:rsidRPr="00A30620" w:rsidRDefault="006642D3" w:rsidP="006642D3">
            <w:pPr>
              <w:spacing w:after="0" w:line="240" w:lineRule="auto"/>
              <w:rPr>
                <w:rFonts w:eastAsia="Times New Roman" w:cstheme="minorHAnsi"/>
                <w:color w:val="000000"/>
              </w:rPr>
            </w:pPr>
            <w:r w:rsidRPr="00A30620">
              <w:rPr>
                <w:rFonts w:eastAsia="Times New Roman" w:cstheme="minorHAnsi"/>
                <w:color w:val="000000"/>
              </w:rPr>
              <w:t>Cardiovascular</w:t>
            </w:r>
          </w:p>
        </w:tc>
        <w:tc>
          <w:tcPr>
            <w:tcW w:w="1530" w:type="dxa"/>
            <w:shd w:val="clear" w:color="000000" w:fill="FFFFFF"/>
            <w:noWrap/>
            <w:vAlign w:val="center"/>
            <w:hideMark/>
          </w:tcPr>
          <w:p w14:paraId="1CEE4B15" w14:textId="77777777" w:rsidR="006642D3" w:rsidRPr="00A30620" w:rsidRDefault="006642D3" w:rsidP="006642D3">
            <w:pPr>
              <w:spacing w:after="0" w:line="240" w:lineRule="auto"/>
              <w:jc w:val="center"/>
              <w:rPr>
                <w:rFonts w:eastAsia="Times New Roman" w:cstheme="minorHAnsi"/>
                <w:color w:val="000000"/>
              </w:rPr>
            </w:pPr>
            <w:r w:rsidRPr="00A30620">
              <w:rPr>
                <w:rFonts w:eastAsia="Times New Roman" w:cstheme="minorHAnsi"/>
                <w:color w:val="000000"/>
              </w:rPr>
              <w:t>1.87</w:t>
            </w:r>
          </w:p>
        </w:tc>
        <w:tc>
          <w:tcPr>
            <w:tcW w:w="1530" w:type="dxa"/>
            <w:shd w:val="clear" w:color="000000" w:fill="FFFFFF"/>
            <w:noWrap/>
            <w:vAlign w:val="center"/>
            <w:hideMark/>
          </w:tcPr>
          <w:p w14:paraId="7CC314CE" w14:textId="77777777" w:rsidR="006642D3" w:rsidRPr="00A30620" w:rsidRDefault="006642D3" w:rsidP="006642D3">
            <w:pPr>
              <w:spacing w:after="0" w:line="240" w:lineRule="auto"/>
              <w:jc w:val="center"/>
              <w:rPr>
                <w:rFonts w:eastAsia="Times New Roman" w:cstheme="minorHAnsi"/>
                <w:color w:val="000000"/>
              </w:rPr>
            </w:pPr>
            <w:r w:rsidRPr="00A30620">
              <w:rPr>
                <w:rFonts w:eastAsia="Times New Roman" w:cstheme="minorHAnsi"/>
                <w:color w:val="000000"/>
              </w:rPr>
              <w:t>6.08</w:t>
            </w:r>
          </w:p>
        </w:tc>
        <w:tc>
          <w:tcPr>
            <w:tcW w:w="2700" w:type="dxa"/>
            <w:shd w:val="clear" w:color="000000" w:fill="FFFFFF"/>
            <w:noWrap/>
            <w:vAlign w:val="center"/>
            <w:hideMark/>
          </w:tcPr>
          <w:p w14:paraId="63021B2B" w14:textId="7887EFC0" w:rsidR="006642D3" w:rsidRPr="00A30620" w:rsidRDefault="006642D3" w:rsidP="006642D3">
            <w:pPr>
              <w:spacing w:after="0" w:line="240" w:lineRule="auto"/>
              <w:jc w:val="center"/>
              <w:rPr>
                <w:rFonts w:eastAsia="Times New Roman" w:cstheme="minorHAnsi"/>
                <w:color w:val="000000"/>
              </w:rPr>
            </w:pPr>
            <w:r>
              <w:rPr>
                <w:rFonts w:ascii="Calibri" w:hAnsi="Calibri" w:cs="Calibri"/>
                <w:color w:val="000000"/>
              </w:rPr>
              <w:t>29,276</w:t>
            </w:r>
          </w:p>
        </w:tc>
      </w:tr>
      <w:tr w:rsidR="006642D3" w:rsidRPr="00A30620" w14:paraId="54FC49E4" w14:textId="77777777" w:rsidTr="00F27D70">
        <w:trPr>
          <w:trHeight w:val="300"/>
          <w:jc w:val="center"/>
        </w:trPr>
        <w:tc>
          <w:tcPr>
            <w:tcW w:w="3145" w:type="dxa"/>
            <w:shd w:val="clear" w:color="000000" w:fill="FFFFFF"/>
            <w:noWrap/>
            <w:vAlign w:val="center"/>
            <w:hideMark/>
          </w:tcPr>
          <w:p w14:paraId="41FAC2F3" w14:textId="77777777" w:rsidR="006642D3" w:rsidRPr="00A30620" w:rsidRDefault="006642D3" w:rsidP="006642D3">
            <w:pPr>
              <w:spacing w:after="0" w:line="240" w:lineRule="auto"/>
              <w:contextualSpacing/>
              <w:rPr>
                <w:rFonts w:eastAsia="Times New Roman" w:cstheme="minorHAnsi"/>
                <w:color w:val="000000"/>
              </w:rPr>
            </w:pPr>
            <w:r w:rsidRPr="00A30620">
              <w:rPr>
                <w:rFonts w:eastAsia="Times New Roman" w:cstheme="minorHAnsi"/>
                <w:color w:val="000000"/>
              </w:rPr>
              <w:t>Med/Surg</w:t>
            </w:r>
          </w:p>
        </w:tc>
        <w:tc>
          <w:tcPr>
            <w:tcW w:w="1530" w:type="dxa"/>
            <w:shd w:val="clear" w:color="000000" w:fill="FFFFFF"/>
            <w:noWrap/>
            <w:vAlign w:val="center"/>
            <w:hideMark/>
          </w:tcPr>
          <w:p w14:paraId="4C15A949" w14:textId="77777777" w:rsidR="006642D3" w:rsidRPr="00A30620" w:rsidRDefault="006642D3" w:rsidP="006642D3">
            <w:pPr>
              <w:spacing w:after="0" w:line="240" w:lineRule="auto"/>
              <w:contextualSpacing/>
              <w:jc w:val="center"/>
              <w:rPr>
                <w:rFonts w:eastAsia="Times New Roman" w:cstheme="minorHAnsi"/>
                <w:color w:val="000000"/>
              </w:rPr>
            </w:pPr>
            <w:r w:rsidRPr="00A30620">
              <w:rPr>
                <w:rFonts w:eastAsia="Times New Roman" w:cstheme="minorHAnsi"/>
                <w:color w:val="000000"/>
              </w:rPr>
              <w:t>1.92</w:t>
            </w:r>
          </w:p>
        </w:tc>
        <w:tc>
          <w:tcPr>
            <w:tcW w:w="1530" w:type="dxa"/>
            <w:shd w:val="clear" w:color="000000" w:fill="FFFFFF"/>
            <w:noWrap/>
            <w:vAlign w:val="center"/>
            <w:hideMark/>
          </w:tcPr>
          <w:p w14:paraId="760C3A85" w14:textId="77777777" w:rsidR="006642D3" w:rsidRPr="00A30620" w:rsidRDefault="006642D3" w:rsidP="006642D3">
            <w:pPr>
              <w:spacing w:after="0" w:line="240" w:lineRule="auto"/>
              <w:contextualSpacing/>
              <w:jc w:val="center"/>
              <w:rPr>
                <w:rFonts w:eastAsia="Times New Roman" w:cstheme="minorHAnsi"/>
                <w:color w:val="000000"/>
              </w:rPr>
            </w:pPr>
            <w:r w:rsidRPr="00A30620">
              <w:rPr>
                <w:rFonts w:eastAsia="Times New Roman" w:cstheme="minorHAnsi"/>
                <w:color w:val="000000"/>
              </w:rPr>
              <w:t>5.91</w:t>
            </w:r>
          </w:p>
        </w:tc>
        <w:tc>
          <w:tcPr>
            <w:tcW w:w="2700" w:type="dxa"/>
            <w:shd w:val="clear" w:color="000000" w:fill="FFFFFF"/>
            <w:noWrap/>
            <w:vAlign w:val="center"/>
            <w:hideMark/>
          </w:tcPr>
          <w:p w14:paraId="4E2DFAD3" w14:textId="7D536897" w:rsidR="006642D3" w:rsidRPr="00A30620" w:rsidRDefault="006642D3" w:rsidP="006642D3">
            <w:pPr>
              <w:spacing w:after="0" w:line="240" w:lineRule="auto"/>
              <w:contextualSpacing/>
              <w:jc w:val="center"/>
              <w:rPr>
                <w:rFonts w:eastAsia="Times New Roman" w:cstheme="minorHAnsi"/>
                <w:color w:val="000000"/>
              </w:rPr>
            </w:pPr>
            <w:r>
              <w:rPr>
                <w:rFonts w:ascii="Calibri" w:hAnsi="Calibri" w:cs="Calibri"/>
                <w:color w:val="000000"/>
              </w:rPr>
              <w:t>137,750</w:t>
            </w:r>
          </w:p>
        </w:tc>
      </w:tr>
      <w:tr w:rsidR="006642D3" w:rsidRPr="00A30620" w14:paraId="1C59C64B" w14:textId="77777777" w:rsidTr="00F27D70">
        <w:trPr>
          <w:trHeight w:val="300"/>
          <w:jc w:val="center"/>
        </w:trPr>
        <w:tc>
          <w:tcPr>
            <w:tcW w:w="3145" w:type="dxa"/>
            <w:shd w:val="clear" w:color="000000" w:fill="D9E1F2"/>
            <w:noWrap/>
            <w:vAlign w:val="center"/>
            <w:hideMark/>
          </w:tcPr>
          <w:p w14:paraId="6DAB967A" w14:textId="77777777" w:rsidR="006642D3" w:rsidRPr="00A30620" w:rsidRDefault="006642D3" w:rsidP="006642D3">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Total</w:t>
            </w:r>
          </w:p>
        </w:tc>
        <w:tc>
          <w:tcPr>
            <w:tcW w:w="1530" w:type="dxa"/>
            <w:shd w:val="clear" w:color="000000" w:fill="D9E1F2"/>
            <w:noWrap/>
            <w:vAlign w:val="center"/>
            <w:hideMark/>
          </w:tcPr>
          <w:p w14:paraId="6AB8C0AD" w14:textId="77777777" w:rsidR="006642D3" w:rsidRPr="00A30620" w:rsidRDefault="006642D3" w:rsidP="006642D3">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2.03</w:t>
            </w:r>
          </w:p>
        </w:tc>
        <w:tc>
          <w:tcPr>
            <w:tcW w:w="1530" w:type="dxa"/>
            <w:shd w:val="clear" w:color="000000" w:fill="D9E1F2"/>
            <w:noWrap/>
            <w:vAlign w:val="center"/>
            <w:hideMark/>
          </w:tcPr>
          <w:p w14:paraId="4CC49E83" w14:textId="77777777" w:rsidR="006642D3" w:rsidRPr="00A30620" w:rsidRDefault="006642D3" w:rsidP="006642D3">
            <w:pPr>
              <w:spacing w:after="0" w:line="240" w:lineRule="auto"/>
              <w:contextualSpacing/>
              <w:jc w:val="center"/>
              <w:rPr>
                <w:rFonts w:eastAsia="Times New Roman" w:cstheme="minorHAnsi"/>
                <w:b/>
                <w:bCs/>
                <w:color w:val="000000"/>
              </w:rPr>
            </w:pPr>
            <w:r w:rsidRPr="00A30620">
              <w:rPr>
                <w:rFonts w:eastAsia="Times New Roman" w:cstheme="minorHAnsi"/>
                <w:b/>
                <w:bCs/>
                <w:color w:val="000000"/>
              </w:rPr>
              <w:t>6.13</w:t>
            </w:r>
          </w:p>
        </w:tc>
        <w:tc>
          <w:tcPr>
            <w:tcW w:w="2700" w:type="dxa"/>
            <w:shd w:val="clear" w:color="auto" w:fill="FFFF00"/>
            <w:noWrap/>
            <w:vAlign w:val="center"/>
            <w:hideMark/>
          </w:tcPr>
          <w:p w14:paraId="2E01F67C" w14:textId="54BAC44B" w:rsidR="006642D3" w:rsidRPr="00A30620" w:rsidRDefault="006642D3" w:rsidP="006642D3">
            <w:pPr>
              <w:spacing w:after="0" w:line="240" w:lineRule="auto"/>
              <w:contextualSpacing/>
              <w:jc w:val="center"/>
              <w:rPr>
                <w:rFonts w:eastAsia="Times New Roman" w:cstheme="minorHAnsi"/>
                <w:b/>
                <w:bCs/>
                <w:color w:val="000000"/>
              </w:rPr>
            </w:pPr>
            <w:r>
              <w:rPr>
                <w:rFonts w:ascii="Calibri" w:hAnsi="Calibri" w:cs="Calibri"/>
                <w:b/>
                <w:bCs/>
                <w:color w:val="000000"/>
              </w:rPr>
              <w:t>279,164</w:t>
            </w:r>
          </w:p>
        </w:tc>
      </w:tr>
    </w:tbl>
    <w:p w14:paraId="4356B688" w14:textId="771BB490" w:rsidR="006A63E7" w:rsidRPr="00841D1B" w:rsidRDefault="006A63E7" w:rsidP="000E5788">
      <w:pPr>
        <w:pStyle w:val="ListParagraph"/>
        <w:numPr>
          <w:ilvl w:val="0"/>
          <w:numId w:val="1"/>
        </w:numPr>
        <w:rPr>
          <w:rFonts w:cstheme="minorHAnsi"/>
          <w:b/>
          <w:bCs/>
        </w:rPr>
      </w:pPr>
      <w:r w:rsidRPr="00841D1B">
        <w:rPr>
          <w:rFonts w:cstheme="minorHAnsi"/>
          <w:b/>
          <w:bCs/>
        </w:rPr>
        <w:t xml:space="preserve">The Applicant explained that while cancer </w:t>
      </w:r>
      <w:r w:rsidR="00F00EB0" w:rsidRPr="00841D1B">
        <w:rPr>
          <w:rFonts w:cstheme="minorHAnsi"/>
          <w:b/>
          <w:bCs/>
        </w:rPr>
        <w:t>cases</w:t>
      </w:r>
      <w:r w:rsidRPr="00841D1B">
        <w:rPr>
          <w:rFonts w:cstheme="minorHAnsi"/>
          <w:b/>
          <w:bCs/>
        </w:rPr>
        <w:t xml:space="preserve"> decreased by </w:t>
      </w:r>
      <w:r w:rsidR="00F00EB0" w:rsidRPr="00841D1B">
        <w:rPr>
          <w:rFonts w:cstheme="minorHAnsi"/>
          <w:b/>
          <w:bCs/>
        </w:rPr>
        <w:t>3.6%</w:t>
      </w:r>
      <w:r w:rsidRPr="00841D1B">
        <w:rPr>
          <w:rFonts w:cstheme="minorHAnsi"/>
          <w:b/>
          <w:bCs/>
        </w:rPr>
        <w:t xml:space="preserve"> from FY1</w:t>
      </w:r>
      <w:r w:rsidR="005D30C7" w:rsidRPr="00841D1B">
        <w:rPr>
          <w:rFonts w:cstheme="minorHAnsi"/>
          <w:b/>
          <w:bCs/>
        </w:rPr>
        <w:t>6</w:t>
      </w:r>
      <w:r w:rsidRPr="00841D1B">
        <w:rPr>
          <w:rFonts w:cstheme="minorHAnsi"/>
          <w:b/>
          <w:bCs/>
        </w:rPr>
        <w:t xml:space="preserve"> to FY1</w:t>
      </w:r>
      <w:r w:rsidR="005D30C7" w:rsidRPr="00841D1B">
        <w:rPr>
          <w:rFonts w:cstheme="minorHAnsi"/>
          <w:b/>
          <w:bCs/>
        </w:rPr>
        <w:t>8</w:t>
      </w:r>
      <w:r w:rsidRPr="00841D1B">
        <w:rPr>
          <w:rFonts w:cstheme="minorHAnsi"/>
          <w:b/>
          <w:bCs/>
        </w:rPr>
        <w:t>, patient acuity increased by 8.1% during this same period which results in longer LOS, as reflected in a 3% increase in patient days during this same period. (Responses</w:t>
      </w:r>
      <w:r w:rsidR="00F01A85" w:rsidRPr="00841D1B">
        <w:rPr>
          <w:rFonts w:cstheme="minorHAnsi"/>
          <w:b/>
          <w:bCs/>
        </w:rPr>
        <w:t xml:space="preserve"> </w:t>
      </w:r>
      <w:r w:rsidRPr="00841D1B">
        <w:rPr>
          <w:rFonts w:cstheme="minorHAnsi"/>
          <w:b/>
          <w:bCs/>
        </w:rPr>
        <w:t>p</w:t>
      </w:r>
      <w:r w:rsidR="00F01A85" w:rsidRPr="00841D1B">
        <w:rPr>
          <w:rFonts w:cstheme="minorHAnsi"/>
          <w:b/>
          <w:bCs/>
        </w:rPr>
        <w:t xml:space="preserve">g. </w:t>
      </w:r>
      <w:r w:rsidR="005D30C7" w:rsidRPr="00841D1B">
        <w:rPr>
          <w:rFonts w:cstheme="minorHAnsi"/>
          <w:b/>
          <w:bCs/>
        </w:rPr>
        <w:t>3</w:t>
      </w:r>
      <w:r w:rsidRPr="00841D1B">
        <w:rPr>
          <w:rFonts w:cstheme="minorHAnsi"/>
          <w:b/>
          <w:bCs/>
        </w:rPr>
        <w:t xml:space="preserve">). </w:t>
      </w:r>
      <w:r w:rsidR="001D1E32" w:rsidRPr="00841D1B">
        <w:rPr>
          <w:rFonts w:cstheme="minorHAnsi"/>
          <w:b/>
          <w:bCs/>
        </w:rPr>
        <w:t xml:space="preserve">Did patient acuity increase by 8% across all patients or </w:t>
      </w:r>
      <w:r w:rsidR="006A1D3C" w:rsidRPr="00841D1B">
        <w:rPr>
          <w:rFonts w:cstheme="minorHAnsi"/>
          <w:b/>
          <w:bCs/>
        </w:rPr>
        <w:t xml:space="preserve">specifically among </w:t>
      </w:r>
      <w:r w:rsidR="001D1E32" w:rsidRPr="00841D1B">
        <w:rPr>
          <w:rFonts w:cstheme="minorHAnsi"/>
          <w:b/>
          <w:bCs/>
        </w:rPr>
        <w:t>cancer patients?</w:t>
      </w:r>
    </w:p>
    <w:p w14:paraId="7CEAF630" w14:textId="5CF395A2" w:rsidR="00240E2F" w:rsidRDefault="00240E2F" w:rsidP="00240E2F">
      <w:pPr>
        <w:pStyle w:val="ListParagraph"/>
        <w:rPr>
          <w:rFonts w:cstheme="minorHAnsi"/>
        </w:rPr>
      </w:pPr>
    </w:p>
    <w:p w14:paraId="3255B416" w14:textId="5A858478" w:rsidR="00E02482" w:rsidRPr="00C47756" w:rsidRDefault="004D45B6" w:rsidP="00C47756">
      <w:pPr>
        <w:pStyle w:val="ListParagraph"/>
        <w:rPr>
          <w:rFonts w:eastAsia="Times New Roman"/>
        </w:rPr>
      </w:pPr>
      <w:r>
        <w:rPr>
          <w:rFonts w:eastAsia="Times New Roman"/>
        </w:rPr>
        <w:t xml:space="preserve">Response: </w:t>
      </w:r>
      <w:r w:rsidR="00240E2F">
        <w:rPr>
          <w:rFonts w:eastAsia="Times New Roman"/>
        </w:rPr>
        <w:t xml:space="preserve">Cancer case </w:t>
      </w:r>
      <w:r>
        <w:rPr>
          <w:rFonts w:eastAsia="Times New Roman"/>
        </w:rPr>
        <w:t xml:space="preserve">patient acuity </w:t>
      </w:r>
      <w:r w:rsidR="00240E2F">
        <w:rPr>
          <w:rFonts w:eastAsia="Times New Roman"/>
        </w:rPr>
        <w:t>increased 8.1% from FY16 to FY18</w:t>
      </w:r>
      <w:r w:rsidR="00390C5B">
        <w:rPr>
          <w:rFonts w:eastAsia="Times New Roman"/>
        </w:rPr>
        <w:t>. The</w:t>
      </w:r>
      <w:r w:rsidR="00240E2F">
        <w:rPr>
          <w:rFonts w:eastAsia="Times New Roman"/>
        </w:rPr>
        <w:t xml:space="preserve"> overall hospital </w:t>
      </w:r>
      <w:r>
        <w:rPr>
          <w:rFonts w:eastAsia="Times New Roman"/>
        </w:rPr>
        <w:t>patient acuity</w:t>
      </w:r>
      <w:r w:rsidR="00240E2F">
        <w:rPr>
          <w:rFonts w:eastAsia="Times New Roman"/>
        </w:rPr>
        <w:t xml:space="preserve"> increase</w:t>
      </w:r>
      <w:r w:rsidR="00390C5B">
        <w:rPr>
          <w:rFonts w:eastAsia="Times New Roman"/>
        </w:rPr>
        <w:t>d</w:t>
      </w:r>
      <w:r w:rsidR="00240E2F">
        <w:rPr>
          <w:rFonts w:eastAsia="Times New Roman"/>
        </w:rPr>
        <w:t xml:space="preserve"> 7%</w:t>
      </w:r>
      <w:r w:rsidR="00390C5B">
        <w:rPr>
          <w:rFonts w:eastAsia="Times New Roman"/>
        </w:rPr>
        <w:t xml:space="preserve"> during that same period</w:t>
      </w:r>
      <w:r w:rsidR="00240E2F">
        <w:rPr>
          <w:rFonts w:eastAsia="Times New Roman"/>
        </w:rPr>
        <w:t xml:space="preserve">. </w:t>
      </w:r>
    </w:p>
    <w:p w14:paraId="3314AA41" w14:textId="2821510D" w:rsidR="000D77C9" w:rsidRPr="00841D1B" w:rsidRDefault="000D77C9" w:rsidP="000E5788">
      <w:pPr>
        <w:numPr>
          <w:ilvl w:val="0"/>
          <w:numId w:val="1"/>
        </w:numPr>
        <w:contextualSpacing/>
        <w:rPr>
          <w:b/>
          <w:bCs/>
        </w:rPr>
      </w:pPr>
      <w:r w:rsidRPr="00841D1B">
        <w:rPr>
          <w:b/>
          <w:bCs/>
        </w:rPr>
        <w:t xml:space="preserve">What does the </w:t>
      </w:r>
      <w:r w:rsidR="00C04880" w:rsidRPr="00841D1B">
        <w:rPr>
          <w:b/>
          <w:bCs/>
        </w:rPr>
        <w:t>asterisk</w:t>
      </w:r>
      <w:r w:rsidRPr="00841D1B">
        <w:rPr>
          <w:b/>
          <w:bCs/>
        </w:rPr>
        <w:t xml:space="preserve"> </w:t>
      </w:r>
      <w:r w:rsidR="004635D3" w:rsidRPr="00841D1B">
        <w:rPr>
          <w:b/>
          <w:bCs/>
        </w:rPr>
        <w:t>next</w:t>
      </w:r>
      <w:r w:rsidR="00C04880" w:rsidRPr="00841D1B">
        <w:rPr>
          <w:b/>
          <w:bCs/>
        </w:rPr>
        <w:t xml:space="preserve"> </w:t>
      </w:r>
      <w:r w:rsidR="000E5788" w:rsidRPr="00841D1B">
        <w:rPr>
          <w:b/>
          <w:bCs/>
        </w:rPr>
        <w:t xml:space="preserve">to </w:t>
      </w:r>
      <w:r w:rsidR="00C04880" w:rsidRPr="00841D1B">
        <w:rPr>
          <w:b/>
          <w:bCs/>
        </w:rPr>
        <w:t xml:space="preserve">FY21 </w:t>
      </w:r>
      <w:r w:rsidR="004635D3" w:rsidRPr="00841D1B">
        <w:rPr>
          <w:b/>
          <w:bCs/>
        </w:rPr>
        <w:t>indicate</w:t>
      </w:r>
      <w:r w:rsidRPr="00841D1B">
        <w:rPr>
          <w:b/>
          <w:bCs/>
        </w:rPr>
        <w:t>? (Responses pg.2</w:t>
      </w:r>
      <w:r w:rsidR="007A2CB3" w:rsidRPr="00841D1B">
        <w:rPr>
          <w:b/>
          <w:bCs/>
        </w:rPr>
        <w:t>1</w:t>
      </w:r>
      <w:r w:rsidRPr="00841D1B">
        <w:rPr>
          <w:b/>
          <w:bCs/>
        </w:rPr>
        <w:t>).</w:t>
      </w:r>
    </w:p>
    <w:p w14:paraId="3AD451CF" w14:textId="77777777" w:rsidR="000D77C9" w:rsidRPr="000D77C9" w:rsidRDefault="000D77C9" w:rsidP="000D77C9">
      <w:pPr>
        <w:ind w:left="720"/>
        <w:contextualSpacing/>
      </w:pPr>
    </w:p>
    <w:p w14:paraId="7E535600" w14:textId="1F851FBD" w:rsidR="000D77C9" w:rsidRPr="00044663" w:rsidRDefault="000D77C9" w:rsidP="00044663">
      <w:pPr>
        <w:spacing w:after="0" w:line="256" w:lineRule="auto"/>
        <w:ind w:firstLine="360"/>
        <w:jc w:val="center"/>
        <w:rPr>
          <w:rFonts w:cstheme="minorHAnsi"/>
          <w:b/>
          <w:bCs/>
          <w:szCs w:val="24"/>
        </w:rPr>
      </w:pPr>
      <w:r w:rsidRPr="00044663">
        <w:rPr>
          <w:rFonts w:cstheme="minorHAnsi"/>
          <w:b/>
          <w:bCs/>
          <w:szCs w:val="24"/>
        </w:rPr>
        <w:t>PET/CT scan volume and unique patients by specialty</w:t>
      </w:r>
    </w:p>
    <w:p w14:paraId="5E173C1A" w14:textId="77777777" w:rsidR="000D77C9" w:rsidRPr="000D77C9" w:rsidRDefault="000D77C9" w:rsidP="000D77C9">
      <w:pPr>
        <w:spacing w:after="0"/>
        <w:ind w:left="1440"/>
        <w:contextualSpacing/>
        <w:rPr>
          <w:rFonts w:ascii="Times New Roman" w:hAnsi="Times New Roman" w:cs="Times New Roman"/>
          <w:color w:val="FF0000"/>
          <w:szCs w:val="24"/>
        </w:rPr>
      </w:pPr>
    </w:p>
    <w:tbl>
      <w:tblPr>
        <w:tblW w:w="6740" w:type="dxa"/>
        <w:tblInd w:w="980" w:type="dxa"/>
        <w:tblLook w:val="04A0" w:firstRow="1" w:lastRow="0" w:firstColumn="1" w:lastColumn="0" w:noHBand="0" w:noVBand="1"/>
      </w:tblPr>
      <w:tblGrid>
        <w:gridCol w:w="2900"/>
        <w:gridCol w:w="960"/>
        <w:gridCol w:w="960"/>
        <w:gridCol w:w="960"/>
        <w:gridCol w:w="960"/>
      </w:tblGrid>
      <w:tr w:rsidR="000D77C9" w:rsidRPr="000D77C9" w14:paraId="716829FA" w14:textId="77777777" w:rsidTr="00B339F9">
        <w:trPr>
          <w:trHeight w:val="330"/>
        </w:trPr>
        <w:tc>
          <w:tcPr>
            <w:tcW w:w="2900" w:type="dxa"/>
            <w:tcBorders>
              <w:top w:val="single" w:sz="8" w:space="0" w:color="000000"/>
              <w:left w:val="single" w:sz="8" w:space="0" w:color="000000"/>
              <w:bottom w:val="single" w:sz="8" w:space="0" w:color="auto"/>
              <w:right w:val="single" w:sz="4" w:space="0" w:color="auto"/>
            </w:tcBorders>
            <w:shd w:val="clear" w:color="auto" w:fill="BFBFBF" w:themeFill="background1" w:themeFillShade="BF"/>
            <w:noWrap/>
            <w:vAlign w:val="bottom"/>
          </w:tcPr>
          <w:p w14:paraId="3C69A642" w14:textId="77777777" w:rsidR="000D77C9" w:rsidRPr="000D77C9" w:rsidRDefault="000D77C9" w:rsidP="000D77C9">
            <w:pPr>
              <w:spacing w:after="0" w:line="240" w:lineRule="auto"/>
              <w:rPr>
                <w:rFonts w:ascii="Times New Roman" w:eastAsia="Times New Roman" w:hAnsi="Times New Roman" w:cs="Times New Roman"/>
                <w:sz w:val="20"/>
                <w:szCs w:val="20"/>
              </w:rPr>
            </w:pPr>
          </w:p>
          <w:p w14:paraId="3C1C12A2" w14:textId="77777777" w:rsidR="000D77C9" w:rsidRPr="000D77C9" w:rsidRDefault="000D77C9" w:rsidP="000D77C9">
            <w:pPr>
              <w:spacing w:after="0" w:line="240" w:lineRule="auto"/>
              <w:rPr>
                <w:rFonts w:ascii="Times New Roman" w:eastAsia="Times New Roman" w:hAnsi="Times New Roman" w:cs="Times New Roman"/>
                <w:b/>
                <w:bCs/>
                <w:sz w:val="20"/>
                <w:szCs w:val="20"/>
              </w:rPr>
            </w:pPr>
            <w:r w:rsidRPr="000D77C9">
              <w:rPr>
                <w:rFonts w:ascii="Times New Roman" w:eastAsia="Times New Roman" w:hAnsi="Times New Roman" w:cs="Times New Roman"/>
                <w:b/>
                <w:bCs/>
                <w:sz w:val="20"/>
                <w:szCs w:val="20"/>
              </w:rPr>
              <w:t>Specialty Volume</w:t>
            </w:r>
          </w:p>
        </w:tc>
        <w:tc>
          <w:tcPr>
            <w:tcW w:w="960" w:type="dxa"/>
            <w:tcBorders>
              <w:top w:val="single" w:sz="8" w:space="0" w:color="000000"/>
              <w:left w:val="single" w:sz="8" w:space="0" w:color="auto"/>
              <w:bottom w:val="single" w:sz="4" w:space="0" w:color="auto"/>
              <w:right w:val="single" w:sz="4" w:space="0" w:color="auto"/>
            </w:tcBorders>
            <w:shd w:val="clear" w:color="auto" w:fill="BFBFBF" w:themeFill="background1" w:themeFillShade="BF"/>
            <w:noWrap/>
            <w:vAlign w:val="bottom"/>
            <w:hideMark/>
          </w:tcPr>
          <w:p w14:paraId="1C03B6D5" w14:textId="77777777" w:rsidR="000D77C9" w:rsidRPr="000D77C9" w:rsidRDefault="000D77C9" w:rsidP="000D77C9">
            <w:pPr>
              <w:spacing w:after="0" w:line="240" w:lineRule="auto"/>
              <w:rPr>
                <w:rFonts w:ascii="Times New Roman" w:eastAsia="Times New Roman" w:hAnsi="Times New Roman" w:cs="Times New Roman"/>
                <w:b/>
                <w:bCs/>
                <w:sz w:val="20"/>
                <w:szCs w:val="20"/>
              </w:rPr>
            </w:pPr>
            <w:r w:rsidRPr="000D77C9">
              <w:rPr>
                <w:rFonts w:ascii="Times New Roman" w:eastAsia="Times New Roman" w:hAnsi="Times New Roman" w:cs="Times New Roman"/>
                <w:b/>
                <w:bCs/>
                <w:sz w:val="20"/>
                <w:szCs w:val="20"/>
              </w:rPr>
              <w:t>FY18</w:t>
            </w:r>
          </w:p>
        </w:tc>
        <w:tc>
          <w:tcPr>
            <w:tcW w:w="960" w:type="dxa"/>
            <w:tcBorders>
              <w:top w:val="single" w:sz="8" w:space="0" w:color="000000"/>
              <w:left w:val="single" w:sz="8" w:space="0" w:color="auto"/>
              <w:bottom w:val="single" w:sz="4" w:space="0" w:color="auto"/>
              <w:right w:val="single" w:sz="4" w:space="0" w:color="auto"/>
            </w:tcBorders>
            <w:shd w:val="clear" w:color="auto" w:fill="BFBFBF" w:themeFill="background1" w:themeFillShade="BF"/>
            <w:noWrap/>
            <w:vAlign w:val="bottom"/>
            <w:hideMark/>
          </w:tcPr>
          <w:p w14:paraId="5589C505" w14:textId="77777777" w:rsidR="000D77C9" w:rsidRPr="000D77C9" w:rsidRDefault="000D77C9" w:rsidP="000D77C9">
            <w:pPr>
              <w:spacing w:after="0" w:line="240" w:lineRule="auto"/>
              <w:rPr>
                <w:rFonts w:ascii="Times New Roman" w:eastAsia="Times New Roman" w:hAnsi="Times New Roman" w:cs="Times New Roman"/>
                <w:b/>
                <w:bCs/>
                <w:sz w:val="20"/>
                <w:szCs w:val="20"/>
              </w:rPr>
            </w:pPr>
            <w:r w:rsidRPr="000D77C9">
              <w:rPr>
                <w:rFonts w:ascii="Times New Roman" w:eastAsia="Times New Roman" w:hAnsi="Times New Roman" w:cs="Times New Roman"/>
                <w:b/>
                <w:bCs/>
                <w:sz w:val="20"/>
                <w:szCs w:val="20"/>
              </w:rPr>
              <w:t>FY19</w:t>
            </w:r>
          </w:p>
        </w:tc>
        <w:tc>
          <w:tcPr>
            <w:tcW w:w="960" w:type="dxa"/>
            <w:tcBorders>
              <w:top w:val="single" w:sz="8" w:space="0" w:color="000000"/>
              <w:left w:val="single" w:sz="8" w:space="0" w:color="auto"/>
              <w:bottom w:val="single" w:sz="4" w:space="0" w:color="auto"/>
              <w:right w:val="single" w:sz="4" w:space="0" w:color="auto"/>
            </w:tcBorders>
            <w:shd w:val="clear" w:color="auto" w:fill="BFBFBF" w:themeFill="background1" w:themeFillShade="BF"/>
            <w:noWrap/>
            <w:vAlign w:val="bottom"/>
            <w:hideMark/>
          </w:tcPr>
          <w:p w14:paraId="21584123" w14:textId="77777777" w:rsidR="000D77C9" w:rsidRPr="000D77C9" w:rsidRDefault="000D77C9" w:rsidP="000D77C9">
            <w:pPr>
              <w:spacing w:after="0" w:line="240" w:lineRule="auto"/>
              <w:rPr>
                <w:rFonts w:ascii="Times New Roman" w:eastAsia="Times New Roman" w:hAnsi="Times New Roman" w:cs="Times New Roman"/>
                <w:b/>
                <w:bCs/>
                <w:sz w:val="20"/>
                <w:szCs w:val="20"/>
              </w:rPr>
            </w:pPr>
            <w:r w:rsidRPr="000D77C9">
              <w:rPr>
                <w:rFonts w:ascii="Times New Roman" w:eastAsia="Times New Roman" w:hAnsi="Times New Roman" w:cs="Times New Roman"/>
                <w:b/>
                <w:bCs/>
                <w:sz w:val="20"/>
                <w:szCs w:val="20"/>
              </w:rPr>
              <w:t>FY20</w:t>
            </w:r>
          </w:p>
        </w:tc>
        <w:tc>
          <w:tcPr>
            <w:tcW w:w="960" w:type="dxa"/>
            <w:tcBorders>
              <w:top w:val="single" w:sz="8" w:space="0" w:color="000000"/>
              <w:left w:val="single" w:sz="8" w:space="0" w:color="auto"/>
              <w:bottom w:val="single" w:sz="4" w:space="0" w:color="auto"/>
              <w:right w:val="single" w:sz="4" w:space="0" w:color="auto"/>
            </w:tcBorders>
            <w:shd w:val="clear" w:color="auto" w:fill="BFBFBF" w:themeFill="background1" w:themeFillShade="BF"/>
            <w:noWrap/>
            <w:vAlign w:val="bottom"/>
            <w:hideMark/>
          </w:tcPr>
          <w:p w14:paraId="51C799E8" w14:textId="77777777" w:rsidR="000D77C9" w:rsidRPr="000D77C9" w:rsidRDefault="000D77C9" w:rsidP="000D77C9">
            <w:pPr>
              <w:spacing w:after="0" w:line="240" w:lineRule="auto"/>
              <w:rPr>
                <w:rFonts w:ascii="Times New Roman" w:eastAsia="Times New Roman" w:hAnsi="Times New Roman" w:cs="Times New Roman"/>
                <w:b/>
                <w:bCs/>
                <w:sz w:val="20"/>
                <w:szCs w:val="20"/>
              </w:rPr>
            </w:pPr>
            <w:r w:rsidRPr="000D77C9">
              <w:rPr>
                <w:rFonts w:ascii="Times New Roman" w:eastAsia="Times New Roman" w:hAnsi="Times New Roman" w:cs="Times New Roman"/>
                <w:b/>
                <w:bCs/>
                <w:sz w:val="20"/>
                <w:szCs w:val="20"/>
              </w:rPr>
              <w:t>FY21*</w:t>
            </w:r>
          </w:p>
        </w:tc>
      </w:tr>
      <w:tr w:rsidR="000D77C9" w:rsidRPr="000D77C9" w14:paraId="60505714" w14:textId="77777777" w:rsidTr="00B339F9">
        <w:trPr>
          <w:trHeight w:val="315"/>
        </w:trPr>
        <w:tc>
          <w:tcPr>
            <w:tcW w:w="2900" w:type="dxa"/>
            <w:tcBorders>
              <w:top w:val="single" w:sz="4" w:space="0" w:color="auto"/>
              <w:left w:val="single" w:sz="8" w:space="0" w:color="000000"/>
              <w:bottom w:val="single" w:sz="4" w:space="0" w:color="auto"/>
              <w:right w:val="single" w:sz="4" w:space="0" w:color="auto"/>
            </w:tcBorders>
            <w:noWrap/>
            <w:vAlign w:val="bottom"/>
            <w:hideMark/>
          </w:tcPr>
          <w:p w14:paraId="441F4DB6" w14:textId="77777777" w:rsidR="000D77C9" w:rsidRPr="000D77C9" w:rsidRDefault="000D77C9" w:rsidP="000D77C9">
            <w:pPr>
              <w:spacing w:after="0" w:line="240" w:lineRule="auto"/>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TOTAL ONCOLOGY</w:t>
            </w:r>
          </w:p>
        </w:tc>
        <w:tc>
          <w:tcPr>
            <w:tcW w:w="960" w:type="dxa"/>
            <w:tcBorders>
              <w:top w:val="single" w:sz="8" w:space="0" w:color="auto"/>
              <w:left w:val="nil"/>
              <w:bottom w:val="single" w:sz="4" w:space="0" w:color="auto"/>
              <w:right w:val="single" w:sz="4" w:space="0" w:color="auto"/>
            </w:tcBorders>
            <w:noWrap/>
            <w:vAlign w:val="bottom"/>
            <w:hideMark/>
          </w:tcPr>
          <w:p w14:paraId="7FF51C8D"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3205</w:t>
            </w:r>
          </w:p>
        </w:tc>
        <w:tc>
          <w:tcPr>
            <w:tcW w:w="960" w:type="dxa"/>
            <w:tcBorders>
              <w:top w:val="single" w:sz="8" w:space="0" w:color="auto"/>
              <w:left w:val="nil"/>
              <w:bottom w:val="single" w:sz="4" w:space="0" w:color="auto"/>
              <w:right w:val="single" w:sz="4" w:space="0" w:color="auto"/>
            </w:tcBorders>
            <w:noWrap/>
            <w:vAlign w:val="bottom"/>
            <w:hideMark/>
          </w:tcPr>
          <w:p w14:paraId="79553A77"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3898</w:t>
            </w:r>
          </w:p>
        </w:tc>
        <w:tc>
          <w:tcPr>
            <w:tcW w:w="960" w:type="dxa"/>
            <w:tcBorders>
              <w:top w:val="single" w:sz="8" w:space="0" w:color="auto"/>
              <w:left w:val="nil"/>
              <w:bottom w:val="single" w:sz="4" w:space="0" w:color="auto"/>
              <w:right w:val="single" w:sz="4" w:space="0" w:color="auto"/>
            </w:tcBorders>
            <w:noWrap/>
            <w:vAlign w:val="bottom"/>
            <w:hideMark/>
          </w:tcPr>
          <w:p w14:paraId="55B0E123"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3579</w:t>
            </w:r>
          </w:p>
        </w:tc>
        <w:tc>
          <w:tcPr>
            <w:tcW w:w="960" w:type="dxa"/>
            <w:tcBorders>
              <w:top w:val="single" w:sz="8" w:space="0" w:color="auto"/>
              <w:left w:val="nil"/>
              <w:bottom w:val="single" w:sz="4" w:space="0" w:color="auto"/>
              <w:right w:val="single" w:sz="4" w:space="0" w:color="auto"/>
            </w:tcBorders>
            <w:noWrap/>
            <w:vAlign w:val="bottom"/>
            <w:hideMark/>
          </w:tcPr>
          <w:p w14:paraId="7DB9E9EE"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2767</w:t>
            </w:r>
          </w:p>
        </w:tc>
      </w:tr>
      <w:tr w:rsidR="000D77C9" w:rsidRPr="000D77C9" w14:paraId="5989C4F3" w14:textId="77777777" w:rsidTr="00B339F9">
        <w:trPr>
          <w:trHeight w:val="315"/>
        </w:trPr>
        <w:tc>
          <w:tcPr>
            <w:tcW w:w="2900" w:type="dxa"/>
            <w:tcBorders>
              <w:top w:val="nil"/>
              <w:left w:val="single" w:sz="8" w:space="0" w:color="000000"/>
              <w:bottom w:val="single" w:sz="4" w:space="0" w:color="auto"/>
              <w:right w:val="single" w:sz="4" w:space="0" w:color="auto"/>
            </w:tcBorders>
            <w:noWrap/>
            <w:vAlign w:val="bottom"/>
            <w:hideMark/>
          </w:tcPr>
          <w:p w14:paraId="052991C8" w14:textId="77777777" w:rsidR="000D77C9" w:rsidRPr="000D77C9" w:rsidRDefault="000D77C9" w:rsidP="000D77C9">
            <w:pPr>
              <w:spacing w:after="0" w:line="240" w:lineRule="auto"/>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TOTAL CARDIAC</w:t>
            </w:r>
          </w:p>
        </w:tc>
        <w:tc>
          <w:tcPr>
            <w:tcW w:w="960" w:type="dxa"/>
            <w:tcBorders>
              <w:top w:val="nil"/>
              <w:left w:val="nil"/>
              <w:bottom w:val="single" w:sz="4" w:space="0" w:color="auto"/>
              <w:right w:val="single" w:sz="4" w:space="0" w:color="auto"/>
            </w:tcBorders>
            <w:noWrap/>
            <w:vAlign w:val="bottom"/>
            <w:hideMark/>
          </w:tcPr>
          <w:p w14:paraId="26CA4E45"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0</w:t>
            </w:r>
          </w:p>
        </w:tc>
        <w:tc>
          <w:tcPr>
            <w:tcW w:w="960" w:type="dxa"/>
            <w:tcBorders>
              <w:top w:val="nil"/>
              <w:left w:val="nil"/>
              <w:bottom w:val="single" w:sz="4" w:space="0" w:color="auto"/>
              <w:right w:val="single" w:sz="4" w:space="0" w:color="auto"/>
            </w:tcBorders>
            <w:noWrap/>
            <w:vAlign w:val="bottom"/>
            <w:hideMark/>
          </w:tcPr>
          <w:p w14:paraId="3A2971C7"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23</w:t>
            </w:r>
          </w:p>
        </w:tc>
        <w:tc>
          <w:tcPr>
            <w:tcW w:w="960" w:type="dxa"/>
            <w:tcBorders>
              <w:top w:val="nil"/>
              <w:left w:val="nil"/>
              <w:bottom w:val="single" w:sz="4" w:space="0" w:color="auto"/>
              <w:right w:val="single" w:sz="4" w:space="0" w:color="auto"/>
            </w:tcBorders>
            <w:noWrap/>
            <w:vAlign w:val="bottom"/>
            <w:hideMark/>
          </w:tcPr>
          <w:p w14:paraId="62FEA86C"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54</w:t>
            </w:r>
          </w:p>
        </w:tc>
        <w:tc>
          <w:tcPr>
            <w:tcW w:w="960" w:type="dxa"/>
            <w:tcBorders>
              <w:top w:val="nil"/>
              <w:left w:val="nil"/>
              <w:bottom w:val="single" w:sz="4" w:space="0" w:color="auto"/>
              <w:right w:val="single" w:sz="4" w:space="0" w:color="auto"/>
            </w:tcBorders>
            <w:noWrap/>
            <w:vAlign w:val="bottom"/>
            <w:hideMark/>
          </w:tcPr>
          <w:p w14:paraId="5E901BDD"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65</w:t>
            </w:r>
          </w:p>
        </w:tc>
      </w:tr>
      <w:tr w:rsidR="000D77C9" w:rsidRPr="000D77C9" w14:paraId="5E5D75A2" w14:textId="77777777" w:rsidTr="00B339F9">
        <w:trPr>
          <w:trHeight w:val="315"/>
        </w:trPr>
        <w:tc>
          <w:tcPr>
            <w:tcW w:w="2900" w:type="dxa"/>
            <w:tcBorders>
              <w:top w:val="nil"/>
              <w:left w:val="single" w:sz="8" w:space="0" w:color="000000"/>
              <w:bottom w:val="nil"/>
              <w:right w:val="single" w:sz="4" w:space="0" w:color="auto"/>
            </w:tcBorders>
            <w:noWrap/>
            <w:vAlign w:val="bottom"/>
            <w:hideMark/>
          </w:tcPr>
          <w:p w14:paraId="15558C0D" w14:textId="77777777" w:rsidR="000D77C9" w:rsidRPr="000D77C9" w:rsidRDefault="000D77C9" w:rsidP="000D77C9">
            <w:pPr>
              <w:spacing w:after="0" w:line="240" w:lineRule="auto"/>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TOTAL RESEARCH</w:t>
            </w:r>
          </w:p>
        </w:tc>
        <w:tc>
          <w:tcPr>
            <w:tcW w:w="960" w:type="dxa"/>
            <w:tcBorders>
              <w:top w:val="nil"/>
              <w:left w:val="nil"/>
              <w:bottom w:val="nil"/>
              <w:right w:val="single" w:sz="4" w:space="0" w:color="auto"/>
            </w:tcBorders>
            <w:noWrap/>
            <w:vAlign w:val="bottom"/>
            <w:hideMark/>
          </w:tcPr>
          <w:p w14:paraId="0DEA862C"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1045</w:t>
            </w:r>
          </w:p>
        </w:tc>
        <w:tc>
          <w:tcPr>
            <w:tcW w:w="960" w:type="dxa"/>
            <w:tcBorders>
              <w:top w:val="nil"/>
              <w:left w:val="nil"/>
              <w:bottom w:val="nil"/>
              <w:right w:val="single" w:sz="4" w:space="0" w:color="auto"/>
            </w:tcBorders>
            <w:noWrap/>
            <w:vAlign w:val="bottom"/>
            <w:hideMark/>
          </w:tcPr>
          <w:p w14:paraId="792A0957"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619</w:t>
            </w:r>
          </w:p>
        </w:tc>
        <w:tc>
          <w:tcPr>
            <w:tcW w:w="960" w:type="dxa"/>
            <w:tcBorders>
              <w:top w:val="nil"/>
              <w:left w:val="nil"/>
              <w:bottom w:val="nil"/>
              <w:right w:val="single" w:sz="4" w:space="0" w:color="auto"/>
            </w:tcBorders>
            <w:noWrap/>
            <w:vAlign w:val="bottom"/>
            <w:hideMark/>
          </w:tcPr>
          <w:p w14:paraId="5CB55A1F"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371</w:t>
            </w:r>
          </w:p>
        </w:tc>
        <w:tc>
          <w:tcPr>
            <w:tcW w:w="960" w:type="dxa"/>
            <w:tcBorders>
              <w:top w:val="nil"/>
              <w:left w:val="nil"/>
              <w:bottom w:val="nil"/>
              <w:right w:val="single" w:sz="4" w:space="0" w:color="auto"/>
            </w:tcBorders>
            <w:noWrap/>
            <w:vAlign w:val="bottom"/>
            <w:hideMark/>
          </w:tcPr>
          <w:p w14:paraId="344F397E"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233</w:t>
            </w:r>
          </w:p>
        </w:tc>
      </w:tr>
      <w:tr w:rsidR="000D77C9" w:rsidRPr="000D77C9" w14:paraId="2271E1EE" w14:textId="77777777" w:rsidTr="00B339F9">
        <w:trPr>
          <w:trHeight w:val="330"/>
        </w:trPr>
        <w:tc>
          <w:tcPr>
            <w:tcW w:w="2900" w:type="dxa"/>
            <w:tcBorders>
              <w:top w:val="single" w:sz="8" w:space="0" w:color="auto"/>
              <w:left w:val="single" w:sz="8" w:space="0" w:color="000000"/>
              <w:bottom w:val="single" w:sz="8" w:space="0" w:color="auto"/>
              <w:right w:val="single" w:sz="4" w:space="0" w:color="auto"/>
            </w:tcBorders>
            <w:noWrap/>
            <w:vAlign w:val="bottom"/>
            <w:hideMark/>
          </w:tcPr>
          <w:p w14:paraId="4276A00B" w14:textId="77777777" w:rsidR="000D77C9" w:rsidRPr="000D77C9" w:rsidRDefault="000D77C9" w:rsidP="000D77C9">
            <w:pPr>
              <w:spacing w:after="0" w:line="240" w:lineRule="auto"/>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TOTAL EXAM</w:t>
            </w:r>
          </w:p>
        </w:tc>
        <w:tc>
          <w:tcPr>
            <w:tcW w:w="960" w:type="dxa"/>
            <w:tcBorders>
              <w:top w:val="single" w:sz="8" w:space="0" w:color="auto"/>
              <w:left w:val="nil"/>
              <w:bottom w:val="single" w:sz="8" w:space="0" w:color="auto"/>
              <w:right w:val="single" w:sz="4" w:space="0" w:color="auto"/>
            </w:tcBorders>
            <w:noWrap/>
            <w:vAlign w:val="bottom"/>
            <w:hideMark/>
          </w:tcPr>
          <w:p w14:paraId="5BE697D1"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4250</w:t>
            </w:r>
          </w:p>
        </w:tc>
        <w:tc>
          <w:tcPr>
            <w:tcW w:w="960" w:type="dxa"/>
            <w:tcBorders>
              <w:top w:val="single" w:sz="8" w:space="0" w:color="auto"/>
              <w:left w:val="nil"/>
              <w:bottom w:val="single" w:sz="8" w:space="0" w:color="auto"/>
              <w:right w:val="single" w:sz="4" w:space="0" w:color="auto"/>
            </w:tcBorders>
            <w:noWrap/>
            <w:vAlign w:val="bottom"/>
            <w:hideMark/>
          </w:tcPr>
          <w:p w14:paraId="385B1441"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4540</w:t>
            </w:r>
          </w:p>
        </w:tc>
        <w:tc>
          <w:tcPr>
            <w:tcW w:w="960" w:type="dxa"/>
            <w:tcBorders>
              <w:top w:val="single" w:sz="8" w:space="0" w:color="auto"/>
              <w:left w:val="nil"/>
              <w:bottom w:val="single" w:sz="8" w:space="0" w:color="auto"/>
              <w:right w:val="single" w:sz="4" w:space="0" w:color="auto"/>
            </w:tcBorders>
            <w:noWrap/>
            <w:vAlign w:val="bottom"/>
            <w:hideMark/>
          </w:tcPr>
          <w:p w14:paraId="1924C799"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4004</w:t>
            </w:r>
          </w:p>
        </w:tc>
        <w:tc>
          <w:tcPr>
            <w:tcW w:w="960" w:type="dxa"/>
            <w:tcBorders>
              <w:top w:val="single" w:sz="8" w:space="0" w:color="auto"/>
              <w:left w:val="nil"/>
              <w:bottom w:val="single" w:sz="8" w:space="0" w:color="auto"/>
              <w:right w:val="single" w:sz="4" w:space="0" w:color="auto"/>
            </w:tcBorders>
            <w:noWrap/>
            <w:vAlign w:val="bottom"/>
            <w:hideMark/>
          </w:tcPr>
          <w:p w14:paraId="330A0516" w14:textId="77777777" w:rsidR="000D77C9" w:rsidRPr="000D77C9" w:rsidRDefault="000D77C9" w:rsidP="000D77C9">
            <w:pPr>
              <w:spacing w:after="0" w:line="240" w:lineRule="auto"/>
              <w:jc w:val="center"/>
              <w:rPr>
                <w:rFonts w:ascii="Times New Roman" w:eastAsia="Times New Roman" w:hAnsi="Times New Roman" w:cs="Times New Roman"/>
                <w:color w:val="000000"/>
                <w:sz w:val="20"/>
                <w:szCs w:val="20"/>
              </w:rPr>
            </w:pPr>
            <w:r w:rsidRPr="000D77C9">
              <w:rPr>
                <w:rFonts w:ascii="Times New Roman" w:eastAsia="Times New Roman" w:hAnsi="Times New Roman" w:cs="Times New Roman"/>
                <w:color w:val="000000"/>
                <w:sz w:val="20"/>
                <w:szCs w:val="20"/>
              </w:rPr>
              <w:t>3065</w:t>
            </w:r>
          </w:p>
        </w:tc>
      </w:tr>
    </w:tbl>
    <w:p w14:paraId="6D7E3E51" w14:textId="77777777" w:rsidR="00791279" w:rsidRDefault="00791279" w:rsidP="00C47756">
      <w:pPr>
        <w:ind w:left="720"/>
      </w:pPr>
    </w:p>
    <w:p w14:paraId="0A5C28CF" w14:textId="12269712" w:rsidR="00221EE5" w:rsidRPr="000D77C9" w:rsidRDefault="004D45B6" w:rsidP="00C47756">
      <w:pPr>
        <w:ind w:left="720"/>
      </w:pPr>
      <w:r>
        <w:lastRenderedPageBreak/>
        <w:t xml:space="preserve">Response: The asterisk indicates that FY21 data was based on </w:t>
      </w:r>
      <w:r w:rsidR="000C1E22">
        <w:t>a partial year (</w:t>
      </w:r>
      <w:r>
        <w:t>October-June</w:t>
      </w:r>
      <w:r w:rsidR="000C1E22">
        <w:t>)</w:t>
      </w:r>
      <w:r>
        <w:t xml:space="preserve">. This is because the chart was provided </w:t>
      </w:r>
      <w:r w:rsidR="000C1E22">
        <w:t xml:space="preserve">to the Department before </w:t>
      </w:r>
      <w:r>
        <w:t xml:space="preserve">FY21 </w:t>
      </w:r>
      <w:r w:rsidR="000C1E22">
        <w:t xml:space="preserve">was complete </w:t>
      </w:r>
      <w:r>
        <w:t xml:space="preserve">and June was the latest date for which data was available. </w:t>
      </w:r>
    </w:p>
    <w:p w14:paraId="1D83CDA5" w14:textId="05359AFA" w:rsidR="000D77C9" w:rsidRPr="00A64196" w:rsidRDefault="000D77C9" w:rsidP="00A64196">
      <w:pPr>
        <w:numPr>
          <w:ilvl w:val="0"/>
          <w:numId w:val="1"/>
        </w:numPr>
        <w:contextualSpacing/>
        <w:rPr>
          <w:b/>
          <w:bCs/>
        </w:rPr>
      </w:pPr>
      <w:r w:rsidRPr="00841D1B">
        <w:rPr>
          <w:b/>
          <w:bCs/>
        </w:rPr>
        <w:t xml:space="preserve">Some of the </w:t>
      </w:r>
      <w:r w:rsidR="004635D3" w:rsidRPr="00841D1B">
        <w:rPr>
          <w:b/>
          <w:bCs/>
        </w:rPr>
        <w:t>historical and projected data that was</w:t>
      </w:r>
      <w:r w:rsidRPr="00841D1B">
        <w:rPr>
          <w:b/>
          <w:bCs/>
        </w:rPr>
        <w:t xml:space="preserve"> provided in the application differed </w:t>
      </w:r>
      <w:r w:rsidR="00B35274" w:rsidRPr="00841D1B">
        <w:rPr>
          <w:b/>
          <w:bCs/>
        </w:rPr>
        <w:t>from</w:t>
      </w:r>
      <w:r w:rsidRPr="00841D1B">
        <w:rPr>
          <w:b/>
          <w:bCs/>
        </w:rPr>
        <w:t xml:space="preserve"> what was provided in </w:t>
      </w:r>
      <w:r w:rsidR="004635D3" w:rsidRPr="00841D1B">
        <w:rPr>
          <w:b/>
          <w:bCs/>
        </w:rPr>
        <w:t xml:space="preserve">the </w:t>
      </w:r>
      <w:r w:rsidRPr="00841D1B">
        <w:rPr>
          <w:b/>
          <w:bCs/>
        </w:rPr>
        <w:t>responses</w:t>
      </w:r>
      <w:r w:rsidR="00B35274" w:rsidRPr="00841D1B">
        <w:rPr>
          <w:b/>
          <w:bCs/>
        </w:rPr>
        <w:t xml:space="preserve"> to DoN follow-up questions</w:t>
      </w:r>
      <w:r w:rsidR="0011006B" w:rsidRPr="00841D1B">
        <w:rPr>
          <w:b/>
          <w:bCs/>
        </w:rPr>
        <w:t xml:space="preserve"> in the highlighted instances below</w:t>
      </w:r>
      <w:r w:rsidRPr="00841D1B">
        <w:rPr>
          <w:b/>
          <w:bCs/>
        </w:rPr>
        <w:t xml:space="preserve"> </w:t>
      </w:r>
      <w:r w:rsidR="004635D3" w:rsidRPr="00841D1B">
        <w:rPr>
          <w:b/>
          <w:bCs/>
        </w:rPr>
        <w:t xml:space="preserve">Briefly explain </w:t>
      </w:r>
      <w:r w:rsidRPr="00841D1B">
        <w:rPr>
          <w:b/>
          <w:bCs/>
        </w:rPr>
        <w:t xml:space="preserve">the </w:t>
      </w:r>
      <w:r w:rsidR="004635D3" w:rsidRPr="00841D1B">
        <w:rPr>
          <w:b/>
          <w:bCs/>
        </w:rPr>
        <w:t xml:space="preserve">reason for the </w:t>
      </w:r>
      <w:r w:rsidRPr="00841D1B">
        <w:rPr>
          <w:b/>
          <w:bCs/>
        </w:rPr>
        <w:t>change</w:t>
      </w:r>
      <w:r w:rsidR="00972081" w:rsidRPr="00841D1B">
        <w:rPr>
          <w:b/>
          <w:bCs/>
        </w:rPr>
        <w:t>, in general</w:t>
      </w:r>
      <w:r w:rsidRPr="00841D1B">
        <w:rPr>
          <w:b/>
          <w:bCs/>
        </w:rPr>
        <w:t>.</w:t>
      </w:r>
    </w:p>
    <w:p w14:paraId="2BA04A70" w14:textId="5E13DF8F" w:rsidR="0011006B" w:rsidRPr="0033736B" w:rsidRDefault="0011006B" w:rsidP="0033736B">
      <w:pPr>
        <w:pStyle w:val="ListParagraph"/>
        <w:numPr>
          <w:ilvl w:val="1"/>
          <w:numId w:val="1"/>
        </w:numPr>
        <w:rPr>
          <w:b/>
          <w:bCs/>
        </w:rPr>
      </w:pPr>
      <w:r w:rsidRPr="0033736B">
        <w:rPr>
          <w:b/>
          <w:bCs/>
        </w:rPr>
        <w:t>Discharges</w:t>
      </w:r>
    </w:p>
    <w:p w14:paraId="6474F94C" w14:textId="66F151EA" w:rsidR="000D77C9" w:rsidRPr="00841D1B" w:rsidRDefault="000D77C9" w:rsidP="000D77C9">
      <w:pPr>
        <w:ind w:left="360"/>
        <w:rPr>
          <w:b/>
          <w:bCs/>
        </w:rPr>
      </w:pPr>
      <w:bookmarkStart w:id="3" w:name="_Hlk94106120"/>
      <w:r w:rsidRPr="00841D1B">
        <w:rPr>
          <w:b/>
          <w:bCs/>
        </w:rPr>
        <w:t>Application pg</w:t>
      </w:r>
      <w:r w:rsidR="00D55DA3" w:rsidRPr="00841D1B">
        <w:rPr>
          <w:b/>
          <w:bCs/>
        </w:rPr>
        <w:t>s</w:t>
      </w:r>
      <w:r w:rsidRPr="00841D1B">
        <w:rPr>
          <w:b/>
          <w:bCs/>
        </w:rPr>
        <w:t>. 17-18</w:t>
      </w:r>
    </w:p>
    <w:tbl>
      <w:tblPr>
        <w:tblStyle w:val="TableGrid1"/>
        <w:tblW w:w="0" w:type="auto"/>
        <w:jc w:val="center"/>
        <w:tblLook w:val="04A0" w:firstRow="1" w:lastRow="0" w:firstColumn="1" w:lastColumn="0" w:noHBand="0" w:noVBand="1"/>
        <w:tblCaption w:val="Cancer, Heart and Vascular, M/S, all other [1] and Totals for Fiscal Years 2017 through 2019 table"/>
        <w:tblDescription w:val="Cancer, Heart and Vascular, M/S, all other [1] and Totals for Fiscal Years 2017 through 2019 table"/>
      </w:tblPr>
      <w:tblGrid>
        <w:gridCol w:w="2272"/>
        <w:gridCol w:w="1191"/>
        <w:gridCol w:w="1191"/>
        <w:gridCol w:w="1191"/>
      </w:tblGrid>
      <w:tr w:rsidR="000D77C9" w:rsidRPr="000D77C9" w14:paraId="31762061" w14:textId="77777777" w:rsidTr="003B1AE2">
        <w:trPr>
          <w:trHeight w:val="332"/>
          <w:tblHeader/>
          <w:jc w:val="center"/>
        </w:trPr>
        <w:tc>
          <w:tcPr>
            <w:tcW w:w="0" w:type="auto"/>
            <w:hideMark/>
          </w:tcPr>
          <w:p w14:paraId="768CC7F3" w14:textId="77777777" w:rsidR="000D77C9" w:rsidRPr="000D77C9" w:rsidRDefault="000D77C9" w:rsidP="000D77C9">
            <w:pPr>
              <w:ind w:left="360"/>
            </w:pPr>
            <w:r w:rsidRPr="000D77C9">
              <w:t> </w:t>
            </w:r>
          </w:p>
        </w:tc>
        <w:tc>
          <w:tcPr>
            <w:tcW w:w="0" w:type="auto"/>
            <w:shd w:val="clear" w:color="auto" w:fill="D9D9D9" w:themeFill="background1" w:themeFillShade="D9"/>
            <w:hideMark/>
          </w:tcPr>
          <w:p w14:paraId="11DFB256" w14:textId="77777777" w:rsidR="000D77C9" w:rsidRPr="000D77C9" w:rsidRDefault="000D77C9" w:rsidP="000D77C9">
            <w:pPr>
              <w:ind w:left="360"/>
              <w:rPr>
                <w:b/>
                <w:bCs/>
              </w:rPr>
            </w:pPr>
            <w:r w:rsidRPr="000D77C9">
              <w:rPr>
                <w:b/>
                <w:bCs/>
              </w:rPr>
              <w:t>FY17</w:t>
            </w:r>
          </w:p>
        </w:tc>
        <w:tc>
          <w:tcPr>
            <w:tcW w:w="0" w:type="auto"/>
            <w:shd w:val="clear" w:color="auto" w:fill="D9D9D9" w:themeFill="background1" w:themeFillShade="D9"/>
            <w:hideMark/>
          </w:tcPr>
          <w:p w14:paraId="4DC946DD" w14:textId="77777777" w:rsidR="000D77C9" w:rsidRPr="000D77C9" w:rsidRDefault="000D77C9" w:rsidP="000D77C9">
            <w:pPr>
              <w:ind w:left="360"/>
              <w:rPr>
                <w:b/>
                <w:bCs/>
              </w:rPr>
            </w:pPr>
            <w:r w:rsidRPr="000D77C9">
              <w:rPr>
                <w:b/>
                <w:bCs/>
              </w:rPr>
              <w:t>FY18</w:t>
            </w:r>
          </w:p>
        </w:tc>
        <w:tc>
          <w:tcPr>
            <w:tcW w:w="0" w:type="auto"/>
            <w:shd w:val="clear" w:color="auto" w:fill="D9D9D9" w:themeFill="background1" w:themeFillShade="D9"/>
            <w:hideMark/>
          </w:tcPr>
          <w:p w14:paraId="3DB059E9" w14:textId="77777777" w:rsidR="000D77C9" w:rsidRPr="000D77C9" w:rsidRDefault="000D77C9" w:rsidP="000D77C9">
            <w:pPr>
              <w:ind w:left="360"/>
              <w:rPr>
                <w:b/>
                <w:bCs/>
              </w:rPr>
            </w:pPr>
            <w:r w:rsidRPr="000D77C9">
              <w:rPr>
                <w:b/>
                <w:bCs/>
              </w:rPr>
              <w:t>FY19</w:t>
            </w:r>
          </w:p>
        </w:tc>
      </w:tr>
      <w:tr w:rsidR="000D77C9" w:rsidRPr="000D77C9" w14:paraId="3570A832" w14:textId="77777777" w:rsidTr="00B339F9">
        <w:trPr>
          <w:trHeight w:val="300"/>
          <w:jc w:val="center"/>
        </w:trPr>
        <w:tc>
          <w:tcPr>
            <w:tcW w:w="0" w:type="auto"/>
            <w:hideMark/>
          </w:tcPr>
          <w:p w14:paraId="1BC4EFD3" w14:textId="77777777" w:rsidR="000D77C9" w:rsidRPr="000D77C9" w:rsidRDefault="000D77C9" w:rsidP="000D77C9">
            <w:pPr>
              <w:ind w:left="360"/>
            </w:pPr>
            <w:r w:rsidRPr="000D77C9">
              <w:t>Cancer</w:t>
            </w:r>
          </w:p>
        </w:tc>
        <w:tc>
          <w:tcPr>
            <w:tcW w:w="0" w:type="auto"/>
            <w:hideMark/>
          </w:tcPr>
          <w:p w14:paraId="6D31292C" w14:textId="77777777" w:rsidR="000D77C9" w:rsidRPr="000D77C9" w:rsidRDefault="000D77C9" w:rsidP="000D77C9">
            <w:pPr>
              <w:ind w:left="360"/>
            </w:pPr>
            <w:r w:rsidRPr="000D77C9">
              <w:t>9,872</w:t>
            </w:r>
          </w:p>
        </w:tc>
        <w:tc>
          <w:tcPr>
            <w:tcW w:w="0" w:type="auto"/>
            <w:hideMark/>
          </w:tcPr>
          <w:p w14:paraId="12056DAE" w14:textId="77777777" w:rsidR="000D77C9" w:rsidRPr="000D77C9" w:rsidRDefault="000D77C9" w:rsidP="000D77C9">
            <w:pPr>
              <w:ind w:left="360"/>
            </w:pPr>
            <w:r w:rsidRPr="000D77C9">
              <w:t>9,579</w:t>
            </w:r>
          </w:p>
        </w:tc>
        <w:tc>
          <w:tcPr>
            <w:tcW w:w="0" w:type="auto"/>
            <w:hideMark/>
          </w:tcPr>
          <w:p w14:paraId="754D66E0" w14:textId="77777777" w:rsidR="000D77C9" w:rsidRPr="000D77C9" w:rsidRDefault="000D77C9" w:rsidP="000D77C9">
            <w:pPr>
              <w:ind w:left="360"/>
            </w:pPr>
            <w:r w:rsidRPr="000D77C9">
              <w:t>9,675</w:t>
            </w:r>
          </w:p>
        </w:tc>
      </w:tr>
      <w:tr w:rsidR="000D77C9" w:rsidRPr="000D77C9" w14:paraId="299CFDDF" w14:textId="77777777" w:rsidTr="00B339F9">
        <w:trPr>
          <w:trHeight w:val="300"/>
          <w:jc w:val="center"/>
        </w:trPr>
        <w:tc>
          <w:tcPr>
            <w:tcW w:w="0" w:type="auto"/>
            <w:hideMark/>
          </w:tcPr>
          <w:p w14:paraId="3DF153B7" w14:textId="77777777" w:rsidR="000D77C9" w:rsidRPr="000D77C9" w:rsidRDefault="000D77C9" w:rsidP="000D77C9">
            <w:pPr>
              <w:ind w:left="360"/>
            </w:pPr>
            <w:r w:rsidRPr="000D77C9">
              <w:t>Heart and Vascular</w:t>
            </w:r>
          </w:p>
        </w:tc>
        <w:tc>
          <w:tcPr>
            <w:tcW w:w="0" w:type="auto"/>
            <w:hideMark/>
          </w:tcPr>
          <w:p w14:paraId="6E256D3E" w14:textId="77777777" w:rsidR="000D77C9" w:rsidRPr="000D77C9" w:rsidRDefault="000D77C9" w:rsidP="000D77C9">
            <w:pPr>
              <w:ind w:left="360"/>
            </w:pPr>
            <w:r w:rsidRPr="000D77C9">
              <w:t>6,470</w:t>
            </w:r>
          </w:p>
        </w:tc>
        <w:tc>
          <w:tcPr>
            <w:tcW w:w="0" w:type="auto"/>
            <w:hideMark/>
          </w:tcPr>
          <w:p w14:paraId="2CDCD497" w14:textId="77777777" w:rsidR="000D77C9" w:rsidRPr="000D77C9" w:rsidRDefault="000D77C9" w:rsidP="000D77C9">
            <w:pPr>
              <w:ind w:left="360"/>
            </w:pPr>
            <w:r w:rsidRPr="000D77C9">
              <w:t>6,651</w:t>
            </w:r>
          </w:p>
        </w:tc>
        <w:tc>
          <w:tcPr>
            <w:tcW w:w="0" w:type="auto"/>
            <w:hideMark/>
          </w:tcPr>
          <w:p w14:paraId="2ED48271" w14:textId="77777777" w:rsidR="000D77C9" w:rsidRPr="000D77C9" w:rsidRDefault="000D77C9" w:rsidP="000D77C9">
            <w:pPr>
              <w:ind w:left="360"/>
            </w:pPr>
            <w:r w:rsidRPr="000D77C9">
              <w:t>6,718</w:t>
            </w:r>
          </w:p>
        </w:tc>
      </w:tr>
      <w:tr w:rsidR="000D77C9" w:rsidRPr="000D77C9" w14:paraId="1A0B8F5B" w14:textId="77777777" w:rsidTr="00B339F9">
        <w:trPr>
          <w:trHeight w:val="300"/>
          <w:jc w:val="center"/>
        </w:trPr>
        <w:tc>
          <w:tcPr>
            <w:tcW w:w="0" w:type="auto"/>
            <w:hideMark/>
          </w:tcPr>
          <w:p w14:paraId="06C41F2B" w14:textId="77777777" w:rsidR="000D77C9" w:rsidRPr="006201CB" w:rsidRDefault="00692691" w:rsidP="000D77C9">
            <w:pPr>
              <w:ind w:left="360"/>
            </w:pPr>
            <w:hyperlink r:id="rId8" w:anchor="RANGE!_ftn1" w:history="1">
              <w:r w:rsidR="000D77C9" w:rsidRPr="006201CB">
                <w:t>M/S, all other[1]</w:t>
              </w:r>
            </w:hyperlink>
          </w:p>
        </w:tc>
        <w:tc>
          <w:tcPr>
            <w:tcW w:w="0" w:type="auto"/>
            <w:hideMark/>
          </w:tcPr>
          <w:p w14:paraId="2CEC6F37" w14:textId="77777777" w:rsidR="000D77C9" w:rsidRPr="000D77C9" w:rsidRDefault="000D77C9" w:rsidP="000D77C9">
            <w:pPr>
              <w:ind w:left="360"/>
            </w:pPr>
            <w:r w:rsidRPr="000D77C9">
              <w:t>25,568</w:t>
            </w:r>
          </w:p>
        </w:tc>
        <w:tc>
          <w:tcPr>
            <w:tcW w:w="0" w:type="auto"/>
            <w:hideMark/>
          </w:tcPr>
          <w:p w14:paraId="05736C79" w14:textId="77777777" w:rsidR="000D77C9" w:rsidRPr="000D77C9" w:rsidRDefault="000D77C9" w:rsidP="000D77C9">
            <w:pPr>
              <w:ind w:left="360"/>
            </w:pPr>
            <w:r w:rsidRPr="000D77C9">
              <w:t>25,195</w:t>
            </w:r>
          </w:p>
        </w:tc>
        <w:tc>
          <w:tcPr>
            <w:tcW w:w="0" w:type="auto"/>
            <w:hideMark/>
          </w:tcPr>
          <w:p w14:paraId="3815091E" w14:textId="77777777" w:rsidR="000D77C9" w:rsidRPr="000D77C9" w:rsidRDefault="000D77C9" w:rsidP="000D77C9">
            <w:pPr>
              <w:ind w:left="360"/>
            </w:pPr>
            <w:r w:rsidRPr="000D77C9">
              <w:t>25,585</w:t>
            </w:r>
          </w:p>
        </w:tc>
      </w:tr>
      <w:tr w:rsidR="000D77C9" w:rsidRPr="000D77C9" w14:paraId="68B79AF0" w14:textId="77777777" w:rsidTr="00B339F9">
        <w:trPr>
          <w:trHeight w:val="300"/>
          <w:jc w:val="center"/>
        </w:trPr>
        <w:tc>
          <w:tcPr>
            <w:tcW w:w="0" w:type="auto"/>
            <w:hideMark/>
          </w:tcPr>
          <w:p w14:paraId="4887462A" w14:textId="77777777" w:rsidR="000D77C9" w:rsidRPr="000D77C9" w:rsidRDefault="000D77C9" w:rsidP="000D77C9">
            <w:pPr>
              <w:ind w:left="360"/>
              <w:rPr>
                <w:b/>
                <w:bCs/>
              </w:rPr>
            </w:pPr>
            <w:r w:rsidRPr="000D77C9">
              <w:rPr>
                <w:b/>
                <w:bCs/>
              </w:rPr>
              <w:t>Total</w:t>
            </w:r>
          </w:p>
        </w:tc>
        <w:tc>
          <w:tcPr>
            <w:tcW w:w="0" w:type="auto"/>
            <w:hideMark/>
          </w:tcPr>
          <w:p w14:paraId="089B8444" w14:textId="77777777" w:rsidR="000D77C9" w:rsidRPr="000D77C9" w:rsidRDefault="000D77C9" w:rsidP="000D77C9">
            <w:pPr>
              <w:ind w:left="360"/>
              <w:rPr>
                <w:b/>
                <w:bCs/>
              </w:rPr>
            </w:pPr>
            <w:r w:rsidRPr="000D77C9">
              <w:rPr>
                <w:b/>
                <w:bCs/>
              </w:rPr>
              <w:t>41,910</w:t>
            </w:r>
          </w:p>
        </w:tc>
        <w:tc>
          <w:tcPr>
            <w:tcW w:w="0" w:type="auto"/>
            <w:hideMark/>
          </w:tcPr>
          <w:p w14:paraId="512DD15C" w14:textId="77777777" w:rsidR="000D77C9" w:rsidRPr="000D77C9" w:rsidRDefault="000D77C9" w:rsidP="000D77C9">
            <w:pPr>
              <w:ind w:left="360"/>
              <w:rPr>
                <w:b/>
                <w:bCs/>
              </w:rPr>
            </w:pPr>
            <w:r w:rsidRPr="000D77C9">
              <w:rPr>
                <w:b/>
                <w:bCs/>
              </w:rPr>
              <w:t>41,425</w:t>
            </w:r>
          </w:p>
        </w:tc>
        <w:tc>
          <w:tcPr>
            <w:tcW w:w="0" w:type="auto"/>
            <w:hideMark/>
          </w:tcPr>
          <w:p w14:paraId="65C59A26" w14:textId="77777777" w:rsidR="000D77C9" w:rsidRPr="000D77C9" w:rsidRDefault="000D77C9" w:rsidP="000D77C9">
            <w:pPr>
              <w:ind w:left="360"/>
              <w:rPr>
                <w:b/>
                <w:bCs/>
              </w:rPr>
            </w:pPr>
            <w:r w:rsidRPr="007671A1">
              <w:rPr>
                <w:b/>
                <w:bCs/>
                <w:highlight w:val="yellow"/>
              </w:rPr>
              <w:t>41,978</w:t>
            </w:r>
          </w:p>
        </w:tc>
      </w:tr>
    </w:tbl>
    <w:p w14:paraId="66BFE20B" w14:textId="77777777" w:rsidR="000D77C9" w:rsidRPr="000D77C9" w:rsidRDefault="000D77C9" w:rsidP="000D77C9">
      <w:pPr>
        <w:ind w:left="360"/>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12"/>
        <w:gridCol w:w="829"/>
        <w:gridCol w:w="829"/>
        <w:gridCol w:w="829"/>
        <w:gridCol w:w="829"/>
        <w:gridCol w:w="829"/>
      </w:tblGrid>
      <w:tr w:rsidR="000D77C9" w:rsidRPr="000D77C9" w14:paraId="7AB3FC24" w14:textId="77777777" w:rsidTr="00B339F9">
        <w:trPr>
          <w:trHeight w:val="349"/>
          <w:jc w:val="center"/>
        </w:trPr>
        <w:tc>
          <w:tcPr>
            <w:tcW w:w="0" w:type="auto"/>
            <w:shd w:val="clear" w:color="auto" w:fill="auto"/>
            <w:vAlign w:val="center"/>
            <w:hideMark/>
          </w:tcPr>
          <w:p w14:paraId="6A4FBFAC" w14:textId="77777777" w:rsidR="000D77C9" w:rsidRPr="000D77C9" w:rsidRDefault="000D77C9" w:rsidP="000D77C9">
            <w:pPr>
              <w:spacing w:after="0" w:line="240" w:lineRule="auto"/>
              <w:rPr>
                <w:rFonts w:ascii="Calibri" w:eastAsia="Times New Roman" w:hAnsi="Calibri" w:cs="Calibri"/>
                <w:color w:val="000000"/>
              </w:rPr>
            </w:pPr>
            <w:r w:rsidRPr="000D77C9">
              <w:rPr>
                <w:rFonts w:ascii="Calibri" w:eastAsia="Times New Roman" w:hAnsi="Calibri" w:cs="Calibri"/>
                <w:color w:val="000000"/>
              </w:rPr>
              <w:t> </w:t>
            </w:r>
          </w:p>
        </w:tc>
        <w:tc>
          <w:tcPr>
            <w:tcW w:w="0" w:type="auto"/>
            <w:shd w:val="clear" w:color="auto" w:fill="D9D9D9" w:themeFill="background1" w:themeFillShade="D9"/>
            <w:vAlign w:val="center"/>
            <w:hideMark/>
          </w:tcPr>
          <w:p w14:paraId="1079171C" w14:textId="77777777" w:rsidR="000D77C9" w:rsidRPr="000D77C9" w:rsidRDefault="000D77C9" w:rsidP="000D77C9">
            <w:pPr>
              <w:spacing w:after="0" w:line="240" w:lineRule="auto"/>
              <w:rPr>
                <w:rFonts w:ascii="Calibri" w:eastAsia="Times New Roman" w:hAnsi="Calibri" w:cs="Calibri"/>
                <w:b/>
                <w:bCs/>
                <w:color w:val="000000"/>
              </w:rPr>
            </w:pPr>
            <w:r w:rsidRPr="000D77C9">
              <w:rPr>
                <w:rFonts w:ascii="Calibri" w:eastAsia="Times New Roman" w:hAnsi="Calibri" w:cs="Calibri"/>
                <w:b/>
                <w:bCs/>
                <w:color w:val="000000"/>
              </w:rPr>
              <w:t>FY25</w:t>
            </w:r>
          </w:p>
        </w:tc>
        <w:tc>
          <w:tcPr>
            <w:tcW w:w="0" w:type="auto"/>
            <w:shd w:val="clear" w:color="auto" w:fill="D9D9D9" w:themeFill="background1" w:themeFillShade="D9"/>
            <w:vAlign w:val="center"/>
            <w:hideMark/>
          </w:tcPr>
          <w:p w14:paraId="107836AF" w14:textId="77777777" w:rsidR="000D77C9" w:rsidRPr="000D77C9" w:rsidRDefault="000D77C9" w:rsidP="000D77C9">
            <w:pPr>
              <w:spacing w:after="0" w:line="240" w:lineRule="auto"/>
              <w:rPr>
                <w:rFonts w:ascii="Calibri" w:eastAsia="Times New Roman" w:hAnsi="Calibri" w:cs="Calibri"/>
                <w:b/>
                <w:bCs/>
                <w:color w:val="000000"/>
              </w:rPr>
            </w:pPr>
            <w:r w:rsidRPr="000D77C9">
              <w:rPr>
                <w:rFonts w:ascii="Calibri" w:eastAsia="Times New Roman" w:hAnsi="Calibri" w:cs="Calibri"/>
                <w:b/>
                <w:bCs/>
                <w:color w:val="000000"/>
              </w:rPr>
              <w:t>FY26</w:t>
            </w:r>
          </w:p>
        </w:tc>
        <w:tc>
          <w:tcPr>
            <w:tcW w:w="0" w:type="auto"/>
            <w:shd w:val="clear" w:color="auto" w:fill="D9D9D9" w:themeFill="background1" w:themeFillShade="D9"/>
            <w:vAlign w:val="center"/>
            <w:hideMark/>
          </w:tcPr>
          <w:p w14:paraId="6ED6A32D" w14:textId="77777777" w:rsidR="000D77C9" w:rsidRPr="000D77C9" w:rsidRDefault="000D77C9" w:rsidP="000D77C9">
            <w:pPr>
              <w:spacing w:after="0" w:line="240" w:lineRule="auto"/>
              <w:rPr>
                <w:rFonts w:ascii="Calibri" w:eastAsia="Times New Roman" w:hAnsi="Calibri" w:cs="Calibri"/>
                <w:b/>
                <w:bCs/>
                <w:color w:val="000000"/>
              </w:rPr>
            </w:pPr>
            <w:r w:rsidRPr="000D77C9">
              <w:rPr>
                <w:rFonts w:ascii="Calibri" w:eastAsia="Times New Roman" w:hAnsi="Calibri" w:cs="Calibri"/>
                <w:b/>
                <w:bCs/>
                <w:color w:val="000000"/>
              </w:rPr>
              <w:t>FY27</w:t>
            </w:r>
          </w:p>
        </w:tc>
        <w:tc>
          <w:tcPr>
            <w:tcW w:w="0" w:type="auto"/>
            <w:shd w:val="clear" w:color="auto" w:fill="D9D9D9" w:themeFill="background1" w:themeFillShade="D9"/>
            <w:vAlign w:val="center"/>
            <w:hideMark/>
          </w:tcPr>
          <w:p w14:paraId="3B3ED9C1" w14:textId="77777777" w:rsidR="000D77C9" w:rsidRPr="000D77C9" w:rsidRDefault="000D77C9" w:rsidP="000D77C9">
            <w:pPr>
              <w:spacing w:after="0" w:line="240" w:lineRule="auto"/>
              <w:rPr>
                <w:rFonts w:ascii="Calibri" w:eastAsia="Times New Roman" w:hAnsi="Calibri" w:cs="Calibri"/>
                <w:b/>
                <w:bCs/>
                <w:color w:val="000000"/>
              </w:rPr>
            </w:pPr>
            <w:r w:rsidRPr="000D77C9">
              <w:rPr>
                <w:rFonts w:ascii="Calibri" w:eastAsia="Times New Roman" w:hAnsi="Calibri" w:cs="Calibri"/>
                <w:b/>
                <w:bCs/>
                <w:color w:val="000000"/>
              </w:rPr>
              <w:t>FY28</w:t>
            </w:r>
          </w:p>
        </w:tc>
        <w:tc>
          <w:tcPr>
            <w:tcW w:w="0" w:type="auto"/>
            <w:shd w:val="clear" w:color="auto" w:fill="D9D9D9" w:themeFill="background1" w:themeFillShade="D9"/>
            <w:vAlign w:val="center"/>
            <w:hideMark/>
          </w:tcPr>
          <w:p w14:paraId="753483DF" w14:textId="77777777" w:rsidR="000D77C9" w:rsidRPr="000D77C9" w:rsidRDefault="000D77C9" w:rsidP="000D77C9">
            <w:pPr>
              <w:spacing w:after="0" w:line="240" w:lineRule="auto"/>
              <w:rPr>
                <w:rFonts w:ascii="Calibri" w:eastAsia="Times New Roman" w:hAnsi="Calibri" w:cs="Calibri"/>
                <w:b/>
                <w:bCs/>
                <w:color w:val="000000"/>
              </w:rPr>
            </w:pPr>
            <w:r w:rsidRPr="000D77C9">
              <w:rPr>
                <w:rFonts w:ascii="Calibri" w:eastAsia="Times New Roman" w:hAnsi="Calibri" w:cs="Calibri"/>
                <w:b/>
                <w:bCs/>
                <w:color w:val="000000"/>
              </w:rPr>
              <w:t>FY29</w:t>
            </w:r>
          </w:p>
        </w:tc>
      </w:tr>
      <w:tr w:rsidR="000D77C9" w:rsidRPr="000D77C9" w14:paraId="607D615C" w14:textId="77777777" w:rsidTr="00B339F9">
        <w:trPr>
          <w:trHeight w:val="300"/>
          <w:jc w:val="center"/>
        </w:trPr>
        <w:tc>
          <w:tcPr>
            <w:tcW w:w="0" w:type="auto"/>
            <w:shd w:val="clear" w:color="auto" w:fill="auto"/>
            <w:vAlign w:val="center"/>
            <w:hideMark/>
          </w:tcPr>
          <w:p w14:paraId="65DCF447" w14:textId="77777777" w:rsidR="000D77C9" w:rsidRPr="000D77C9" w:rsidRDefault="000D77C9" w:rsidP="000D77C9">
            <w:pPr>
              <w:spacing w:after="0" w:line="240" w:lineRule="auto"/>
              <w:rPr>
                <w:rFonts w:ascii="Calibri" w:eastAsia="Times New Roman" w:hAnsi="Calibri" w:cs="Calibri"/>
                <w:color w:val="000000"/>
              </w:rPr>
            </w:pPr>
            <w:r w:rsidRPr="000D77C9">
              <w:rPr>
                <w:rFonts w:ascii="Calibri" w:eastAsia="Times New Roman" w:hAnsi="Calibri" w:cs="Calibri"/>
                <w:color w:val="000000"/>
              </w:rPr>
              <w:t>Cancer</w:t>
            </w:r>
          </w:p>
        </w:tc>
        <w:tc>
          <w:tcPr>
            <w:tcW w:w="0" w:type="auto"/>
            <w:shd w:val="clear" w:color="auto" w:fill="auto"/>
            <w:vAlign w:val="center"/>
            <w:hideMark/>
          </w:tcPr>
          <w:p w14:paraId="689423BA"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10,839</w:t>
            </w:r>
          </w:p>
        </w:tc>
        <w:tc>
          <w:tcPr>
            <w:tcW w:w="0" w:type="auto"/>
            <w:shd w:val="clear" w:color="auto" w:fill="auto"/>
            <w:vAlign w:val="center"/>
            <w:hideMark/>
          </w:tcPr>
          <w:p w14:paraId="162B91E8"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11,056</w:t>
            </w:r>
          </w:p>
        </w:tc>
        <w:tc>
          <w:tcPr>
            <w:tcW w:w="0" w:type="auto"/>
            <w:shd w:val="clear" w:color="auto" w:fill="auto"/>
            <w:vAlign w:val="center"/>
            <w:hideMark/>
          </w:tcPr>
          <w:p w14:paraId="20892403"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11,277</w:t>
            </w:r>
          </w:p>
        </w:tc>
        <w:tc>
          <w:tcPr>
            <w:tcW w:w="0" w:type="auto"/>
            <w:shd w:val="clear" w:color="auto" w:fill="auto"/>
            <w:vAlign w:val="center"/>
            <w:hideMark/>
          </w:tcPr>
          <w:p w14:paraId="48373971"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11,390</w:t>
            </w:r>
          </w:p>
        </w:tc>
        <w:tc>
          <w:tcPr>
            <w:tcW w:w="0" w:type="auto"/>
            <w:shd w:val="clear" w:color="auto" w:fill="auto"/>
            <w:vAlign w:val="center"/>
            <w:hideMark/>
          </w:tcPr>
          <w:p w14:paraId="09A3804B" w14:textId="77777777" w:rsidR="000D77C9" w:rsidRPr="000D77C9" w:rsidRDefault="000D77C9" w:rsidP="000D77C9">
            <w:pPr>
              <w:spacing w:after="0" w:line="240" w:lineRule="auto"/>
              <w:jc w:val="right"/>
              <w:rPr>
                <w:rFonts w:ascii="Calibri" w:eastAsia="Times New Roman" w:hAnsi="Calibri" w:cs="Calibri"/>
                <w:color w:val="000000"/>
              </w:rPr>
            </w:pPr>
            <w:r w:rsidRPr="006F734A">
              <w:rPr>
                <w:rFonts w:ascii="Calibri" w:eastAsia="Times New Roman" w:hAnsi="Calibri" w:cs="Calibri"/>
                <w:color w:val="000000"/>
                <w:highlight w:val="yellow"/>
              </w:rPr>
              <w:t>11,504</w:t>
            </w:r>
          </w:p>
        </w:tc>
      </w:tr>
      <w:tr w:rsidR="000D77C9" w:rsidRPr="000D77C9" w14:paraId="5BF60A58" w14:textId="77777777" w:rsidTr="00B339F9">
        <w:trPr>
          <w:trHeight w:val="300"/>
          <w:jc w:val="center"/>
        </w:trPr>
        <w:tc>
          <w:tcPr>
            <w:tcW w:w="0" w:type="auto"/>
            <w:shd w:val="clear" w:color="auto" w:fill="auto"/>
            <w:vAlign w:val="center"/>
            <w:hideMark/>
          </w:tcPr>
          <w:p w14:paraId="450CF564" w14:textId="77777777" w:rsidR="000D77C9" w:rsidRPr="000D77C9" w:rsidRDefault="000D77C9" w:rsidP="000D77C9">
            <w:pPr>
              <w:spacing w:after="0" w:line="240" w:lineRule="auto"/>
              <w:rPr>
                <w:rFonts w:ascii="Calibri" w:eastAsia="Times New Roman" w:hAnsi="Calibri" w:cs="Calibri"/>
                <w:color w:val="000000"/>
              </w:rPr>
            </w:pPr>
            <w:r w:rsidRPr="000D77C9">
              <w:rPr>
                <w:rFonts w:ascii="Calibri" w:eastAsia="Times New Roman" w:hAnsi="Calibri" w:cs="Calibri"/>
                <w:color w:val="000000"/>
              </w:rPr>
              <w:t>Heart and Vascular</w:t>
            </w:r>
          </w:p>
        </w:tc>
        <w:tc>
          <w:tcPr>
            <w:tcW w:w="0" w:type="auto"/>
            <w:shd w:val="clear" w:color="auto" w:fill="auto"/>
            <w:vAlign w:val="center"/>
            <w:hideMark/>
          </w:tcPr>
          <w:p w14:paraId="1D2ED78B"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7,345</w:t>
            </w:r>
          </w:p>
        </w:tc>
        <w:tc>
          <w:tcPr>
            <w:tcW w:w="0" w:type="auto"/>
            <w:shd w:val="clear" w:color="auto" w:fill="auto"/>
            <w:vAlign w:val="center"/>
            <w:hideMark/>
          </w:tcPr>
          <w:p w14:paraId="290FBDA6"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7,455</w:t>
            </w:r>
          </w:p>
        </w:tc>
        <w:tc>
          <w:tcPr>
            <w:tcW w:w="0" w:type="auto"/>
            <w:shd w:val="clear" w:color="auto" w:fill="auto"/>
            <w:vAlign w:val="center"/>
            <w:hideMark/>
          </w:tcPr>
          <w:p w14:paraId="5BEB4E16"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7,567</w:t>
            </w:r>
          </w:p>
        </w:tc>
        <w:tc>
          <w:tcPr>
            <w:tcW w:w="0" w:type="auto"/>
            <w:shd w:val="clear" w:color="auto" w:fill="auto"/>
            <w:vAlign w:val="center"/>
            <w:hideMark/>
          </w:tcPr>
          <w:p w14:paraId="6D1F9874"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7,870</w:t>
            </w:r>
          </w:p>
        </w:tc>
        <w:tc>
          <w:tcPr>
            <w:tcW w:w="0" w:type="auto"/>
            <w:shd w:val="clear" w:color="auto" w:fill="auto"/>
            <w:vAlign w:val="center"/>
            <w:hideMark/>
          </w:tcPr>
          <w:p w14:paraId="70287AA5" w14:textId="77777777" w:rsidR="000D77C9" w:rsidRPr="000D77C9" w:rsidRDefault="000D77C9" w:rsidP="000D77C9">
            <w:pPr>
              <w:spacing w:after="0" w:line="240" w:lineRule="auto"/>
              <w:jc w:val="right"/>
              <w:rPr>
                <w:rFonts w:ascii="Calibri" w:eastAsia="Times New Roman" w:hAnsi="Calibri" w:cs="Calibri"/>
                <w:color w:val="000000"/>
              </w:rPr>
            </w:pPr>
            <w:r w:rsidRPr="006F734A">
              <w:rPr>
                <w:rFonts w:ascii="Calibri" w:eastAsia="Times New Roman" w:hAnsi="Calibri" w:cs="Calibri"/>
                <w:color w:val="000000"/>
                <w:highlight w:val="yellow"/>
              </w:rPr>
              <w:t>8,027</w:t>
            </w:r>
          </w:p>
        </w:tc>
      </w:tr>
      <w:tr w:rsidR="000D77C9" w:rsidRPr="000D77C9" w14:paraId="43FB2171" w14:textId="77777777" w:rsidTr="00B339F9">
        <w:trPr>
          <w:trHeight w:val="300"/>
          <w:jc w:val="center"/>
        </w:trPr>
        <w:tc>
          <w:tcPr>
            <w:tcW w:w="0" w:type="auto"/>
            <w:shd w:val="clear" w:color="auto" w:fill="auto"/>
            <w:vAlign w:val="center"/>
            <w:hideMark/>
          </w:tcPr>
          <w:p w14:paraId="08F7BC4C" w14:textId="77777777" w:rsidR="000D77C9" w:rsidRPr="000D77C9" w:rsidRDefault="000D77C9" w:rsidP="000D77C9">
            <w:pPr>
              <w:spacing w:after="0" w:line="240" w:lineRule="auto"/>
              <w:rPr>
                <w:rFonts w:ascii="Calibri" w:eastAsia="Times New Roman" w:hAnsi="Calibri" w:cs="Calibri"/>
                <w:color w:val="000000"/>
              </w:rPr>
            </w:pPr>
            <w:r w:rsidRPr="000D77C9">
              <w:rPr>
                <w:rFonts w:ascii="Calibri" w:eastAsia="Times New Roman" w:hAnsi="Calibri" w:cs="Calibri"/>
                <w:color w:val="000000"/>
              </w:rPr>
              <w:t>M/S, all other</w:t>
            </w:r>
          </w:p>
        </w:tc>
        <w:tc>
          <w:tcPr>
            <w:tcW w:w="0" w:type="auto"/>
            <w:shd w:val="clear" w:color="auto" w:fill="auto"/>
            <w:vAlign w:val="center"/>
            <w:hideMark/>
          </w:tcPr>
          <w:p w14:paraId="22FF596C"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23,477</w:t>
            </w:r>
          </w:p>
        </w:tc>
        <w:tc>
          <w:tcPr>
            <w:tcW w:w="0" w:type="auto"/>
            <w:shd w:val="clear" w:color="auto" w:fill="auto"/>
            <w:vAlign w:val="center"/>
            <w:hideMark/>
          </w:tcPr>
          <w:p w14:paraId="39164559"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23,594</w:t>
            </w:r>
          </w:p>
        </w:tc>
        <w:tc>
          <w:tcPr>
            <w:tcW w:w="0" w:type="auto"/>
            <w:shd w:val="clear" w:color="auto" w:fill="auto"/>
            <w:vAlign w:val="center"/>
            <w:hideMark/>
          </w:tcPr>
          <w:p w14:paraId="266F3B41"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23,712</w:t>
            </w:r>
          </w:p>
        </w:tc>
        <w:tc>
          <w:tcPr>
            <w:tcW w:w="0" w:type="auto"/>
            <w:shd w:val="clear" w:color="auto" w:fill="auto"/>
            <w:vAlign w:val="center"/>
            <w:hideMark/>
          </w:tcPr>
          <w:p w14:paraId="1440F0E0"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23,831</w:t>
            </w:r>
          </w:p>
        </w:tc>
        <w:tc>
          <w:tcPr>
            <w:tcW w:w="0" w:type="auto"/>
            <w:shd w:val="clear" w:color="auto" w:fill="auto"/>
            <w:vAlign w:val="center"/>
            <w:hideMark/>
          </w:tcPr>
          <w:p w14:paraId="1A658710" w14:textId="77777777" w:rsidR="000D77C9" w:rsidRPr="000D77C9" w:rsidRDefault="000D77C9" w:rsidP="000D77C9">
            <w:pPr>
              <w:spacing w:after="0" w:line="240" w:lineRule="auto"/>
              <w:jc w:val="right"/>
              <w:rPr>
                <w:rFonts w:ascii="Calibri" w:eastAsia="Times New Roman" w:hAnsi="Calibri" w:cs="Calibri"/>
                <w:color w:val="000000"/>
              </w:rPr>
            </w:pPr>
            <w:r w:rsidRPr="006F734A">
              <w:rPr>
                <w:rFonts w:ascii="Calibri" w:eastAsia="Times New Roman" w:hAnsi="Calibri" w:cs="Calibri"/>
                <w:color w:val="000000"/>
                <w:highlight w:val="yellow"/>
              </w:rPr>
              <w:t>23,950</w:t>
            </w:r>
          </w:p>
        </w:tc>
      </w:tr>
      <w:tr w:rsidR="000D77C9" w:rsidRPr="000D77C9" w14:paraId="48695279" w14:textId="77777777" w:rsidTr="00B339F9">
        <w:trPr>
          <w:trHeight w:val="300"/>
          <w:jc w:val="center"/>
        </w:trPr>
        <w:tc>
          <w:tcPr>
            <w:tcW w:w="0" w:type="auto"/>
            <w:shd w:val="clear" w:color="auto" w:fill="auto"/>
            <w:vAlign w:val="center"/>
            <w:hideMark/>
          </w:tcPr>
          <w:p w14:paraId="143EC179" w14:textId="77777777" w:rsidR="000D77C9" w:rsidRPr="000D77C9" w:rsidRDefault="000D77C9" w:rsidP="000D77C9">
            <w:pPr>
              <w:spacing w:after="0" w:line="240" w:lineRule="auto"/>
              <w:rPr>
                <w:rFonts w:ascii="Calibri" w:eastAsia="Times New Roman" w:hAnsi="Calibri" w:cs="Calibri"/>
                <w:b/>
                <w:bCs/>
                <w:color w:val="000000"/>
              </w:rPr>
            </w:pPr>
            <w:r w:rsidRPr="000D77C9">
              <w:rPr>
                <w:rFonts w:ascii="Calibri" w:eastAsia="Times New Roman" w:hAnsi="Calibri" w:cs="Calibri"/>
                <w:b/>
                <w:bCs/>
                <w:color w:val="000000"/>
              </w:rPr>
              <w:t xml:space="preserve">Total </w:t>
            </w:r>
          </w:p>
        </w:tc>
        <w:tc>
          <w:tcPr>
            <w:tcW w:w="0" w:type="auto"/>
            <w:shd w:val="clear" w:color="auto" w:fill="FFFFFF" w:themeFill="background1"/>
            <w:vAlign w:val="center"/>
            <w:hideMark/>
          </w:tcPr>
          <w:p w14:paraId="4690F521"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41,661</w:t>
            </w:r>
          </w:p>
        </w:tc>
        <w:tc>
          <w:tcPr>
            <w:tcW w:w="0" w:type="auto"/>
            <w:shd w:val="clear" w:color="auto" w:fill="auto"/>
            <w:vAlign w:val="center"/>
            <w:hideMark/>
          </w:tcPr>
          <w:p w14:paraId="4218D957"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42,105</w:t>
            </w:r>
          </w:p>
        </w:tc>
        <w:tc>
          <w:tcPr>
            <w:tcW w:w="0" w:type="auto"/>
            <w:shd w:val="clear" w:color="auto" w:fill="auto"/>
            <w:vAlign w:val="center"/>
            <w:hideMark/>
          </w:tcPr>
          <w:p w14:paraId="4E56BD17"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42,556</w:t>
            </w:r>
          </w:p>
        </w:tc>
        <w:tc>
          <w:tcPr>
            <w:tcW w:w="0" w:type="auto"/>
            <w:shd w:val="clear" w:color="auto" w:fill="auto"/>
            <w:vAlign w:val="center"/>
            <w:hideMark/>
          </w:tcPr>
          <w:p w14:paraId="70A0F711"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43,091</w:t>
            </w:r>
          </w:p>
        </w:tc>
        <w:tc>
          <w:tcPr>
            <w:tcW w:w="0" w:type="auto"/>
            <w:shd w:val="clear" w:color="auto" w:fill="auto"/>
            <w:vAlign w:val="center"/>
            <w:hideMark/>
          </w:tcPr>
          <w:p w14:paraId="6A332D9A" w14:textId="77777777" w:rsidR="000D77C9" w:rsidRPr="000D77C9" w:rsidRDefault="000D77C9" w:rsidP="000D77C9">
            <w:pPr>
              <w:spacing w:after="0" w:line="240" w:lineRule="auto"/>
              <w:jc w:val="right"/>
              <w:rPr>
                <w:rFonts w:ascii="Calibri" w:eastAsia="Times New Roman" w:hAnsi="Calibri" w:cs="Calibri"/>
                <w:color w:val="000000"/>
              </w:rPr>
            </w:pPr>
            <w:r w:rsidRPr="006F734A">
              <w:rPr>
                <w:rFonts w:ascii="Calibri" w:eastAsia="Times New Roman" w:hAnsi="Calibri" w:cs="Calibri"/>
                <w:color w:val="000000"/>
                <w:highlight w:val="yellow"/>
              </w:rPr>
              <w:t>43,481</w:t>
            </w:r>
          </w:p>
        </w:tc>
      </w:tr>
    </w:tbl>
    <w:p w14:paraId="0B8DCA85" w14:textId="72C99CC1" w:rsidR="000D77C9" w:rsidRDefault="000D77C9" w:rsidP="000D77C9">
      <w:pPr>
        <w:ind w:left="360"/>
      </w:pPr>
    </w:p>
    <w:p w14:paraId="599F0CA2" w14:textId="77777777" w:rsidR="000D77C9" w:rsidRPr="00841D1B" w:rsidRDefault="000D77C9" w:rsidP="00A64196">
      <w:pPr>
        <w:ind w:firstLine="360"/>
        <w:rPr>
          <w:b/>
          <w:bCs/>
        </w:rPr>
      </w:pPr>
      <w:r w:rsidRPr="00841D1B">
        <w:rPr>
          <w:b/>
          <w:bCs/>
        </w:rPr>
        <w:t>Bed Summary Response pg.4</w:t>
      </w:r>
    </w:p>
    <w:tbl>
      <w:tblPr>
        <w:tblW w:w="0" w:type="auto"/>
        <w:jc w:val="center"/>
        <w:tblLook w:val="04A0" w:firstRow="1" w:lastRow="0" w:firstColumn="1" w:lastColumn="0" w:noHBand="0" w:noVBand="1"/>
      </w:tblPr>
      <w:tblGrid>
        <w:gridCol w:w="1819"/>
        <w:gridCol w:w="1108"/>
        <w:gridCol w:w="1108"/>
      </w:tblGrid>
      <w:tr w:rsidR="000D77C9" w:rsidRPr="000D77C9" w14:paraId="1779C92B" w14:textId="77777777" w:rsidTr="00B339F9">
        <w:trPr>
          <w:trHeight w:val="290"/>
          <w:jc w:val="center"/>
        </w:trPr>
        <w:tc>
          <w:tcPr>
            <w:tcW w:w="0" w:type="auto"/>
            <w:tcBorders>
              <w:top w:val="single" w:sz="4" w:space="0" w:color="auto"/>
              <w:left w:val="single" w:sz="4" w:space="0" w:color="auto"/>
              <w:bottom w:val="nil"/>
              <w:right w:val="nil"/>
            </w:tcBorders>
            <w:shd w:val="clear" w:color="000000" w:fill="D9D9D9"/>
            <w:noWrap/>
            <w:vAlign w:val="bottom"/>
            <w:hideMark/>
          </w:tcPr>
          <w:p w14:paraId="45B48528" w14:textId="77777777" w:rsidR="000D77C9" w:rsidRPr="000D77C9" w:rsidRDefault="000D77C9" w:rsidP="000D77C9">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single" w:sz="4" w:space="0" w:color="auto"/>
              <w:left w:val="single" w:sz="4" w:space="0" w:color="auto"/>
              <w:bottom w:val="nil"/>
              <w:right w:val="single" w:sz="4" w:space="0" w:color="auto"/>
            </w:tcBorders>
            <w:shd w:val="clear" w:color="000000" w:fill="D9D9D9"/>
            <w:noWrap/>
            <w:vAlign w:val="bottom"/>
            <w:hideMark/>
          </w:tcPr>
          <w:p w14:paraId="3965355C" w14:textId="77777777" w:rsidR="000D77C9" w:rsidRPr="000D77C9" w:rsidRDefault="000D77C9" w:rsidP="000D77C9">
            <w:pPr>
              <w:spacing w:after="0" w:line="240" w:lineRule="auto"/>
              <w:jc w:val="center"/>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Discharges</w:t>
            </w:r>
          </w:p>
          <w:p w14:paraId="7ABCDE7D" w14:textId="77777777" w:rsidR="000D77C9" w:rsidRPr="000D77C9" w:rsidRDefault="000D77C9" w:rsidP="000D77C9">
            <w:pPr>
              <w:spacing w:after="0" w:line="240" w:lineRule="auto"/>
              <w:jc w:val="center"/>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(FY19)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3AB059F8" w14:textId="77777777" w:rsidR="000D77C9" w:rsidRPr="000D77C9" w:rsidRDefault="000D77C9" w:rsidP="000D77C9">
            <w:pPr>
              <w:spacing w:after="0" w:line="240" w:lineRule="auto"/>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Discharges</w:t>
            </w:r>
          </w:p>
          <w:p w14:paraId="1A7862FA" w14:textId="77777777" w:rsidR="000D77C9" w:rsidRPr="000D77C9" w:rsidRDefault="000D77C9" w:rsidP="000D77C9">
            <w:pPr>
              <w:spacing w:after="0" w:line="240" w:lineRule="auto"/>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(FY29)</w:t>
            </w:r>
          </w:p>
        </w:tc>
      </w:tr>
      <w:tr w:rsidR="000D77C9" w:rsidRPr="000D77C9" w14:paraId="470ED3BB" w14:textId="77777777" w:rsidTr="00B339F9">
        <w:trPr>
          <w:trHeight w:val="290"/>
          <w:jc w:val="center"/>
        </w:trPr>
        <w:tc>
          <w:tcPr>
            <w:tcW w:w="0" w:type="auto"/>
            <w:tcBorders>
              <w:top w:val="single" w:sz="4" w:space="0" w:color="auto"/>
              <w:left w:val="single" w:sz="4" w:space="0" w:color="auto"/>
              <w:bottom w:val="nil"/>
              <w:right w:val="nil"/>
            </w:tcBorders>
            <w:shd w:val="clear" w:color="auto" w:fill="auto"/>
            <w:noWrap/>
            <w:vAlign w:val="bottom"/>
            <w:hideMark/>
          </w:tcPr>
          <w:p w14:paraId="362740E0" w14:textId="77777777" w:rsidR="000D77C9" w:rsidRPr="000D77C9" w:rsidRDefault="000D77C9" w:rsidP="000D77C9">
            <w:pPr>
              <w:spacing w:after="0" w:line="240" w:lineRule="auto"/>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Cancer</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1AF0AB71" w14:textId="77777777" w:rsidR="000D77C9" w:rsidRPr="000D77C9" w:rsidRDefault="000D77C9" w:rsidP="000D77C9">
            <w:pPr>
              <w:spacing w:after="0" w:line="240" w:lineRule="auto"/>
              <w:jc w:val="right"/>
              <w:rPr>
                <w:rFonts w:ascii="Calibri" w:eastAsia="Times New Roman" w:hAnsi="Calibri" w:cs="Calibri"/>
                <w:color w:val="000000"/>
                <w:sz w:val="20"/>
                <w:szCs w:val="20"/>
              </w:rPr>
            </w:pPr>
            <w:r w:rsidRPr="000D77C9">
              <w:rPr>
                <w:rFonts w:ascii="Calibri" w:eastAsia="Times New Roman" w:hAnsi="Calibri" w:cs="Calibri"/>
                <w:color w:val="000000"/>
                <w:sz w:val="20"/>
                <w:szCs w:val="20"/>
              </w:rPr>
              <w:t>9,675</w:t>
            </w:r>
          </w:p>
        </w:tc>
        <w:tc>
          <w:tcPr>
            <w:tcW w:w="0" w:type="auto"/>
            <w:tcBorders>
              <w:top w:val="nil"/>
              <w:left w:val="nil"/>
              <w:bottom w:val="nil"/>
              <w:right w:val="single" w:sz="4" w:space="0" w:color="auto"/>
            </w:tcBorders>
            <w:shd w:val="clear" w:color="auto" w:fill="auto"/>
            <w:noWrap/>
            <w:vAlign w:val="bottom"/>
            <w:hideMark/>
          </w:tcPr>
          <w:p w14:paraId="1DEDCE44" w14:textId="77777777" w:rsidR="000D77C9" w:rsidRPr="006F734A" w:rsidRDefault="000D77C9" w:rsidP="000D77C9">
            <w:pPr>
              <w:spacing w:after="0" w:line="240" w:lineRule="auto"/>
              <w:jc w:val="right"/>
              <w:rPr>
                <w:rFonts w:ascii="Calibri" w:eastAsia="Times New Roman" w:hAnsi="Calibri" w:cs="Calibri"/>
                <w:color w:val="000000"/>
                <w:sz w:val="20"/>
                <w:szCs w:val="20"/>
                <w:highlight w:val="yellow"/>
              </w:rPr>
            </w:pPr>
            <w:r w:rsidRPr="006F734A">
              <w:rPr>
                <w:rFonts w:ascii="Calibri" w:eastAsia="Times New Roman" w:hAnsi="Calibri" w:cs="Calibri"/>
                <w:color w:val="000000"/>
                <w:sz w:val="20"/>
                <w:szCs w:val="20"/>
                <w:highlight w:val="yellow"/>
              </w:rPr>
              <w:t>11,283</w:t>
            </w:r>
          </w:p>
        </w:tc>
      </w:tr>
      <w:tr w:rsidR="000D77C9" w:rsidRPr="000D77C9" w14:paraId="1141B115" w14:textId="77777777" w:rsidTr="00B339F9">
        <w:trPr>
          <w:trHeight w:val="290"/>
          <w:jc w:val="center"/>
        </w:trPr>
        <w:tc>
          <w:tcPr>
            <w:tcW w:w="0" w:type="auto"/>
            <w:tcBorders>
              <w:top w:val="nil"/>
              <w:left w:val="single" w:sz="4" w:space="0" w:color="auto"/>
              <w:bottom w:val="nil"/>
              <w:right w:val="nil"/>
            </w:tcBorders>
            <w:shd w:val="clear" w:color="auto" w:fill="auto"/>
            <w:noWrap/>
            <w:vAlign w:val="bottom"/>
            <w:hideMark/>
          </w:tcPr>
          <w:p w14:paraId="1EDD7C49" w14:textId="77777777" w:rsidR="000D77C9" w:rsidRPr="000D77C9" w:rsidRDefault="000D77C9" w:rsidP="000D77C9">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Routine</w:t>
            </w:r>
          </w:p>
        </w:tc>
        <w:tc>
          <w:tcPr>
            <w:tcW w:w="0" w:type="auto"/>
            <w:tcBorders>
              <w:top w:val="nil"/>
              <w:left w:val="single" w:sz="4" w:space="0" w:color="auto"/>
              <w:bottom w:val="nil"/>
              <w:right w:val="single" w:sz="4" w:space="0" w:color="auto"/>
            </w:tcBorders>
            <w:shd w:val="clear" w:color="auto" w:fill="auto"/>
            <w:noWrap/>
            <w:vAlign w:val="bottom"/>
            <w:hideMark/>
          </w:tcPr>
          <w:p w14:paraId="31F5BDB5" w14:textId="77777777" w:rsidR="000D77C9" w:rsidRPr="000D77C9" w:rsidRDefault="000D77C9" w:rsidP="000D77C9">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14:paraId="3B7BA3A4" w14:textId="77777777" w:rsidR="000D77C9" w:rsidRPr="000D77C9" w:rsidRDefault="000D77C9" w:rsidP="000D77C9">
            <w:pPr>
              <w:spacing w:after="0" w:line="240" w:lineRule="auto"/>
              <w:rPr>
                <w:rFonts w:ascii="Calibri" w:eastAsia="Times New Roman" w:hAnsi="Calibri" w:cs="Calibri"/>
                <w:color w:val="000000"/>
                <w:sz w:val="20"/>
                <w:szCs w:val="20"/>
              </w:rPr>
            </w:pPr>
          </w:p>
        </w:tc>
      </w:tr>
      <w:tr w:rsidR="000D77C9" w:rsidRPr="000D77C9" w14:paraId="4B20C46A" w14:textId="77777777" w:rsidTr="00B339F9">
        <w:trPr>
          <w:trHeight w:val="290"/>
          <w:jc w:val="center"/>
        </w:trPr>
        <w:tc>
          <w:tcPr>
            <w:tcW w:w="0" w:type="auto"/>
            <w:tcBorders>
              <w:top w:val="nil"/>
              <w:left w:val="single" w:sz="4" w:space="0" w:color="auto"/>
              <w:bottom w:val="single" w:sz="4" w:space="0" w:color="auto"/>
              <w:right w:val="nil"/>
            </w:tcBorders>
            <w:shd w:val="clear" w:color="auto" w:fill="auto"/>
            <w:noWrap/>
            <w:vAlign w:val="bottom"/>
            <w:hideMark/>
          </w:tcPr>
          <w:p w14:paraId="203338B0" w14:textId="77777777" w:rsidR="000D77C9" w:rsidRPr="000D77C9" w:rsidRDefault="000D77C9" w:rsidP="000D77C9">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ICU</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128B68" w14:textId="77777777" w:rsidR="000D77C9" w:rsidRPr="000D77C9" w:rsidRDefault="000D77C9" w:rsidP="000D77C9">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A7AFBF6" w14:textId="77777777" w:rsidR="000D77C9" w:rsidRPr="000D77C9" w:rsidRDefault="000D77C9" w:rsidP="000D77C9">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r>
      <w:tr w:rsidR="000D77C9" w:rsidRPr="000D77C9" w14:paraId="5E94278C" w14:textId="77777777" w:rsidTr="00B339F9">
        <w:trPr>
          <w:trHeight w:val="290"/>
          <w:jc w:val="center"/>
        </w:trPr>
        <w:tc>
          <w:tcPr>
            <w:tcW w:w="0" w:type="auto"/>
            <w:tcBorders>
              <w:top w:val="nil"/>
              <w:left w:val="single" w:sz="4" w:space="0" w:color="auto"/>
              <w:bottom w:val="nil"/>
              <w:right w:val="nil"/>
            </w:tcBorders>
            <w:shd w:val="clear" w:color="000000" w:fill="F2F2F2"/>
            <w:noWrap/>
            <w:vAlign w:val="bottom"/>
            <w:hideMark/>
          </w:tcPr>
          <w:p w14:paraId="431BEB40" w14:textId="77777777" w:rsidR="000D77C9" w:rsidRPr="000D77C9" w:rsidRDefault="000D77C9" w:rsidP="000D77C9">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 </w:t>
            </w:r>
          </w:p>
        </w:tc>
        <w:tc>
          <w:tcPr>
            <w:tcW w:w="0" w:type="auto"/>
            <w:tcBorders>
              <w:top w:val="nil"/>
              <w:left w:val="single" w:sz="4" w:space="0" w:color="auto"/>
              <w:bottom w:val="nil"/>
              <w:right w:val="single" w:sz="4" w:space="0" w:color="auto"/>
            </w:tcBorders>
            <w:shd w:val="clear" w:color="000000" w:fill="F2F2F2"/>
            <w:noWrap/>
            <w:vAlign w:val="bottom"/>
            <w:hideMark/>
          </w:tcPr>
          <w:p w14:paraId="211CE0CD" w14:textId="77777777" w:rsidR="000D77C9" w:rsidRPr="000D77C9" w:rsidRDefault="000D77C9" w:rsidP="000D77C9">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nil"/>
              <w:right w:val="single" w:sz="4" w:space="0" w:color="auto"/>
            </w:tcBorders>
            <w:shd w:val="clear" w:color="000000" w:fill="F2F2F2"/>
            <w:noWrap/>
            <w:vAlign w:val="bottom"/>
            <w:hideMark/>
          </w:tcPr>
          <w:p w14:paraId="6BE8D72F" w14:textId="77777777" w:rsidR="000D77C9" w:rsidRPr="000D77C9" w:rsidRDefault="000D77C9" w:rsidP="000D77C9">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r>
      <w:tr w:rsidR="000D77C9" w:rsidRPr="000D77C9" w14:paraId="77C22CAD" w14:textId="77777777" w:rsidTr="00B339F9">
        <w:trPr>
          <w:trHeight w:val="290"/>
          <w:jc w:val="center"/>
        </w:trPr>
        <w:tc>
          <w:tcPr>
            <w:tcW w:w="0" w:type="auto"/>
            <w:tcBorders>
              <w:top w:val="nil"/>
              <w:left w:val="single" w:sz="4" w:space="0" w:color="auto"/>
              <w:bottom w:val="nil"/>
              <w:right w:val="nil"/>
            </w:tcBorders>
            <w:shd w:val="clear" w:color="auto" w:fill="auto"/>
            <w:noWrap/>
            <w:vAlign w:val="bottom"/>
            <w:hideMark/>
          </w:tcPr>
          <w:p w14:paraId="74BE2143" w14:textId="77777777" w:rsidR="000D77C9" w:rsidRPr="000D77C9" w:rsidRDefault="000D77C9" w:rsidP="000D77C9">
            <w:pPr>
              <w:spacing w:after="0" w:line="240" w:lineRule="auto"/>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Cardiac</w:t>
            </w:r>
          </w:p>
        </w:tc>
        <w:tc>
          <w:tcPr>
            <w:tcW w:w="0" w:type="auto"/>
            <w:tcBorders>
              <w:top w:val="nil"/>
              <w:left w:val="single" w:sz="4" w:space="0" w:color="auto"/>
              <w:bottom w:val="nil"/>
              <w:right w:val="single" w:sz="4" w:space="0" w:color="auto"/>
            </w:tcBorders>
            <w:shd w:val="clear" w:color="auto" w:fill="auto"/>
            <w:noWrap/>
            <w:vAlign w:val="bottom"/>
            <w:hideMark/>
          </w:tcPr>
          <w:p w14:paraId="3D0F0DC3" w14:textId="77777777" w:rsidR="000D77C9" w:rsidRPr="000D77C9" w:rsidRDefault="000D77C9" w:rsidP="000D77C9">
            <w:pPr>
              <w:spacing w:after="0" w:line="240" w:lineRule="auto"/>
              <w:jc w:val="right"/>
              <w:rPr>
                <w:rFonts w:ascii="Calibri" w:eastAsia="Times New Roman" w:hAnsi="Calibri" w:cs="Calibri"/>
                <w:color w:val="000000"/>
                <w:sz w:val="20"/>
                <w:szCs w:val="20"/>
              </w:rPr>
            </w:pPr>
            <w:r w:rsidRPr="000D77C9">
              <w:rPr>
                <w:rFonts w:ascii="Calibri" w:eastAsia="Times New Roman" w:hAnsi="Calibri" w:cs="Calibri"/>
                <w:color w:val="000000"/>
                <w:sz w:val="20"/>
                <w:szCs w:val="20"/>
              </w:rPr>
              <w:t>6,718</w:t>
            </w:r>
          </w:p>
        </w:tc>
        <w:tc>
          <w:tcPr>
            <w:tcW w:w="0" w:type="auto"/>
            <w:tcBorders>
              <w:top w:val="nil"/>
              <w:left w:val="nil"/>
              <w:bottom w:val="nil"/>
              <w:right w:val="single" w:sz="4" w:space="0" w:color="auto"/>
            </w:tcBorders>
            <w:shd w:val="clear" w:color="auto" w:fill="auto"/>
            <w:noWrap/>
            <w:vAlign w:val="bottom"/>
            <w:hideMark/>
          </w:tcPr>
          <w:p w14:paraId="058FC696" w14:textId="77777777" w:rsidR="000D77C9" w:rsidRPr="000D77C9" w:rsidRDefault="000D77C9" w:rsidP="000D77C9">
            <w:pPr>
              <w:spacing w:after="0" w:line="240" w:lineRule="auto"/>
              <w:jc w:val="right"/>
              <w:rPr>
                <w:rFonts w:ascii="Calibri" w:eastAsia="Times New Roman" w:hAnsi="Calibri" w:cs="Calibri"/>
                <w:color w:val="000000"/>
                <w:sz w:val="20"/>
                <w:szCs w:val="20"/>
              </w:rPr>
            </w:pPr>
            <w:r w:rsidRPr="006F734A">
              <w:rPr>
                <w:rFonts w:ascii="Calibri" w:eastAsia="Times New Roman" w:hAnsi="Calibri" w:cs="Calibri"/>
                <w:color w:val="000000"/>
                <w:sz w:val="20"/>
                <w:szCs w:val="20"/>
                <w:highlight w:val="yellow"/>
              </w:rPr>
              <w:t>7,757</w:t>
            </w:r>
          </w:p>
        </w:tc>
      </w:tr>
      <w:tr w:rsidR="000D77C9" w:rsidRPr="000D77C9" w14:paraId="6E72D149" w14:textId="77777777" w:rsidTr="00B339F9">
        <w:trPr>
          <w:trHeight w:val="290"/>
          <w:jc w:val="center"/>
        </w:trPr>
        <w:tc>
          <w:tcPr>
            <w:tcW w:w="0" w:type="auto"/>
            <w:tcBorders>
              <w:top w:val="nil"/>
              <w:left w:val="single" w:sz="4" w:space="0" w:color="auto"/>
              <w:bottom w:val="nil"/>
              <w:right w:val="nil"/>
            </w:tcBorders>
            <w:shd w:val="clear" w:color="auto" w:fill="auto"/>
            <w:noWrap/>
            <w:vAlign w:val="bottom"/>
            <w:hideMark/>
          </w:tcPr>
          <w:p w14:paraId="6F38CDEC" w14:textId="77777777" w:rsidR="000D77C9" w:rsidRPr="000D77C9" w:rsidRDefault="000D77C9" w:rsidP="000D77C9">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Routine</w:t>
            </w:r>
          </w:p>
        </w:tc>
        <w:tc>
          <w:tcPr>
            <w:tcW w:w="0" w:type="auto"/>
            <w:tcBorders>
              <w:top w:val="nil"/>
              <w:left w:val="single" w:sz="4" w:space="0" w:color="auto"/>
              <w:bottom w:val="nil"/>
              <w:right w:val="single" w:sz="4" w:space="0" w:color="auto"/>
            </w:tcBorders>
            <w:shd w:val="clear" w:color="auto" w:fill="auto"/>
            <w:noWrap/>
            <w:vAlign w:val="bottom"/>
            <w:hideMark/>
          </w:tcPr>
          <w:p w14:paraId="7140D848" w14:textId="77777777" w:rsidR="000D77C9" w:rsidRPr="000D77C9" w:rsidRDefault="000D77C9" w:rsidP="000D77C9">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14:paraId="5FB6449B" w14:textId="77777777" w:rsidR="000D77C9" w:rsidRPr="000D77C9" w:rsidRDefault="000D77C9" w:rsidP="000D77C9">
            <w:pPr>
              <w:spacing w:after="0" w:line="240" w:lineRule="auto"/>
              <w:rPr>
                <w:rFonts w:ascii="Calibri" w:eastAsia="Times New Roman" w:hAnsi="Calibri" w:cs="Calibri"/>
                <w:color w:val="000000"/>
                <w:sz w:val="20"/>
                <w:szCs w:val="20"/>
              </w:rPr>
            </w:pPr>
          </w:p>
        </w:tc>
      </w:tr>
      <w:tr w:rsidR="000D77C9" w:rsidRPr="000D77C9" w14:paraId="4AF7A2E3" w14:textId="77777777" w:rsidTr="00B339F9">
        <w:trPr>
          <w:trHeight w:val="290"/>
          <w:jc w:val="center"/>
        </w:trPr>
        <w:tc>
          <w:tcPr>
            <w:tcW w:w="0" w:type="auto"/>
            <w:tcBorders>
              <w:top w:val="nil"/>
              <w:left w:val="single" w:sz="4" w:space="0" w:color="auto"/>
              <w:bottom w:val="nil"/>
              <w:right w:val="nil"/>
            </w:tcBorders>
            <w:shd w:val="clear" w:color="auto" w:fill="auto"/>
            <w:noWrap/>
            <w:vAlign w:val="bottom"/>
            <w:hideMark/>
          </w:tcPr>
          <w:p w14:paraId="45D3DBB3" w14:textId="77777777" w:rsidR="000D77C9" w:rsidRPr="000D77C9" w:rsidRDefault="000D77C9" w:rsidP="000D77C9">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 xml:space="preserve">ICU </w:t>
            </w:r>
          </w:p>
        </w:tc>
        <w:tc>
          <w:tcPr>
            <w:tcW w:w="0" w:type="auto"/>
            <w:tcBorders>
              <w:top w:val="nil"/>
              <w:left w:val="single" w:sz="4" w:space="0" w:color="auto"/>
              <w:bottom w:val="nil"/>
              <w:right w:val="single" w:sz="4" w:space="0" w:color="auto"/>
            </w:tcBorders>
            <w:shd w:val="clear" w:color="auto" w:fill="auto"/>
            <w:noWrap/>
            <w:vAlign w:val="bottom"/>
            <w:hideMark/>
          </w:tcPr>
          <w:p w14:paraId="6BA0375E" w14:textId="77777777" w:rsidR="000D77C9" w:rsidRPr="000D77C9" w:rsidRDefault="000D77C9" w:rsidP="000D77C9">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14:paraId="7C790D14" w14:textId="77777777" w:rsidR="000D77C9" w:rsidRPr="000D77C9" w:rsidRDefault="000D77C9" w:rsidP="000D77C9">
            <w:pPr>
              <w:spacing w:after="0" w:line="240" w:lineRule="auto"/>
              <w:rPr>
                <w:rFonts w:ascii="Calibri" w:eastAsia="Times New Roman" w:hAnsi="Calibri" w:cs="Calibri"/>
                <w:color w:val="000000"/>
                <w:sz w:val="20"/>
                <w:szCs w:val="20"/>
              </w:rPr>
            </w:pPr>
          </w:p>
        </w:tc>
      </w:tr>
      <w:tr w:rsidR="000D77C9" w:rsidRPr="000D77C9" w14:paraId="192436AD" w14:textId="77777777" w:rsidTr="00B339F9">
        <w:trPr>
          <w:trHeight w:val="290"/>
          <w:jc w:val="center"/>
        </w:trPr>
        <w:tc>
          <w:tcPr>
            <w:tcW w:w="0" w:type="auto"/>
            <w:tcBorders>
              <w:top w:val="single" w:sz="4" w:space="0" w:color="auto"/>
              <w:left w:val="single" w:sz="4" w:space="0" w:color="auto"/>
              <w:bottom w:val="nil"/>
              <w:right w:val="nil"/>
            </w:tcBorders>
            <w:shd w:val="clear" w:color="auto" w:fill="auto"/>
            <w:noWrap/>
            <w:vAlign w:val="bottom"/>
            <w:hideMark/>
          </w:tcPr>
          <w:p w14:paraId="1930CA97" w14:textId="77777777" w:rsidR="000D77C9" w:rsidRPr="000D77C9" w:rsidRDefault="000D77C9" w:rsidP="000D77C9">
            <w:pPr>
              <w:spacing w:after="0" w:line="240" w:lineRule="auto"/>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All other Med/Surg</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7FD8BA73" w14:textId="77777777" w:rsidR="000D77C9" w:rsidRPr="000D77C9" w:rsidRDefault="000D77C9" w:rsidP="000D77C9">
            <w:pPr>
              <w:spacing w:after="0" w:line="240" w:lineRule="auto"/>
              <w:jc w:val="right"/>
              <w:rPr>
                <w:rFonts w:ascii="Calibri" w:eastAsia="Times New Roman" w:hAnsi="Calibri" w:cs="Calibri"/>
                <w:color w:val="000000"/>
                <w:sz w:val="20"/>
                <w:szCs w:val="20"/>
              </w:rPr>
            </w:pPr>
            <w:r w:rsidRPr="000D77C9">
              <w:rPr>
                <w:rFonts w:ascii="Calibri" w:eastAsia="Times New Roman" w:hAnsi="Calibri" w:cs="Calibri"/>
                <w:color w:val="000000"/>
                <w:sz w:val="20"/>
                <w:szCs w:val="20"/>
              </w:rPr>
              <w:t>25,194</w:t>
            </w:r>
          </w:p>
        </w:tc>
        <w:tc>
          <w:tcPr>
            <w:tcW w:w="0" w:type="auto"/>
            <w:tcBorders>
              <w:top w:val="single" w:sz="4" w:space="0" w:color="auto"/>
              <w:left w:val="nil"/>
              <w:bottom w:val="nil"/>
              <w:right w:val="single" w:sz="4" w:space="0" w:color="auto"/>
            </w:tcBorders>
            <w:shd w:val="clear" w:color="auto" w:fill="auto"/>
            <w:noWrap/>
            <w:vAlign w:val="bottom"/>
            <w:hideMark/>
          </w:tcPr>
          <w:p w14:paraId="3875C570" w14:textId="77777777" w:rsidR="000D77C9" w:rsidRPr="006F734A" w:rsidRDefault="000D77C9" w:rsidP="000D77C9">
            <w:pPr>
              <w:spacing w:after="0" w:line="240" w:lineRule="auto"/>
              <w:jc w:val="right"/>
              <w:rPr>
                <w:rFonts w:ascii="Calibri" w:eastAsia="Times New Roman" w:hAnsi="Calibri" w:cs="Calibri"/>
                <w:color w:val="000000"/>
                <w:sz w:val="20"/>
                <w:szCs w:val="20"/>
                <w:highlight w:val="yellow"/>
              </w:rPr>
            </w:pPr>
            <w:r w:rsidRPr="006F734A">
              <w:rPr>
                <w:rFonts w:ascii="Calibri" w:eastAsia="Times New Roman" w:hAnsi="Calibri" w:cs="Calibri"/>
                <w:color w:val="000000"/>
                <w:sz w:val="20"/>
                <w:szCs w:val="20"/>
                <w:highlight w:val="yellow"/>
              </w:rPr>
              <w:t>22,215</w:t>
            </w:r>
          </w:p>
        </w:tc>
      </w:tr>
      <w:tr w:rsidR="000D77C9" w:rsidRPr="000D77C9" w14:paraId="2A610690" w14:textId="77777777" w:rsidTr="00B339F9">
        <w:trPr>
          <w:trHeight w:val="290"/>
          <w:jc w:val="center"/>
        </w:trPr>
        <w:tc>
          <w:tcPr>
            <w:tcW w:w="0" w:type="auto"/>
            <w:tcBorders>
              <w:top w:val="nil"/>
              <w:left w:val="single" w:sz="4" w:space="0" w:color="auto"/>
              <w:bottom w:val="nil"/>
              <w:right w:val="nil"/>
            </w:tcBorders>
            <w:shd w:val="clear" w:color="auto" w:fill="auto"/>
            <w:noWrap/>
            <w:vAlign w:val="bottom"/>
            <w:hideMark/>
          </w:tcPr>
          <w:p w14:paraId="1D524E49" w14:textId="77777777" w:rsidR="000D77C9" w:rsidRPr="000D77C9" w:rsidRDefault="000D77C9" w:rsidP="000D77C9">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Routine</w:t>
            </w:r>
          </w:p>
        </w:tc>
        <w:tc>
          <w:tcPr>
            <w:tcW w:w="0" w:type="auto"/>
            <w:tcBorders>
              <w:top w:val="nil"/>
              <w:left w:val="single" w:sz="4" w:space="0" w:color="auto"/>
              <w:bottom w:val="nil"/>
              <w:right w:val="single" w:sz="4" w:space="0" w:color="auto"/>
            </w:tcBorders>
            <w:shd w:val="clear" w:color="auto" w:fill="auto"/>
            <w:noWrap/>
            <w:vAlign w:val="bottom"/>
            <w:hideMark/>
          </w:tcPr>
          <w:p w14:paraId="79920C46" w14:textId="77777777" w:rsidR="000D77C9" w:rsidRPr="000D77C9" w:rsidRDefault="000D77C9" w:rsidP="000D77C9">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14:paraId="72EDDDC0" w14:textId="77777777" w:rsidR="000D77C9" w:rsidRPr="000D77C9" w:rsidRDefault="000D77C9" w:rsidP="000D77C9">
            <w:pPr>
              <w:spacing w:after="0" w:line="240" w:lineRule="auto"/>
              <w:rPr>
                <w:rFonts w:ascii="Calibri" w:eastAsia="Times New Roman" w:hAnsi="Calibri" w:cs="Calibri"/>
                <w:color w:val="000000"/>
                <w:sz w:val="20"/>
                <w:szCs w:val="20"/>
              </w:rPr>
            </w:pPr>
          </w:p>
        </w:tc>
      </w:tr>
      <w:tr w:rsidR="000D77C9" w:rsidRPr="000D77C9" w14:paraId="1C03C6DB" w14:textId="77777777" w:rsidTr="006A360E">
        <w:trPr>
          <w:trHeight w:val="297"/>
          <w:jc w:val="center"/>
        </w:trPr>
        <w:tc>
          <w:tcPr>
            <w:tcW w:w="0" w:type="auto"/>
            <w:tcBorders>
              <w:top w:val="nil"/>
              <w:left w:val="single" w:sz="4" w:space="0" w:color="auto"/>
              <w:bottom w:val="single" w:sz="4" w:space="0" w:color="auto"/>
              <w:right w:val="nil"/>
            </w:tcBorders>
            <w:shd w:val="clear" w:color="auto" w:fill="auto"/>
            <w:noWrap/>
            <w:vAlign w:val="bottom"/>
            <w:hideMark/>
          </w:tcPr>
          <w:p w14:paraId="674586DF" w14:textId="77777777" w:rsidR="000D77C9" w:rsidRPr="000D77C9" w:rsidRDefault="000D77C9" w:rsidP="000D77C9">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ICU*</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53FA91" w14:textId="77777777" w:rsidR="000D77C9" w:rsidRPr="000D77C9" w:rsidRDefault="000D77C9" w:rsidP="000D77C9">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DC0798C" w14:textId="77777777" w:rsidR="000D77C9" w:rsidRPr="000D77C9" w:rsidRDefault="000D77C9" w:rsidP="000D77C9">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r>
      <w:tr w:rsidR="000D77C9" w:rsidRPr="000D77C9" w14:paraId="619306D0" w14:textId="77777777" w:rsidTr="00B339F9">
        <w:trPr>
          <w:trHeight w:val="290"/>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57F06E9D" w14:textId="77777777" w:rsidR="000D77C9" w:rsidRPr="000D77C9" w:rsidRDefault="000D77C9" w:rsidP="000D77C9">
            <w:pPr>
              <w:spacing w:after="0" w:line="240" w:lineRule="auto"/>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Total Med/Surg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05992" w14:textId="77777777" w:rsidR="000D77C9" w:rsidRPr="000D77C9" w:rsidRDefault="000D77C9" w:rsidP="000D77C9">
            <w:pPr>
              <w:spacing w:after="0" w:line="240" w:lineRule="auto"/>
              <w:jc w:val="right"/>
              <w:rPr>
                <w:rFonts w:ascii="Calibri" w:eastAsia="Times New Roman" w:hAnsi="Calibri" w:cs="Calibri"/>
                <w:color w:val="000000"/>
                <w:sz w:val="20"/>
                <w:szCs w:val="20"/>
              </w:rPr>
            </w:pPr>
            <w:r w:rsidRPr="007671A1">
              <w:rPr>
                <w:rFonts w:ascii="Calibri" w:eastAsia="Times New Roman" w:hAnsi="Calibri" w:cs="Calibri"/>
                <w:color w:val="000000"/>
                <w:sz w:val="20"/>
                <w:szCs w:val="20"/>
                <w:highlight w:val="yellow"/>
              </w:rPr>
              <w:t>41,586</w:t>
            </w:r>
          </w:p>
        </w:tc>
        <w:tc>
          <w:tcPr>
            <w:tcW w:w="0" w:type="auto"/>
            <w:tcBorders>
              <w:top w:val="nil"/>
              <w:left w:val="nil"/>
              <w:bottom w:val="single" w:sz="4" w:space="0" w:color="auto"/>
              <w:right w:val="single" w:sz="4" w:space="0" w:color="auto"/>
            </w:tcBorders>
            <w:shd w:val="clear" w:color="auto" w:fill="auto"/>
            <w:noWrap/>
            <w:vAlign w:val="bottom"/>
            <w:hideMark/>
          </w:tcPr>
          <w:p w14:paraId="7D091C63" w14:textId="77777777" w:rsidR="000D77C9" w:rsidRPr="000D77C9" w:rsidRDefault="000D77C9" w:rsidP="000D77C9">
            <w:pPr>
              <w:spacing w:after="0" w:line="240" w:lineRule="auto"/>
              <w:jc w:val="right"/>
              <w:rPr>
                <w:rFonts w:ascii="Calibri" w:eastAsia="Times New Roman" w:hAnsi="Calibri" w:cs="Calibri"/>
                <w:color w:val="000000"/>
                <w:sz w:val="20"/>
                <w:szCs w:val="20"/>
              </w:rPr>
            </w:pPr>
            <w:r w:rsidRPr="006F734A">
              <w:rPr>
                <w:rFonts w:ascii="Calibri" w:eastAsia="Times New Roman" w:hAnsi="Calibri" w:cs="Calibri"/>
                <w:color w:val="000000"/>
                <w:sz w:val="20"/>
                <w:szCs w:val="20"/>
                <w:highlight w:val="yellow"/>
              </w:rPr>
              <w:t>41,255</w:t>
            </w:r>
          </w:p>
        </w:tc>
      </w:tr>
    </w:tbl>
    <w:p w14:paraId="60793559" w14:textId="0766B05C" w:rsidR="000D77C9" w:rsidRDefault="000D77C9" w:rsidP="000D77C9">
      <w:pPr>
        <w:ind w:left="360"/>
      </w:pPr>
    </w:p>
    <w:p w14:paraId="3D8D2485" w14:textId="67510A7D" w:rsidR="000C1E22" w:rsidRDefault="00A6227A" w:rsidP="00F27D70">
      <w:pPr>
        <w:ind w:left="720"/>
        <w:rPr>
          <w:rFonts w:eastAsia="Times New Roman"/>
        </w:rPr>
      </w:pPr>
      <w:bookmarkStart w:id="4" w:name="_Hlk94266989"/>
      <w:bookmarkEnd w:id="3"/>
      <w:r>
        <w:t xml:space="preserve">Response: </w:t>
      </w:r>
      <w:r w:rsidR="00AB1DE9">
        <w:rPr>
          <w:rFonts w:eastAsia="Times New Roman"/>
        </w:rPr>
        <w:t>The d</w:t>
      </w:r>
      <w:r w:rsidR="00185C4C">
        <w:rPr>
          <w:rFonts w:eastAsia="Times New Roman"/>
        </w:rPr>
        <w:t xml:space="preserve">iscrepancy between FY19 M/S totals reflects an error in the Bed Summary Response.  It should have stated 25,585, consistent with the Application. </w:t>
      </w:r>
    </w:p>
    <w:bookmarkEnd w:id="4"/>
    <w:p w14:paraId="5CA10759" w14:textId="0AF2C9A9" w:rsidR="00E34877" w:rsidRDefault="00BE10AC" w:rsidP="00F27D70">
      <w:pPr>
        <w:ind w:left="720"/>
        <w:rPr>
          <w:rFonts w:eastAsia="Times New Roman"/>
        </w:rPr>
      </w:pPr>
      <w:r>
        <w:rPr>
          <w:rFonts w:eastAsia="Times New Roman"/>
        </w:rPr>
        <w:lastRenderedPageBreak/>
        <w:t>With respect to FY29 projected discharges, t</w:t>
      </w:r>
      <w:r w:rsidR="006027B8">
        <w:rPr>
          <w:rFonts w:eastAsia="Times New Roman"/>
        </w:rPr>
        <w:t xml:space="preserve">he chart provided in the Bed Summary Response did not align with the actual narrative summary provided. The chart below is consistent with the statements made in the bed response </w:t>
      </w:r>
      <w:r w:rsidR="006027B8">
        <w:t xml:space="preserve">regarding projected growth of approximately 0.5% growth per year. </w:t>
      </w:r>
    </w:p>
    <w:tbl>
      <w:tblPr>
        <w:tblW w:w="0" w:type="auto"/>
        <w:jc w:val="center"/>
        <w:tblLook w:val="04A0" w:firstRow="1" w:lastRow="0" w:firstColumn="1" w:lastColumn="0" w:noHBand="0" w:noVBand="1"/>
      </w:tblPr>
      <w:tblGrid>
        <w:gridCol w:w="1819"/>
        <w:gridCol w:w="1108"/>
        <w:gridCol w:w="1108"/>
      </w:tblGrid>
      <w:tr w:rsidR="006027B8" w:rsidRPr="000D77C9" w14:paraId="6A586C6C" w14:textId="77777777" w:rsidTr="00030111">
        <w:trPr>
          <w:trHeight w:val="290"/>
          <w:jc w:val="center"/>
        </w:trPr>
        <w:tc>
          <w:tcPr>
            <w:tcW w:w="0" w:type="auto"/>
            <w:tcBorders>
              <w:top w:val="single" w:sz="4" w:space="0" w:color="auto"/>
              <w:left w:val="single" w:sz="4" w:space="0" w:color="auto"/>
              <w:bottom w:val="nil"/>
              <w:right w:val="nil"/>
            </w:tcBorders>
            <w:shd w:val="clear" w:color="000000" w:fill="D9D9D9"/>
            <w:noWrap/>
            <w:vAlign w:val="bottom"/>
            <w:hideMark/>
          </w:tcPr>
          <w:p w14:paraId="070247AD" w14:textId="77777777" w:rsidR="006027B8" w:rsidRPr="000D77C9" w:rsidRDefault="006027B8" w:rsidP="00030111">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single" w:sz="4" w:space="0" w:color="auto"/>
              <w:left w:val="single" w:sz="4" w:space="0" w:color="auto"/>
              <w:bottom w:val="nil"/>
              <w:right w:val="single" w:sz="4" w:space="0" w:color="auto"/>
            </w:tcBorders>
            <w:shd w:val="clear" w:color="000000" w:fill="D9D9D9"/>
            <w:noWrap/>
            <w:vAlign w:val="bottom"/>
            <w:hideMark/>
          </w:tcPr>
          <w:p w14:paraId="7D847D9A" w14:textId="77777777" w:rsidR="006027B8" w:rsidRPr="000D77C9" w:rsidRDefault="006027B8" w:rsidP="00030111">
            <w:pPr>
              <w:spacing w:after="0" w:line="240" w:lineRule="auto"/>
              <w:jc w:val="center"/>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Discharges</w:t>
            </w:r>
          </w:p>
          <w:p w14:paraId="5ED38144" w14:textId="77777777" w:rsidR="006027B8" w:rsidRPr="000D77C9" w:rsidRDefault="006027B8" w:rsidP="00030111">
            <w:pPr>
              <w:spacing w:after="0" w:line="240" w:lineRule="auto"/>
              <w:jc w:val="center"/>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(FY19)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73130583" w14:textId="77777777" w:rsidR="006027B8" w:rsidRPr="000D77C9" w:rsidRDefault="006027B8" w:rsidP="00030111">
            <w:pPr>
              <w:spacing w:after="0" w:line="240" w:lineRule="auto"/>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Discharges</w:t>
            </w:r>
          </w:p>
          <w:p w14:paraId="3BC75D70" w14:textId="77777777" w:rsidR="006027B8" w:rsidRPr="000D77C9" w:rsidRDefault="006027B8" w:rsidP="00030111">
            <w:pPr>
              <w:spacing w:after="0" w:line="240" w:lineRule="auto"/>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(FY29)</w:t>
            </w:r>
          </w:p>
        </w:tc>
      </w:tr>
      <w:tr w:rsidR="006027B8" w:rsidRPr="000D77C9" w14:paraId="31B18158" w14:textId="77777777" w:rsidTr="00030111">
        <w:trPr>
          <w:trHeight w:val="290"/>
          <w:jc w:val="center"/>
        </w:trPr>
        <w:tc>
          <w:tcPr>
            <w:tcW w:w="0" w:type="auto"/>
            <w:tcBorders>
              <w:top w:val="single" w:sz="4" w:space="0" w:color="auto"/>
              <w:left w:val="single" w:sz="4" w:space="0" w:color="auto"/>
              <w:bottom w:val="nil"/>
              <w:right w:val="nil"/>
            </w:tcBorders>
            <w:shd w:val="clear" w:color="auto" w:fill="auto"/>
            <w:noWrap/>
            <w:vAlign w:val="bottom"/>
            <w:hideMark/>
          </w:tcPr>
          <w:p w14:paraId="5D446A29" w14:textId="77777777" w:rsidR="006027B8" w:rsidRPr="000D77C9" w:rsidRDefault="006027B8" w:rsidP="00030111">
            <w:pPr>
              <w:spacing w:after="0" w:line="240" w:lineRule="auto"/>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Cancer</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24A99B8F" w14:textId="77777777" w:rsidR="006027B8" w:rsidRPr="000D77C9" w:rsidRDefault="006027B8" w:rsidP="00030111">
            <w:pPr>
              <w:spacing w:after="0" w:line="240" w:lineRule="auto"/>
              <w:jc w:val="right"/>
              <w:rPr>
                <w:rFonts w:ascii="Calibri" w:eastAsia="Times New Roman" w:hAnsi="Calibri" w:cs="Calibri"/>
                <w:color w:val="000000"/>
                <w:sz w:val="20"/>
                <w:szCs w:val="20"/>
              </w:rPr>
            </w:pPr>
            <w:r w:rsidRPr="000D77C9">
              <w:rPr>
                <w:rFonts w:ascii="Calibri" w:eastAsia="Times New Roman" w:hAnsi="Calibri" w:cs="Calibri"/>
                <w:color w:val="000000"/>
                <w:sz w:val="20"/>
                <w:szCs w:val="20"/>
              </w:rPr>
              <w:t>9,675</w:t>
            </w:r>
          </w:p>
        </w:tc>
        <w:tc>
          <w:tcPr>
            <w:tcW w:w="0" w:type="auto"/>
            <w:tcBorders>
              <w:top w:val="nil"/>
              <w:left w:val="nil"/>
              <w:bottom w:val="nil"/>
              <w:right w:val="single" w:sz="4" w:space="0" w:color="auto"/>
            </w:tcBorders>
            <w:shd w:val="clear" w:color="auto" w:fill="auto"/>
            <w:noWrap/>
            <w:vAlign w:val="bottom"/>
            <w:hideMark/>
          </w:tcPr>
          <w:p w14:paraId="19C18FAC" w14:textId="0084F495" w:rsidR="006027B8" w:rsidRPr="006F734A" w:rsidRDefault="006027B8" w:rsidP="00030111">
            <w:pPr>
              <w:spacing w:after="0" w:line="240" w:lineRule="auto"/>
              <w:jc w:val="right"/>
              <w:rPr>
                <w:rFonts w:ascii="Calibri" w:eastAsia="Times New Roman" w:hAnsi="Calibri" w:cs="Calibri"/>
                <w:color w:val="000000"/>
                <w:sz w:val="20"/>
                <w:szCs w:val="20"/>
                <w:highlight w:val="yellow"/>
              </w:rPr>
            </w:pPr>
            <w:r w:rsidRPr="006F734A">
              <w:rPr>
                <w:rFonts w:ascii="Calibri" w:eastAsia="Times New Roman" w:hAnsi="Calibri" w:cs="Calibri"/>
                <w:color w:val="000000"/>
                <w:sz w:val="20"/>
                <w:szCs w:val="20"/>
                <w:highlight w:val="yellow"/>
              </w:rPr>
              <w:t>11,</w:t>
            </w:r>
            <w:r w:rsidR="00BE10AC">
              <w:rPr>
                <w:rFonts w:ascii="Calibri" w:eastAsia="Times New Roman" w:hAnsi="Calibri" w:cs="Calibri"/>
                <w:color w:val="000000"/>
                <w:sz w:val="20"/>
                <w:szCs w:val="20"/>
                <w:highlight w:val="yellow"/>
              </w:rPr>
              <w:t>504</w:t>
            </w:r>
          </w:p>
        </w:tc>
      </w:tr>
      <w:tr w:rsidR="006027B8" w:rsidRPr="000D77C9" w14:paraId="49AA28E7" w14:textId="77777777" w:rsidTr="00030111">
        <w:trPr>
          <w:trHeight w:val="290"/>
          <w:jc w:val="center"/>
        </w:trPr>
        <w:tc>
          <w:tcPr>
            <w:tcW w:w="0" w:type="auto"/>
            <w:tcBorders>
              <w:top w:val="nil"/>
              <w:left w:val="single" w:sz="4" w:space="0" w:color="auto"/>
              <w:bottom w:val="nil"/>
              <w:right w:val="nil"/>
            </w:tcBorders>
            <w:shd w:val="clear" w:color="auto" w:fill="auto"/>
            <w:noWrap/>
            <w:vAlign w:val="bottom"/>
            <w:hideMark/>
          </w:tcPr>
          <w:p w14:paraId="01BBC7DE" w14:textId="77777777" w:rsidR="006027B8" w:rsidRPr="000D77C9" w:rsidRDefault="006027B8" w:rsidP="00030111">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Routine</w:t>
            </w:r>
          </w:p>
        </w:tc>
        <w:tc>
          <w:tcPr>
            <w:tcW w:w="0" w:type="auto"/>
            <w:tcBorders>
              <w:top w:val="nil"/>
              <w:left w:val="single" w:sz="4" w:space="0" w:color="auto"/>
              <w:bottom w:val="nil"/>
              <w:right w:val="single" w:sz="4" w:space="0" w:color="auto"/>
            </w:tcBorders>
            <w:shd w:val="clear" w:color="auto" w:fill="auto"/>
            <w:noWrap/>
            <w:vAlign w:val="bottom"/>
            <w:hideMark/>
          </w:tcPr>
          <w:p w14:paraId="1BEF3A49" w14:textId="77777777" w:rsidR="006027B8" w:rsidRPr="000D77C9" w:rsidRDefault="006027B8" w:rsidP="00030111">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14:paraId="439BC38F" w14:textId="77777777" w:rsidR="006027B8" w:rsidRPr="000D77C9" w:rsidRDefault="006027B8" w:rsidP="00030111">
            <w:pPr>
              <w:spacing w:after="0" w:line="240" w:lineRule="auto"/>
              <w:rPr>
                <w:rFonts w:ascii="Calibri" w:eastAsia="Times New Roman" w:hAnsi="Calibri" w:cs="Calibri"/>
                <w:color w:val="000000"/>
                <w:sz w:val="20"/>
                <w:szCs w:val="20"/>
              </w:rPr>
            </w:pPr>
          </w:p>
        </w:tc>
      </w:tr>
      <w:tr w:rsidR="006027B8" w:rsidRPr="000D77C9" w14:paraId="63AC4A6D" w14:textId="77777777" w:rsidTr="00030111">
        <w:trPr>
          <w:trHeight w:val="290"/>
          <w:jc w:val="center"/>
        </w:trPr>
        <w:tc>
          <w:tcPr>
            <w:tcW w:w="0" w:type="auto"/>
            <w:tcBorders>
              <w:top w:val="nil"/>
              <w:left w:val="single" w:sz="4" w:space="0" w:color="auto"/>
              <w:bottom w:val="single" w:sz="4" w:space="0" w:color="auto"/>
              <w:right w:val="nil"/>
            </w:tcBorders>
            <w:shd w:val="clear" w:color="auto" w:fill="auto"/>
            <w:noWrap/>
            <w:vAlign w:val="bottom"/>
            <w:hideMark/>
          </w:tcPr>
          <w:p w14:paraId="1FF00B99" w14:textId="77777777" w:rsidR="006027B8" w:rsidRPr="000D77C9" w:rsidRDefault="006027B8" w:rsidP="00030111">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ICU</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F9B2B7" w14:textId="77777777" w:rsidR="006027B8" w:rsidRPr="000D77C9" w:rsidRDefault="006027B8" w:rsidP="00030111">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449F0EB" w14:textId="77777777" w:rsidR="006027B8" w:rsidRPr="000D77C9" w:rsidRDefault="006027B8" w:rsidP="00030111">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r>
      <w:tr w:rsidR="006027B8" w:rsidRPr="000D77C9" w14:paraId="4F39C03F" w14:textId="77777777" w:rsidTr="00030111">
        <w:trPr>
          <w:trHeight w:val="290"/>
          <w:jc w:val="center"/>
        </w:trPr>
        <w:tc>
          <w:tcPr>
            <w:tcW w:w="0" w:type="auto"/>
            <w:tcBorders>
              <w:top w:val="nil"/>
              <w:left w:val="single" w:sz="4" w:space="0" w:color="auto"/>
              <w:bottom w:val="nil"/>
              <w:right w:val="nil"/>
            </w:tcBorders>
            <w:shd w:val="clear" w:color="000000" w:fill="F2F2F2"/>
            <w:noWrap/>
            <w:vAlign w:val="bottom"/>
            <w:hideMark/>
          </w:tcPr>
          <w:p w14:paraId="63B01661" w14:textId="77777777" w:rsidR="006027B8" w:rsidRPr="000D77C9" w:rsidRDefault="006027B8" w:rsidP="00030111">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 </w:t>
            </w:r>
          </w:p>
        </w:tc>
        <w:tc>
          <w:tcPr>
            <w:tcW w:w="0" w:type="auto"/>
            <w:tcBorders>
              <w:top w:val="nil"/>
              <w:left w:val="single" w:sz="4" w:space="0" w:color="auto"/>
              <w:bottom w:val="nil"/>
              <w:right w:val="single" w:sz="4" w:space="0" w:color="auto"/>
            </w:tcBorders>
            <w:shd w:val="clear" w:color="000000" w:fill="F2F2F2"/>
            <w:noWrap/>
            <w:vAlign w:val="bottom"/>
            <w:hideMark/>
          </w:tcPr>
          <w:p w14:paraId="75577ED2" w14:textId="77777777" w:rsidR="006027B8" w:rsidRPr="000D77C9" w:rsidRDefault="006027B8" w:rsidP="00030111">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nil"/>
              <w:right w:val="single" w:sz="4" w:space="0" w:color="auto"/>
            </w:tcBorders>
            <w:shd w:val="clear" w:color="000000" w:fill="F2F2F2"/>
            <w:noWrap/>
            <w:vAlign w:val="bottom"/>
            <w:hideMark/>
          </w:tcPr>
          <w:p w14:paraId="38A93A99" w14:textId="77777777" w:rsidR="006027B8" w:rsidRPr="000D77C9" w:rsidRDefault="006027B8" w:rsidP="00030111">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r>
      <w:tr w:rsidR="006027B8" w:rsidRPr="000D77C9" w14:paraId="657177C2" w14:textId="77777777" w:rsidTr="00030111">
        <w:trPr>
          <w:trHeight w:val="290"/>
          <w:jc w:val="center"/>
        </w:trPr>
        <w:tc>
          <w:tcPr>
            <w:tcW w:w="0" w:type="auto"/>
            <w:tcBorders>
              <w:top w:val="nil"/>
              <w:left w:val="single" w:sz="4" w:space="0" w:color="auto"/>
              <w:bottom w:val="nil"/>
              <w:right w:val="nil"/>
            </w:tcBorders>
            <w:shd w:val="clear" w:color="auto" w:fill="auto"/>
            <w:noWrap/>
            <w:vAlign w:val="bottom"/>
            <w:hideMark/>
          </w:tcPr>
          <w:p w14:paraId="7591015B" w14:textId="77777777" w:rsidR="006027B8" w:rsidRPr="000D77C9" w:rsidRDefault="006027B8" w:rsidP="00030111">
            <w:pPr>
              <w:spacing w:after="0" w:line="240" w:lineRule="auto"/>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Cardiac</w:t>
            </w:r>
          </w:p>
        </w:tc>
        <w:tc>
          <w:tcPr>
            <w:tcW w:w="0" w:type="auto"/>
            <w:tcBorders>
              <w:top w:val="nil"/>
              <w:left w:val="single" w:sz="4" w:space="0" w:color="auto"/>
              <w:bottom w:val="nil"/>
              <w:right w:val="single" w:sz="4" w:space="0" w:color="auto"/>
            </w:tcBorders>
            <w:shd w:val="clear" w:color="auto" w:fill="auto"/>
            <w:noWrap/>
            <w:vAlign w:val="bottom"/>
            <w:hideMark/>
          </w:tcPr>
          <w:p w14:paraId="56EE0368" w14:textId="77777777" w:rsidR="006027B8" w:rsidRPr="000D77C9" w:rsidRDefault="006027B8" w:rsidP="00030111">
            <w:pPr>
              <w:spacing w:after="0" w:line="240" w:lineRule="auto"/>
              <w:jc w:val="right"/>
              <w:rPr>
                <w:rFonts w:ascii="Calibri" w:eastAsia="Times New Roman" w:hAnsi="Calibri" w:cs="Calibri"/>
                <w:color w:val="000000"/>
                <w:sz w:val="20"/>
                <w:szCs w:val="20"/>
              </w:rPr>
            </w:pPr>
            <w:r w:rsidRPr="000D77C9">
              <w:rPr>
                <w:rFonts w:ascii="Calibri" w:eastAsia="Times New Roman" w:hAnsi="Calibri" w:cs="Calibri"/>
                <w:color w:val="000000"/>
                <w:sz w:val="20"/>
                <w:szCs w:val="20"/>
              </w:rPr>
              <w:t>6,718</w:t>
            </w:r>
          </w:p>
        </w:tc>
        <w:tc>
          <w:tcPr>
            <w:tcW w:w="0" w:type="auto"/>
            <w:tcBorders>
              <w:top w:val="nil"/>
              <w:left w:val="nil"/>
              <w:bottom w:val="nil"/>
              <w:right w:val="single" w:sz="4" w:space="0" w:color="auto"/>
            </w:tcBorders>
            <w:shd w:val="clear" w:color="auto" w:fill="auto"/>
            <w:noWrap/>
            <w:vAlign w:val="bottom"/>
            <w:hideMark/>
          </w:tcPr>
          <w:p w14:paraId="040596A9" w14:textId="7535412C" w:rsidR="006027B8" w:rsidRPr="000D77C9" w:rsidRDefault="00BE10AC" w:rsidP="00030111">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8,027</w:t>
            </w:r>
          </w:p>
        </w:tc>
      </w:tr>
      <w:tr w:rsidR="006027B8" w:rsidRPr="000D77C9" w14:paraId="09E44830" w14:textId="77777777" w:rsidTr="00030111">
        <w:trPr>
          <w:trHeight w:val="290"/>
          <w:jc w:val="center"/>
        </w:trPr>
        <w:tc>
          <w:tcPr>
            <w:tcW w:w="0" w:type="auto"/>
            <w:tcBorders>
              <w:top w:val="nil"/>
              <w:left w:val="single" w:sz="4" w:space="0" w:color="auto"/>
              <w:bottom w:val="nil"/>
              <w:right w:val="nil"/>
            </w:tcBorders>
            <w:shd w:val="clear" w:color="auto" w:fill="auto"/>
            <w:noWrap/>
            <w:vAlign w:val="bottom"/>
            <w:hideMark/>
          </w:tcPr>
          <w:p w14:paraId="4D0C2751" w14:textId="77777777" w:rsidR="006027B8" w:rsidRPr="000D77C9" w:rsidRDefault="006027B8" w:rsidP="00030111">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Routine</w:t>
            </w:r>
          </w:p>
        </w:tc>
        <w:tc>
          <w:tcPr>
            <w:tcW w:w="0" w:type="auto"/>
            <w:tcBorders>
              <w:top w:val="nil"/>
              <w:left w:val="single" w:sz="4" w:space="0" w:color="auto"/>
              <w:bottom w:val="nil"/>
              <w:right w:val="single" w:sz="4" w:space="0" w:color="auto"/>
            </w:tcBorders>
            <w:shd w:val="clear" w:color="auto" w:fill="auto"/>
            <w:noWrap/>
            <w:vAlign w:val="bottom"/>
            <w:hideMark/>
          </w:tcPr>
          <w:p w14:paraId="664D2018" w14:textId="77777777" w:rsidR="006027B8" w:rsidRPr="000D77C9" w:rsidRDefault="006027B8" w:rsidP="00030111">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14:paraId="37D53879" w14:textId="77777777" w:rsidR="006027B8" w:rsidRPr="000D77C9" w:rsidRDefault="006027B8" w:rsidP="00030111">
            <w:pPr>
              <w:spacing w:after="0" w:line="240" w:lineRule="auto"/>
              <w:rPr>
                <w:rFonts w:ascii="Calibri" w:eastAsia="Times New Roman" w:hAnsi="Calibri" w:cs="Calibri"/>
                <w:color w:val="000000"/>
                <w:sz w:val="20"/>
                <w:szCs w:val="20"/>
              </w:rPr>
            </w:pPr>
          </w:p>
        </w:tc>
      </w:tr>
      <w:tr w:rsidR="006027B8" w:rsidRPr="000D77C9" w14:paraId="0D91660E" w14:textId="77777777" w:rsidTr="00030111">
        <w:trPr>
          <w:trHeight w:val="290"/>
          <w:jc w:val="center"/>
        </w:trPr>
        <w:tc>
          <w:tcPr>
            <w:tcW w:w="0" w:type="auto"/>
            <w:tcBorders>
              <w:top w:val="nil"/>
              <w:left w:val="single" w:sz="4" w:space="0" w:color="auto"/>
              <w:bottom w:val="nil"/>
              <w:right w:val="nil"/>
            </w:tcBorders>
            <w:shd w:val="clear" w:color="auto" w:fill="auto"/>
            <w:noWrap/>
            <w:vAlign w:val="bottom"/>
            <w:hideMark/>
          </w:tcPr>
          <w:p w14:paraId="15B1FED4" w14:textId="77777777" w:rsidR="006027B8" w:rsidRPr="000D77C9" w:rsidRDefault="006027B8" w:rsidP="00030111">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 xml:space="preserve">ICU </w:t>
            </w:r>
          </w:p>
        </w:tc>
        <w:tc>
          <w:tcPr>
            <w:tcW w:w="0" w:type="auto"/>
            <w:tcBorders>
              <w:top w:val="nil"/>
              <w:left w:val="single" w:sz="4" w:space="0" w:color="auto"/>
              <w:bottom w:val="nil"/>
              <w:right w:val="single" w:sz="4" w:space="0" w:color="auto"/>
            </w:tcBorders>
            <w:shd w:val="clear" w:color="auto" w:fill="auto"/>
            <w:noWrap/>
            <w:vAlign w:val="bottom"/>
            <w:hideMark/>
          </w:tcPr>
          <w:p w14:paraId="6889D6FE" w14:textId="77777777" w:rsidR="006027B8" w:rsidRPr="000D77C9" w:rsidRDefault="006027B8" w:rsidP="00030111">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14:paraId="0B09AF29" w14:textId="77777777" w:rsidR="006027B8" w:rsidRPr="000D77C9" w:rsidRDefault="006027B8" w:rsidP="00030111">
            <w:pPr>
              <w:spacing w:after="0" w:line="240" w:lineRule="auto"/>
              <w:rPr>
                <w:rFonts w:ascii="Calibri" w:eastAsia="Times New Roman" w:hAnsi="Calibri" w:cs="Calibri"/>
                <w:color w:val="000000"/>
                <w:sz w:val="20"/>
                <w:szCs w:val="20"/>
              </w:rPr>
            </w:pPr>
          </w:p>
        </w:tc>
      </w:tr>
      <w:tr w:rsidR="006027B8" w:rsidRPr="000D77C9" w14:paraId="6304750E" w14:textId="77777777" w:rsidTr="00030111">
        <w:trPr>
          <w:trHeight w:val="290"/>
          <w:jc w:val="center"/>
        </w:trPr>
        <w:tc>
          <w:tcPr>
            <w:tcW w:w="0" w:type="auto"/>
            <w:tcBorders>
              <w:top w:val="single" w:sz="4" w:space="0" w:color="auto"/>
              <w:left w:val="single" w:sz="4" w:space="0" w:color="auto"/>
              <w:bottom w:val="nil"/>
              <w:right w:val="nil"/>
            </w:tcBorders>
            <w:shd w:val="clear" w:color="auto" w:fill="auto"/>
            <w:noWrap/>
            <w:vAlign w:val="bottom"/>
            <w:hideMark/>
          </w:tcPr>
          <w:p w14:paraId="1E04D65E" w14:textId="77777777" w:rsidR="006027B8" w:rsidRPr="000D77C9" w:rsidRDefault="006027B8" w:rsidP="00030111">
            <w:pPr>
              <w:spacing w:after="0" w:line="240" w:lineRule="auto"/>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All other Med/Surg</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3AA09F3A" w14:textId="77777777" w:rsidR="006027B8" w:rsidRPr="000D77C9" w:rsidRDefault="006027B8" w:rsidP="00030111">
            <w:pPr>
              <w:spacing w:after="0" w:line="240" w:lineRule="auto"/>
              <w:jc w:val="right"/>
              <w:rPr>
                <w:rFonts w:ascii="Calibri" w:eastAsia="Times New Roman" w:hAnsi="Calibri" w:cs="Calibri"/>
                <w:color w:val="000000"/>
                <w:sz w:val="20"/>
                <w:szCs w:val="20"/>
              </w:rPr>
            </w:pPr>
            <w:r w:rsidRPr="000D77C9">
              <w:rPr>
                <w:rFonts w:ascii="Calibri" w:eastAsia="Times New Roman" w:hAnsi="Calibri" w:cs="Calibri"/>
                <w:color w:val="000000"/>
                <w:sz w:val="20"/>
                <w:szCs w:val="20"/>
              </w:rPr>
              <w:t>25,194</w:t>
            </w:r>
          </w:p>
        </w:tc>
        <w:tc>
          <w:tcPr>
            <w:tcW w:w="0" w:type="auto"/>
            <w:tcBorders>
              <w:top w:val="single" w:sz="4" w:space="0" w:color="auto"/>
              <w:left w:val="nil"/>
              <w:bottom w:val="nil"/>
              <w:right w:val="single" w:sz="4" w:space="0" w:color="auto"/>
            </w:tcBorders>
            <w:shd w:val="clear" w:color="auto" w:fill="auto"/>
            <w:noWrap/>
            <w:vAlign w:val="bottom"/>
            <w:hideMark/>
          </w:tcPr>
          <w:p w14:paraId="3F094E0F" w14:textId="1DF33816" w:rsidR="006027B8" w:rsidRPr="006F734A" w:rsidRDefault="00BE10AC" w:rsidP="00030111">
            <w:pPr>
              <w:spacing w:after="0" w:line="240" w:lineRule="auto"/>
              <w:jc w:val="right"/>
              <w:rPr>
                <w:rFonts w:ascii="Calibri" w:eastAsia="Times New Roman" w:hAnsi="Calibri" w:cs="Calibri"/>
                <w:color w:val="000000"/>
                <w:sz w:val="20"/>
                <w:szCs w:val="20"/>
                <w:highlight w:val="yellow"/>
              </w:rPr>
            </w:pPr>
            <w:r>
              <w:rPr>
                <w:rFonts w:ascii="Calibri" w:eastAsia="Times New Roman" w:hAnsi="Calibri" w:cs="Calibri"/>
                <w:color w:val="000000"/>
                <w:sz w:val="20"/>
                <w:szCs w:val="20"/>
                <w:highlight w:val="yellow"/>
              </w:rPr>
              <w:t>23,950</w:t>
            </w:r>
          </w:p>
        </w:tc>
      </w:tr>
      <w:tr w:rsidR="006027B8" w:rsidRPr="000D77C9" w14:paraId="3C5AB79A" w14:textId="77777777" w:rsidTr="00030111">
        <w:trPr>
          <w:trHeight w:val="290"/>
          <w:jc w:val="center"/>
        </w:trPr>
        <w:tc>
          <w:tcPr>
            <w:tcW w:w="0" w:type="auto"/>
            <w:tcBorders>
              <w:top w:val="nil"/>
              <w:left w:val="single" w:sz="4" w:space="0" w:color="auto"/>
              <w:bottom w:val="nil"/>
              <w:right w:val="nil"/>
            </w:tcBorders>
            <w:shd w:val="clear" w:color="auto" w:fill="auto"/>
            <w:noWrap/>
            <w:vAlign w:val="bottom"/>
            <w:hideMark/>
          </w:tcPr>
          <w:p w14:paraId="3D0B9199" w14:textId="77777777" w:rsidR="006027B8" w:rsidRPr="000D77C9" w:rsidRDefault="006027B8" w:rsidP="00030111">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Routine</w:t>
            </w:r>
          </w:p>
        </w:tc>
        <w:tc>
          <w:tcPr>
            <w:tcW w:w="0" w:type="auto"/>
            <w:tcBorders>
              <w:top w:val="nil"/>
              <w:left w:val="single" w:sz="4" w:space="0" w:color="auto"/>
              <w:bottom w:val="nil"/>
              <w:right w:val="single" w:sz="4" w:space="0" w:color="auto"/>
            </w:tcBorders>
            <w:shd w:val="clear" w:color="auto" w:fill="auto"/>
            <w:noWrap/>
            <w:vAlign w:val="bottom"/>
            <w:hideMark/>
          </w:tcPr>
          <w:p w14:paraId="7FDD698E" w14:textId="77777777" w:rsidR="006027B8" w:rsidRPr="000D77C9" w:rsidRDefault="006027B8" w:rsidP="00030111">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14:paraId="6C2757A8" w14:textId="77777777" w:rsidR="006027B8" w:rsidRPr="000D77C9" w:rsidRDefault="006027B8" w:rsidP="00030111">
            <w:pPr>
              <w:spacing w:after="0" w:line="240" w:lineRule="auto"/>
              <w:rPr>
                <w:rFonts w:ascii="Calibri" w:eastAsia="Times New Roman" w:hAnsi="Calibri" w:cs="Calibri"/>
                <w:color w:val="000000"/>
                <w:sz w:val="20"/>
                <w:szCs w:val="20"/>
              </w:rPr>
            </w:pPr>
          </w:p>
        </w:tc>
      </w:tr>
      <w:tr w:rsidR="006027B8" w:rsidRPr="000D77C9" w14:paraId="765377F7" w14:textId="77777777" w:rsidTr="00030111">
        <w:trPr>
          <w:trHeight w:val="290"/>
          <w:jc w:val="center"/>
        </w:trPr>
        <w:tc>
          <w:tcPr>
            <w:tcW w:w="0" w:type="auto"/>
            <w:tcBorders>
              <w:top w:val="nil"/>
              <w:left w:val="single" w:sz="4" w:space="0" w:color="auto"/>
              <w:bottom w:val="single" w:sz="4" w:space="0" w:color="auto"/>
              <w:right w:val="nil"/>
            </w:tcBorders>
            <w:shd w:val="clear" w:color="auto" w:fill="auto"/>
            <w:noWrap/>
            <w:vAlign w:val="bottom"/>
            <w:hideMark/>
          </w:tcPr>
          <w:p w14:paraId="7F425440" w14:textId="77777777" w:rsidR="006027B8" w:rsidRPr="000D77C9" w:rsidRDefault="006027B8" w:rsidP="00030111">
            <w:pPr>
              <w:spacing w:after="0" w:line="240" w:lineRule="auto"/>
              <w:rPr>
                <w:rFonts w:ascii="Calibri" w:eastAsia="Times New Roman" w:hAnsi="Calibri" w:cs="Calibri"/>
                <w:i/>
                <w:iCs/>
                <w:color w:val="000000"/>
                <w:sz w:val="20"/>
                <w:szCs w:val="20"/>
              </w:rPr>
            </w:pPr>
            <w:r w:rsidRPr="000D77C9">
              <w:rPr>
                <w:rFonts w:ascii="Calibri" w:eastAsia="Times New Roman" w:hAnsi="Calibri" w:cs="Calibri"/>
                <w:i/>
                <w:iCs/>
                <w:color w:val="000000"/>
                <w:sz w:val="20"/>
                <w:szCs w:val="20"/>
              </w:rPr>
              <w:t>ICU*</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A71C21" w14:textId="77777777" w:rsidR="006027B8" w:rsidRPr="000D77C9" w:rsidRDefault="006027B8" w:rsidP="00030111">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BEEE1A6" w14:textId="77777777" w:rsidR="006027B8" w:rsidRPr="000D77C9" w:rsidRDefault="006027B8" w:rsidP="00030111">
            <w:pPr>
              <w:spacing w:after="0" w:line="240" w:lineRule="auto"/>
              <w:rPr>
                <w:rFonts w:ascii="Calibri" w:eastAsia="Times New Roman" w:hAnsi="Calibri" w:cs="Calibri"/>
                <w:color w:val="000000"/>
                <w:sz w:val="20"/>
                <w:szCs w:val="20"/>
              </w:rPr>
            </w:pPr>
            <w:r w:rsidRPr="000D77C9">
              <w:rPr>
                <w:rFonts w:ascii="Calibri" w:eastAsia="Times New Roman" w:hAnsi="Calibri" w:cs="Calibri"/>
                <w:color w:val="000000"/>
                <w:sz w:val="20"/>
                <w:szCs w:val="20"/>
              </w:rPr>
              <w:t> </w:t>
            </w:r>
          </w:p>
        </w:tc>
      </w:tr>
      <w:tr w:rsidR="006027B8" w:rsidRPr="000D77C9" w14:paraId="75BB01B9" w14:textId="77777777" w:rsidTr="00030111">
        <w:trPr>
          <w:trHeight w:val="290"/>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7B2E36B0" w14:textId="77777777" w:rsidR="006027B8" w:rsidRPr="000D77C9" w:rsidRDefault="006027B8" w:rsidP="00030111">
            <w:pPr>
              <w:spacing w:after="0" w:line="240" w:lineRule="auto"/>
              <w:rPr>
                <w:rFonts w:ascii="Calibri" w:eastAsia="Times New Roman" w:hAnsi="Calibri" w:cs="Calibri"/>
                <w:b/>
                <w:bCs/>
                <w:color w:val="000000"/>
                <w:sz w:val="20"/>
                <w:szCs w:val="20"/>
              </w:rPr>
            </w:pPr>
            <w:r w:rsidRPr="000D77C9">
              <w:rPr>
                <w:rFonts w:ascii="Calibri" w:eastAsia="Times New Roman" w:hAnsi="Calibri" w:cs="Calibri"/>
                <w:b/>
                <w:bCs/>
                <w:color w:val="000000"/>
                <w:sz w:val="20"/>
                <w:szCs w:val="20"/>
              </w:rPr>
              <w:t>Total Med/Surg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4F6CC" w14:textId="77777777" w:rsidR="006027B8" w:rsidRPr="000D77C9" w:rsidRDefault="006027B8" w:rsidP="00030111">
            <w:pPr>
              <w:spacing w:after="0" w:line="240" w:lineRule="auto"/>
              <w:jc w:val="right"/>
              <w:rPr>
                <w:rFonts w:ascii="Calibri" w:eastAsia="Times New Roman" w:hAnsi="Calibri" w:cs="Calibri"/>
                <w:color w:val="000000"/>
                <w:sz w:val="20"/>
                <w:szCs w:val="20"/>
              </w:rPr>
            </w:pPr>
            <w:r w:rsidRPr="007671A1">
              <w:rPr>
                <w:rFonts w:ascii="Calibri" w:eastAsia="Times New Roman" w:hAnsi="Calibri" w:cs="Calibri"/>
                <w:color w:val="000000"/>
                <w:sz w:val="20"/>
                <w:szCs w:val="20"/>
                <w:highlight w:val="yellow"/>
              </w:rPr>
              <w:t>41,586</w:t>
            </w:r>
          </w:p>
        </w:tc>
        <w:tc>
          <w:tcPr>
            <w:tcW w:w="0" w:type="auto"/>
            <w:tcBorders>
              <w:top w:val="nil"/>
              <w:left w:val="nil"/>
              <w:bottom w:val="single" w:sz="4" w:space="0" w:color="auto"/>
              <w:right w:val="single" w:sz="4" w:space="0" w:color="auto"/>
            </w:tcBorders>
            <w:shd w:val="clear" w:color="auto" w:fill="auto"/>
            <w:noWrap/>
            <w:vAlign w:val="bottom"/>
            <w:hideMark/>
          </w:tcPr>
          <w:p w14:paraId="6EACC97F" w14:textId="6DA8FD21" w:rsidR="006027B8" w:rsidRPr="000D77C9" w:rsidRDefault="00BE10AC" w:rsidP="00030111">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43,481</w:t>
            </w:r>
          </w:p>
        </w:tc>
      </w:tr>
    </w:tbl>
    <w:p w14:paraId="4799786A" w14:textId="407DE3AC" w:rsidR="0011006B" w:rsidRPr="0033736B" w:rsidRDefault="0011006B" w:rsidP="0033736B">
      <w:pPr>
        <w:pStyle w:val="ListParagraph"/>
        <w:numPr>
          <w:ilvl w:val="1"/>
          <w:numId w:val="1"/>
        </w:numPr>
        <w:rPr>
          <w:b/>
          <w:bCs/>
        </w:rPr>
      </w:pPr>
      <w:r w:rsidRPr="0033736B">
        <w:rPr>
          <w:b/>
          <w:bCs/>
        </w:rPr>
        <w:t xml:space="preserve">Infusion Therapy Volume </w:t>
      </w:r>
    </w:p>
    <w:p w14:paraId="6B1C27BE" w14:textId="52E0779E" w:rsidR="000D77C9" w:rsidRPr="00841D1B" w:rsidRDefault="000D77C9" w:rsidP="004F140D">
      <w:pPr>
        <w:spacing w:after="0"/>
        <w:ind w:left="360"/>
        <w:rPr>
          <w:b/>
          <w:bCs/>
        </w:rPr>
      </w:pPr>
      <w:r w:rsidRPr="00841D1B">
        <w:rPr>
          <w:b/>
          <w:bCs/>
        </w:rPr>
        <w:t>Application pg. 20</w:t>
      </w:r>
    </w:p>
    <w:p w14:paraId="4FAB84C3" w14:textId="720398B9" w:rsidR="009D5966" w:rsidRPr="009D5966" w:rsidRDefault="009D5966" w:rsidP="004F140D">
      <w:pPr>
        <w:spacing w:after="0"/>
        <w:ind w:left="360"/>
        <w:jc w:val="center"/>
        <w:rPr>
          <w:b/>
          <w:bCs/>
        </w:rPr>
      </w:pPr>
      <w:r w:rsidRPr="009D5966">
        <w:rPr>
          <w:b/>
          <w:bCs/>
        </w:rPr>
        <w:t>Infusion Therapy Volume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6"/>
        <w:gridCol w:w="829"/>
        <w:gridCol w:w="829"/>
        <w:gridCol w:w="829"/>
      </w:tblGrid>
      <w:tr w:rsidR="000D77C9" w:rsidRPr="000D77C9" w14:paraId="120427D9" w14:textId="77777777" w:rsidTr="00B339F9">
        <w:trPr>
          <w:trHeight w:val="300"/>
          <w:jc w:val="center"/>
        </w:trPr>
        <w:tc>
          <w:tcPr>
            <w:tcW w:w="0" w:type="auto"/>
            <w:shd w:val="clear" w:color="auto" w:fill="auto"/>
            <w:vAlign w:val="center"/>
          </w:tcPr>
          <w:p w14:paraId="322DA726" w14:textId="77777777" w:rsidR="000D77C9" w:rsidRPr="000D77C9" w:rsidRDefault="000D77C9" w:rsidP="000D77C9">
            <w:pPr>
              <w:spacing w:after="0" w:line="240" w:lineRule="auto"/>
              <w:rPr>
                <w:rFonts w:ascii="Calibri" w:eastAsia="Times New Roman" w:hAnsi="Calibri" w:cs="Calibri"/>
                <w:b/>
                <w:bCs/>
                <w:color w:val="000000"/>
              </w:rPr>
            </w:pPr>
          </w:p>
        </w:tc>
        <w:tc>
          <w:tcPr>
            <w:tcW w:w="0" w:type="auto"/>
            <w:shd w:val="clear" w:color="auto" w:fill="D9D9D9" w:themeFill="background1" w:themeFillShade="D9"/>
          </w:tcPr>
          <w:p w14:paraId="1C7231DA" w14:textId="77777777" w:rsidR="000D77C9" w:rsidRPr="000D77C9" w:rsidRDefault="000D77C9" w:rsidP="000D77C9">
            <w:pPr>
              <w:spacing w:after="0" w:line="240" w:lineRule="auto"/>
              <w:jc w:val="right"/>
              <w:rPr>
                <w:rFonts w:ascii="Calibri" w:eastAsia="Times New Roman" w:hAnsi="Calibri" w:cs="Calibri"/>
                <w:b/>
                <w:bCs/>
                <w:color w:val="000000"/>
              </w:rPr>
            </w:pPr>
            <w:r w:rsidRPr="000D77C9">
              <w:rPr>
                <w:b/>
                <w:bCs/>
              </w:rPr>
              <w:t>FY17</w:t>
            </w:r>
          </w:p>
        </w:tc>
        <w:tc>
          <w:tcPr>
            <w:tcW w:w="0" w:type="auto"/>
            <w:shd w:val="clear" w:color="auto" w:fill="D9D9D9" w:themeFill="background1" w:themeFillShade="D9"/>
          </w:tcPr>
          <w:p w14:paraId="63EF31E3" w14:textId="77777777" w:rsidR="000D77C9" w:rsidRPr="000D77C9" w:rsidRDefault="000D77C9" w:rsidP="000D77C9">
            <w:pPr>
              <w:spacing w:after="0" w:line="240" w:lineRule="auto"/>
              <w:jc w:val="right"/>
              <w:rPr>
                <w:rFonts w:ascii="Calibri" w:eastAsia="Times New Roman" w:hAnsi="Calibri" w:cs="Calibri"/>
                <w:b/>
                <w:bCs/>
                <w:color w:val="000000"/>
              </w:rPr>
            </w:pPr>
            <w:r w:rsidRPr="000D77C9">
              <w:rPr>
                <w:b/>
                <w:bCs/>
              </w:rPr>
              <w:t>FY18</w:t>
            </w:r>
          </w:p>
        </w:tc>
        <w:tc>
          <w:tcPr>
            <w:tcW w:w="0" w:type="auto"/>
            <w:shd w:val="clear" w:color="auto" w:fill="D9D9D9" w:themeFill="background1" w:themeFillShade="D9"/>
          </w:tcPr>
          <w:p w14:paraId="6A59CC6B" w14:textId="77777777" w:rsidR="000D77C9" w:rsidRPr="000D77C9" w:rsidRDefault="000D77C9" w:rsidP="000D77C9">
            <w:pPr>
              <w:spacing w:after="0" w:line="240" w:lineRule="auto"/>
              <w:jc w:val="right"/>
              <w:rPr>
                <w:rFonts w:ascii="Calibri" w:eastAsia="Times New Roman" w:hAnsi="Calibri" w:cs="Calibri"/>
                <w:b/>
                <w:bCs/>
                <w:color w:val="000000"/>
              </w:rPr>
            </w:pPr>
            <w:r w:rsidRPr="000D77C9">
              <w:rPr>
                <w:b/>
                <w:bCs/>
              </w:rPr>
              <w:t>FY19</w:t>
            </w:r>
          </w:p>
        </w:tc>
      </w:tr>
      <w:tr w:rsidR="000D77C9" w:rsidRPr="000D77C9" w14:paraId="131DFE24" w14:textId="77777777" w:rsidTr="00B339F9">
        <w:trPr>
          <w:trHeight w:val="300"/>
          <w:jc w:val="center"/>
        </w:trPr>
        <w:tc>
          <w:tcPr>
            <w:tcW w:w="0" w:type="auto"/>
            <w:shd w:val="clear" w:color="auto" w:fill="auto"/>
            <w:vAlign w:val="center"/>
            <w:hideMark/>
          </w:tcPr>
          <w:p w14:paraId="447976CA" w14:textId="77777777" w:rsidR="000D77C9" w:rsidRPr="000D77C9" w:rsidRDefault="000D77C9" w:rsidP="000D77C9">
            <w:pPr>
              <w:spacing w:after="0" w:line="240" w:lineRule="auto"/>
              <w:rPr>
                <w:rFonts w:ascii="Calibri" w:eastAsia="Times New Roman" w:hAnsi="Calibri" w:cs="Calibri"/>
                <w:b/>
                <w:bCs/>
                <w:color w:val="000000"/>
              </w:rPr>
            </w:pPr>
            <w:r w:rsidRPr="000D77C9">
              <w:rPr>
                <w:rFonts w:ascii="Calibri" w:eastAsia="Times New Roman" w:hAnsi="Calibri" w:cs="Calibri"/>
                <w:b/>
                <w:bCs/>
                <w:color w:val="000000"/>
              </w:rPr>
              <w:t>Visits</w:t>
            </w:r>
          </w:p>
        </w:tc>
        <w:tc>
          <w:tcPr>
            <w:tcW w:w="0" w:type="auto"/>
            <w:shd w:val="clear" w:color="auto" w:fill="auto"/>
            <w:vAlign w:val="center"/>
            <w:hideMark/>
          </w:tcPr>
          <w:p w14:paraId="02CEFDC0"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40,468</w:t>
            </w:r>
          </w:p>
        </w:tc>
        <w:tc>
          <w:tcPr>
            <w:tcW w:w="0" w:type="auto"/>
            <w:shd w:val="clear" w:color="auto" w:fill="auto"/>
            <w:vAlign w:val="center"/>
            <w:hideMark/>
          </w:tcPr>
          <w:p w14:paraId="59E96479" w14:textId="77777777" w:rsidR="000D77C9" w:rsidRPr="000D77C9" w:rsidRDefault="000D77C9" w:rsidP="000D77C9">
            <w:pPr>
              <w:spacing w:after="0" w:line="240" w:lineRule="auto"/>
              <w:jc w:val="right"/>
              <w:rPr>
                <w:rFonts w:ascii="Calibri" w:eastAsia="Times New Roman" w:hAnsi="Calibri" w:cs="Calibri"/>
                <w:color w:val="000000"/>
              </w:rPr>
            </w:pPr>
            <w:r w:rsidRPr="006F734A">
              <w:rPr>
                <w:rFonts w:ascii="Calibri" w:eastAsia="Times New Roman" w:hAnsi="Calibri" w:cs="Calibri"/>
                <w:color w:val="000000"/>
                <w:highlight w:val="yellow"/>
              </w:rPr>
              <w:t>42,660</w:t>
            </w:r>
          </w:p>
        </w:tc>
        <w:tc>
          <w:tcPr>
            <w:tcW w:w="0" w:type="auto"/>
            <w:shd w:val="clear" w:color="auto" w:fill="auto"/>
            <w:vAlign w:val="center"/>
            <w:hideMark/>
          </w:tcPr>
          <w:p w14:paraId="69C058DD"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43,877</w:t>
            </w:r>
          </w:p>
        </w:tc>
      </w:tr>
    </w:tbl>
    <w:p w14:paraId="47ED0F8D" w14:textId="78CCBE52" w:rsidR="000D77C9" w:rsidRPr="00841D1B" w:rsidRDefault="000D77C9" w:rsidP="000D77C9">
      <w:pPr>
        <w:ind w:left="360"/>
        <w:rPr>
          <w:b/>
          <w:bCs/>
        </w:rPr>
      </w:pPr>
      <w:r w:rsidRPr="00841D1B">
        <w:rPr>
          <w:b/>
          <w:bCs/>
        </w:rPr>
        <w:t xml:space="preserve">Responses pg. </w:t>
      </w:r>
      <w:r w:rsidR="00C04880" w:rsidRPr="00841D1B">
        <w:rPr>
          <w:b/>
          <w:bCs/>
        </w:rPr>
        <w:t>12</w:t>
      </w:r>
    </w:p>
    <w:tbl>
      <w:tblPr>
        <w:tblW w:w="0" w:type="auto"/>
        <w:jc w:val="center"/>
        <w:tblLook w:val="04A0" w:firstRow="1" w:lastRow="0" w:firstColumn="1" w:lastColumn="0" w:noHBand="0" w:noVBand="1"/>
      </w:tblPr>
      <w:tblGrid>
        <w:gridCol w:w="4855"/>
        <w:gridCol w:w="831"/>
      </w:tblGrid>
      <w:tr w:rsidR="000D77C9" w:rsidRPr="000D77C9" w14:paraId="46956E6C" w14:textId="77777777" w:rsidTr="00B339F9">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C7A8224" w14:textId="77777777" w:rsidR="000D77C9" w:rsidRPr="000D77C9" w:rsidRDefault="000D77C9" w:rsidP="000D77C9">
            <w:pPr>
              <w:spacing w:after="0" w:line="240" w:lineRule="auto"/>
              <w:rPr>
                <w:rFonts w:ascii="Calibri" w:eastAsia="Times New Roman" w:hAnsi="Calibri" w:cs="Calibri"/>
                <w:b/>
                <w:bCs/>
                <w:color w:val="000000"/>
              </w:rPr>
            </w:pPr>
            <w:r w:rsidRPr="000D77C9">
              <w:rPr>
                <w:rFonts w:ascii="Calibri" w:eastAsia="Times New Roman" w:hAnsi="Calibri" w:cs="Calibri"/>
                <w:b/>
                <w:bCs/>
                <w:color w:val="000000"/>
              </w:rPr>
              <w:t>Cancer Infusion Areas</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32DF964A" w14:textId="77777777" w:rsidR="000D77C9" w:rsidRPr="000D77C9" w:rsidRDefault="000D77C9" w:rsidP="000D77C9">
            <w:pPr>
              <w:spacing w:after="0" w:line="240" w:lineRule="auto"/>
              <w:rPr>
                <w:rFonts w:ascii="Calibri" w:eastAsia="Times New Roman" w:hAnsi="Calibri" w:cs="Calibri"/>
                <w:b/>
                <w:bCs/>
                <w:color w:val="000000"/>
              </w:rPr>
            </w:pPr>
            <w:r w:rsidRPr="000D77C9">
              <w:rPr>
                <w:rFonts w:ascii="Calibri" w:eastAsia="Times New Roman" w:hAnsi="Calibri" w:cs="Calibri"/>
                <w:b/>
                <w:bCs/>
                <w:color w:val="000000"/>
              </w:rPr>
              <w:t>FY18</w:t>
            </w:r>
          </w:p>
        </w:tc>
      </w:tr>
      <w:tr w:rsidR="000D77C9" w:rsidRPr="000D77C9" w14:paraId="56E2AC7A" w14:textId="77777777" w:rsidTr="00B339F9">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BA0165" w14:textId="77777777" w:rsidR="000D77C9" w:rsidRPr="000D77C9" w:rsidRDefault="000D77C9" w:rsidP="000D77C9">
            <w:pPr>
              <w:spacing w:after="0" w:line="240" w:lineRule="auto"/>
              <w:rPr>
                <w:rFonts w:ascii="Calibri" w:eastAsia="Times New Roman" w:hAnsi="Calibri" w:cs="Calibri"/>
                <w:color w:val="000000"/>
              </w:rPr>
            </w:pPr>
            <w:r w:rsidRPr="000D77C9">
              <w:rPr>
                <w:rFonts w:ascii="Calibri" w:eastAsia="Times New Roman" w:hAnsi="Calibri" w:cs="Calibri"/>
                <w:color w:val="000000"/>
              </w:rPr>
              <w:t>Infusion (Yawkey)</w:t>
            </w:r>
          </w:p>
        </w:tc>
        <w:tc>
          <w:tcPr>
            <w:tcW w:w="0" w:type="auto"/>
            <w:tcBorders>
              <w:top w:val="nil"/>
              <w:left w:val="nil"/>
              <w:bottom w:val="single" w:sz="4" w:space="0" w:color="auto"/>
              <w:right w:val="single" w:sz="4" w:space="0" w:color="auto"/>
            </w:tcBorders>
            <w:shd w:val="clear" w:color="auto" w:fill="auto"/>
            <w:noWrap/>
            <w:vAlign w:val="bottom"/>
            <w:hideMark/>
          </w:tcPr>
          <w:p w14:paraId="13D46991"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38,968</w:t>
            </w:r>
          </w:p>
        </w:tc>
      </w:tr>
      <w:tr w:rsidR="000D77C9" w:rsidRPr="000D77C9" w14:paraId="037777E7" w14:textId="77777777" w:rsidTr="00B339F9">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FFA521" w14:textId="77777777" w:rsidR="000D77C9" w:rsidRPr="000D77C9" w:rsidRDefault="000D77C9" w:rsidP="000D77C9">
            <w:pPr>
              <w:spacing w:after="0" w:line="240" w:lineRule="auto"/>
              <w:rPr>
                <w:rFonts w:ascii="Calibri" w:eastAsia="Times New Roman" w:hAnsi="Calibri" w:cs="Calibri"/>
                <w:color w:val="000000"/>
              </w:rPr>
            </w:pPr>
            <w:r w:rsidRPr="000D77C9">
              <w:rPr>
                <w:rFonts w:ascii="Calibri" w:eastAsia="Times New Roman" w:hAnsi="Calibri" w:cs="Calibri"/>
                <w:color w:val="000000"/>
              </w:rPr>
              <w:t>Infusion (Observation)</w:t>
            </w:r>
          </w:p>
        </w:tc>
        <w:tc>
          <w:tcPr>
            <w:tcW w:w="0" w:type="auto"/>
            <w:tcBorders>
              <w:top w:val="nil"/>
              <w:left w:val="nil"/>
              <w:bottom w:val="single" w:sz="4" w:space="0" w:color="auto"/>
              <w:right w:val="single" w:sz="4" w:space="0" w:color="auto"/>
            </w:tcBorders>
            <w:shd w:val="clear" w:color="auto" w:fill="auto"/>
            <w:noWrap/>
            <w:vAlign w:val="bottom"/>
            <w:hideMark/>
          </w:tcPr>
          <w:p w14:paraId="7A6EB089"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6,000</w:t>
            </w:r>
          </w:p>
        </w:tc>
      </w:tr>
      <w:tr w:rsidR="000D77C9" w:rsidRPr="000D77C9" w14:paraId="24B89F0B" w14:textId="77777777" w:rsidTr="00B339F9">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3F7D69" w14:textId="77777777" w:rsidR="000D77C9" w:rsidRPr="000D77C9" w:rsidRDefault="000D77C9" w:rsidP="000D77C9">
            <w:pPr>
              <w:spacing w:after="0" w:line="240" w:lineRule="auto"/>
              <w:rPr>
                <w:rFonts w:ascii="Calibri" w:eastAsia="Times New Roman" w:hAnsi="Calibri" w:cs="Calibri"/>
                <w:color w:val="000000"/>
              </w:rPr>
            </w:pPr>
            <w:r w:rsidRPr="000D77C9">
              <w:rPr>
                <w:rFonts w:ascii="Calibri" w:eastAsia="Times New Roman" w:hAnsi="Calibri" w:cs="Calibri"/>
                <w:color w:val="000000"/>
              </w:rPr>
              <w:t>Infusion (Phase I Clinical Research/Complex Phase I)</w:t>
            </w:r>
          </w:p>
        </w:tc>
        <w:tc>
          <w:tcPr>
            <w:tcW w:w="0" w:type="auto"/>
            <w:tcBorders>
              <w:top w:val="nil"/>
              <w:left w:val="nil"/>
              <w:bottom w:val="single" w:sz="4" w:space="0" w:color="auto"/>
              <w:right w:val="single" w:sz="4" w:space="0" w:color="auto"/>
            </w:tcBorders>
            <w:shd w:val="clear" w:color="auto" w:fill="auto"/>
            <w:noWrap/>
            <w:vAlign w:val="bottom"/>
            <w:hideMark/>
          </w:tcPr>
          <w:p w14:paraId="33BAEA3B" w14:textId="77777777" w:rsidR="000D77C9" w:rsidRPr="000D77C9" w:rsidRDefault="000D77C9" w:rsidP="000D77C9">
            <w:pPr>
              <w:spacing w:after="0" w:line="240" w:lineRule="auto"/>
              <w:jc w:val="right"/>
              <w:rPr>
                <w:rFonts w:ascii="Calibri" w:eastAsia="Times New Roman" w:hAnsi="Calibri" w:cs="Calibri"/>
                <w:color w:val="000000"/>
              </w:rPr>
            </w:pPr>
            <w:r w:rsidRPr="000D77C9">
              <w:rPr>
                <w:rFonts w:ascii="Calibri" w:eastAsia="Times New Roman" w:hAnsi="Calibri" w:cs="Calibri"/>
                <w:color w:val="000000"/>
              </w:rPr>
              <w:t>3,575</w:t>
            </w:r>
          </w:p>
        </w:tc>
      </w:tr>
      <w:tr w:rsidR="000D77C9" w:rsidRPr="000D77C9" w14:paraId="6A0CD538" w14:textId="77777777" w:rsidTr="00B339F9">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BA3905" w14:textId="77777777" w:rsidR="000D77C9" w:rsidRPr="000D77C9" w:rsidRDefault="000D77C9" w:rsidP="000D77C9">
            <w:pPr>
              <w:spacing w:after="0" w:line="240" w:lineRule="auto"/>
              <w:rPr>
                <w:rFonts w:ascii="Calibri" w:eastAsia="Times New Roman" w:hAnsi="Calibri" w:cs="Calibri"/>
                <w:b/>
                <w:bCs/>
                <w:color w:val="000000"/>
              </w:rPr>
            </w:pPr>
            <w:r w:rsidRPr="000D77C9">
              <w:rPr>
                <w:rFonts w:ascii="Calibri" w:eastAsia="Times New Roman" w:hAnsi="Calibri" w:cs="Calibri"/>
                <w:b/>
                <w:bCs/>
                <w:color w:val="000000"/>
              </w:rPr>
              <w:t xml:space="preserve">Total Cancer Center Infusion Visits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82A4E5B" w14:textId="77777777" w:rsidR="000D77C9" w:rsidRPr="000D77C9" w:rsidRDefault="000D77C9" w:rsidP="000D77C9">
            <w:pPr>
              <w:spacing w:after="0" w:line="240" w:lineRule="auto"/>
              <w:jc w:val="right"/>
              <w:rPr>
                <w:rFonts w:ascii="Calibri" w:eastAsia="Times New Roman" w:hAnsi="Calibri" w:cs="Calibri"/>
                <w:b/>
                <w:bCs/>
                <w:color w:val="000000"/>
              </w:rPr>
            </w:pPr>
            <w:r w:rsidRPr="006F734A">
              <w:rPr>
                <w:rFonts w:ascii="Calibri" w:eastAsia="Times New Roman" w:hAnsi="Calibri" w:cs="Calibri"/>
                <w:b/>
                <w:bCs/>
                <w:color w:val="000000"/>
                <w:highlight w:val="yellow"/>
              </w:rPr>
              <w:t>48,543</w:t>
            </w:r>
          </w:p>
        </w:tc>
      </w:tr>
    </w:tbl>
    <w:p w14:paraId="177E319A" w14:textId="1ED1B308" w:rsidR="006E18E3" w:rsidRDefault="006E18E3">
      <w:pPr>
        <w:rPr>
          <w:rFonts w:cstheme="minorHAnsi"/>
          <w:u w:val="single"/>
        </w:rPr>
      </w:pPr>
    </w:p>
    <w:p w14:paraId="2D44EE08" w14:textId="73BA5673" w:rsidR="00A64196" w:rsidRDefault="00A64196" w:rsidP="00A64196">
      <w:pPr>
        <w:ind w:left="720"/>
      </w:pPr>
      <w:r>
        <w:t xml:space="preserve">Response:  In the response, the infusion therapy volume in Yawkey and Phase I Clinical/Research totals 42,543 and is slightly different from the original application (42,660).  MGH understands this discrepancy to be driven by timing and the different queries used to calculate FY18 actuals. With respect to the additional 6,000 visits noted in the response, this is because the total number of infusion visits provided in the application represents completed visits in MGH’s infusion departments at the main campus as recorded in the EHR. This query only looked at infusion visits based on site of care (i.e., within infusion departments at MGH’s main campus). However, total volume in the response represents all infusion cases </w:t>
      </w:r>
      <w:r w:rsidR="008901B1">
        <w:t xml:space="preserve">performed at </w:t>
      </w:r>
      <w:r>
        <w:t xml:space="preserve">MGH’s main campus based on </w:t>
      </w:r>
      <w:r w:rsidR="00B9390E">
        <w:t xml:space="preserve">outpatient </w:t>
      </w:r>
      <w:r>
        <w:t xml:space="preserve">billing data, regardless of where </w:t>
      </w:r>
      <w:r w:rsidR="008901B1">
        <w:t>on</w:t>
      </w:r>
      <w:r>
        <w:t xml:space="preserve"> the main campus the service was performed. As a result, MGH identified a new subset of patients that received infusion therapy in a licensed bed. These 6,000 observation cases represent a highly acute patient population. </w:t>
      </w:r>
    </w:p>
    <w:p w14:paraId="6DCDED4E" w14:textId="77777777" w:rsidR="00A64196" w:rsidRPr="006E18E3" w:rsidRDefault="00A64196">
      <w:pPr>
        <w:rPr>
          <w:rFonts w:cstheme="minorHAnsi"/>
          <w:u w:val="single"/>
        </w:rPr>
      </w:pPr>
    </w:p>
    <w:sectPr w:rsidR="00A64196" w:rsidRPr="006E18E3">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81605" w14:textId="77777777" w:rsidR="0048159E" w:rsidRDefault="0048159E" w:rsidP="0053791C">
      <w:pPr>
        <w:spacing w:after="0" w:line="240" w:lineRule="auto"/>
      </w:pPr>
      <w:r>
        <w:separator/>
      </w:r>
    </w:p>
  </w:endnote>
  <w:endnote w:type="continuationSeparator" w:id="0">
    <w:p w14:paraId="43587B54" w14:textId="77777777" w:rsidR="0048159E" w:rsidRDefault="0048159E" w:rsidP="0053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3DA55" w14:textId="000111F1" w:rsidR="00030111" w:rsidRDefault="00030111">
    <w:pPr>
      <w:pStyle w:val="Footer"/>
    </w:pPr>
    <w:r>
      <w:fldChar w:fldCharType="begin"/>
    </w:r>
    <w:r w:rsidRPr="00DB7632">
      <w:rPr>
        <w:rStyle w:val="DocID"/>
      </w:rPr>
      <w:instrText xml:space="preserve"> DOCPROPERTY DOCXDOCID DMS=NetDocuments Format=HB: &lt;&lt;ID&gt;&gt;.&lt;&lt;VER&gt;&gt; PRESERVELOCATION \* MERGEFORMAT </w:instrText>
    </w:r>
    <w:r>
      <w:fldChar w:fldCharType="separate"/>
    </w:r>
    <w:r>
      <w:rPr>
        <w:rStyle w:val="DocID"/>
      </w:rPr>
      <w:t>HB: 4887-8354-1258.1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256388"/>
      <w:docPartObj>
        <w:docPartGallery w:val="Page Numbers (Bottom of Page)"/>
        <w:docPartUnique/>
      </w:docPartObj>
    </w:sdtPr>
    <w:sdtEndPr>
      <w:rPr>
        <w:noProof/>
      </w:rPr>
    </w:sdtEndPr>
    <w:sdtContent>
      <w:p w14:paraId="6FD68FD7" w14:textId="0B5324C3" w:rsidR="00030111" w:rsidRDefault="00030111">
        <w:pPr>
          <w:pStyle w:val="Footer"/>
          <w:jc w:val="center"/>
        </w:pPr>
        <w:r>
          <w:fldChar w:fldCharType="begin"/>
        </w:r>
        <w:r>
          <w:instrText xml:space="preserve"> PAGE   \* MERGEFORMAT </w:instrText>
        </w:r>
        <w:r>
          <w:fldChar w:fldCharType="separate"/>
        </w:r>
        <w:r w:rsidR="00692691">
          <w:rPr>
            <w:noProof/>
          </w:rPr>
          <w:t>1</w:t>
        </w:r>
        <w:r>
          <w:rPr>
            <w:noProof/>
          </w:rPr>
          <w:fldChar w:fldCharType="end"/>
        </w:r>
      </w:p>
    </w:sdtContent>
  </w:sdt>
  <w:p w14:paraId="111E4DFA" w14:textId="30FFE913" w:rsidR="00030111" w:rsidRDefault="00030111">
    <w:pPr>
      <w:pStyle w:val="Footer"/>
    </w:pPr>
    <w:r>
      <w:fldChar w:fldCharType="begin"/>
    </w:r>
    <w:r w:rsidRPr="00DB7632">
      <w:rPr>
        <w:rStyle w:val="DocID"/>
      </w:rPr>
      <w:instrText xml:space="preserve"> DOCPROPERTY DOCXDOCID DMS=NetDocuments Format=HB: &lt;&lt;ID&gt;&gt;.&lt;&lt;VER&gt;&gt; PRESERVELOCATION \* MERGEFORMAT </w:instrText>
    </w:r>
    <w:r>
      <w:fldChar w:fldCharType="separate"/>
    </w:r>
    <w:r>
      <w:rPr>
        <w:rStyle w:val="DocID"/>
      </w:rPr>
      <w:t>HB: 4887-8354-1258.1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A86C6" w14:textId="03082807" w:rsidR="00030111" w:rsidRDefault="00030111">
    <w:pPr>
      <w:pStyle w:val="Footer"/>
    </w:pPr>
    <w:r>
      <w:fldChar w:fldCharType="begin"/>
    </w:r>
    <w:r w:rsidRPr="00DB7632">
      <w:rPr>
        <w:rStyle w:val="DocID"/>
      </w:rPr>
      <w:instrText xml:space="preserve"> DOCPROPERTY DOCXDOCID DMS=NetDocuments Format=HB: &lt;&lt;ID&gt;&gt;.&lt;&lt;VER&gt;&gt; PRESERVELOCATION \* MERGEFORMAT </w:instrText>
    </w:r>
    <w:r>
      <w:fldChar w:fldCharType="separate"/>
    </w:r>
    <w:r>
      <w:rPr>
        <w:rStyle w:val="DocID"/>
      </w:rPr>
      <w:t>HB: 4887-8354-1258.1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A1C4E" w14:textId="77777777" w:rsidR="0048159E" w:rsidRDefault="0048159E" w:rsidP="0053791C">
      <w:pPr>
        <w:spacing w:after="0" w:line="240" w:lineRule="auto"/>
      </w:pPr>
      <w:r>
        <w:separator/>
      </w:r>
    </w:p>
  </w:footnote>
  <w:footnote w:type="continuationSeparator" w:id="0">
    <w:p w14:paraId="4896E8FE" w14:textId="77777777" w:rsidR="0048159E" w:rsidRDefault="0048159E" w:rsidP="0053791C">
      <w:pPr>
        <w:spacing w:after="0" w:line="240" w:lineRule="auto"/>
      </w:pPr>
      <w:r>
        <w:continuationSeparator/>
      </w:r>
    </w:p>
  </w:footnote>
  <w:footnote w:id="1">
    <w:p w14:paraId="4169EB90" w14:textId="77777777" w:rsidR="00030111" w:rsidRPr="008808E4" w:rsidRDefault="00030111" w:rsidP="00AE45A6">
      <w:pPr>
        <w:pStyle w:val="FootnoteText"/>
        <w:rPr>
          <w:sz w:val="18"/>
          <w:szCs w:val="18"/>
        </w:rPr>
      </w:pPr>
      <w:r w:rsidRPr="008808E4">
        <w:rPr>
          <w:rStyle w:val="FootnoteReference"/>
          <w:sz w:val="18"/>
          <w:szCs w:val="18"/>
        </w:rPr>
        <w:footnoteRef/>
      </w:r>
      <w:r w:rsidRPr="008808E4">
        <w:rPr>
          <w:sz w:val="18"/>
          <w:szCs w:val="18"/>
        </w:rPr>
        <w:t xml:space="preserve"> Updated from projections in DoN and Chart for Question #3 that were based on partial year. </w:t>
      </w:r>
    </w:p>
  </w:footnote>
  <w:footnote w:id="2">
    <w:p w14:paraId="3B18FD85" w14:textId="77777777" w:rsidR="00030111" w:rsidRPr="008808E4" w:rsidRDefault="00030111" w:rsidP="00F27D70">
      <w:pPr>
        <w:pStyle w:val="FootnoteText"/>
        <w:rPr>
          <w:sz w:val="18"/>
          <w:szCs w:val="18"/>
        </w:rPr>
      </w:pPr>
      <w:r w:rsidRPr="008808E4">
        <w:rPr>
          <w:rStyle w:val="FootnoteReference"/>
          <w:sz w:val="18"/>
          <w:szCs w:val="18"/>
        </w:rPr>
        <w:footnoteRef/>
      </w:r>
      <w:r w:rsidRPr="008808E4">
        <w:rPr>
          <w:sz w:val="18"/>
          <w:szCs w:val="18"/>
        </w:rPr>
        <w:t xml:space="preserve"> Updated from projections in DoN and Chart for Question #3 that were based on partial year.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F61C" w14:textId="68323363" w:rsidR="00030111" w:rsidRPr="004B2D67" w:rsidRDefault="00030111" w:rsidP="00413727">
    <w:pPr>
      <w:pStyle w:val="Header"/>
      <w:jc w:val="center"/>
      <w:rPr>
        <w:sz w:val="28"/>
        <w:szCs w:val="28"/>
      </w:rPr>
    </w:pPr>
    <w:r w:rsidRPr="004B2D67">
      <w:rPr>
        <w:sz w:val="28"/>
        <w:szCs w:val="28"/>
      </w:rPr>
      <w:t>Mass General Incorporated</w:t>
    </w:r>
    <w:r>
      <w:rPr>
        <w:sz w:val="28"/>
        <w:szCs w:val="28"/>
      </w:rPr>
      <w:t xml:space="preserve"> - </w:t>
    </w:r>
    <w:r w:rsidRPr="004B2D67">
      <w:rPr>
        <w:sz w:val="28"/>
        <w:szCs w:val="28"/>
      </w:rPr>
      <w:t xml:space="preserve">Massachusetts General Hospital </w:t>
    </w:r>
  </w:p>
  <w:p w14:paraId="51C254F5" w14:textId="55FDD4E7" w:rsidR="00030111" w:rsidRDefault="00030111" w:rsidP="00413727">
    <w:pPr>
      <w:pStyle w:val="Header"/>
      <w:jc w:val="center"/>
      <w:rPr>
        <w:sz w:val="28"/>
        <w:szCs w:val="28"/>
      </w:rPr>
    </w:pPr>
    <w:r w:rsidRPr="004B2D67">
      <w:rPr>
        <w:sz w:val="28"/>
        <w:szCs w:val="28"/>
      </w:rPr>
      <w:t>DoN# MGB-20121612-H</w:t>
    </w:r>
    <w:r>
      <w:rPr>
        <w:sz w:val="28"/>
        <w:szCs w:val="28"/>
      </w:rPr>
      <w:t>E</w:t>
    </w:r>
  </w:p>
  <w:p w14:paraId="5A456FF0" w14:textId="77777777" w:rsidR="00030111" w:rsidRDefault="00030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2FC"/>
    <w:multiLevelType w:val="hybridMultilevel"/>
    <w:tmpl w:val="A8B4A49C"/>
    <w:lvl w:ilvl="0" w:tplc="1EA05580">
      <w:start w:val="1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95AE2"/>
    <w:multiLevelType w:val="hybridMultilevel"/>
    <w:tmpl w:val="B410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56D0"/>
    <w:multiLevelType w:val="hybridMultilevel"/>
    <w:tmpl w:val="11847C3A"/>
    <w:lvl w:ilvl="0" w:tplc="4C247BD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34635"/>
    <w:multiLevelType w:val="hybridMultilevel"/>
    <w:tmpl w:val="EF845AD2"/>
    <w:lvl w:ilvl="0" w:tplc="11AA1E1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F23AE"/>
    <w:multiLevelType w:val="hybridMultilevel"/>
    <w:tmpl w:val="D188D594"/>
    <w:lvl w:ilvl="0" w:tplc="310C10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F91813"/>
    <w:multiLevelType w:val="hybridMultilevel"/>
    <w:tmpl w:val="4A88B394"/>
    <w:lvl w:ilvl="0" w:tplc="EE3C09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0B6548"/>
    <w:multiLevelType w:val="hybridMultilevel"/>
    <w:tmpl w:val="42008C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E97E97"/>
    <w:multiLevelType w:val="hybridMultilevel"/>
    <w:tmpl w:val="F7CCD0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BC0027C"/>
    <w:multiLevelType w:val="hybridMultilevel"/>
    <w:tmpl w:val="1A98B760"/>
    <w:lvl w:ilvl="0" w:tplc="DD7A1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02478A"/>
    <w:multiLevelType w:val="hybridMultilevel"/>
    <w:tmpl w:val="78247176"/>
    <w:lvl w:ilvl="0" w:tplc="11AA1E1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F21C8"/>
    <w:multiLevelType w:val="hybridMultilevel"/>
    <w:tmpl w:val="96C6B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B13F5"/>
    <w:multiLevelType w:val="hybridMultilevel"/>
    <w:tmpl w:val="7FEE3D50"/>
    <w:lvl w:ilvl="0" w:tplc="74E87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6926CD"/>
    <w:multiLevelType w:val="hybridMultilevel"/>
    <w:tmpl w:val="A450418E"/>
    <w:lvl w:ilvl="0" w:tplc="E2C664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2674AE"/>
    <w:multiLevelType w:val="hybridMultilevel"/>
    <w:tmpl w:val="BEC8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BFD11B3"/>
    <w:multiLevelType w:val="hybridMultilevel"/>
    <w:tmpl w:val="ED80F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07C0A"/>
    <w:multiLevelType w:val="hybridMultilevel"/>
    <w:tmpl w:val="37CCD51A"/>
    <w:lvl w:ilvl="0" w:tplc="CD34F3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3940E8"/>
    <w:multiLevelType w:val="hybridMultilevel"/>
    <w:tmpl w:val="A7060056"/>
    <w:lvl w:ilvl="0" w:tplc="36DACB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C21407"/>
    <w:multiLevelType w:val="hybridMultilevel"/>
    <w:tmpl w:val="F6B28CA8"/>
    <w:lvl w:ilvl="0" w:tplc="4D8A2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1"/>
  </w:num>
  <w:num w:numId="4">
    <w:abstractNumId w:val="6"/>
  </w:num>
  <w:num w:numId="5">
    <w:abstractNumId w:val="15"/>
  </w:num>
  <w:num w:numId="6">
    <w:abstractNumId w:val="13"/>
  </w:num>
  <w:num w:numId="7">
    <w:abstractNumId w:val="9"/>
  </w:num>
  <w:num w:numId="8">
    <w:abstractNumId w:val="16"/>
  </w:num>
  <w:num w:numId="9">
    <w:abstractNumId w:val="5"/>
  </w:num>
  <w:num w:numId="10">
    <w:abstractNumId w:val="17"/>
  </w:num>
  <w:num w:numId="11">
    <w:abstractNumId w:val="12"/>
  </w:num>
  <w:num w:numId="12">
    <w:abstractNumId w:val="11"/>
  </w:num>
  <w:num w:numId="13">
    <w:abstractNumId w:val="4"/>
  </w:num>
  <w:num w:numId="14">
    <w:abstractNumId w:val="18"/>
  </w:num>
  <w:num w:numId="15">
    <w:abstractNumId w:val="7"/>
  </w:num>
  <w:num w:numId="16">
    <w:abstractNumId w:val="10"/>
  </w:num>
  <w:num w:numId="17">
    <w:abstractNumId w:val="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6E"/>
    <w:rsid w:val="00007B9B"/>
    <w:rsid w:val="00020603"/>
    <w:rsid w:val="000276AD"/>
    <w:rsid w:val="00030111"/>
    <w:rsid w:val="00031B76"/>
    <w:rsid w:val="00044663"/>
    <w:rsid w:val="00046B0B"/>
    <w:rsid w:val="0005133B"/>
    <w:rsid w:val="00057424"/>
    <w:rsid w:val="00057594"/>
    <w:rsid w:val="0006156E"/>
    <w:rsid w:val="00092137"/>
    <w:rsid w:val="00097A15"/>
    <w:rsid w:val="000A6878"/>
    <w:rsid w:val="000B0738"/>
    <w:rsid w:val="000C1E22"/>
    <w:rsid w:val="000D38E6"/>
    <w:rsid w:val="000D77C9"/>
    <w:rsid w:val="000E48E6"/>
    <w:rsid w:val="000E5788"/>
    <w:rsid w:val="000E59E0"/>
    <w:rsid w:val="000F2A58"/>
    <w:rsid w:val="001023F6"/>
    <w:rsid w:val="00103534"/>
    <w:rsid w:val="0011006B"/>
    <w:rsid w:val="0011066F"/>
    <w:rsid w:val="00110F64"/>
    <w:rsid w:val="0013425C"/>
    <w:rsid w:val="001370E2"/>
    <w:rsid w:val="00137B7D"/>
    <w:rsid w:val="0014102C"/>
    <w:rsid w:val="00145A37"/>
    <w:rsid w:val="00150529"/>
    <w:rsid w:val="001554C4"/>
    <w:rsid w:val="00157879"/>
    <w:rsid w:val="00160C24"/>
    <w:rsid w:val="00165307"/>
    <w:rsid w:val="00167901"/>
    <w:rsid w:val="00171B74"/>
    <w:rsid w:val="0017385C"/>
    <w:rsid w:val="001752C3"/>
    <w:rsid w:val="00177E0A"/>
    <w:rsid w:val="00185C4C"/>
    <w:rsid w:val="001956D1"/>
    <w:rsid w:val="00197E9C"/>
    <w:rsid w:val="001A6218"/>
    <w:rsid w:val="001B42CB"/>
    <w:rsid w:val="001B7DBF"/>
    <w:rsid w:val="001C5BC3"/>
    <w:rsid w:val="001D1E32"/>
    <w:rsid w:val="001E4690"/>
    <w:rsid w:val="001F5BAD"/>
    <w:rsid w:val="00204529"/>
    <w:rsid w:val="00205BC2"/>
    <w:rsid w:val="0020740E"/>
    <w:rsid w:val="00212DEF"/>
    <w:rsid w:val="00221EE5"/>
    <w:rsid w:val="00222D44"/>
    <w:rsid w:val="002315D2"/>
    <w:rsid w:val="002318B9"/>
    <w:rsid w:val="002323F1"/>
    <w:rsid w:val="002352DB"/>
    <w:rsid w:val="00240E2F"/>
    <w:rsid w:val="0024480F"/>
    <w:rsid w:val="00250848"/>
    <w:rsid w:val="00260712"/>
    <w:rsid w:val="0026375D"/>
    <w:rsid w:val="00277A90"/>
    <w:rsid w:val="002810E5"/>
    <w:rsid w:val="00290D9B"/>
    <w:rsid w:val="002A1304"/>
    <w:rsid w:val="002A3841"/>
    <w:rsid w:val="002A4217"/>
    <w:rsid w:val="002B4DC7"/>
    <w:rsid w:val="002C127B"/>
    <w:rsid w:val="002C1D78"/>
    <w:rsid w:val="002C7E79"/>
    <w:rsid w:val="002D2677"/>
    <w:rsid w:val="002E0471"/>
    <w:rsid w:val="002E7908"/>
    <w:rsid w:val="00303216"/>
    <w:rsid w:val="00304B22"/>
    <w:rsid w:val="003063E3"/>
    <w:rsid w:val="00317072"/>
    <w:rsid w:val="003229B6"/>
    <w:rsid w:val="0033736B"/>
    <w:rsid w:val="00353010"/>
    <w:rsid w:val="0035555A"/>
    <w:rsid w:val="00357A19"/>
    <w:rsid w:val="003718E6"/>
    <w:rsid w:val="0038089C"/>
    <w:rsid w:val="00390C5B"/>
    <w:rsid w:val="003918A0"/>
    <w:rsid w:val="00397507"/>
    <w:rsid w:val="003A1198"/>
    <w:rsid w:val="003A11F3"/>
    <w:rsid w:val="003B1AE2"/>
    <w:rsid w:val="003C5F7D"/>
    <w:rsid w:val="003C6072"/>
    <w:rsid w:val="003C65E2"/>
    <w:rsid w:val="003D3833"/>
    <w:rsid w:val="003E22D0"/>
    <w:rsid w:val="003E40C8"/>
    <w:rsid w:val="003E48C4"/>
    <w:rsid w:val="003F3430"/>
    <w:rsid w:val="00413727"/>
    <w:rsid w:val="00420E2B"/>
    <w:rsid w:val="00446476"/>
    <w:rsid w:val="004505E3"/>
    <w:rsid w:val="004635D3"/>
    <w:rsid w:val="00464D36"/>
    <w:rsid w:val="00466F1B"/>
    <w:rsid w:val="0047539A"/>
    <w:rsid w:val="0047769E"/>
    <w:rsid w:val="00477793"/>
    <w:rsid w:val="0048052C"/>
    <w:rsid w:val="0048159E"/>
    <w:rsid w:val="00485830"/>
    <w:rsid w:val="004930BA"/>
    <w:rsid w:val="004A55A9"/>
    <w:rsid w:val="004A564E"/>
    <w:rsid w:val="004B17BB"/>
    <w:rsid w:val="004B229D"/>
    <w:rsid w:val="004B761A"/>
    <w:rsid w:val="004C0B3F"/>
    <w:rsid w:val="004C58D2"/>
    <w:rsid w:val="004C6D85"/>
    <w:rsid w:val="004D302E"/>
    <w:rsid w:val="004D45B6"/>
    <w:rsid w:val="004E01A0"/>
    <w:rsid w:val="004E7C86"/>
    <w:rsid w:val="004F140D"/>
    <w:rsid w:val="004F619F"/>
    <w:rsid w:val="004F7ACA"/>
    <w:rsid w:val="00500D82"/>
    <w:rsid w:val="0051296A"/>
    <w:rsid w:val="00525FFB"/>
    <w:rsid w:val="0053116F"/>
    <w:rsid w:val="00531884"/>
    <w:rsid w:val="00531D3C"/>
    <w:rsid w:val="0053791C"/>
    <w:rsid w:val="00537C0F"/>
    <w:rsid w:val="00541801"/>
    <w:rsid w:val="0055569F"/>
    <w:rsid w:val="00556F2F"/>
    <w:rsid w:val="00563183"/>
    <w:rsid w:val="00573D1C"/>
    <w:rsid w:val="00582D07"/>
    <w:rsid w:val="005B082A"/>
    <w:rsid w:val="005D30C7"/>
    <w:rsid w:val="005D38E3"/>
    <w:rsid w:val="005E60B7"/>
    <w:rsid w:val="005F4DAA"/>
    <w:rsid w:val="005F7976"/>
    <w:rsid w:val="006027B8"/>
    <w:rsid w:val="00605AE0"/>
    <w:rsid w:val="006201CB"/>
    <w:rsid w:val="00640DCC"/>
    <w:rsid w:val="00651CD4"/>
    <w:rsid w:val="00651D28"/>
    <w:rsid w:val="006577BB"/>
    <w:rsid w:val="006642D3"/>
    <w:rsid w:val="00680243"/>
    <w:rsid w:val="00690100"/>
    <w:rsid w:val="00692691"/>
    <w:rsid w:val="006A1D3C"/>
    <w:rsid w:val="006A32E4"/>
    <w:rsid w:val="006A360E"/>
    <w:rsid w:val="006A63E7"/>
    <w:rsid w:val="006B0D38"/>
    <w:rsid w:val="006B24E3"/>
    <w:rsid w:val="006B6514"/>
    <w:rsid w:val="006B6B80"/>
    <w:rsid w:val="006E18E3"/>
    <w:rsid w:val="006F54BB"/>
    <w:rsid w:val="006F734A"/>
    <w:rsid w:val="00702327"/>
    <w:rsid w:val="007117C7"/>
    <w:rsid w:val="00714F72"/>
    <w:rsid w:val="00726DB8"/>
    <w:rsid w:val="00766CBF"/>
    <w:rsid w:val="007671A1"/>
    <w:rsid w:val="007677FF"/>
    <w:rsid w:val="00773ED1"/>
    <w:rsid w:val="00776E77"/>
    <w:rsid w:val="00777273"/>
    <w:rsid w:val="0077728B"/>
    <w:rsid w:val="0077742D"/>
    <w:rsid w:val="00781BF8"/>
    <w:rsid w:val="00791279"/>
    <w:rsid w:val="007A0B49"/>
    <w:rsid w:val="007A2CB3"/>
    <w:rsid w:val="007D7435"/>
    <w:rsid w:val="007F05A4"/>
    <w:rsid w:val="00810AFE"/>
    <w:rsid w:val="008207AF"/>
    <w:rsid w:val="00823D43"/>
    <w:rsid w:val="00831CFF"/>
    <w:rsid w:val="00841D1B"/>
    <w:rsid w:val="0085080F"/>
    <w:rsid w:val="00870916"/>
    <w:rsid w:val="00877136"/>
    <w:rsid w:val="008817EB"/>
    <w:rsid w:val="008827CE"/>
    <w:rsid w:val="00887880"/>
    <w:rsid w:val="008901B1"/>
    <w:rsid w:val="008911CA"/>
    <w:rsid w:val="008B5E5E"/>
    <w:rsid w:val="008B6BC5"/>
    <w:rsid w:val="008B6ECB"/>
    <w:rsid w:val="008C302C"/>
    <w:rsid w:val="008C5AE7"/>
    <w:rsid w:val="008D26C0"/>
    <w:rsid w:val="008D7D8B"/>
    <w:rsid w:val="008E39DC"/>
    <w:rsid w:val="0090619C"/>
    <w:rsid w:val="00911FD3"/>
    <w:rsid w:val="00912C30"/>
    <w:rsid w:val="009134C9"/>
    <w:rsid w:val="009135AF"/>
    <w:rsid w:val="00916C22"/>
    <w:rsid w:val="0091738E"/>
    <w:rsid w:val="0092225F"/>
    <w:rsid w:val="0092386E"/>
    <w:rsid w:val="00932518"/>
    <w:rsid w:val="009435E0"/>
    <w:rsid w:val="00952ADF"/>
    <w:rsid w:val="00952BBF"/>
    <w:rsid w:val="00966579"/>
    <w:rsid w:val="00970C7F"/>
    <w:rsid w:val="00972081"/>
    <w:rsid w:val="009810FC"/>
    <w:rsid w:val="009B3591"/>
    <w:rsid w:val="009B54D0"/>
    <w:rsid w:val="009D048C"/>
    <w:rsid w:val="009D2336"/>
    <w:rsid w:val="009D5966"/>
    <w:rsid w:val="009E1788"/>
    <w:rsid w:val="009E33FF"/>
    <w:rsid w:val="009E568E"/>
    <w:rsid w:val="009E6059"/>
    <w:rsid w:val="009E7305"/>
    <w:rsid w:val="009F1F42"/>
    <w:rsid w:val="009F4AD2"/>
    <w:rsid w:val="00A02077"/>
    <w:rsid w:val="00A071F0"/>
    <w:rsid w:val="00A11E2C"/>
    <w:rsid w:val="00A12187"/>
    <w:rsid w:val="00A15190"/>
    <w:rsid w:val="00A179F8"/>
    <w:rsid w:val="00A30620"/>
    <w:rsid w:val="00A3407C"/>
    <w:rsid w:val="00A47A69"/>
    <w:rsid w:val="00A57972"/>
    <w:rsid w:val="00A6227A"/>
    <w:rsid w:val="00A6352D"/>
    <w:rsid w:val="00A64196"/>
    <w:rsid w:val="00A67B35"/>
    <w:rsid w:val="00A70882"/>
    <w:rsid w:val="00A7575F"/>
    <w:rsid w:val="00A841E0"/>
    <w:rsid w:val="00A87629"/>
    <w:rsid w:val="00AB0678"/>
    <w:rsid w:val="00AB1C18"/>
    <w:rsid w:val="00AB1DE9"/>
    <w:rsid w:val="00AB31A9"/>
    <w:rsid w:val="00AB5D80"/>
    <w:rsid w:val="00AC0689"/>
    <w:rsid w:val="00AE13BC"/>
    <w:rsid w:val="00AE45A6"/>
    <w:rsid w:val="00AE5E0B"/>
    <w:rsid w:val="00AE6684"/>
    <w:rsid w:val="00AF69A8"/>
    <w:rsid w:val="00B102AE"/>
    <w:rsid w:val="00B14DAE"/>
    <w:rsid w:val="00B20951"/>
    <w:rsid w:val="00B216E8"/>
    <w:rsid w:val="00B24C64"/>
    <w:rsid w:val="00B339F9"/>
    <w:rsid w:val="00B346AE"/>
    <w:rsid w:val="00B34CB5"/>
    <w:rsid w:val="00B35274"/>
    <w:rsid w:val="00B451C8"/>
    <w:rsid w:val="00B504F9"/>
    <w:rsid w:val="00B525B6"/>
    <w:rsid w:val="00B561D2"/>
    <w:rsid w:val="00B7686F"/>
    <w:rsid w:val="00B86118"/>
    <w:rsid w:val="00B87B7C"/>
    <w:rsid w:val="00B9390E"/>
    <w:rsid w:val="00BA55F4"/>
    <w:rsid w:val="00BC1FD4"/>
    <w:rsid w:val="00BD2AB8"/>
    <w:rsid w:val="00BD7C78"/>
    <w:rsid w:val="00BE10AC"/>
    <w:rsid w:val="00BE2469"/>
    <w:rsid w:val="00BF1D27"/>
    <w:rsid w:val="00BF665C"/>
    <w:rsid w:val="00C0141C"/>
    <w:rsid w:val="00C04880"/>
    <w:rsid w:val="00C16910"/>
    <w:rsid w:val="00C22FA4"/>
    <w:rsid w:val="00C23E20"/>
    <w:rsid w:val="00C275D4"/>
    <w:rsid w:val="00C368D8"/>
    <w:rsid w:val="00C47756"/>
    <w:rsid w:val="00C53A43"/>
    <w:rsid w:val="00C637F9"/>
    <w:rsid w:val="00C67472"/>
    <w:rsid w:val="00C715B6"/>
    <w:rsid w:val="00C83A03"/>
    <w:rsid w:val="00C91A45"/>
    <w:rsid w:val="00C93C06"/>
    <w:rsid w:val="00CA18E4"/>
    <w:rsid w:val="00CA5CB6"/>
    <w:rsid w:val="00CA60F9"/>
    <w:rsid w:val="00CB000F"/>
    <w:rsid w:val="00CB10A0"/>
    <w:rsid w:val="00CB3D22"/>
    <w:rsid w:val="00CB4E2E"/>
    <w:rsid w:val="00CD444B"/>
    <w:rsid w:val="00CD4BD2"/>
    <w:rsid w:val="00CE5685"/>
    <w:rsid w:val="00CE64DC"/>
    <w:rsid w:val="00CF5F78"/>
    <w:rsid w:val="00D02AE6"/>
    <w:rsid w:val="00D158DD"/>
    <w:rsid w:val="00D16D64"/>
    <w:rsid w:val="00D51307"/>
    <w:rsid w:val="00D51648"/>
    <w:rsid w:val="00D55DA3"/>
    <w:rsid w:val="00D60BD3"/>
    <w:rsid w:val="00D66712"/>
    <w:rsid w:val="00D72EC1"/>
    <w:rsid w:val="00D73950"/>
    <w:rsid w:val="00D77442"/>
    <w:rsid w:val="00D82442"/>
    <w:rsid w:val="00D855A3"/>
    <w:rsid w:val="00D91E73"/>
    <w:rsid w:val="00DA1C46"/>
    <w:rsid w:val="00DA675D"/>
    <w:rsid w:val="00DB71EB"/>
    <w:rsid w:val="00DB7632"/>
    <w:rsid w:val="00DC657D"/>
    <w:rsid w:val="00DD0EEE"/>
    <w:rsid w:val="00DD2442"/>
    <w:rsid w:val="00DD3392"/>
    <w:rsid w:val="00DD4821"/>
    <w:rsid w:val="00DD59F0"/>
    <w:rsid w:val="00DD7771"/>
    <w:rsid w:val="00DE003B"/>
    <w:rsid w:val="00DE1478"/>
    <w:rsid w:val="00DE1965"/>
    <w:rsid w:val="00DE19C7"/>
    <w:rsid w:val="00DE4EEA"/>
    <w:rsid w:val="00DF0A55"/>
    <w:rsid w:val="00DF4CFD"/>
    <w:rsid w:val="00E0218B"/>
    <w:rsid w:val="00E02482"/>
    <w:rsid w:val="00E0271E"/>
    <w:rsid w:val="00E02752"/>
    <w:rsid w:val="00E04642"/>
    <w:rsid w:val="00E0628D"/>
    <w:rsid w:val="00E12EB4"/>
    <w:rsid w:val="00E13CA0"/>
    <w:rsid w:val="00E14513"/>
    <w:rsid w:val="00E27668"/>
    <w:rsid w:val="00E33584"/>
    <w:rsid w:val="00E34877"/>
    <w:rsid w:val="00E5193D"/>
    <w:rsid w:val="00E65A71"/>
    <w:rsid w:val="00E71E75"/>
    <w:rsid w:val="00E76739"/>
    <w:rsid w:val="00E93624"/>
    <w:rsid w:val="00E97477"/>
    <w:rsid w:val="00EA1508"/>
    <w:rsid w:val="00EA39FB"/>
    <w:rsid w:val="00EA6C86"/>
    <w:rsid w:val="00EB215C"/>
    <w:rsid w:val="00EB6B4C"/>
    <w:rsid w:val="00ED2C04"/>
    <w:rsid w:val="00EF5966"/>
    <w:rsid w:val="00F00EB0"/>
    <w:rsid w:val="00F01A85"/>
    <w:rsid w:val="00F10AD2"/>
    <w:rsid w:val="00F111ED"/>
    <w:rsid w:val="00F14134"/>
    <w:rsid w:val="00F15595"/>
    <w:rsid w:val="00F16A41"/>
    <w:rsid w:val="00F21CC3"/>
    <w:rsid w:val="00F256FF"/>
    <w:rsid w:val="00F27D70"/>
    <w:rsid w:val="00F32BB1"/>
    <w:rsid w:val="00F3404C"/>
    <w:rsid w:val="00F3604D"/>
    <w:rsid w:val="00F37D4E"/>
    <w:rsid w:val="00F46289"/>
    <w:rsid w:val="00F5055D"/>
    <w:rsid w:val="00F57E75"/>
    <w:rsid w:val="00F637E2"/>
    <w:rsid w:val="00F70712"/>
    <w:rsid w:val="00F71F13"/>
    <w:rsid w:val="00F75B60"/>
    <w:rsid w:val="00F90098"/>
    <w:rsid w:val="00FA68E3"/>
    <w:rsid w:val="00FA6907"/>
    <w:rsid w:val="00FA71B8"/>
    <w:rsid w:val="00FC0544"/>
    <w:rsid w:val="00FC559B"/>
    <w:rsid w:val="00FD1EB2"/>
    <w:rsid w:val="00FD2101"/>
    <w:rsid w:val="00FD58BA"/>
    <w:rsid w:val="00FE4821"/>
    <w:rsid w:val="00FE585A"/>
    <w:rsid w:val="00FF2403"/>
    <w:rsid w:val="00FF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A6769A"/>
  <w15:chartTrackingRefBased/>
  <w15:docId w15:val="{06A3BC63-0248-4EBD-95B7-DF040F22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E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60B7"/>
    <w:pPr>
      <w:ind w:left="720"/>
      <w:contextualSpacing/>
    </w:pPr>
  </w:style>
  <w:style w:type="paragraph" w:styleId="BalloonText">
    <w:name w:val="Balloon Text"/>
    <w:basedOn w:val="Normal"/>
    <w:link w:val="BalloonTextChar"/>
    <w:uiPriority w:val="99"/>
    <w:semiHidden/>
    <w:unhideWhenUsed/>
    <w:rsid w:val="005E6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0B7"/>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5E60B7"/>
  </w:style>
  <w:style w:type="table" w:styleId="TableGrid">
    <w:name w:val="Table Grid"/>
    <w:basedOn w:val="TableNormal"/>
    <w:uiPriority w:val="59"/>
    <w:rsid w:val="00537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3791C"/>
    <w:pPr>
      <w:spacing w:after="0" w:line="240" w:lineRule="auto"/>
    </w:pPr>
    <w:rPr>
      <w:sz w:val="20"/>
      <w:szCs w:val="20"/>
    </w:rPr>
  </w:style>
  <w:style w:type="character" w:customStyle="1" w:styleId="FootnoteTextChar">
    <w:name w:val="Footnote Text Char"/>
    <w:basedOn w:val="DefaultParagraphFont"/>
    <w:link w:val="FootnoteText"/>
    <w:uiPriority w:val="99"/>
    <w:rsid w:val="0053791C"/>
    <w:rPr>
      <w:sz w:val="20"/>
      <w:szCs w:val="20"/>
    </w:rPr>
  </w:style>
  <w:style w:type="character" w:styleId="FootnoteReference">
    <w:name w:val="footnote reference"/>
    <w:basedOn w:val="DefaultParagraphFont"/>
    <w:uiPriority w:val="99"/>
    <w:unhideWhenUsed/>
    <w:rsid w:val="0053791C"/>
    <w:rPr>
      <w:vertAlign w:val="superscript"/>
    </w:rPr>
  </w:style>
  <w:style w:type="character" w:styleId="CommentReference">
    <w:name w:val="annotation reference"/>
    <w:basedOn w:val="DefaultParagraphFont"/>
    <w:uiPriority w:val="99"/>
    <w:semiHidden/>
    <w:unhideWhenUsed/>
    <w:rsid w:val="0053791C"/>
    <w:rPr>
      <w:sz w:val="16"/>
      <w:szCs w:val="16"/>
    </w:rPr>
  </w:style>
  <w:style w:type="paragraph" w:styleId="CommentText">
    <w:name w:val="annotation text"/>
    <w:basedOn w:val="Normal"/>
    <w:link w:val="CommentTextChar"/>
    <w:uiPriority w:val="99"/>
    <w:unhideWhenUsed/>
    <w:rsid w:val="0053791C"/>
    <w:pPr>
      <w:spacing w:line="240" w:lineRule="auto"/>
    </w:pPr>
    <w:rPr>
      <w:sz w:val="20"/>
      <w:szCs w:val="20"/>
    </w:rPr>
  </w:style>
  <w:style w:type="character" w:customStyle="1" w:styleId="CommentTextChar">
    <w:name w:val="Comment Text Char"/>
    <w:basedOn w:val="DefaultParagraphFont"/>
    <w:link w:val="CommentText"/>
    <w:uiPriority w:val="99"/>
    <w:semiHidden/>
    <w:rsid w:val="0053791C"/>
    <w:rPr>
      <w:sz w:val="20"/>
      <w:szCs w:val="20"/>
    </w:rPr>
  </w:style>
  <w:style w:type="table" w:customStyle="1" w:styleId="TableGrid3">
    <w:name w:val="Table Grid3"/>
    <w:basedOn w:val="TableNormal"/>
    <w:next w:val="TableGrid"/>
    <w:uiPriority w:val="39"/>
    <w:rsid w:val="00397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A45"/>
  </w:style>
  <w:style w:type="paragraph" w:styleId="Footer">
    <w:name w:val="footer"/>
    <w:basedOn w:val="Normal"/>
    <w:link w:val="FooterChar"/>
    <w:uiPriority w:val="99"/>
    <w:unhideWhenUsed/>
    <w:rsid w:val="00C91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A45"/>
  </w:style>
  <w:style w:type="character" w:styleId="Hyperlink">
    <w:name w:val="Hyperlink"/>
    <w:basedOn w:val="DefaultParagraphFont"/>
    <w:uiPriority w:val="99"/>
    <w:unhideWhenUsed/>
    <w:rsid w:val="00413727"/>
    <w:rPr>
      <w:color w:val="0563C1" w:themeColor="hyperlink"/>
      <w:u w:val="single"/>
    </w:rPr>
  </w:style>
  <w:style w:type="table" w:customStyle="1" w:styleId="TableGrid11">
    <w:name w:val="Table Grid11"/>
    <w:basedOn w:val="TableNormal"/>
    <w:next w:val="TableGrid"/>
    <w:uiPriority w:val="39"/>
    <w:rsid w:val="00E13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B7DBF"/>
    <w:rPr>
      <w:b/>
      <w:bCs/>
    </w:rPr>
  </w:style>
  <w:style w:type="character" w:customStyle="1" w:styleId="CommentSubjectChar">
    <w:name w:val="Comment Subject Char"/>
    <w:basedOn w:val="CommentTextChar"/>
    <w:link w:val="CommentSubject"/>
    <w:uiPriority w:val="99"/>
    <w:semiHidden/>
    <w:rsid w:val="001B7DBF"/>
    <w:rPr>
      <w:b/>
      <w:bCs/>
      <w:sz w:val="20"/>
      <w:szCs w:val="20"/>
    </w:rPr>
  </w:style>
  <w:style w:type="paragraph" w:styleId="Revision">
    <w:name w:val="Revision"/>
    <w:hidden/>
    <w:uiPriority w:val="99"/>
    <w:semiHidden/>
    <w:rsid w:val="00317072"/>
    <w:pPr>
      <w:spacing w:after="0" w:line="240" w:lineRule="auto"/>
    </w:pPr>
  </w:style>
  <w:style w:type="character" w:customStyle="1" w:styleId="DocID">
    <w:name w:val="DocID"/>
    <w:basedOn w:val="DefaultParagraphFont"/>
    <w:uiPriority w:val="1"/>
    <w:rsid w:val="00DB7632"/>
    <w:rPr>
      <w:rFonts w:ascii="Times New Roman" w:hAnsi="Times New Roman"/>
      <w:sz w:val="16"/>
      <w:szCs w:val="16"/>
    </w:rPr>
  </w:style>
  <w:style w:type="character" w:customStyle="1" w:styleId="Heading1Char">
    <w:name w:val="Heading 1 Char"/>
    <w:basedOn w:val="DefaultParagraphFont"/>
    <w:link w:val="Heading1"/>
    <w:uiPriority w:val="9"/>
    <w:rsid w:val="00AE5E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9299">
      <w:bodyDiv w:val="1"/>
      <w:marLeft w:val="0"/>
      <w:marRight w:val="0"/>
      <w:marTop w:val="0"/>
      <w:marBottom w:val="0"/>
      <w:divBdr>
        <w:top w:val="none" w:sz="0" w:space="0" w:color="auto"/>
        <w:left w:val="none" w:sz="0" w:space="0" w:color="auto"/>
        <w:bottom w:val="none" w:sz="0" w:space="0" w:color="auto"/>
        <w:right w:val="none" w:sz="0" w:space="0" w:color="auto"/>
      </w:divBdr>
    </w:div>
    <w:div w:id="389815614">
      <w:bodyDiv w:val="1"/>
      <w:marLeft w:val="0"/>
      <w:marRight w:val="0"/>
      <w:marTop w:val="0"/>
      <w:marBottom w:val="0"/>
      <w:divBdr>
        <w:top w:val="none" w:sz="0" w:space="0" w:color="auto"/>
        <w:left w:val="none" w:sz="0" w:space="0" w:color="auto"/>
        <w:bottom w:val="none" w:sz="0" w:space="0" w:color="auto"/>
        <w:right w:val="none" w:sz="0" w:space="0" w:color="auto"/>
      </w:divBdr>
    </w:div>
    <w:div w:id="421729499">
      <w:bodyDiv w:val="1"/>
      <w:marLeft w:val="0"/>
      <w:marRight w:val="0"/>
      <w:marTop w:val="0"/>
      <w:marBottom w:val="0"/>
      <w:divBdr>
        <w:top w:val="none" w:sz="0" w:space="0" w:color="auto"/>
        <w:left w:val="none" w:sz="0" w:space="0" w:color="auto"/>
        <w:bottom w:val="none" w:sz="0" w:space="0" w:color="auto"/>
        <w:right w:val="none" w:sz="0" w:space="0" w:color="auto"/>
      </w:divBdr>
    </w:div>
    <w:div w:id="713120322">
      <w:bodyDiv w:val="1"/>
      <w:marLeft w:val="0"/>
      <w:marRight w:val="0"/>
      <w:marTop w:val="0"/>
      <w:marBottom w:val="0"/>
      <w:divBdr>
        <w:top w:val="none" w:sz="0" w:space="0" w:color="auto"/>
        <w:left w:val="none" w:sz="0" w:space="0" w:color="auto"/>
        <w:bottom w:val="none" w:sz="0" w:space="0" w:color="auto"/>
        <w:right w:val="none" w:sz="0" w:space="0" w:color="auto"/>
      </w:divBdr>
    </w:div>
    <w:div w:id="819267635">
      <w:bodyDiv w:val="1"/>
      <w:marLeft w:val="0"/>
      <w:marRight w:val="0"/>
      <w:marTop w:val="0"/>
      <w:marBottom w:val="0"/>
      <w:divBdr>
        <w:top w:val="none" w:sz="0" w:space="0" w:color="auto"/>
        <w:left w:val="none" w:sz="0" w:space="0" w:color="auto"/>
        <w:bottom w:val="none" w:sz="0" w:space="0" w:color="auto"/>
        <w:right w:val="none" w:sz="0" w:space="0" w:color="auto"/>
      </w:divBdr>
    </w:div>
    <w:div w:id="901066567">
      <w:bodyDiv w:val="1"/>
      <w:marLeft w:val="0"/>
      <w:marRight w:val="0"/>
      <w:marTop w:val="0"/>
      <w:marBottom w:val="0"/>
      <w:divBdr>
        <w:top w:val="none" w:sz="0" w:space="0" w:color="auto"/>
        <w:left w:val="none" w:sz="0" w:space="0" w:color="auto"/>
        <w:bottom w:val="none" w:sz="0" w:space="0" w:color="auto"/>
        <w:right w:val="none" w:sz="0" w:space="0" w:color="auto"/>
      </w:divBdr>
    </w:div>
    <w:div w:id="901598060">
      <w:bodyDiv w:val="1"/>
      <w:marLeft w:val="0"/>
      <w:marRight w:val="0"/>
      <w:marTop w:val="0"/>
      <w:marBottom w:val="0"/>
      <w:divBdr>
        <w:top w:val="none" w:sz="0" w:space="0" w:color="auto"/>
        <w:left w:val="none" w:sz="0" w:space="0" w:color="auto"/>
        <w:bottom w:val="none" w:sz="0" w:space="0" w:color="auto"/>
        <w:right w:val="none" w:sz="0" w:space="0" w:color="auto"/>
      </w:divBdr>
    </w:div>
    <w:div w:id="990212630">
      <w:bodyDiv w:val="1"/>
      <w:marLeft w:val="0"/>
      <w:marRight w:val="0"/>
      <w:marTop w:val="0"/>
      <w:marBottom w:val="0"/>
      <w:divBdr>
        <w:top w:val="none" w:sz="0" w:space="0" w:color="auto"/>
        <w:left w:val="none" w:sz="0" w:space="0" w:color="auto"/>
        <w:bottom w:val="none" w:sz="0" w:space="0" w:color="auto"/>
        <w:right w:val="none" w:sz="0" w:space="0" w:color="auto"/>
      </w:divBdr>
    </w:div>
    <w:div w:id="995306763">
      <w:bodyDiv w:val="1"/>
      <w:marLeft w:val="0"/>
      <w:marRight w:val="0"/>
      <w:marTop w:val="0"/>
      <w:marBottom w:val="0"/>
      <w:divBdr>
        <w:top w:val="none" w:sz="0" w:space="0" w:color="auto"/>
        <w:left w:val="none" w:sz="0" w:space="0" w:color="auto"/>
        <w:bottom w:val="none" w:sz="0" w:space="0" w:color="auto"/>
        <w:right w:val="none" w:sz="0" w:space="0" w:color="auto"/>
      </w:divBdr>
    </w:div>
    <w:div w:id="996765732">
      <w:bodyDiv w:val="1"/>
      <w:marLeft w:val="0"/>
      <w:marRight w:val="0"/>
      <w:marTop w:val="0"/>
      <w:marBottom w:val="0"/>
      <w:divBdr>
        <w:top w:val="none" w:sz="0" w:space="0" w:color="auto"/>
        <w:left w:val="none" w:sz="0" w:space="0" w:color="auto"/>
        <w:bottom w:val="none" w:sz="0" w:space="0" w:color="auto"/>
        <w:right w:val="none" w:sz="0" w:space="0" w:color="auto"/>
      </w:divBdr>
    </w:div>
    <w:div w:id="1379433048">
      <w:bodyDiv w:val="1"/>
      <w:marLeft w:val="0"/>
      <w:marRight w:val="0"/>
      <w:marTop w:val="0"/>
      <w:marBottom w:val="0"/>
      <w:divBdr>
        <w:top w:val="none" w:sz="0" w:space="0" w:color="auto"/>
        <w:left w:val="none" w:sz="0" w:space="0" w:color="auto"/>
        <w:bottom w:val="none" w:sz="0" w:space="0" w:color="auto"/>
        <w:right w:val="none" w:sz="0" w:space="0" w:color="auto"/>
      </w:divBdr>
    </w:div>
    <w:div w:id="1499148711">
      <w:bodyDiv w:val="1"/>
      <w:marLeft w:val="0"/>
      <w:marRight w:val="0"/>
      <w:marTop w:val="0"/>
      <w:marBottom w:val="0"/>
      <w:divBdr>
        <w:top w:val="none" w:sz="0" w:space="0" w:color="auto"/>
        <w:left w:val="none" w:sz="0" w:space="0" w:color="auto"/>
        <w:bottom w:val="none" w:sz="0" w:space="0" w:color="auto"/>
        <w:right w:val="none" w:sz="0" w:space="0" w:color="auto"/>
      </w:divBdr>
    </w:div>
    <w:div w:id="1571768801">
      <w:bodyDiv w:val="1"/>
      <w:marLeft w:val="0"/>
      <w:marRight w:val="0"/>
      <w:marTop w:val="0"/>
      <w:marBottom w:val="0"/>
      <w:divBdr>
        <w:top w:val="none" w:sz="0" w:space="0" w:color="auto"/>
        <w:left w:val="none" w:sz="0" w:space="0" w:color="auto"/>
        <w:bottom w:val="none" w:sz="0" w:space="0" w:color="auto"/>
        <w:right w:val="none" w:sz="0" w:space="0" w:color="auto"/>
      </w:divBdr>
    </w:div>
    <w:div w:id="1893733151">
      <w:bodyDiv w:val="1"/>
      <w:marLeft w:val="0"/>
      <w:marRight w:val="0"/>
      <w:marTop w:val="0"/>
      <w:marBottom w:val="0"/>
      <w:divBdr>
        <w:top w:val="none" w:sz="0" w:space="0" w:color="auto"/>
        <w:left w:val="none" w:sz="0" w:space="0" w:color="auto"/>
        <w:bottom w:val="none" w:sz="0" w:space="0" w:color="auto"/>
        <w:right w:val="none" w:sz="0" w:space="0" w:color="auto"/>
      </w:divBdr>
    </w:div>
    <w:div w:id="19559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Clarke\Desktop\Pending%20DON%20-%20from%20laptop\MGB\MGB%20Tables%20Check.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Cioffari-Macphee, Diana (DPH)</cp:lastModifiedBy>
  <cp:revision>12</cp:revision>
  <dcterms:created xsi:type="dcterms:W3CDTF">2022-02-03T17:29:00Z</dcterms:created>
  <dcterms:modified xsi:type="dcterms:W3CDTF">2022-02-04T16:04:00Z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4887-8354-1258.1</vt:lpwstr>
  </property>
  <property fmtid="{D5CDD505-2E9C-101B-9397-08002B2CF9AE}" pid="3" name="_MarkAsFinal">
    <vt:bool>true</vt:bool>
  </property>
</Properties>
</file>