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AF40D" w14:textId="77777777" w:rsidR="005D742B" w:rsidRPr="00C753BE" w:rsidRDefault="005D742B" w:rsidP="005D742B">
      <w:pPr>
        <w:ind w:right="30"/>
        <w:jc w:val="center"/>
        <w:rPr>
          <w:rFonts w:cs="Cordia New"/>
          <w:smallCaps/>
          <w:sz w:val="28"/>
          <w:szCs w:val="36"/>
        </w:rPr>
      </w:pPr>
      <w:r w:rsidRPr="00C753BE">
        <w:rPr>
          <w:rFonts w:cs="Cordia New"/>
          <w:smallCaps/>
          <w:sz w:val="28"/>
          <w:szCs w:val="36"/>
        </w:rPr>
        <w:t>NORTH ATLANTIC STATES</w:t>
      </w:r>
      <w:r w:rsidRPr="00C753BE">
        <w:rPr>
          <w:rFonts w:cs="Cordia New" w:hint="cs"/>
          <w:smallCaps/>
          <w:sz w:val="28"/>
          <w:szCs w:val="36"/>
        </w:rPr>
        <w:t xml:space="preserve"> REGIONAL COUNCIL OF CARPENTERS</w:t>
      </w:r>
    </w:p>
    <w:p w14:paraId="61C379EE" w14:textId="2B515956" w:rsidR="002F238F" w:rsidRPr="00F239F3" w:rsidRDefault="005D742B" w:rsidP="005D742B">
      <w:pPr>
        <w:ind w:right="30"/>
        <w:jc w:val="center"/>
        <w:sectPr w:rsidR="002F238F" w:rsidRPr="00F239F3">
          <w:type w:val="continuous"/>
          <w:pgSz w:w="12170" w:h="15770"/>
          <w:pgMar w:top="580" w:right="820" w:bottom="280" w:left="880" w:header="720" w:footer="720" w:gutter="0"/>
          <w:cols w:space="720"/>
        </w:sectPr>
      </w:pPr>
      <w:r w:rsidRPr="00E2662F">
        <w:rPr>
          <w:rFonts w:ascii="Old English Text MT" w:hAnsi="Old English Text MT"/>
          <w:sz w:val="36"/>
          <w:szCs w:val="40"/>
        </w:rPr>
        <w:t>United Brotherhood of Carpenters and Joiners of America</w:t>
      </w:r>
    </w:p>
    <w:p w14:paraId="23298344" w14:textId="77777777" w:rsidR="002F238F" w:rsidRDefault="002F238F">
      <w:pPr>
        <w:pStyle w:val="BodyText"/>
        <w:rPr>
          <w:rFonts w:ascii="Times New Roman"/>
          <w:b/>
          <w:sz w:val="16"/>
        </w:rPr>
      </w:pPr>
    </w:p>
    <w:p w14:paraId="3B795464" w14:textId="77777777" w:rsidR="00AF59A9" w:rsidRDefault="00AF59A9">
      <w:pPr>
        <w:pStyle w:val="BodyText"/>
        <w:spacing w:before="3"/>
        <w:rPr>
          <w:rFonts w:ascii="Times New Roman"/>
          <w:b/>
          <w:sz w:val="23"/>
        </w:rPr>
        <w:sectPr w:rsidR="00AF59A9" w:rsidSect="00F239F3">
          <w:type w:val="continuous"/>
          <w:pgSz w:w="12170" w:h="15770"/>
          <w:pgMar w:top="580" w:right="820" w:bottom="280" w:left="1080" w:header="720" w:footer="720" w:gutter="0"/>
          <w:cols w:space="720"/>
        </w:sectPr>
      </w:pPr>
    </w:p>
    <w:p w14:paraId="39DD6D13" w14:textId="658BA0C3" w:rsidR="002F238F" w:rsidRPr="005D742B" w:rsidRDefault="002F238F">
      <w:pPr>
        <w:pStyle w:val="BodyText"/>
        <w:spacing w:before="3"/>
        <w:rPr>
          <w:rFonts w:asciiTheme="minorHAnsi" w:hAnsiTheme="minorHAnsi" w:cstheme="minorHAnsi"/>
          <w:bCs/>
          <w:sz w:val="23"/>
        </w:rPr>
      </w:pPr>
    </w:p>
    <w:p w14:paraId="7A8C1A45" w14:textId="77777777" w:rsidR="00AF59A9" w:rsidRPr="005D742B" w:rsidRDefault="00AF59A9">
      <w:pPr>
        <w:pStyle w:val="BodyText"/>
        <w:spacing w:before="3"/>
        <w:rPr>
          <w:rFonts w:asciiTheme="minorHAnsi" w:hAnsiTheme="minorHAnsi" w:cstheme="minorHAnsi"/>
          <w:bCs/>
          <w:sz w:val="23"/>
        </w:rPr>
        <w:sectPr w:rsidR="00AF59A9" w:rsidRPr="005D742B" w:rsidSect="003E4051">
          <w:type w:val="continuous"/>
          <w:pgSz w:w="12170" w:h="15770"/>
          <w:pgMar w:top="580" w:right="820" w:bottom="280" w:left="1080" w:header="720" w:footer="720" w:gutter="0"/>
          <w:cols w:num="3" w:space="261"/>
        </w:sectPr>
      </w:pPr>
    </w:p>
    <w:p w14:paraId="0D37C250" w14:textId="36ABE259" w:rsidR="00AF59A9" w:rsidRDefault="005D742B" w:rsidP="005D742B">
      <w:pPr>
        <w:pStyle w:val="BodyText"/>
        <w:spacing w:before="3"/>
        <w:ind w:left="180"/>
        <w:rPr>
          <w:rFonts w:ascii="Times New Roman"/>
          <w:b/>
          <w:sz w:val="23"/>
        </w:rPr>
      </w:pPr>
      <w:r w:rsidRPr="005D742B">
        <w:rPr>
          <w:rFonts w:asciiTheme="minorHAnsi" w:hAnsiTheme="minorHAnsi" w:cstheme="minorHAnsi"/>
          <w:bCs/>
          <w:sz w:val="18"/>
          <w:szCs w:val="16"/>
        </w:rPr>
        <w:t xml:space="preserve">750 Dorchester Ave </w:t>
      </w:r>
      <w:r w:rsidRPr="005D742B">
        <w:rPr>
          <w:rFonts w:asciiTheme="minorHAnsi" w:hAnsiTheme="minorHAnsi" w:cstheme="minorHAnsi"/>
          <w:bCs/>
          <w:sz w:val="18"/>
          <w:szCs w:val="16"/>
        </w:rPr>
        <w:br/>
      </w:r>
      <w:r w:rsidR="003E4051" w:rsidRPr="005D742B">
        <w:rPr>
          <w:rFonts w:asciiTheme="minorHAnsi" w:hAnsiTheme="minorHAnsi" w:cstheme="minorHAnsi"/>
          <w:bCs/>
          <w:sz w:val="18"/>
          <w:szCs w:val="16"/>
        </w:rPr>
        <w:t>Boston, MA 02125-1132</w:t>
      </w:r>
    </w:p>
    <w:p w14:paraId="31ED415F" w14:textId="615E0017" w:rsidR="00AF59A9" w:rsidRDefault="00AF59A9">
      <w:pPr>
        <w:pStyle w:val="BodyText"/>
        <w:spacing w:before="3"/>
        <w:rPr>
          <w:rFonts w:ascii="Times New Roman"/>
          <w:b/>
          <w:sz w:val="23"/>
        </w:rPr>
      </w:pPr>
    </w:p>
    <w:p w14:paraId="6E365568" w14:textId="23A73164" w:rsidR="003E4051" w:rsidRDefault="003E4051">
      <w:pPr>
        <w:pStyle w:val="BodyText"/>
        <w:spacing w:before="3"/>
        <w:rPr>
          <w:rFonts w:ascii="Times New Roman"/>
          <w:b/>
          <w:sz w:val="23"/>
        </w:rPr>
      </w:pPr>
    </w:p>
    <w:p w14:paraId="601E85CB" w14:textId="0DFFACFE" w:rsidR="003E4051" w:rsidRDefault="003E4051">
      <w:pPr>
        <w:pStyle w:val="BodyText"/>
        <w:spacing w:before="3"/>
        <w:rPr>
          <w:rFonts w:ascii="Times New Roman"/>
          <w:b/>
          <w:sz w:val="23"/>
        </w:rPr>
      </w:pPr>
    </w:p>
    <w:p w14:paraId="32427C79" w14:textId="77777777" w:rsidR="003E4051" w:rsidRDefault="003E4051">
      <w:pPr>
        <w:pStyle w:val="BodyText"/>
        <w:spacing w:before="3"/>
        <w:rPr>
          <w:rFonts w:ascii="Times New Roman"/>
          <w:b/>
          <w:sz w:val="23"/>
        </w:rPr>
      </w:pPr>
    </w:p>
    <w:p w14:paraId="1655B5EF" w14:textId="77777777" w:rsidR="003E4051" w:rsidRPr="005D742B" w:rsidRDefault="003E4051" w:rsidP="005D742B">
      <w:pPr>
        <w:pStyle w:val="BodyText"/>
        <w:spacing w:before="3"/>
        <w:jc w:val="center"/>
        <w:rPr>
          <w:rFonts w:asciiTheme="minorHAnsi" w:hAnsiTheme="minorHAnsi" w:cstheme="minorHAnsi"/>
          <w:b/>
          <w:sz w:val="23"/>
        </w:rPr>
      </w:pPr>
      <w:r w:rsidRPr="003E4051">
        <w:rPr>
          <w:rFonts w:ascii="Times New Roman"/>
          <w:b/>
          <w:noProof/>
          <w:sz w:val="23"/>
        </w:rPr>
        <w:drawing>
          <wp:inline distT="0" distB="0" distL="0" distR="0" wp14:anchorId="3588B8BC" wp14:editId="797F8677">
            <wp:extent cx="1868805" cy="403688"/>
            <wp:effectExtent l="0" t="0" r="0" b="0"/>
            <wp:docPr id="1" name="Picture 1" descr="United Brotherhood of Carpenters and Joiners of Ameri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ted Brotherhood of Carpenters and Joiners of America Logo"/>
                    <pic:cNvPicPr/>
                  </pic:nvPicPr>
                  <pic:blipFill>
                    <a:blip r:embed="rId5"/>
                    <a:stretch>
                      <a:fillRect/>
                    </a:stretch>
                  </pic:blipFill>
                  <pic:spPr>
                    <a:xfrm>
                      <a:off x="0" y="0"/>
                      <a:ext cx="1868805" cy="403688"/>
                    </a:xfrm>
                    <a:prstGeom prst="rect">
                      <a:avLst/>
                    </a:prstGeom>
                  </pic:spPr>
                </pic:pic>
              </a:graphicData>
            </a:graphic>
          </wp:inline>
        </w:drawing>
      </w:r>
      <w:r w:rsidRPr="00122600">
        <w:rPr>
          <w:rFonts w:asciiTheme="minorHAnsi" w:hAnsiTheme="minorHAnsi" w:cstheme="minorHAnsi"/>
          <w:bCs/>
          <w:sz w:val="20"/>
          <w:szCs w:val="20"/>
        </w:rPr>
        <w:t>Joseph Byrne</w:t>
      </w:r>
    </w:p>
    <w:p w14:paraId="50EDBE34" w14:textId="641F071D" w:rsidR="003E4051" w:rsidRPr="00122600" w:rsidRDefault="003E4051" w:rsidP="005D742B">
      <w:pPr>
        <w:pStyle w:val="BodyText"/>
        <w:spacing w:before="3"/>
        <w:jc w:val="center"/>
        <w:rPr>
          <w:rFonts w:ascii="Times New Roman"/>
          <w:bCs/>
          <w:sz w:val="24"/>
          <w:szCs w:val="24"/>
        </w:rPr>
      </w:pPr>
      <w:r w:rsidRPr="00122600">
        <w:rPr>
          <w:rFonts w:asciiTheme="minorHAnsi" w:hAnsiTheme="minorHAnsi" w:cstheme="minorHAnsi"/>
          <w:bCs/>
          <w:sz w:val="24"/>
          <w:szCs w:val="24"/>
        </w:rPr>
        <w:t>Executive Secretary – Treasurer</w:t>
      </w:r>
    </w:p>
    <w:p w14:paraId="6DA2C724" w14:textId="1560D67A" w:rsidR="003E4051" w:rsidRDefault="003E4051">
      <w:pPr>
        <w:pStyle w:val="BodyText"/>
        <w:spacing w:before="3"/>
        <w:rPr>
          <w:rFonts w:ascii="Times New Roman"/>
          <w:b/>
          <w:sz w:val="23"/>
        </w:rPr>
      </w:pPr>
    </w:p>
    <w:p w14:paraId="19D643AE" w14:textId="77777777" w:rsidR="003E4051" w:rsidRDefault="003E4051">
      <w:pPr>
        <w:pStyle w:val="BodyText"/>
        <w:spacing w:before="3"/>
        <w:rPr>
          <w:rFonts w:ascii="Times New Roman"/>
          <w:b/>
          <w:sz w:val="23"/>
        </w:rPr>
      </w:pPr>
    </w:p>
    <w:p w14:paraId="3F10D239" w14:textId="4BEF1AC4" w:rsidR="003E4051" w:rsidRPr="005D742B" w:rsidRDefault="003E4051" w:rsidP="005D742B">
      <w:pPr>
        <w:pStyle w:val="BodyText"/>
        <w:spacing w:before="3"/>
        <w:ind w:left="1170"/>
        <w:rPr>
          <w:rFonts w:asciiTheme="minorHAnsi" w:hAnsiTheme="minorHAnsi" w:cstheme="minorHAnsi"/>
          <w:bCs/>
          <w:sz w:val="18"/>
          <w:szCs w:val="18"/>
        </w:rPr>
      </w:pPr>
      <w:r w:rsidRPr="005D742B">
        <w:rPr>
          <w:rFonts w:asciiTheme="minorHAnsi" w:hAnsiTheme="minorHAnsi" w:cstheme="minorHAnsi"/>
          <w:bCs/>
          <w:sz w:val="18"/>
          <w:szCs w:val="18"/>
        </w:rPr>
        <w:t>Telephone (617) 268-3400</w:t>
      </w:r>
    </w:p>
    <w:p w14:paraId="587A1821" w14:textId="77777777" w:rsidR="003E4051" w:rsidRPr="005D742B" w:rsidRDefault="003E4051">
      <w:pPr>
        <w:pStyle w:val="BodyText"/>
        <w:spacing w:before="3"/>
        <w:rPr>
          <w:rFonts w:asciiTheme="minorHAnsi" w:hAnsiTheme="minorHAnsi" w:cstheme="minorHAnsi"/>
          <w:bCs/>
          <w:sz w:val="23"/>
        </w:rPr>
      </w:pPr>
    </w:p>
    <w:p w14:paraId="19937F98" w14:textId="77777777" w:rsidR="003E4051" w:rsidRDefault="003E4051">
      <w:pPr>
        <w:pStyle w:val="BodyText"/>
        <w:spacing w:before="3"/>
        <w:rPr>
          <w:rFonts w:ascii="Times New Roman"/>
          <w:b/>
          <w:sz w:val="23"/>
        </w:rPr>
      </w:pPr>
    </w:p>
    <w:p w14:paraId="775394D7" w14:textId="77777777" w:rsidR="003E4051" w:rsidRDefault="003E4051">
      <w:pPr>
        <w:pStyle w:val="BodyText"/>
        <w:spacing w:before="3"/>
        <w:rPr>
          <w:rFonts w:ascii="Times New Roman"/>
          <w:b/>
          <w:sz w:val="23"/>
        </w:rPr>
      </w:pPr>
    </w:p>
    <w:p w14:paraId="7F942D12" w14:textId="77777777" w:rsidR="003E4051" w:rsidRDefault="003E4051">
      <w:pPr>
        <w:pStyle w:val="BodyText"/>
        <w:spacing w:before="3"/>
        <w:rPr>
          <w:rFonts w:ascii="Times New Roman"/>
          <w:b/>
          <w:sz w:val="23"/>
        </w:rPr>
      </w:pPr>
    </w:p>
    <w:p w14:paraId="65020A90" w14:textId="77777777" w:rsidR="003E4051" w:rsidRDefault="003E4051">
      <w:pPr>
        <w:pStyle w:val="BodyText"/>
        <w:spacing w:before="3"/>
        <w:rPr>
          <w:rFonts w:ascii="Times New Roman"/>
          <w:b/>
          <w:sz w:val="23"/>
        </w:rPr>
      </w:pPr>
    </w:p>
    <w:p w14:paraId="3E7DCC12" w14:textId="7291F8C8" w:rsidR="003E4051" w:rsidRDefault="003E4051">
      <w:pPr>
        <w:pStyle w:val="BodyText"/>
        <w:spacing w:before="3"/>
        <w:rPr>
          <w:rFonts w:ascii="Times New Roman"/>
          <w:b/>
          <w:sz w:val="23"/>
        </w:rPr>
        <w:sectPr w:rsidR="003E4051" w:rsidSect="003E4051">
          <w:type w:val="continuous"/>
          <w:pgSz w:w="12170" w:h="15770"/>
          <w:pgMar w:top="580" w:right="820" w:bottom="280" w:left="1080" w:header="720" w:footer="720" w:gutter="0"/>
          <w:cols w:num="3" w:space="18"/>
        </w:sectPr>
      </w:pPr>
    </w:p>
    <w:p w14:paraId="18B86CD7" w14:textId="396179EC" w:rsidR="002F238F" w:rsidRDefault="002F238F" w:rsidP="00122600">
      <w:pPr>
        <w:pStyle w:val="BodyText"/>
        <w:rPr>
          <w:rFonts w:asciiTheme="minorHAnsi" w:hAnsiTheme="minorHAnsi" w:cstheme="minorHAnsi"/>
          <w:sz w:val="24"/>
          <w:szCs w:val="24"/>
        </w:rPr>
      </w:pPr>
    </w:p>
    <w:p w14:paraId="029624BA" w14:textId="77777777" w:rsidR="00FD068C" w:rsidRPr="00FD068C" w:rsidRDefault="00FD068C" w:rsidP="00FD068C">
      <w:pPr>
        <w:rPr>
          <w:rFonts w:asciiTheme="minorHAnsi" w:hAnsiTheme="minorHAnsi" w:cstheme="minorHAnsi"/>
          <w:sz w:val="24"/>
          <w:szCs w:val="24"/>
        </w:rPr>
      </w:pPr>
      <w:r w:rsidRPr="00FD068C">
        <w:rPr>
          <w:rFonts w:asciiTheme="minorHAnsi" w:hAnsiTheme="minorHAnsi" w:cstheme="minorHAnsi"/>
          <w:sz w:val="24"/>
          <w:szCs w:val="24"/>
        </w:rPr>
        <w:t>April 13, 2022</w:t>
      </w:r>
    </w:p>
    <w:p w14:paraId="550B9630" w14:textId="77777777" w:rsidR="00FD068C" w:rsidRPr="00FD068C" w:rsidRDefault="00FD068C" w:rsidP="00FD068C">
      <w:pPr>
        <w:rPr>
          <w:rFonts w:asciiTheme="minorHAnsi" w:hAnsiTheme="minorHAnsi" w:cstheme="minorHAnsi"/>
          <w:sz w:val="24"/>
          <w:szCs w:val="24"/>
        </w:rPr>
      </w:pPr>
    </w:p>
    <w:p w14:paraId="388D8622" w14:textId="77777777" w:rsidR="00FD068C" w:rsidRPr="00FD068C" w:rsidRDefault="00FD068C" w:rsidP="00FD068C">
      <w:pPr>
        <w:rPr>
          <w:rFonts w:asciiTheme="minorHAnsi" w:hAnsiTheme="minorHAnsi" w:cstheme="minorHAnsi"/>
          <w:sz w:val="24"/>
          <w:szCs w:val="24"/>
        </w:rPr>
      </w:pPr>
      <w:bookmarkStart w:id="0" w:name="_Hlk93923823"/>
      <w:r w:rsidRPr="00FD068C">
        <w:rPr>
          <w:rFonts w:asciiTheme="minorHAnsi" w:hAnsiTheme="minorHAnsi" w:cstheme="minorHAnsi"/>
          <w:sz w:val="24"/>
          <w:szCs w:val="24"/>
        </w:rPr>
        <w:t>Lara Szent-Gyorgyi, MPA</w:t>
      </w:r>
      <w:bookmarkEnd w:id="0"/>
    </w:p>
    <w:p w14:paraId="285F96E7" w14:textId="77777777" w:rsidR="00FD068C" w:rsidRPr="00FD068C" w:rsidRDefault="00FD068C" w:rsidP="00FD068C">
      <w:pPr>
        <w:rPr>
          <w:rFonts w:asciiTheme="minorHAnsi" w:hAnsiTheme="minorHAnsi" w:cstheme="minorHAnsi"/>
          <w:sz w:val="24"/>
          <w:szCs w:val="24"/>
        </w:rPr>
      </w:pPr>
      <w:bookmarkStart w:id="1" w:name="_Hlk93928674"/>
      <w:r w:rsidRPr="00FD068C">
        <w:rPr>
          <w:rFonts w:asciiTheme="minorHAnsi" w:hAnsiTheme="minorHAnsi" w:cstheme="minorHAnsi"/>
          <w:sz w:val="24"/>
          <w:szCs w:val="24"/>
        </w:rPr>
        <w:t>Department of Public Health</w:t>
      </w:r>
    </w:p>
    <w:p w14:paraId="762CD982" w14:textId="77777777" w:rsidR="00FD068C" w:rsidRPr="00FD068C" w:rsidRDefault="00FD068C" w:rsidP="00FD068C">
      <w:pPr>
        <w:rPr>
          <w:rFonts w:asciiTheme="minorHAnsi" w:hAnsiTheme="minorHAnsi" w:cstheme="minorHAnsi"/>
          <w:sz w:val="24"/>
          <w:szCs w:val="24"/>
        </w:rPr>
      </w:pPr>
      <w:r w:rsidRPr="00FD068C">
        <w:rPr>
          <w:rFonts w:asciiTheme="minorHAnsi" w:hAnsiTheme="minorHAnsi" w:cstheme="minorHAnsi"/>
          <w:sz w:val="24"/>
          <w:szCs w:val="24"/>
        </w:rPr>
        <w:t>Determination of Need Program</w:t>
      </w:r>
    </w:p>
    <w:p w14:paraId="31A135E8" w14:textId="77777777" w:rsidR="00FD068C" w:rsidRPr="00FD068C" w:rsidRDefault="00FD068C" w:rsidP="00FD068C">
      <w:pPr>
        <w:rPr>
          <w:rFonts w:asciiTheme="minorHAnsi" w:hAnsiTheme="minorHAnsi" w:cstheme="minorHAnsi"/>
          <w:color w:val="141414"/>
          <w:sz w:val="24"/>
          <w:szCs w:val="24"/>
        </w:rPr>
      </w:pPr>
      <w:r w:rsidRPr="00FD068C">
        <w:rPr>
          <w:rFonts w:asciiTheme="minorHAnsi" w:hAnsiTheme="minorHAnsi" w:cstheme="minorHAnsi"/>
          <w:color w:val="141414"/>
          <w:sz w:val="24"/>
          <w:szCs w:val="24"/>
        </w:rPr>
        <w:t>67 Forest Street</w:t>
      </w:r>
    </w:p>
    <w:p w14:paraId="109DCB7E" w14:textId="77777777" w:rsidR="00FD068C" w:rsidRPr="00FD068C" w:rsidRDefault="00FD068C" w:rsidP="00FD068C">
      <w:pPr>
        <w:rPr>
          <w:rFonts w:asciiTheme="minorHAnsi" w:hAnsiTheme="minorHAnsi" w:cstheme="minorHAnsi"/>
          <w:sz w:val="24"/>
          <w:szCs w:val="24"/>
        </w:rPr>
      </w:pPr>
      <w:r w:rsidRPr="00FD068C">
        <w:rPr>
          <w:rFonts w:asciiTheme="minorHAnsi" w:hAnsiTheme="minorHAnsi" w:cstheme="minorHAnsi"/>
          <w:color w:val="141414"/>
          <w:sz w:val="24"/>
          <w:szCs w:val="24"/>
        </w:rPr>
        <w:t>Marlborough, MA 01752</w:t>
      </w:r>
    </w:p>
    <w:bookmarkEnd w:id="1"/>
    <w:p w14:paraId="10945BD2" w14:textId="77777777" w:rsidR="00FD068C" w:rsidRPr="00FD068C" w:rsidRDefault="00FD068C" w:rsidP="00FD068C">
      <w:pPr>
        <w:tabs>
          <w:tab w:val="left" w:pos="720"/>
          <w:tab w:val="left" w:pos="1440"/>
          <w:tab w:val="left" w:pos="4320"/>
          <w:tab w:val="left" w:pos="5040"/>
        </w:tabs>
        <w:rPr>
          <w:rFonts w:asciiTheme="minorHAnsi" w:hAnsiTheme="minorHAnsi" w:cstheme="minorHAnsi"/>
          <w:kern w:val="2"/>
          <w:sz w:val="24"/>
          <w:szCs w:val="24"/>
        </w:rPr>
      </w:pPr>
    </w:p>
    <w:p w14:paraId="26933FDD" w14:textId="77777777" w:rsidR="00FD068C" w:rsidRPr="00FD068C" w:rsidRDefault="00FD068C" w:rsidP="00FD068C">
      <w:pPr>
        <w:tabs>
          <w:tab w:val="left" w:pos="720"/>
          <w:tab w:val="left" w:pos="1440"/>
          <w:tab w:val="left" w:pos="4320"/>
          <w:tab w:val="left" w:pos="5040"/>
        </w:tabs>
        <w:ind w:left="1440" w:hanging="1440"/>
        <w:rPr>
          <w:rFonts w:asciiTheme="minorHAnsi" w:hAnsiTheme="minorHAnsi" w:cstheme="minorHAnsi"/>
          <w:kern w:val="2"/>
          <w:sz w:val="24"/>
          <w:szCs w:val="24"/>
        </w:rPr>
      </w:pPr>
      <w:r w:rsidRPr="00FD068C">
        <w:rPr>
          <w:rFonts w:asciiTheme="minorHAnsi" w:hAnsiTheme="minorHAnsi" w:cstheme="minorHAnsi"/>
          <w:kern w:val="2"/>
          <w:sz w:val="24"/>
          <w:szCs w:val="24"/>
        </w:rPr>
        <w:t>Re:</w:t>
      </w:r>
      <w:r w:rsidRPr="00FD068C">
        <w:rPr>
          <w:rFonts w:asciiTheme="minorHAnsi" w:hAnsiTheme="minorHAnsi" w:cstheme="minorHAnsi"/>
          <w:kern w:val="2"/>
          <w:sz w:val="24"/>
          <w:szCs w:val="24"/>
        </w:rPr>
        <w:tab/>
      </w:r>
      <w:bookmarkStart w:id="2" w:name="_Hlk93927337"/>
      <w:r w:rsidRPr="00FD068C">
        <w:rPr>
          <w:rFonts w:asciiTheme="minorHAnsi" w:hAnsiTheme="minorHAnsi" w:cstheme="minorHAnsi"/>
          <w:sz w:val="24"/>
          <w:szCs w:val="24"/>
          <w:u w:val="single"/>
        </w:rPr>
        <w:t>Application No. MGB-20121612-HE DPH Staff Recommendation of Approval Comment</w:t>
      </w:r>
    </w:p>
    <w:bookmarkEnd w:id="2"/>
    <w:p w14:paraId="7A05BA14" w14:textId="77777777" w:rsidR="00FD068C" w:rsidRPr="00FD068C" w:rsidRDefault="00FD068C" w:rsidP="00FD068C">
      <w:pPr>
        <w:rPr>
          <w:rFonts w:asciiTheme="minorHAnsi" w:hAnsiTheme="minorHAnsi" w:cstheme="minorHAnsi"/>
          <w:sz w:val="24"/>
          <w:szCs w:val="24"/>
        </w:rPr>
      </w:pPr>
    </w:p>
    <w:p w14:paraId="48C08554" w14:textId="77777777" w:rsidR="00FD068C" w:rsidRPr="00FD068C" w:rsidRDefault="00FD068C" w:rsidP="00FD068C">
      <w:pPr>
        <w:rPr>
          <w:rFonts w:asciiTheme="minorHAnsi" w:hAnsiTheme="minorHAnsi" w:cstheme="minorHAnsi"/>
          <w:sz w:val="24"/>
          <w:szCs w:val="24"/>
        </w:rPr>
      </w:pPr>
      <w:r w:rsidRPr="00FD068C">
        <w:rPr>
          <w:rFonts w:asciiTheme="minorHAnsi" w:hAnsiTheme="minorHAnsi" w:cstheme="minorHAnsi"/>
          <w:sz w:val="24"/>
          <w:szCs w:val="24"/>
        </w:rPr>
        <w:t>Dear Ms. Szent-Gyorgyi:</w:t>
      </w:r>
    </w:p>
    <w:p w14:paraId="1CC7CF4B" w14:textId="77777777" w:rsidR="00FD068C" w:rsidRPr="00FD068C" w:rsidRDefault="00FD068C" w:rsidP="00FD068C">
      <w:pPr>
        <w:rPr>
          <w:rFonts w:asciiTheme="minorHAnsi" w:hAnsiTheme="minorHAnsi" w:cstheme="minorHAnsi"/>
          <w:sz w:val="24"/>
          <w:szCs w:val="24"/>
        </w:rPr>
      </w:pPr>
    </w:p>
    <w:p w14:paraId="386839AD" w14:textId="77777777" w:rsidR="00FD068C" w:rsidRPr="00FD068C" w:rsidRDefault="00FD068C" w:rsidP="00FD068C">
      <w:pPr>
        <w:pStyle w:val="BodyText"/>
        <w:rPr>
          <w:rFonts w:asciiTheme="minorHAnsi" w:hAnsiTheme="minorHAnsi" w:cstheme="minorHAnsi"/>
          <w:sz w:val="24"/>
          <w:szCs w:val="24"/>
        </w:rPr>
      </w:pPr>
      <w:r w:rsidRPr="00C85C2E">
        <w:rPr>
          <w:rFonts w:asciiTheme="minorHAnsi" w:hAnsiTheme="minorHAnsi" w:cstheme="minorHAnsi"/>
          <w:sz w:val="24"/>
          <w:szCs w:val="24"/>
        </w:rPr>
        <w:t>On behalf of the North Atlantic States Regional Council of Carpenters (“NASRCC”), Ten Taxpayer Group, I write to reiterate our support of the Massachusetts General Hospital (“MGH”), Determination of Need (“</w:t>
      </w:r>
      <w:proofErr w:type="spellStart"/>
      <w:r w:rsidRPr="00C85C2E">
        <w:rPr>
          <w:rFonts w:asciiTheme="minorHAnsi" w:hAnsiTheme="minorHAnsi" w:cstheme="minorHAnsi"/>
          <w:sz w:val="24"/>
          <w:szCs w:val="24"/>
        </w:rPr>
        <w:t>DoN</w:t>
      </w:r>
      <w:proofErr w:type="spellEnd"/>
      <w:r w:rsidRPr="00C85C2E">
        <w:rPr>
          <w:rFonts w:asciiTheme="minorHAnsi" w:hAnsiTheme="minorHAnsi" w:cstheme="minorHAnsi"/>
          <w:sz w:val="24"/>
          <w:szCs w:val="24"/>
        </w:rPr>
        <w:t xml:space="preserve">”) project and thank the </w:t>
      </w:r>
      <w:proofErr w:type="spellStart"/>
      <w:r w:rsidRPr="00C85C2E">
        <w:rPr>
          <w:rFonts w:asciiTheme="minorHAnsi" w:hAnsiTheme="minorHAnsi" w:cstheme="minorHAnsi"/>
          <w:sz w:val="24"/>
          <w:szCs w:val="24"/>
        </w:rPr>
        <w:t>DoN</w:t>
      </w:r>
      <w:proofErr w:type="spellEnd"/>
      <w:r w:rsidRPr="00C85C2E">
        <w:rPr>
          <w:rFonts w:asciiTheme="minorHAnsi" w:hAnsiTheme="minorHAnsi" w:cstheme="minorHAnsi"/>
          <w:sz w:val="24"/>
          <w:szCs w:val="24"/>
        </w:rPr>
        <w:t xml:space="preserve"> Program for its staff recommendation of approval. We are proud to convey our complete support of this project and to reiterate that we stand with MGH and its workforce in their efforts to improv</w:t>
      </w:r>
      <w:r>
        <w:rPr>
          <w:rFonts w:asciiTheme="minorHAnsi" w:hAnsiTheme="minorHAnsi" w:cstheme="minorHAnsi"/>
          <w:sz w:val="24"/>
          <w:szCs w:val="24"/>
        </w:rPr>
        <w:t>e heal</w:t>
      </w:r>
      <w:r w:rsidRPr="00FD068C">
        <w:rPr>
          <w:rFonts w:asciiTheme="minorHAnsi" w:hAnsiTheme="minorHAnsi" w:cstheme="minorHAnsi"/>
          <w:sz w:val="24"/>
          <w:szCs w:val="24"/>
        </w:rPr>
        <w:t xml:space="preserve">thcare in our region. On behalf of our union’s 30,000 members, we urge the Public Health Council to vote to approve the project.    </w:t>
      </w:r>
    </w:p>
    <w:p w14:paraId="11797BFD" w14:textId="77777777" w:rsidR="00FD068C" w:rsidRPr="00FD068C" w:rsidRDefault="00FD068C" w:rsidP="00FD068C">
      <w:pPr>
        <w:pStyle w:val="BodyText"/>
        <w:rPr>
          <w:rFonts w:asciiTheme="minorHAnsi" w:hAnsiTheme="minorHAnsi" w:cstheme="minorHAnsi"/>
          <w:sz w:val="24"/>
          <w:szCs w:val="24"/>
        </w:rPr>
      </w:pPr>
    </w:p>
    <w:p w14:paraId="7C966017" w14:textId="77777777" w:rsidR="00FD068C" w:rsidRPr="00FD068C" w:rsidRDefault="00FD068C" w:rsidP="00FD068C">
      <w:pPr>
        <w:rPr>
          <w:rFonts w:asciiTheme="minorHAnsi" w:hAnsiTheme="minorHAnsi" w:cstheme="minorHAnsi"/>
          <w:sz w:val="24"/>
          <w:szCs w:val="24"/>
        </w:rPr>
      </w:pPr>
      <w:r w:rsidRPr="00FD068C">
        <w:rPr>
          <w:rFonts w:asciiTheme="minorHAnsi" w:hAnsiTheme="minorHAnsi" w:cstheme="minorHAnsi"/>
          <w:sz w:val="24"/>
          <w:szCs w:val="24"/>
        </w:rPr>
        <w:t xml:space="preserve">We are proud to support this project because it will profoundly improve access to much needed health care services for our members and all the patients who come to MGH from around the region and the world. This project will also create more than 3,500 construction and permanent jobs for Boston area workers. In addition, the project has industry leading diversity goals that will create new opportunities for workers from underrepresented communities and woman to enter the construction trades. </w:t>
      </w:r>
    </w:p>
    <w:p w14:paraId="2FF141A0" w14:textId="77777777" w:rsidR="00FD068C" w:rsidRPr="00FD068C" w:rsidRDefault="00FD068C" w:rsidP="00FD068C">
      <w:pPr>
        <w:rPr>
          <w:rFonts w:asciiTheme="minorHAnsi" w:hAnsiTheme="minorHAnsi" w:cstheme="minorHAnsi"/>
          <w:sz w:val="24"/>
          <w:szCs w:val="24"/>
        </w:rPr>
      </w:pPr>
    </w:p>
    <w:p w14:paraId="556F66EC" w14:textId="77777777" w:rsidR="00FD068C" w:rsidRPr="00FD068C" w:rsidRDefault="00FD068C" w:rsidP="00FD068C">
      <w:pPr>
        <w:pStyle w:val="BodyText"/>
        <w:rPr>
          <w:rFonts w:asciiTheme="minorHAnsi" w:hAnsiTheme="minorHAnsi" w:cstheme="minorHAnsi"/>
          <w:sz w:val="24"/>
          <w:szCs w:val="24"/>
        </w:rPr>
      </w:pPr>
      <w:r w:rsidRPr="00FD068C">
        <w:rPr>
          <w:rFonts w:asciiTheme="minorHAnsi" w:hAnsiTheme="minorHAnsi" w:cstheme="minorHAnsi"/>
          <w:sz w:val="24"/>
          <w:szCs w:val="24"/>
        </w:rPr>
        <w:t xml:space="preserve">Finally, as part of this project, MGH will be contributing approximately $93,000,000 for local community health initiatives.  This once in a generation contribution combined with the MGH anchor strategy has the potential to significantly improve the lives of the people of the Boston area for generations to come.   </w:t>
      </w:r>
    </w:p>
    <w:p w14:paraId="2DCC56BC" w14:textId="77777777" w:rsidR="00FD068C" w:rsidRPr="00FD068C" w:rsidRDefault="00FD068C" w:rsidP="00FD068C">
      <w:pPr>
        <w:pStyle w:val="ListParagraph"/>
        <w:jc w:val="both"/>
        <w:rPr>
          <w:rFonts w:asciiTheme="minorHAnsi" w:hAnsiTheme="minorHAnsi" w:cstheme="minorHAnsi"/>
          <w:sz w:val="24"/>
          <w:szCs w:val="24"/>
        </w:rPr>
      </w:pPr>
    </w:p>
    <w:p w14:paraId="13282C76" w14:textId="77777777" w:rsidR="00FD068C" w:rsidRPr="00FD068C" w:rsidRDefault="00FD068C" w:rsidP="00FD068C">
      <w:pPr>
        <w:pStyle w:val="BodyText"/>
        <w:rPr>
          <w:rFonts w:asciiTheme="minorHAnsi" w:hAnsiTheme="minorHAnsi" w:cstheme="minorHAnsi"/>
          <w:sz w:val="24"/>
          <w:szCs w:val="24"/>
        </w:rPr>
      </w:pPr>
      <w:bookmarkStart w:id="3" w:name="_Hlk93909698"/>
      <w:r w:rsidRPr="00FD068C">
        <w:rPr>
          <w:rFonts w:asciiTheme="minorHAnsi" w:hAnsiTheme="minorHAnsi" w:cstheme="minorHAnsi"/>
          <w:sz w:val="24"/>
          <w:szCs w:val="24"/>
        </w:rPr>
        <w:t xml:space="preserve">In conclusion, we reiterate our complete support of this project and urge the Public Health Council to vote to adopt the staff recommendation of approval. </w:t>
      </w:r>
    </w:p>
    <w:bookmarkEnd w:id="3"/>
    <w:p w14:paraId="073E6D42" w14:textId="77777777" w:rsidR="00FD068C" w:rsidRPr="00FD068C" w:rsidRDefault="00FD068C" w:rsidP="00FD068C">
      <w:pPr>
        <w:jc w:val="both"/>
        <w:rPr>
          <w:rFonts w:asciiTheme="minorHAnsi" w:hAnsiTheme="minorHAnsi" w:cstheme="minorHAnsi"/>
          <w:sz w:val="24"/>
          <w:szCs w:val="24"/>
        </w:rPr>
      </w:pPr>
    </w:p>
    <w:p w14:paraId="00F22DE9" w14:textId="77777777" w:rsidR="00FD068C" w:rsidRPr="00FD068C" w:rsidRDefault="00FD068C" w:rsidP="00FD068C">
      <w:pPr>
        <w:jc w:val="both"/>
        <w:rPr>
          <w:rFonts w:asciiTheme="minorHAnsi" w:hAnsiTheme="minorHAnsi" w:cstheme="minorHAnsi"/>
          <w:sz w:val="24"/>
          <w:szCs w:val="24"/>
        </w:rPr>
      </w:pPr>
      <w:r w:rsidRPr="00FD068C">
        <w:rPr>
          <w:rFonts w:asciiTheme="minorHAnsi" w:hAnsiTheme="minorHAnsi" w:cstheme="minorHAnsi"/>
          <w:sz w:val="24"/>
          <w:szCs w:val="24"/>
        </w:rPr>
        <w:t>Sincerely,</w:t>
      </w:r>
    </w:p>
    <w:p w14:paraId="65D7E835" w14:textId="77777777" w:rsidR="00FD068C" w:rsidRPr="00FD068C" w:rsidRDefault="00FD068C" w:rsidP="00FD068C">
      <w:pPr>
        <w:jc w:val="both"/>
        <w:rPr>
          <w:rFonts w:asciiTheme="minorHAnsi" w:hAnsiTheme="minorHAnsi" w:cstheme="minorHAnsi"/>
          <w:sz w:val="24"/>
          <w:szCs w:val="24"/>
        </w:rPr>
      </w:pPr>
    </w:p>
    <w:p w14:paraId="26F42BAC" w14:textId="77777777" w:rsidR="00FD068C" w:rsidRPr="00FD068C" w:rsidRDefault="00FD068C" w:rsidP="00FD068C">
      <w:pPr>
        <w:rPr>
          <w:rFonts w:asciiTheme="minorHAnsi" w:hAnsiTheme="minorHAnsi" w:cstheme="minorHAnsi"/>
          <w:sz w:val="24"/>
          <w:szCs w:val="24"/>
        </w:rPr>
      </w:pPr>
      <w:r w:rsidRPr="00FD068C">
        <w:rPr>
          <w:rFonts w:asciiTheme="minorHAnsi" w:hAnsiTheme="minorHAnsi" w:cstheme="minorHAnsi"/>
          <w:noProof/>
          <w:sz w:val="24"/>
          <w:szCs w:val="24"/>
        </w:rPr>
        <w:t>&lt;Signature on file&gt;</w:t>
      </w:r>
    </w:p>
    <w:p w14:paraId="003C3271" w14:textId="77777777" w:rsidR="00FD068C" w:rsidRPr="00FD068C" w:rsidRDefault="00FD068C" w:rsidP="00FD068C">
      <w:pPr>
        <w:rPr>
          <w:rFonts w:asciiTheme="minorHAnsi" w:hAnsiTheme="minorHAnsi" w:cstheme="minorHAnsi"/>
          <w:sz w:val="24"/>
          <w:szCs w:val="24"/>
        </w:rPr>
      </w:pPr>
      <w:r w:rsidRPr="00FD068C">
        <w:rPr>
          <w:rFonts w:asciiTheme="minorHAnsi" w:hAnsiTheme="minorHAnsi" w:cstheme="minorHAnsi"/>
          <w:sz w:val="24"/>
          <w:szCs w:val="24"/>
        </w:rPr>
        <w:t>Joseph Byrne</w:t>
      </w:r>
    </w:p>
    <w:p w14:paraId="43AA9801" w14:textId="079D9DB5" w:rsidR="00FD068C" w:rsidRPr="00122600" w:rsidRDefault="00FD068C" w:rsidP="00FD068C">
      <w:pPr>
        <w:rPr>
          <w:rFonts w:asciiTheme="minorHAnsi" w:hAnsiTheme="minorHAnsi" w:cstheme="minorHAnsi"/>
          <w:sz w:val="24"/>
          <w:szCs w:val="24"/>
        </w:rPr>
      </w:pPr>
      <w:r w:rsidRPr="00FD068C">
        <w:rPr>
          <w:rFonts w:asciiTheme="minorHAnsi" w:hAnsiTheme="minorHAnsi" w:cstheme="minorHAnsi"/>
          <w:sz w:val="24"/>
          <w:szCs w:val="24"/>
        </w:rPr>
        <w:t>Executive Secretary Treasurer</w:t>
      </w:r>
    </w:p>
    <w:sectPr w:rsidR="00FD068C" w:rsidRPr="00122600" w:rsidSect="00F239F3">
      <w:type w:val="continuous"/>
      <w:pgSz w:w="12170" w:h="15770"/>
      <w:pgMar w:top="580" w:right="82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38F"/>
    <w:rsid w:val="00122600"/>
    <w:rsid w:val="002F238F"/>
    <w:rsid w:val="003C6333"/>
    <w:rsid w:val="003E4051"/>
    <w:rsid w:val="005D742B"/>
    <w:rsid w:val="0066442A"/>
    <w:rsid w:val="008C6E82"/>
    <w:rsid w:val="00AF59A9"/>
    <w:rsid w:val="00F239F3"/>
    <w:rsid w:val="00F26BD1"/>
    <w:rsid w:val="00FD0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417C9"/>
  <w15:docId w15:val="{C95B2056-DBF8-474A-8820-4712B0CAE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line="132" w:lineRule="exact"/>
      <w:ind w:left="834" w:right="875"/>
      <w:jc w:val="center"/>
    </w:pPr>
    <w:rPr>
      <w:rFonts w:ascii="Times New Roman" w:eastAsia="Times New Roman" w:hAnsi="Times New Roman" w:cs="Times New Roman"/>
      <w:b/>
      <w:bCs/>
      <w:sz w:val="36"/>
      <w:szCs w:val="36"/>
      <w:u w:val="single" w:color="00000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BED3B-2C1A-4B4E-98C9-4DA344B7B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W</dc:creator>
  <cp:lastModifiedBy>Wong, Julia (EHS)</cp:lastModifiedBy>
  <cp:revision>2</cp:revision>
  <dcterms:created xsi:type="dcterms:W3CDTF">2022-04-22T16:07:00Z</dcterms:created>
  <dcterms:modified xsi:type="dcterms:W3CDTF">2022-04-22T16:07:00Z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2022-04-13T00:00:00Z</vt:filetime>
  </property>
  <property fmtid="{D5CDD505-2E9C-101B-9397-08002B2CF9AE}" pid="3" name="Creator">
    <vt:lpwstr>PFU ScanSnap Manager 7.2.40 #iX500</vt:lpwstr>
  </property>
  <property fmtid="{D5CDD505-2E9C-101B-9397-08002B2CF9AE}" pid="4" name="LastSaved">
    <vt:filetime>2022-04-19T00:00:00Z</vt:filetime>
  </property>
</Properties>
</file>