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071" w:rsidRDefault="00683071" w:rsidP="00683071">
      <w:pPr>
        <w:pStyle w:val="BodyText"/>
        <w:ind w:left="977"/>
        <w:rPr>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265430</wp:posOffset>
                </wp:positionH>
                <wp:positionV relativeFrom="page">
                  <wp:posOffset>2036445</wp:posOffset>
                </wp:positionV>
                <wp:extent cx="0" cy="0"/>
                <wp:effectExtent l="8255" t="283845" r="10795" b="2832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699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160.35pt" to="20.9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FEIQIAAEkEAAAOAAAAZHJzL2Uyb0RvYy54bWysVMGO2jAQvVfqP1i+Qwibsm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" strokeweight=".17147mm">
                <w10:wrap anchorx="page" anchory="page"/>
              </v:line>
            </w:pict>
          </mc:Fallback>
        </mc:AlternateContent>
      </w:r>
      <w:r>
        <w:rPr>
          <w:noProof/>
          <w:sz w:val="20"/>
        </w:rPr>
        <w:drawing>
          <wp:inline distT="0" distB="0" distL="0" distR="0" wp14:anchorId="599D7891" wp14:editId="09274864">
            <wp:extent cx="5462658" cy="1151572"/>
            <wp:effectExtent l="0" t="0" r="5080" b="0"/>
            <wp:docPr id="1" name="image1.jpeg" descr="Massachusetts Association of Ambulatory Surgery Centers logo" title="Massachusetts Association of Ambulatory Surgery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462658" cy="1151572"/>
                    </a:xfrm>
                    <a:prstGeom prst="rect">
                      <a:avLst/>
                    </a:prstGeom>
                  </pic:spPr>
                </pic:pic>
              </a:graphicData>
            </a:graphic>
          </wp:inline>
        </w:drawing>
      </w:r>
    </w:p>
    <w:p w:rsidR="00683071" w:rsidRDefault="00683071" w:rsidP="00683071">
      <w:pPr>
        <w:spacing w:before="118" w:line="557" w:lineRule="exact"/>
        <w:ind w:left="998"/>
        <w:rPr>
          <w:rFonts w:ascii="Arial"/>
          <w:b/>
          <w:sz w:val="52"/>
        </w:rPr>
      </w:pPr>
      <w:r>
        <w:rPr>
          <w:rFonts w:ascii="Arial"/>
          <w:b/>
          <w:color w:val="216B9E"/>
          <w:w w:val="115"/>
          <w:sz w:val="52"/>
        </w:rPr>
        <w:t>Massachusetts Association</w:t>
      </w:r>
      <w:r>
        <w:rPr>
          <w:rFonts w:ascii="Arial"/>
          <w:b/>
          <w:color w:val="216B9E"/>
          <w:spacing w:val="-102"/>
          <w:w w:val="115"/>
          <w:sz w:val="52"/>
        </w:rPr>
        <w:t xml:space="preserve"> </w:t>
      </w:r>
      <w:r>
        <w:rPr>
          <w:rFonts w:ascii="Arial"/>
          <w:b/>
          <w:color w:val="216B9E"/>
          <w:w w:val="115"/>
          <w:sz w:val="52"/>
        </w:rPr>
        <w:t>of</w:t>
      </w:r>
    </w:p>
    <w:p w:rsidR="00683071" w:rsidRDefault="00683071" w:rsidP="00683071">
      <w:pPr>
        <w:spacing w:line="603" w:lineRule="exact"/>
        <w:ind w:left="1006"/>
        <w:rPr>
          <w:rFonts w:ascii="Arial"/>
          <w:b/>
          <w:sz w:val="56"/>
        </w:rPr>
      </w:pPr>
      <w:r>
        <w:rPr>
          <w:rFonts w:ascii="Arial"/>
          <w:b/>
          <w:color w:val="216B9E"/>
          <w:w w:val="110"/>
          <w:sz w:val="56"/>
        </w:rPr>
        <w:t>Ambulatory Surgery</w:t>
      </w:r>
      <w:r>
        <w:rPr>
          <w:rFonts w:ascii="Arial"/>
          <w:b/>
          <w:color w:val="216B9E"/>
          <w:spacing w:val="67"/>
          <w:w w:val="110"/>
          <w:sz w:val="56"/>
        </w:rPr>
        <w:t xml:space="preserve"> </w:t>
      </w:r>
      <w:r>
        <w:rPr>
          <w:rFonts w:ascii="Arial"/>
          <w:b/>
          <w:color w:val="216B9E"/>
          <w:w w:val="110"/>
          <w:sz w:val="56"/>
        </w:rPr>
        <w:t>Centers</w:t>
      </w:r>
    </w:p>
    <w:p w:rsidR="00683071" w:rsidRDefault="00683071" w:rsidP="00683071">
      <w:pPr>
        <w:pStyle w:val="BodyText"/>
        <w:rPr>
          <w:rFonts w:ascii="Arial"/>
          <w:b/>
          <w:sz w:val="62"/>
        </w:rPr>
      </w:pPr>
    </w:p>
    <w:p w:rsidR="00683071" w:rsidRDefault="00683071" w:rsidP="00683071">
      <w:pPr>
        <w:pStyle w:val="BodyText"/>
        <w:spacing w:before="10"/>
        <w:rPr>
          <w:rFonts w:ascii="Arial"/>
          <w:b/>
          <w:sz w:val="71"/>
        </w:rPr>
      </w:pPr>
    </w:p>
    <w:p w:rsidR="00683071" w:rsidRDefault="00683071" w:rsidP="00683071">
      <w:pPr>
        <w:pStyle w:val="BodyText"/>
        <w:ind w:left="601"/>
      </w:pPr>
      <w:r>
        <w:rPr>
          <w:color w:val="080808"/>
          <w:w w:val="110"/>
        </w:rPr>
        <w:t>May 19, 2021</w:t>
      </w:r>
    </w:p>
    <w:p w:rsidR="00683071" w:rsidRDefault="00683071" w:rsidP="00683071">
      <w:pPr>
        <w:pStyle w:val="BodyText"/>
        <w:spacing w:before="1"/>
        <w:rPr>
          <w:sz w:val="44"/>
        </w:rPr>
      </w:pPr>
    </w:p>
    <w:p w:rsidR="00683071" w:rsidRDefault="00683071" w:rsidP="00683071">
      <w:pPr>
        <w:pStyle w:val="BodyText"/>
        <w:ind w:left="582"/>
      </w:pPr>
      <w:r>
        <w:rPr>
          <w:color w:val="080808"/>
        </w:rPr>
        <w:t xml:space="preserve">Monica Bharel, </w:t>
      </w:r>
      <w:r>
        <w:rPr>
          <w:color w:val="080808"/>
          <w:sz w:val="44"/>
        </w:rPr>
        <w:t xml:space="preserve">MD, </w:t>
      </w:r>
      <w:r>
        <w:rPr>
          <w:color w:val="080808"/>
        </w:rPr>
        <w:t>MPH</w:t>
      </w:r>
    </w:p>
    <w:p w:rsidR="00683071" w:rsidRDefault="00683071" w:rsidP="00683071">
      <w:pPr>
        <w:pStyle w:val="BodyText"/>
        <w:spacing w:before="61" w:line="228" w:lineRule="auto"/>
        <w:ind w:left="550" w:right="9086" w:firstLine="2"/>
      </w:pPr>
      <w:r>
        <w:rPr>
          <w:color w:val="080808"/>
          <w:w w:val="105"/>
        </w:rPr>
        <w:t xml:space="preserve">Commissioner, </w:t>
      </w:r>
      <w:r>
        <w:rPr>
          <w:color w:val="080808"/>
          <w:w w:val="105"/>
          <w:sz w:val="46"/>
        </w:rPr>
        <w:t xml:space="preserve">MA </w:t>
      </w:r>
      <w:r>
        <w:rPr>
          <w:color w:val="080808"/>
          <w:w w:val="105"/>
        </w:rPr>
        <w:t>Department of Public Health 250 Washington Street</w:t>
      </w:r>
    </w:p>
    <w:p w:rsidR="00683071" w:rsidRDefault="00683071" w:rsidP="00683071">
      <w:pPr>
        <w:pStyle w:val="BodyText"/>
        <w:tabs>
          <w:tab w:val="left" w:pos="2974"/>
        </w:tabs>
        <w:spacing w:before="15"/>
        <w:ind w:left="542"/>
      </w:pPr>
      <w:r>
        <w:rPr>
          <w:color w:val="080808"/>
          <w:w w:val="105"/>
        </w:rPr>
        <w:t>Boston,</w:t>
      </w:r>
      <w:r>
        <w:rPr>
          <w:color w:val="080808"/>
          <w:spacing w:val="-21"/>
          <w:w w:val="105"/>
        </w:rPr>
        <w:t xml:space="preserve"> </w:t>
      </w:r>
      <w:r>
        <w:rPr>
          <w:rFonts w:ascii="Arial"/>
          <w:color w:val="080808"/>
          <w:w w:val="105"/>
          <w:sz w:val="41"/>
        </w:rPr>
        <w:t>MA</w:t>
      </w:r>
      <w:r>
        <w:rPr>
          <w:rFonts w:ascii="Arial"/>
          <w:color w:val="080808"/>
          <w:w w:val="105"/>
          <w:sz w:val="41"/>
        </w:rPr>
        <w:tab/>
      </w:r>
      <w:r>
        <w:rPr>
          <w:color w:val="080808"/>
          <w:w w:val="105"/>
        </w:rPr>
        <w:t>02108</w:t>
      </w:r>
    </w:p>
    <w:p w:rsidR="00683071" w:rsidRDefault="00683071" w:rsidP="00683071">
      <w:pPr>
        <w:pStyle w:val="BodyText"/>
        <w:spacing w:before="7"/>
        <w:rPr>
          <w:sz w:val="46"/>
        </w:rPr>
      </w:pPr>
    </w:p>
    <w:p w:rsidR="00683071" w:rsidRDefault="00683071" w:rsidP="00683071">
      <w:pPr>
        <w:pStyle w:val="BodyText"/>
        <w:ind w:left="511"/>
      </w:pPr>
      <w:r>
        <w:rPr>
          <w:color w:val="080808"/>
          <w:w w:val="105"/>
        </w:rPr>
        <w:t>Lara</w:t>
      </w:r>
      <w:r>
        <w:rPr>
          <w:color w:val="080808"/>
          <w:spacing w:val="-73"/>
          <w:w w:val="105"/>
        </w:rPr>
        <w:t xml:space="preserve"> </w:t>
      </w:r>
      <w:r>
        <w:rPr>
          <w:color w:val="080808"/>
          <w:w w:val="105"/>
        </w:rPr>
        <w:t>Szent-Gyorgyi</w:t>
      </w:r>
    </w:p>
    <w:p w:rsidR="00683071" w:rsidRDefault="00683071" w:rsidP="00683071">
      <w:pPr>
        <w:pStyle w:val="BodyText"/>
        <w:spacing w:before="40" w:line="254" w:lineRule="auto"/>
        <w:ind w:left="492" w:right="10184" w:firstLine="21"/>
      </w:pPr>
      <w:r>
        <w:rPr>
          <w:color w:val="080808"/>
          <w:w w:val="105"/>
        </w:rPr>
        <w:t>Director</w:t>
      </w:r>
      <w:r>
        <w:rPr>
          <w:color w:val="262626"/>
          <w:w w:val="105"/>
        </w:rPr>
        <w:t xml:space="preserve">, </w:t>
      </w:r>
      <w:r>
        <w:rPr>
          <w:color w:val="080808"/>
          <w:w w:val="105"/>
        </w:rPr>
        <w:t>Determination of Need Program Massachusetts Department of Public Health 250 Washington Street</w:t>
      </w:r>
      <w:r>
        <w:rPr>
          <w:color w:val="262626"/>
          <w:w w:val="105"/>
        </w:rPr>
        <w:t xml:space="preserve">, </w:t>
      </w:r>
      <w:r>
        <w:rPr>
          <w:color w:val="080808"/>
          <w:w w:val="105"/>
        </w:rPr>
        <w:t>6thFloor</w:t>
      </w:r>
    </w:p>
    <w:p w:rsidR="00683071" w:rsidRDefault="00683071" w:rsidP="00683071">
      <w:pPr>
        <w:pStyle w:val="BodyText"/>
        <w:spacing w:line="469" w:lineRule="exact"/>
        <w:ind w:left="464"/>
      </w:pPr>
      <w:r>
        <w:rPr>
          <w:color w:val="080808"/>
          <w:w w:val="105"/>
        </w:rPr>
        <w:t xml:space="preserve">Boston, </w:t>
      </w:r>
      <w:r>
        <w:rPr>
          <w:color w:val="080808"/>
          <w:w w:val="105"/>
          <w:sz w:val="44"/>
        </w:rPr>
        <w:t xml:space="preserve">MA </w:t>
      </w:r>
      <w:r>
        <w:rPr>
          <w:color w:val="080808"/>
          <w:w w:val="105"/>
        </w:rPr>
        <w:t>02108</w:t>
      </w:r>
    </w:p>
    <w:p w:rsidR="00683071" w:rsidRDefault="00683071" w:rsidP="00683071">
      <w:pPr>
        <w:pStyle w:val="BodyText"/>
        <w:spacing w:before="1"/>
        <w:rPr>
          <w:sz w:val="48"/>
        </w:rPr>
      </w:pPr>
    </w:p>
    <w:p w:rsidR="00683071" w:rsidRDefault="00683071" w:rsidP="00683071">
      <w:pPr>
        <w:pStyle w:val="BodyText"/>
        <w:ind w:left="445"/>
      </w:pPr>
      <w:r>
        <w:rPr>
          <w:color w:val="080808"/>
          <w:w w:val="105"/>
        </w:rPr>
        <w:t>Dear Director Szent-Gyorgyi,</w:t>
      </w:r>
    </w:p>
    <w:p w:rsidR="00683071" w:rsidRDefault="00683071" w:rsidP="00683071">
      <w:pPr>
        <w:pStyle w:val="BodyText"/>
        <w:rPr>
          <w:sz w:val="55"/>
        </w:rPr>
      </w:pPr>
    </w:p>
    <w:p w:rsidR="00683071" w:rsidRDefault="00683071" w:rsidP="00683071">
      <w:pPr>
        <w:pStyle w:val="BodyText"/>
        <w:spacing w:line="252" w:lineRule="auto"/>
        <w:ind w:left="400" w:firstLine="19"/>
      </w:pPr>
      <w:r>
        <w:rPr>
          <w:color w:val="080808"/>
          <w:w w:val="110"/>
        </w:rPr>
        <w:t xml:space="preserve">Thank you for the opportunity to share the position of the Massachusetts Association of Ambulatory Surgery Centers (MAASC) on Mass General Brigham's (MGB) application </w:t>
      </w:r>
      <w:r>
        <w:rPr>
          <w:color w:val="080808"/>
          <w:spacing w:val="-36"/>
          <w:w w:val="110"/>
        </w:rPr>
        <w:t xml:space="preserve">fora </w:t>
      </w:r>
      <w:r>
        <w:rPr>
          <w:color w:val="080808"/>
          <w:w w:val="110"/>
        </w:rPr>
        <w:t>Determination</w:t>
      </w:r>
      <w:r>
        <w:rPr>
          <w:color w:val="080808"/>
          <w:spacing w:val="-4"/>
          <w:w w:val="110"/>
        </w:rPr>
        <w:t xml:space="preserve"> </w:t>
      </w:r>
      <w:r>
        <w:rPr>
          <w:color w:val="080808"/>
          <w:w w:val="110"/>
        </w:rPr>
        <w:t>of</w:t>
      </w:r>
      <w:r>
        <w:rPr>
          <w:color w:val="080808"/>
          <w:spacing w:val="-21"/>
          <w:w w:val="110"/>
        </w:rPr>
        <w:t xml:space="preserve"> </w:t>
      </w:r>
      <w:r>
        <w:rPr>
          <w:color w:val="080808"/>
          <w:w w:val="110"/>
        </w:rPr>
        <w:t>Need</w:t>
      </w:r>
      <w:r>
        <w:rPr>
          <w:color w:val="080808"/>
          <w:spacing w:val="-15"/>
          <w:w w:val="110"/>
        </w:rPr>
        <w:t xml:space="preserve"> </w:t>
      </w:r>
      <w:r>
        <w:rPr>
          <w:color w:val="080808"/>
          <w:w w:val="110"/>
        </w:rPr>
        <w:t>for</w:t>
      </w:r>
      <w:r>
        <w:rPr>
          <w:color w:val="080808"/>
          <w:spacing w:val="-41"/>
          <w:w w:val="110"/>
        </w:rPr>
        <w:t xml:space="preserve"> </w:t>
      </w:r>
      <w:r>
        <w:rPr>
          <w:color w:val="080808"/>
          <w:w w:val="110"/>
        </w:rPr>
        <w:t>ambulatory</w:t>
      </w:r>
      <w:r>
        <w:rPr>
          <w:color w:val="080808"/>
          <w:spacing w:val="-34"/>
          <w:w w:val="110"/>
        </w:rPr>
        <w:t xml:space="preserve"> </w:t>
      </w:r>
      <w:r>
        <w:rPr>
          <w:color w:val="080808"/>
          <w:w w:val="110"/>
        </w:rPr>
        <w:t>surgery</w:t>
      </w:r>
      <w:r>
        <w:rPr>
          <w:color w:val="080808"/>
          <w:spacing w:val="-32"/>
          <w:w w:val="110"/>
        </w:rPr>
        <w:t xml:space="preserve"> </w:t>
      </w:r>
      <w:r>
        <w:rPr>
          <w:color w:val="080808"/>
          <w:w w:val="110"/>
        </w:rPr>
        <w:t>centers</w:t>
      </w:r>
      <w:r>
        <w:rPr>
          <w:color w:val="080808"/>
          <w:spacing w:val="-28"/>
          <w:w w:val="110"/>
        </w:rPr>
        <w:t xml:space="preserve"> </w:t>
      </w:r>
      <w:r>
        <w:rPr>
          <w:color w:val="080808"/>
          <w:w w:val="110"/>
        </w:rPr>
        <w:t>in</w:t>
      </w:r>
      <w:r>
        <w:rPr>
          <w:color w:val="080808"/>
          <w:spacing w:val="-54"/>
          <w:w w:val="110"/>
        </w:rPr>
        <w:t xml:space="preserve"> </w:t>
      </w:r>
      <w:r>
        <w:rPr>
          <w:color w:val="080808"/>
          <w:w w:val="110"/>
        </w:rPr>
        <w:t>Westborough,</w:t>
      </w:r>
      <w:r>
        <w:rPr>
          <w:color w:val="080808"/>
          <w:spacing w:val="-10"/>
          <w:w w:val="110"/>
        </w:rPr>
        <w:t xml:space="preserve"> </w:t>
      </w:r>
      <w:r>
        <w:rPr>
          <w:color w:val="080808"/>
          <w:w w:val="110"/>
        </w:rPr>
        <w:t>Weston</w:t>
      </w:r>
      <w:r>
        <w:rPr>
          <w:color w:val="080808"/>
          <w:spacing w:val="-16"/>
          <w:w w:val="110"/>
        </w:rPr>
        <w:t xml:space="preserve"> </w:t>
      </w:r>
      <w:r>
        <w:rPr>
          <w:color w:val="080808"/>
          <w:w w:val="110"/>
        </w:rPr>
        <w:t>and</w:t>
      </w:r>
      <w:r>
        <w:rPr>
          <w:color w:val="080808"/>
          <w:spacing w:val="-3"/>
          <w:w w:val="110"/>
        </w:rPr>
        <w:t xml:space="preserve"> </w:t>
      </w:r>
      <w:r>
        <w:rPr>
          <w:color w:val="080808"/>
          <w:w w:val="110"/>
        </w:rPr>
        <w:t>Woburn.</w:t>
      </w:r>
    </w:p>
    <w:p w:rsidR="00683071" w:rsidRDefault="00683071" w:rsidP="00683071">
      <w:pPr>
        <w:pStyle w:val="BodyText"/>
        <w:spacing w:before="3"/>
        <w:rPr>
          <w:sz w:val="46"/>
        </w:rPr>
      </w:pPr>
    </w:p>
    <w:p w:rsidR="00683071" w:rsidRDefault="00683071" w:rsidP="00683071">
      <w:pPr>
        <w:pStyle w:val="BodyText"/>
        <w:tabs>
          <w:tab w:val="left" w:pos="15135"/>
        </w:tabs>
        <w:spacing w:line="244" w:lineRule="auto"/>
        <w:ind w:left="342" w:right="431" w:firstLine="29"/>
      </w:pPr>
      <w:r>
        <w:rPr>
          <w:color w:val="080808"/>
          <w:w w:val="105"/>
        </w:rPr>
        <w:t>The</w:t>
      </w:r>
      <w:r>
        <w:rPr>
          <w:color w:val="080808"/>
          <w:spacing w:val="-17"/>
          <w:w w:val="105"/>
        </w:rPr>
        <w:t xml:space="preserve"> </w:t>
      </w:r>
      <w:r>
        <w:rPr>
          <w:color w:val="080808"/>
          <w:w w:val="105"/>
        </w:rPr>
        <w:t>Massachusetts</w:t>
      </w:r>
      <w:r>
        <w:rPr>
          <w:color w:val="080808"/>
          <w:spacing w:val="-3"/>
          <w:w w:val="105"/>
        </w:rPr>
        <w:t xml:space="preserve"> </w:t>
      </w:r>
      <w:r>
        <w:rPr>
          <w:color w:val="080808"/>
          <w:w w:val="105"/>
        </w:rPr>
        <w:t>Association</w:t>
      </w:r>
      <w:r>
        <w:rPr>
          <w:color w:val="080808"/>
          <w:spacing w:val="6"/>
          <w:w w:val="105"/>
        </w:rPr>
        <w:t xml:space="preserve"> </w:t>
      </w:r>
      <w:r>
        <w:rPr>
          <w:color w:val="080808"/>
          <w:w w:val="105"/>
        </w:rPr>
        <w:t>of</w:t>
      </w:r>
      <w:r>
        <w:rPr>
          <w:color w:val="080808"/>
          <w:spacing w:val="-34"/>
          <w:w w:val="105"/>
        </w:rPr>
        <w:t xml:space="preserve"> </w:t>
      </w:r>
      <w:r>
        <w:rPr>
          <w:color w:val="080808"/>
          <w:w w:val="105"/>
        </w:rPr>
        <w:t>Ambulatory</w:t>
      </w:r>
      <w:r>
        <w:rPr>
          <w:color w:val="080808"/>
          <w:spacing w:val="-27"/>
          <w:w w:val="105"/>
        </w:rPr>
        <w:t xml:space="preserve"> </w:t>
      </w:r>
      <w:r>
        <w:rPr>
          <w:color w:val="080808"/>
          <w:w w:val="105"/>
        </w:rPr>
        <w:t>Surgery</w:t>
      </w:r>
      <w:r>
        <w:rPr>
          <w:color w:val="080808"/>
          <w:spacing w:val="-24"/>
          <w:w w:val="105"/>
        </w:rPr>
        <w:t xml:space="preserve"> </w:t>
      </w:r>
      <w:r>
        <w:rPr>
          <w:color w:val="080808"/>
          <w:w w:val="105"/>
        </w:rPr>
        <w:t>Centers</w:t>
      </w:r>
      <w:r>
        <w:rPr>
          <w:color w:val="080808"/>
          <w:spacing w:val="-1"/>
          <w:w w:val="105"/>
        </w:rPr>
        <w:t xml:space="preserve"> </w:t>
      </w:r>
      <w:r>
        <w:rPr>
          <w:color w:val="080808"/>
          <w:w w:val="105"/>
        </w:rPr>
        <w:t>(MAASC)</w:t>
      </w:r>
      <w:r>
        <w:rPr>
          <w:color w:val="080808"/>
          <w:spacing w:val="-3"/>
          <w:w w:val="105"/>
        </w:rPr>
        <w:t xml:space="preserve"> </w:t>
      </w:r>
      <w:r>
        <w:rPr>
          <w:color w:val="080808"/>
          <w:w w:val="105"/>
        </w:rPr>
        <w:t>is</w:t>
      </w:r>
      <w:r>
        <w:rPr>
          <w:color w:val="080808"/>
          <w:spacing w:val="27"/>
          <w:w w:val="105"/>
        </w:rPr>
        <w:t xml:space="preserve"> </w:t>
      </w:r>
      <w:r>
        <w:rPr>
          <w:color w:val="080808"/>
          <w:w w:val="105"/>
        </w:rPr>
        <w:t>the</w:t>
      </w:r>
      <w:r>
        <w:rPr>
          <w:color w:val="080808"/>
          <w:w w:val="105"/>
        </w:rPr>
        <w:tab/>
        <w:t xml:space="preserve">only organization </w:t>
      </w:r>
      <w:r>
        <w:rPr>
          <w:color w:val="080808"/>
          <w:spacing w:val="-8"/>
          <w:w w:val="105"/>
        </w:rPr>
        <w:t xml:space="preserve">in </w:t>
      </w:r>
      <w:r>
        <w:rPr>
          <w:color w:val="080808"/>
          <w:w w:val="105"/>
        </w:rPr>
        <w:t xml:space="preserve">the Commonwealth of Massachusetts devoted solely to promoting the interests of freestanding ambulatory surgical centers. The </w:t>
      </w:r>
      <w:r>
        <w:rPr>
          <w:b/>
          <w:color w:val="080808"/>
          <w:w w:val="105"/>
          <w:sz w:val="44"/>
        </w:rPr>
        <w:t xml:space="preserve">MAASC </w:t>
      </w:r>
      <w:r>
        <w:rPr>
          <w:color w:val="080808"/>
          <w:w w:val="105"/>
        </w:rPr>
        <w:t>represents the majority of licensed freestanding ASC's in Massachusetts and includes multispecialty and single-specialty orthopedic, ophthalmology, gastroenterology, otolaryngology and plastic surgical facilities located across the</w:t>
      </w:r>
      <w:r>
        <w:rPr>
          <w:color w:val="080808"/>
          <w:spacing w:val="9"/>
          <w:w w:val="105"/>
        </w:rPr>
        <w:t xml:space="preserve"> </w:t>
      </w:r>
      <w:proofErr w:type="gramStart"/>
      <w:r>
        <w:rPr>
          <w:color w:val="080808"/>
          <w:w w:val="105"/>
        </w:rPr>
        <w:t>state..</w:t>
      </w:r>
      <w:proofErr w:type="gramEnd"/>
    </w:p>
    <w:p w:rsidR="00683071" w:rsidRDefault="00683071" w:rsidP="00683071">
      <w:pPr>
        <w:pStyle w:val="BodyText"/>
        <w:spacing w:before="3"/>
        <w:rPr>
          <w:sz w:val="48"/>
        </w:rPr>
      </w:pPr>
    </w:p>
    <w:p w:rsidR="00683071" w:rsidRDefault="00683071" w:rsidP="00683071">
      <w:pPr>
        <w:pStyle w:val="BodyText"/>
        <w:spacing w:line="235" w:lineRule="auto"/>
        <w:ind w:left="327" w:right="431" w:hanging="5"/>
      </w:pPr>
      <w:r>
        <w:rPr>
          <w:color w:val="080808"/>
          <w:w w:val="110"/>
        </w:rPr>
        <w:t>The</w:t>
      </w:r>
      <w:r>
        <w:rPr>
          <w:color w:val="080808"/>
          <w:spacing w:val="-39"/>
          <w:w w:val="110"/>
        </w:rPr>
        <w:t xml:space="preserve"> </w:t>
      </w:r>
      <w:r>
        <w:rPr>
          <w:color w:val="080808"/>
          <w:w w:val="110"/>
        </w:rPr>
        <w:t>MAASC</w:t>
      </w:r>
      <w:r>
        <w:rPr>
          <w:color w:val="080808"/>
          <w:spacing w:val="-54"/>
          <w:w w:val="110"/>
        </w:rPr>
        <w:t xml:space="preserve"> </w:t>
      </w:r>
      <w:r>
        <w:rPr>
          <w:color w:val="080808"/>
          <w:w w:val="110"/>
        </w:rPr>
        <w:t>shares</w:t>
      </w:r>
      <w:r>
        <w:rPr>
          <w:color w:val="080808"/>
          <w:spacing w:val="-45"/>
          <w:w w:val="110"/>
        </w:rPr>
        <w:t xml:space="preserve"> </w:t>
      </w:r>
      <w:r>
        <w:rPr>
          <w:color w:val="080808"/>
          <w:w w:val="110"/>
        </w:rPr>
        <w:t>the</w:t>
      </w:r>
      <w:r>
        <w:rPr>
          <w:color w:val="080808"/>
          <w:spacing w:val="-46"/>
          <w:w w:val="110"/>
        </w:rPr>
        <w:t xml:space="preserve"> </w:t>
      </w:r>
      <w:r>
        <w:rPr>
          <w:color w:val="080808"/>
          <w:w w:val="110"/>
        </w:rPr>
        <w:t>Commonwealth's</w:t>
      </w:r>
      <w:r>
        <w:rPr>
          <w:color w:val="080808"/>
          <w:spacing w:val="-66"/>
          <w:w w:val="110"/>
        </w:rPr>
        <w:t xml:space="preserve"> </w:t>
      </w:r>
      <w:r>
        <w:rPr>
          <w:color w:val="080808"/>
          <w:w w:val="110"/>
        </w:rPr>
        <w:t>interest</w:t>
      </w:r>
      <w:r>
        <w:rPr>
          <w:color w:val="080808"/>
          <w:spacing w:val="-43"/>
          <w:w w:val="110"/>
        </w:rPr>
        <w:t xml:space="preserve"> </w:t>
      </w:r>
      <w:r>
        <w:rPr>
          <w:color w:val="080808"/>
          <w:w w:val="110"/>
        </w:rPr>
        <w:t>in</w:t>
      </w:r>
      <w:r>
        <w:rPr>
          <w:color w:val="080808"/>
          <w:spacing w:val="-55"/>
          <w:w w:val="110"/>
        </w:rPr>
        <w:t xml:space="preserve"> </w:t>
      </w:r>
      <w:r>
        <w:rPr>
          <w:color w:val="080808"/>
          <w:w w:val="110"/>
        </w:rPr>
        <w:t>ensuring</w:t>
      </w:r>
      <w:r>
        <w:rPr>
          <w:color w:val="080808"/>
          <w:spacing w:val="-49"/>
          <w:w w:val="110"/>
        </w:rPr>
        <w:t xml:space="preserve"> </w:t>
      </w:r>
      <w:r>
        <w:rPr>
          <w:color w:val="080808"/>
          <w:w w:val="110"/>
        </w:rPr>
        <w:t>access</w:t>
      </w:r>
      <w:r>
        <w:rPr>
          <w:color w:val="080808"/>
          <w:spacing w:val="-39"/>
          <w:w w:val="110"/>
        </w:rPr>
        <w:t xml:space="preserve"> </w:t>
      </w:r>
      <w:r>
        <w:rPr>
          <w:color w:val="080808"/>
          <w:w w:val="110"/>
        </w:rPr>
        <w:t>to</w:t>
      </w:r>
      <w:r>
        <w:rPr>
          <w:color w:val="080808"/>
          <w:spacing w:val="-27"/>
          <w:w w:val="110"/>
        </w:rPr>
        <w:t xml:space="preserve"> </w:t>
      </w:r>
      <w:r>
        <w:rPr>
          <w:color w:val="080808"/>
          <w:w w:val="110"/>
        </w:rPr>
        <w:t>high</w:t>
      </w:r>
      <w:r>
        <w:rPr>
          <w:color w:val="080808"/>
          <w:spacing w:val="-34"/>
          <w:w w:val="110"/>
        </w:rPr>
        <w:t xml:space="preserve"> </w:t>
      </w:r>
      <w:r>
        <w:rPr>
          <w:color w:val="080808"/>
          <w:w w:val="110"/>
        </w:rPr>
        <w:t>quality,</w:t>
      </w:r>
      <w:r>
        <w:rPr>
          <w:color w:val="080808"/>
          <w:spacing w:val="-53"/>
          <w:w w:val="110"/>
        </w:rPr>
        <w:t xml:space="preserve"> </w:t>
      </w:r>
      <w:r>
        <w:rPr>
          <w:color w:val="080808"/>
          <w:w w:val="110"/>
        </w:rPr>
        <w:t>community based</w:t>
      </w:r>
      <w:r>
        <w:rPr>
          <w:color w:val="080808"/>
          <w:spacing w:val="-92"/>
          <w:w w:val="110"/>
        </w:rPr>
        <w:t xml:space="preserve"> </w:t>
      </w:r>
      <w:r>
        <w:rPr>
          <w:color w:val="080808"/>
          <w:w w:val="110"/>
        </w:rPr>
        <w:t>surgical and diagnostic services without increasing cost.</w:t>
      </w:r>
    </w:p>
    <w:p w:rsidR="00683071" w:rsidRDefault="00683071" w:rsidP="00683071">
      <w:pPr>
        <w:pStyle w:val="BodyText"/>
        <w:spacing w:before="11"/>
        <w:rPr>
          <w:sz w:val="51"/>
        </w:rPr>
      </w:pPr>
    </w:p>
    <w:p w:rsidR="00683071" w:rsidRDefault="00683071" w:rsidP="00683071">
      <w:pPr>
        <w:pStyle w:val="BodyText"/>
        <w:spacing w:line="254" w:lineRule="auto"/>
        <w:ind w:left="291" w:firstLine="2"/>
      </w:pPr>
      <w:r>
        <w:rPr>
          <w:color w:val="080808"/>
          <w:w w:val="110"/>
        </w:rPr>
        <w:t>The</w:t>
      </w:r>
      <w:r>
        <w:rPr>
          <w:color w:val="080808"/>
          <w:spacing w:val="-53"/>
          <w:w w:val="110"/>
        </w:rPr>
        <w:t xml:space="preserve"> </w:t>
      </w:r>
      <w:r>
        <w:rPr>
          <w:color w:val="080808"/>
          <w:w w:val="110"/>
        </w:rPr>
        <w:t>Health</w:t>
      </w:r>
      <w:r>
        <w:rPr>
          <w:color w:val="080808"/>
          <w:spacing w:val="-31"/>
          <w:w w:val="110"/>
        </w:rPr>
        <w:t xml:space="preserve"> </w:t>
      </w:r>
      <w:r>
        <w:rPr>
          <w:color w:val="080808"/>
          <w:w w:val="110"/>
        </w:rPr>
        <w:t>Policy</w:t>
      </w:r>
      <w:r>
        <w:rPr>
          <w:color w:val="080808"/>
          <w:spacing w:val="-54"/>
          <w:w w:val="110"/>
        </w:rPr>
        <w:t xml:space="preserve"> </w:t>
      </w:r>
      <w:r>
        <w:rPr>
          <w:color w:val="080808"/>
          <w:w w:val="110"/>
        </w:rPr>
        <w:t>Commission</w:t>
      </w:r>
      <w:r>
        <w:rPr>
          <w:color w:val="080808"/>
          <w:spacing w:val="-23"/>
          <w:w w:val="110"/>
        </w:rPr>
        <w:t xml:space="preserve"> </w:t>
      </w:r>
      <w:r>
        <w:rPr>
          <w:color w:val="080808"/>
          <w:w w:val="110"/>
        </w:rPr>
        <w:t>(HPC)</w:t>
      </w:r>
      <w:r>
        <w:rPr>
          <w:color w:val="080808"/>
          <w:spacing w:val="-28"/>
          <w:w w:val="110"/>
        </w:rPr>
        <w:t xml:space="preserve"> </w:t>
      </w:r>
      <w:r>
        <w:rPr>
          <w:color w:val="080808"/>
          <w:w w:val="110"/>
        </w:rPr>
        <w:t>2019</w:t>
      </w:r>
      <w:r>
        <w:rPr>
          <w:color w:val="080808"/>
          <w:spacing w:val="-45"/>
          <w:w w:val="110"/>
        </w:rPr>
        <w:t xml:space="preserve"> </w:t>
      </w:r>
      <w:r>
        <w:rPr>
          <w:color w:val="080808"/>
          <w:w w:val="110"/>
        </w:rPr>
        <w:t>Cost</w:t>
      </w:r>
      <w:r>
        <w:rPr>
          <w:color w:val="080808"/>
          <w:spacing w:val="-63"/>
          <w:w w:val="110"/>
        </w:rPr>
        <w:t xml:space="preserve"> </w:t>
      </w:r>
      <w:r>
        <w:rPr>
          <w:color w:val="080808"/>
          <w:w w:val="110"/>
        </w:rPr>
        <w:t>Trends</w:t>
      </w:r>
      <w:r>
        <w:rPr>
          <w:color w:val="080808"/>
          <w:spacing w:val="-41"/>
          <w:w w:val="110"/>
        </w:rPr>
        <w:t xml:space="preserve"> </w:t>
      </w:r>
      <w:r>
        <w:rPr>
          <w:color w:val="080808"/>
          <w:w w:val="110"/>
        </w:rPr>
        <w:t>report</w:t>
      </w:r>
      <w:r>
        <w:rPr>
          <w:color w:val="080808"/>
          <w:spacing w:val="-46"/>
          <w:w w:val="110"/>
        </w:rPr>
        <w:t xml:space="preserve"> </w:t>
      </w:r>
      <w:r>
        <w:rPr>
          <w:color w:val="080808"/>
          <w:w w:val="110"/>
        </w:rPr>
        <w:t>provides</w:t>
      </w:r>
      <w:r>
        <w:rPr>
          <w:color w:val="080808"/>
          <w:spacing w:val="-40"/>
          <w:w w:val="110"/>
        </w:rPr>
        <w:t xml:space="preserve"> </w:t>
      </w:r>
      <w:r>
        <w:rPr>
          <w:color w:val="080808"/>
          <w:w w:val="110"/>
        </w:rPr>
        <w:t>an</w:t>
      </w:r>
      <w:r>
        <w:rPr>
          <w:color w:val="080808"/>
          <w:spacing w:val="-39"/>
          <w:w w:val="110"/>
        </w:rPr>
        <w:t xml:space="preserve"> </w:t>
      </w:r>
      <w:r>
        <w:rPr>
          <w:color w:val="080808"/>
          <w:w w:val="110"/>
        </w:rPr>
        <w:t>excellent</w:t>
      </w:r>
      <w:r>
        <w:rPr>
          <w:color w:val="080808"/>
          <w:spacing w:val="-52"/>
          <w:w w:val="110"/>
        </w:rPr>
        <w:t xml:space="preserve"> </w:t>
      </w:r>
      <w:r>
        <w:rPr>
          <w:color w:val="080808"/>
          <w:w w:val="110"/>
        </w:rPr>
        <w:t>analysis</w:t>
      </w:r>
      <w:r>
        <w:rPr>
          <w:color w:val="080808"/>
          <w:spacing w:val="-39"/>
          <w:w w:val="110"/>
        </w:rPr>
        <w:t xml:space="preserve"> </w:t>
      </w:r>
      <w:r>
        <w:rPr>
          <w:color w:val="080808"/>
          <w:w w:val="110"/>
        </w:rPr>
        <w:t>of</w:t>
      </w:r>
      <w:r>
        <w:rPr>
          <w:color w:val="080808"/>
          <w:spacing w:val="-42"/>
          <w:w w:val="110"/>
        </w:rPr>
        <w:t xml:space="preserve"> </w:t>
      </w:r>
      <w:r>
        <w:rPr>
          <w:color w:val="080808"/>
          <w:w w:val="110"/>
        </w:rPr>
        <w:t>the outpatient care market. Included in that analysis is the following policy</w:t>
      </w:r>
      <w:r>
        <w:rPr>
          <w:color w:val="080808"/>
          <w:spacing w:val="-55"/>
          <w:w w:val="110"/>
        </w:rPr>
        <w:t xml:space="preserve"> </w:t>
      </w:r>
      <w:r>
        <w:rPr>
          <w:color w:val="080808"/>
          <w:w w:val="110"/>
        </w:rPr>
        <w:t>recommendation:</w:t>
      </w:r>
    </w:p>
    <w:p w:rsidR="00683071" w:rsidRDefault="00683071" w:rsidP="00683071">
      <w:pPr>
        <w:pStyle w:val="BodyText"/>
        <w:spacing w:before="2"/>
      </w:pPr>
    </w:p>
    <w:p w:rsidR="00683071" w:rsidRDefault="00683071" w:rsidP="00683071">
      <w:pPr>
        <w:pStyle w:val="BodyText"/>
        <w:spacing w:line="283" w:lineRule="auto"/>
        <w:ind w:left="1642" w:right="431" w:firstLine="50"/>
      </w:pPr>
      <w:r>
        <w:rPr>
          <w:color w:val="080808"/>
          <w:w w:val="105"/>
        </w:rPr>
        <w:t>AMBULATORY CARE. The Commonwealth should closely scrutinize how care is delivered and paid for in ambulatory settings. Given the importance of outpatient care in driving spending and utilization trends, the Commonwealth should analyze ambulatory care across different sites and settings, including urgent care and hospital main campus and off-campus sites. Regulators, payers, and other stakeholders should also examine provider plans for outpatient service expansions and consider critically how new projects are likely to impact cost, quality, access, and competition in the provider market</w:t>
      </w:r>
    </w:p>
    <w:p w:rsidR="00683071" w:rsidRDefault="00683071" w:rsidP="00683071">
      <w:pPr>
        <w:pStyle w:val="BodyText"/>
        <w:spacing w:before="9"/>
        <w:rPr>
          <w:sz w:val="37"/>
        </w:rPr>
      </w:pPr>
    </w:p>
    <w:p w:rsidR="00683071" w:rsidRDefault="00683071" w:rsidP="00683071">
      <w:pPr>
        <w:pStyle w:val="BodyText"/>
        <w:ind w:left="175" w:firstLine="8"/>
      </w:pPr>
      <w:r>
        <w:rPr>
          <w:color w:val="080808"/>
          <w:w w:val="110"/>
        </w:rPr>
        <w:t xml:space="preserve">With this recommendation in mind, the </w:t>
      </w:r>
      <w:r>
        <w:rPr>
          <w:color w:val="080808"/>
          <w:w w:val="110"/>
          <w:sz w:val="42"/>
        </w:rPr>
        <w:t xml:space="preserve">MAASC </w:t>
      </w:r>
      <w:r>
        <w:rPr>
          <w:color w:val="080808"/>
          <w:w w:val="110"/>
        </w:rPr>
        <w:t>would like to raise several points that we</w:t>
      </w:r>
      <w:r>
        <w:rPr>
          <w:color w:val="080808"/>
          <w:spacing w:val="-52"/>
          <w:w w:val="110"/>
        </w:rPr>
        <w:t xml:space="preserve"> </w:t>
      </w:r>
      <w:r>
        <w:rPr>
          <w:color w:val="080808"/>
          <w:w w:val="110"/>
        </w:rPr>
        <w:t>believe</w:t>
      </w:r>
    </w:p>
    <w:p w:rsidR="00683071" w:rsidRDefault="00683071" w:rsidP="00683071">
      <w:pPr>
        <w:pStyle w:val="BodyText"/>
        <w:spacing w:before="115" w:line="230" w:lineRule="auto"/>
        <w:ind w:left="156" w:right="970" w:firstLine="19"/>
      </w:pPr>
      <w:r>
        <w:rPr>
          <w:color w:val="080808"/>
          <w:w w:val="105"/>
        </w:rPr>
        <w:t xml:space="preserve">the Determination of Need Program and Public Health Council should consider in its thoughts on the </w:t>
      </w:r>
      <w:r>
        <w:rPr>
          <w:color w:val="080808"/>
          <w:w w:val="105"/>
          <w:sz w:val="42"/>
        </w:rPr>
        <w:t xml:space="preserve">MGB </w:t>
      </w:r>
      <w:r w:rsidR="00202F28">
        <w:rPr>
          <w:color w:val="080808"/>
          <w:w w:val="105"/>
        </w:rPr>
        <w:t>application.</w:t>
      </w:r>
    </w:p>
    <w:p w:rsidR="00683071" w:rsidRDefault="00683071" w:rsidP="00683071">
      <w:pPr>
        <w:pStyle w:val="BodyText"/>
        <w:spacing w:before="10"/>
        <w:rPr>
          <w:sz w:val="40"/>
        </w:rPr>
      </w:pPr>
    </w:p>
    <w:p w:rsidR="00683071" w:rsidRDefault="00683071" w:rsidP="00683071">
      <w:pPr>
        <w:ind w:left="105"/>
        <w:rPr>
          <w:rFonts w:ascii="Arial"/>
          <w:sz w:val="42"/>
        </w:rPr>
      </w:pPr>
      <w:r>
        <w:rPr>
          <w:rFonts w:ascii="Arial"/>
          <w:color w:val="080808"/>
          <w:w w:val="94"/>
          <w:sz w:val="42"/>
        </w:rPr>
        <w:t>1</w:t>
      </w:r>
    </w:p>
    <w:p w:rsidR="00683071" w:rsidRDefault="00683071" w:rsidP="00683071">
      <w:pPr>
        <w:pStyle w:val="BodyText"/>
        <w:rPr>
          <w:rFonts w:ascii="Arial"/>
          <w:sz w:val="46"/>
        </w:rPr>
      </w:pPr>
    </w:p>
    <w:p w:rsidR="00683071" w:rsidRDefault="00683071" w:rsidP="00683071">
      <w:pPr>
        <w:tabs>
          <w:tab w:val="left" w:pos="778"/>
          <w:tab w:val="left" w:pos="7790"/>
        </w:tabs>
        <w:spacing w:before="395"/>
        <w:ind w:right="252"/>
        <w:jc w:val="center"/>
        <w:rPr>
          <w:rFonts w:ascii="Arial"/>
          <w:sz w:val="36"/>
        </w:rPr>
      </w:pPr>
      <w:r>
        <w:rPr>
          <w:rFonts w:ascii="Arial"/>
          <w:color w:val="285D87"/>
          <w:sz w:val="36"/>
        </w:rPr>
        <w:t>121</w:t>
      </w:r>
      <w:r>
        <w:rPr>
          <w:rFonts w:ascii="Arial"/>
          <w:color w:val="285D87"/>
          <w:sz w:val="36"/>
        </w:rPr>
        <w:tab/>
        <w:t xml:space="preserve">REVERE STREET, UNIT </w:t>
      </w:r>
      <w:r>
        <w:rPr>
          <w:rFonts w:ascii="Arial"/>
          <w:color w:val="285D87"/>
          <w:spacing w:val="-14"/>
          <w:sz w:val="36"/>
        </w:rPr>
        <w:t>B</w:t>
      </w:r>
      <w:r>
        <w:rPr>
          <w:rFonts w:ascii="Arial"/>
          <w:color w:val="4B6989"/>
          <w:spacing w:val="-14"/>
          <w:sz w:val="36"/>
        </w:rPr>
        <w:t xml:space="preserve">, </w:t>
      </w:r>
      <w:r>
        <w:rPr>
          <w:rFonts w:ascii="Arial"/>
          <w:color w:val="285D87"/>
          <w:sz w:val="36"/>
        </w:rPr>
        <w:t>CAN</w:t>
      </w:r>
      <w:r>
        <w:rPr>
          <w:rFonts w:ascii="Arial"/>
          <w:color w:val="285D87"/>
          <w:spacing w:val="-82"/>
          <w:sz w:val="36"/>
        </w:rPr>
        <w:t xml:space="preserve"> </w:t>
      </w:r>
      <w:r>
        <w:rPr>
          <w:rFonts w:ascii="Arial"/>
          <w:color w:val="285D87"/>
          <w:spacing w:val="-8"/>
          <w:sz w:val="36"/>
        </w:rPr>
        <w:t>TON</w:t>
      </w:r>
      <w:r>
        <w:rPr>
          <w:rFonts w:ascii="Arial"/>
          <w:color w:val="4B6989"/>
          <w:spacing w:val="-8"/>
          <w:sz w:val="36"/>
        </w:rPr>
        <w:t>,</w:t>
      </w:r>
      <w:r>
        <w:rPr>
          <w:rFonts w:ascii="Arial"/>
          <w:color w:val="4B6989"/>
          <w:spacing w:val="13"/>
          <w:sz w:val="36"/>
        </w:rPr>
        <w:t xml:space="preserve"> </w:t>
      </w:r>
      <w:r>
        <w:rPr>
          <w:rFonts w:ascii="Arial"/>
          <w:color w:val="216B9E"/>
          <w:sz w:val="36"/>
        </w:rPr>
        <w:t>MA</w:t>
      </w:r>
      <w:r>
        <w:rPr>
          <w:rFonts w:ascii="Arial"/>
          <w:color w:val="216B9E"/>
          <w:sz w:val="36"/>
        </w:rPr>
        <w:tab/>
      </w:r>
      <w:r>
        <w:rPr>
          <w:rFonts w:ascii="Arial"/>
          <w:color w:val="285D87"/>
          <w:sz w:val="36"/>
        </w:rPr>
        <w:t>02021</w:t>
      </w:r>
    </w:p>
    <w:p w:rsidR="00683071" w:rsidRDefault="00683071" w:rsidP="00683071">
      <w:pPr>
        <w:tabs>
          <w:tab w:val="left" w:pos="5866"/>
        </w:tabs>
        <w:spacing w:before="48"/>
        <w:ind w:right="357"/>
        <w:jc w:val="center"/>
        <w:rPr>
          <w:sz w:val="45"/>
        </w:rPr>
      </w:pPr>
      <w:r>
        <w:rPr>
          <w:color w:val="285D87"/>
          <w:spacing w:val="-3"/>
          <w:w w:val="105"/>
          <w:sz w:val="41"/>
        </w:rPr>
        <w:tab/>
      </w:r>
      <w:hyperlink r:id="rId5">
        <w:r w:rsidR="00920893">
          <w:rPr>
            <w:color w:val="1F416B"/>
            <w:w w:val="105"/>
            <w:sz w:val="45"/>
            <w:u w:val="single" w:color="1F416B"/>
          </w:rPr>
          <w:t>Massachusetts Association of Ambulatory Surgery Centers website</w:t>
        </w:r>
      </w:hyperlink>
    </w:p>
    <w:p w:rsidR="00683071" w:rsidRDefault="00683071" w:rsidP="00683071">
      <w:pPr>
        <w:jc w:val="center"/>
        <w:rPr>
          <w:sz w:val="45"/>
        </w:rPr>
        <w:sectPr w:rsidR="00683071" w:rsidSect="00683071">
          <w:pgSz w:w="24440" w:h="31660"/>
          <w:pgMar w:top="340" w:right="2582" w:bottom="280" w:left="2600" w:header="720" w:footer="720" w:gutter="0"/>
          <w:cols w:space="720"/>
        </w:sectPr>
      </w:pPr>
    </w:p>
    <w:p w:rsidR="00683071" w:rsidRDefault="00683071" w:rsidP="00683071">
      <w:pPr>
        <w:pStyle w:val="BodyText"/>
        <w:tabs>
          <w:tab w:val="left" w:pos="8797"/>
        </w:tabs>
        <w:spacing w:before="59" w:line="297" w:lineRule="auto"/>
        <w:ind w:left="476" w:right="365" w:firstLine="8"/>
      </w:pPr>
      <w:r>
        <w:rPr>
          <w:color w:val="070707"/>
          <w:w w:val="110"/>
        </w:rPr>
        <w:lastRenderedPageBreak/>
        <w:t>The</w:t>
      </w:r>
      <w:r>
        <w:rPr>
          <w:color w:val="070707"/>
          <w:spacing w:val="-34"/>
          <w:w w:val="110"/>
        </w:rPr>
        <w:t xml:space="preserve"> </w:t>
      </w:r>
      <w:r>
        <w:rPr>
          <w:color w:val="070707"/>
          <w:w w:val="110"/>
        </w:rPr>
        <w:t>entry</w:t>
      </w:r>
      <w:r>
        <w:rPr>
          <w:color w:val="070707"/>
          <w:spacing w:val="-34"/>
          <w:w w:val="110"/>
        </w:rPr>
        <w:t xml:space="preserve"> </w:t>
      </w:r>
      <w:r>
        <w:rPr>
          <w:color w:val="070707"/>
          <w:w w:val="110"/>
        </w:rPr>
        <w:t>of</w:t>
      </w:r>
      <w:r>
        <w:rPr>
          <w:color w:val="070707"/>
          <w:spacing w:val="-18"/>
          <w:w w:val="110"/>
        </w:rPr>
        <w:t xml:space="preserve"> </w:t>
      </w:r>
      <w:r>
        <w:rPr>
          <w:color w:val="070707"/>
          <w:w w:val="110"/>
        </w:rPr>
        <w:t>MGB</w:t>
      </w:r>
      <w:r>
        <w:rPr>
          <w:color w:val="070707"/>
          <w:spacing w:val="-30"/>
          <w:w w:val="110"/>
        </w:rPr>
        <w:t xml:space="preserve"> </w:t>
      </w:r>
      <w:r>
        <w:rPr>
          <w:color w:val="070707"/>
          <w:w w:val="110"/>
        </w:rPr>
        <w:t>into</w:t>
      </w:r>
      <w:r>
        <w:rPr>
          <w:color w:val="070707"/>
          <w:spacing w:val="-32"/>
          <w:w w:val="110"/>
        </w:rPr>
        <w:t xml:space="preserve"> </w:t>
      </w:r>
      <w:r>
        <w:rPr>
          <w:color w:val="070707"/>
          <w:w w:val="110"/>
        </w:rPr>
        <w:t>the</w:t>
      </w:r>
      <w:r>
        <w:rPr>
          <w:color w:val="070707"/>
          <w:spacing w:val="-26"/>
          <w:w w:val="110"/>
        </w:rPr>
        <w:t xml:space="preserve"> </w:t>
      </w:r>
      <w:r>
        <w:rPr>
          <w:color w:val="070707"/>
          <w:w w:val="110"/>
        </w:rPr>
        <w:t>ambulatory</w:t>
      </w:r>
      <w:r>
        <w:rPr>
          <w:color w:val="070707"/>
          <w:spacing w:val="-22"/>
          <w:w w:val="110"/>
        </w:rPr>
        <w:t xml:space="preserve"> </w:t>
      </w:r>
      <w:r>
        <w:rPr>
          <w:color w:val="070707"/>
          <w:w w:val="110"/>
        </w:rPr>
        <w:t>arena</w:t>
      </w:r>
      <w:r>
        <w:rPr>
          <w:color w:val="070707"/>
          <w:spacing w:val="-30"/>
          <w:w w:val="110"/>
        </w:rPr>
        <w:t xml:space="preserve"> </w:t>
      </w:r>
      <w:r>
        <w:rPr>
          <w:color w:val="070707"/>
          <w:w w:val="110"/>
        </w:rPr>
        <w:t>in</w:t>
      </w:r>
      <w:r>
        <w:rPr>
          <w:color w:val="070707"/>
          <w:spacing w:val="-52"/>
          <w:w w:val="110"/>
        </w:rPr>
        <w:t xml:space="preserve"> </w:t>
      </w:r>
      <w:r>
        <w:rPr>
          <w:color w:val="070707"/>
          <w:w w:val="110"/>
        </w:rPr>
        <w:t>in</w:t>
      </w:r>
      <w:r>
        <w:rPr>
          <w:color w:val="070707"/>
          <w:spacing w:val="-54"/>
          <w:w w:val="110"/>
        </w:rPr>
        <w:t xml:space="preserve"> </w:t>
      </w:r>
      <w:r>
        <w:rPr>
          <w:color w:val="070707"/>
          <w:w w:val="110"/>
        </w:rPr>
        <w:t>Westborough,</w:t>
      </w:r>
      <w:r>
        <w:rPr>
          <w:color w:val="070707"/>
          <w:spacing w:val="-11"/>
          <w:w w:val="110"/>
        </w:rPr>
        <w:t xml:space="preserve"> </w:t>
      </w:r>
      <w:r>
        <w:rPr>
          <w:color w:val="070707"/>
          <w:w w:val="110"/>
        </w:rPr>
        <w:t>Weston</w:t>
      </w:r>
      <w:r>
        <w:rPr>
          <w:color w:val="070707"/>
          <w:spacing w:val="-19"/>
          <w:w w:val="110"/>
        </w:rPr>
        <w:t xml:space="preserve"> </w:t>
      </w:r>
      <w:r>
        <w:rPr>
          <w:color w:val="070707"/>
          <w:w w:val="110"/>
        </w:rPr>
        <w:t>and</w:t>
      </w:r>
      <w:r>
        <w:rPr>
          <w:color w:val="070707"/>
          <w:spacing w:val="-13"/>
          <w:w w:val="110"/>
        </w:rPr>
        <w:t xml:space="preserve"> </w:t>
      </w:r>
      <w:r>
        <w:rPr>
          <w:color w:val="070707"/>
          <w:w w:val="110"/>
        </w:rPr>
        <w:t>Woburn</w:t>
      </w:r>
      <w:r>
        <w:rPr>
          <w:color w:val="070707"/>
          <w:spacing w:val="-37"/>
          <w:w w:val="110"/>
        </w:rPr>
        <w:t xml:space="preserve"> </w:t>
      </w:r>
      <w:r>
        <w:rPr>
          <w:color w:val="070707"/>
          <w:w w:val="110"/>
        </w:rPr>
        <w:t>will</w:t>
      </w:r>
      <w:r>
        <w:rPr>
          <w:color w:val="070707"/>
          <w:spacing w:val="-34"/>
          <w:w w:val="110"/>
        </w:rPr>
        <w:t xml:space="preserve"> </w:t>
      </w:r>
      <w:r>
        <w:rPr>
          <w:color w:val="070707"/>
          <w:w w:val="110"/>
        </w:rPr>
        <w:t>increase outpatient care costs in</w:t>
      </w:r>
      <w:r>
        <w:rPr>
          <w:color w:val="070707"/>
          <w:spacing w:val="-38"/>
          <w:w w:val="110"/>
        </w:rPr>
        <w:t xml:space="preserve"> </w:t>
      </w:r>
      <w:r>
        <w:rPr>
          <w:color w:val="070707"/>
          <w:w w:val="110"/>
        </w:rPr>
        <w:t>these</w:t>
      </w:r>
      <w:r>
        <w:rPr>
          <w:color w:val="070707"/>
          <w:spacing w:val="-4"/>
          <w:w w:val="110"/>
        </w:rPr>
        <w:t xml:space="preserve"> </w:t>
      </w:r>
      <w:r>
        <w:rPr>
          <w:color w:val="070707"/>
          <w:w w:val="110"/>
        </w:rPr>
        <w:t>communities.</w:t>
      </w:r>
      <w:r>
        <w:rPr>
          <w:color w:val="070707"/>
          <w:w w:val="110"/>
        </w:rPr>
        <w:tab/>
        <w:t>Medicare reimburses hospital based or affiliated outpatient facilities are paid about twice of what a freestanding ASC is paid, even if it's the exact same</w:t>
      </w:r>
      <w:r>
        <w:rPr>
          <w:color w:val="070707"/>
          <w:spacing w:val="-13"/>
          <w:w w:val="110"/>
        </w:rPr>
        <w:t xml:space="preserve"> </w:t>
      </w:r>
      <w:r>
        <w:rPr>
          <w:color w:val="070707"/>
          <w:w w:val="110"/>
        </w:rPr>
        <w:t>procedure,</w:t>
      </w:r>
      <w:r>
        <w:rPr>
          <w:color w:val="070707"/>
          <w:spacing w:val="-1"/>
          <w:w w:val="110"/>
        </w:rPr>
        <w:t xml:space="preserve"> </w:t>
      </w:r>
      <w:r>
        <w:rPr>
          <w:color w:val="070707"/>
          <w:w w:val="110"/>
        </w:rPr>
        <w:t>performed</w:t>
      </w:r>
      <w:r>
        <w:rPr>
          <w:color w:val="070707"/>
          <w:spacing w:val="-1"/>
          <w:w w:val="110"/>
        </w:rPr>
        <w:t xml:space="preserve"> </w:t>
      </w:r>
      <w:r>
        <w:rPr>
          <w:color w:val="070707"/>
          <w:w w:val="110"/>
        </w:rPr>
        <w:t>by</w:t>
      </w:r>
      <w:r>
        <w:rPr>
          <w:color w:val="070707"/>
          <w:spacing w:val="-42"/>
          <w:w w:val="110"/>
        </w:rPr>
        <w:t xml:space="preserve"> </w:t>
      </w:r>
      <w:r>
        <w:rPr>
          <w:color w:val="070707"/>
          <w:w w:val="110"/>
        </w:rPr>
        <w:t>the</w:t>
      </w:r>
      <w:r>
        <w:rPr>
          <w:color w:val="070707"/>
          <w:spacing w:val="12"/>
          <w:w w:val="110"/>
        </w:rPr>
        <w:t xml:space="preserve"> </w:t>
      </w:r>
      <w:r>
        <w:rPr>
          <w:color w:val="070707"/>
          <w:w w:val="110"/>
        </w:rPr>
        <w:t>exact</w:t>
      </w:r>
      <w:r>
        <w:rPr>
          <w:color w:val="070707"/>
          <w:spacing w:val="-38"/>
          <w:w w:val="110"/>
        </w:rPr>
        <w:t xml:space="preserve"> </w:t>
      </w:r>
      <w:r>
        <w:rPr>
          <w:color w:val="070707"/>
          <w:w w:val="110"/>
        </w:rPr>
        <w:t>same</w:t>
      </w:r>
      <w:r>
        <w:rPr>
          <w:color w:val="070707"/>
          <w:spacing w:val="-25"/>
          <w:w w:val="110"/>
        </w:rPr>
        <w:t xml:space="preserve"> </w:t>
      </w:r>
      <w:r>
        <w:rPr>
          <w:color w:val="070707"/>
          <w:w w:val="110"/>
        </w:rPr>
        <w:t>surgeon.</w:t>
      </w:r>
    </w:p>
    <w:p w:rsidR="00683071" w:rsidRDefault="00683071" w:rsidP="00683071">
      <w:pPr>
        <w:pStyle w:val="BodyText"/>
        <w:tabs>
          <w:tab w:val="left" w:pos="10953"/>
        </w:tabs>
        <w:spacing w:before="404" w:line="288" w:lineRule="auto"/>
        <w:ind w:left="481" w:right="353" w:firstLine="5"/>
      </w:pPr>
      <w:r>
        <w:rPr>
          <w:color w:val="070707"/>
          <w:w w:val="110"/>
        </w:rPr>
        <w:t>I'd</w:t>
      </w:r>
      <w:r>
        <w:rPr>
          <w:color w:val="070707"/>
          <w:spacing w:val="-13"/>
          <w:w w:val="110"/>
        </w:rPr>
        <w:t xml:space="preserve"> </w:t>
      </w:r>
      <w:r>
        <w:rPr>
          <w:color w:val="070707"/>
          <w:w w:val="110"/>
        </w:rPr>
        <w:t>like</w:t>
      </w:r>
      <w:r>
        <w:rPr>
          <w:color w:val="070707"/>
          <w:spacing w:val="-35"/>
          <w:w w:val="110"/>
        </w:rPr>
        <w:t xml:space="preserve"> </w:t>
      </w:r>
      <w:r>
        <w:rPr>
          <w:color w:val="070707"/>
          <w:w w:val="110"/>
        </w:rPr>
        <w:t>to</w:t>
      </w:r>
      <w:r>
        <w:rPr>
          <w:color w:val="070707"/>
          <w:spacing w:val="21"/>
          <w:w w:val="110"/>
        </w:rPr>
        <w:t xml:space="preserve"> </w:t>
      </w:r>
      <w:r>
        <w:rPr>
          <w:color w:val="070707"/>
          <w:w w:val="110"/>
        </w:rPr>
        <w:t>point</w:t>
      </w:r>
      <w:r>
        <w:rPr>
          <w:color w:val="070707"/>
          <w:spacing w:val="-11"/>
          <w:w w:val="110"/>
        </w:rPr>
        <w:t xml:space="preserve"> </w:t>
      </w:r>
      <w:r>
        <w:rPr>
          <w:color w:val="070707"/>
          <w:w w:val="110"/>
        </w:rPr>
        <w:t>out a</w:t>
      </w:r>
      <w:r>
        <w:rPr>
          <w:color w:val="070707"/>
          <w:spacing w:val="-18"/>
          <w:w w:val="110"/>
        </w:rPr>
        <w:t xml:space="preserve"> </w:t>
      </w:r>
      <w:r>
        <w:rPr>
          <w:color w:val="070707"/>
          <w:w w:val="110"/>
        </w:rPr>
        <w:t>few</w:t>
      </w:r>
      <w:r>
        <w:rPr>
          <w:color w:val="070707"/>
          <w:spacing w:val="-37"/>
          <w:w w:val="110"/>
        </w:rPr>
        <w:t xml:space="preserve"> </w:t>
      </w:r>
      <w:r>
        <w:rPr>
          <w:color w:val="070707"/>
          <w:w w:val="110"/>
        </w:rPr>
        <w:t>other</w:t>
      </w:r>
      <w:r>
        <w:rPr>
          <w:color w:val="070707"/>
          <w:spacing w:val="-7"/>
          <w:w w:val="110"/>
        </w:rPr>
        <w:t xml:space="preserve"> </w:t>
      </w:r>
      <w:r>
        <w:rPr>
          <w:color w:val="070707"/>
          <w:w w:val="110"/>
        </w:rPr>
        <w:t>noteworthy</w:t>
      </w:r>
      <w:r>
        <w:rPr>
          <w:color w:val="070707"/>
          <w:spacing w:val="5"/>
          <w:w w:val="110"/>
        </w:rPr>
        <w:t xml:space="preserve"> </w:t>
      </w:r>
      <w:r>
        <w:rPr>
          <w:color w:val="070707"/>
          <w:w w:val="110"/>
        </w:rPr>
        <w:t>points</w:t>
      </w:r>
      <w:r>
        <w:rPr>
          <w:color w:val="070707"/>
          <w:spacing w:val="-24"/>
          <w:w w:val="110"/>
        </w:rPr>
        <w:t xml:space="preserve"> </w:t>
      </w:r>
      <w:r>
        <w:rPr>
          <w:color w:val="070707"/>
          <w:w w:val="110"/>
        </w:rPr>
        <w:t>and</w:t>
      </w:r>
      <w:r>
        <w:rPr>
          <w:color w:val="070707"/>
          <w:spacing w:val="10"/>
          <w:w w:val="110"/>
        </w:rPr>
        <w:t xml:space="preserve"> </w:t>
      </w:r>
      <w:r>
        <w:rPr>
          <w:color w:val="070707"/>
          <w:w w:val="110"/>
        </w:rPr>
        <w:t>policy</w:t>
      </w:r>
      <w:r>
        <w:rPr>
          <w:color w:val="070707"/>
          <w:spacing w:val="-11"/>
          <w:w w:val="110"/>
        </w:rPr>
        <w:t xml:space="preserve"> </w:t>
      </w:r>
      <w:r>
        <w:rPr>
          <w:color w:val="070707"/>
          <w:w w:val="110"/>
        </w:rPr>
        <w:t>recommendations</w:t>
      </w:r>
      <w:r>
        <w:rPr>
          <w:color w:val="070707"/>
          <w:spacing w:val="-45"/>
          <w:w w:val="110"/>
        </w:rPr>
        <w:t xml:space="preserve"> </w:t>
      </w:r>
      <w:r>
        <w:rPr>
          <w:color w:val="070707"/>
          <w:w w:val="110"/>
        </w:rPr>
        <w:t>in</w:t>
      </w:r>
      <w:r>
        <w:rPr>
          <w:color w:val="070707"/>
          <w:spacing w:val="-20"/>
          <w:w w:val="110"/>
        </w:rPr>
        <w:t xml:space="preserve"> </w:t>
      </w:r>
      <w:r>
        <w:rPr>
          <w:color w:val="070707"/>
          <w:w w:val="110"/>
        </w:rPr>
        <w:t>the</w:t>
      </w:r>
      <w:r>
        <w:rPr>
          <w:color w:val="070707"/>
          <w:spacing w:val="22"/>
          <w:w w:val="110"/>
        </w:rPr>
        <w:t xml:space="preserve"> </w:t>
      </w:r>
      <w:r>
        <w:rPr>
          <w:color w:val="070707"/>
          <w:w w:val="110"/>
        </w:rPr>
        <w:t>Cost</w:t>
      </w:r>
      <w:r>
        <w:rPr>
          <w:color w:val="070707"/>
          <w:spacing w:val="-21"/>
          <w:w w:val="110"/>
        </w:rPr>
        <w:t xml:space="preserve"> </w:t>
      </w:r>
      <w:r>
        <w:rPr>
          <w:color w:val="070707"/>
          <w:w w:val="110"/>
        </w:rPr>
        <w:t>Trends Report</w:t>
      </w:r>
      <w:r>
        <w:rPr>
          <w:color w:val="070707"/>
          <w:spacing w:val="-43"/>
          <w:w w:val="110"/>
        </w:rPr>
        <w:t xml:space="preserve"> </w:t>
      </w:r>
      <w:r>
        <w:rPr>
          <w:color w:val="070707"/>
          <w:w w:val="110"/>
        </w:rPr>
        <w:t>that</w:t>
      </w:r>
      <w:r>
        <w:rPr>
          <w:color w:val="070707"/>
          <w:spacing w:val="-38"/>
          <w:w w:val="110"/>
        </w:rPr>
        <w:t xml:space="preserve"> </w:t>
      </w:r>
      <w:r>
        <w:rPr>
          <w:color w:val="070707"/>
          <w:w w:val="110"/>
        </w:rPr>
        <w:t>point</w:t>
      </w:r>
      <w:r>
        <w:rPr>
          <w:color w:val="070707"/>
          <w:spacing w:val="-46"/>
          <w:w w:val="110"/>
        </w:rPr>
        <w:t xml:space="preserve"> </w:t>
      </w:r>
      <w:r>
        <w:rPr>
          <w:color w:val="070707"/>
          <w:w w:val="110"/>
        </w:rPr>
        <w:t>to</w:t>
      </w:r>
      <w:r>
        <w:rPr>
          <w:color w:val="070707"/>
          <w:spacing w:val="-36"/>
          <w:w w:val="110"/>
        </w:rPr>
        <w:t xml:space="preserve"> </w:t>
      </w:r>
      <w:r>
        <w:rPr>
          <w:color w:val="070707"/>
          <w:w w:val="110"/>
        </w:rPr>
        <w:t>the</w:t>
      </w:r>
      <w:r>
        <w:rPr>
          <w:color w:val="070707"/>
          <w:spacing w:val="-28"/>
          <w:w w:val="110"/>
        </w:rPr>
        <w:t xml:space="preserve"> </w:t>
      </w:r>
      <w:r>
        <w:rPr>
          <w:color w:val="070707"/>
          <w:w w:val="110"/>
        </w:rPr>
        <w:t>value</w:t>
      </w:r>
      <w:r>
        <w:rPr>
          <w:color w:val="070707"/>
          <w:spacing w:val="-39"/>
          <w:w w:val="110"/>
        </w:rPr>
        <w:t xml:space="preserve"> </w:t>
      </w:r>
      <w:r>
        <w:rPr>
          <w:color w:val="070707"/>
          <w:w w:val="110"/>
        </w:rPr>
        <w:t>of</w:t>
      </w:r>
      <w:r>
        <w:rPr>
          <w:color w:val="070707"/>
          <w:spacing w:val="-45"/>
          <w:w w:val="110"/>
        </w:rPr>
        <w:t xml:space="preserve"> </w:t>
      </w:r>
      <w:r>
        <w:rPr>
          <w:color w:val="070707"/>
          <w:w w:val="110"/>
        </w:rPr>
        <w:t>freestanding</w:t>
      </w:r>
      <w:r>
        <w:rPr>
          <w:color w:val="070707"/>
          <w:spacing w:val="-46"/>
          <w:w w:val="110"/>
        </w:rPr>
        <w:t xml:space="preserve"> </w:t>
      </w:r>
      <w:r>
        <w:rPr>
          <w:color w:val="070707"/>
          <w:w w:val="110"/>
        </w:rPr>
        <w:t>ASC's</w:t>
      </w:r>
      <w:r>
        <w:rPr>
          <w:color w:val="070707"/>
          <w:spacing w:val="-17"/>
          <w:w w:val="110"/>
        </w:rPr>
        <w:t xml:space="preserve"> </w:t>
      </w:r>
      <w:r>
        <w:rPr>
          <w:color w:val="070707"/>
          <w:w w:val="110"/>
        </w:rPr>
        <w:t>and</w:t>
      </w:r>
      <w:r>
        <w:rPr>
          <w:color w:val="070707"/>
          <w:w w:val="110"/>
        </w:rPr>
        <w:tab/>
      </w:r>
      <w:r>
        <w:rPr>
          <w:color w:val="070707"/>
          <w:w w:val="110"/>
          <w:sz w:val="42"/>
        </w:rPr>
        <w:t xml:space="preserve">its </w:t>
      </w:r>
      <w:r>
        <w:rPr>
          <w:color w:val="070707"/>
          <w:w w:val="110"/>
        </w:rPr>
        <w:t>implications for cost savings in the Commonwealth.</w:t>
      </w:r>
    </w:p>
    <w:p w:rsidR="00683071" w:rsidRDefault="00683071" w:rsidP="00683071">
      <w:pPr>
        <w:pStyle w:val="BodyText"/>
        <w:spacing w:before="384" w:line="288" w:lineRule="auto"/>
        <w:ind w:left="445" w:right="735" w:firstLine="19"/>
      </w:pPr>
      <w:r>
        <w:rPr>
          <w:color w:val="070707"/>
          <w:w w:val="105"/>
        </w:rPr>
        <w:t>The HPC analyzed major (</w:t>
      </w:r>
      <w:proofErr w:type="spellStart"/>
      <w:r>
        <w:rPr>
          <w:color w:val="070707"/>
          <w:w w:val="105"/>
        </w:rPr>
        <w:t>ie</w:t>
      </w:r>
      <w:proofErr w:type="spellEnd"/>
      <w:r>
        <w:rPr>
          <w:color w:val="070707"/>
          <w:w w:val="105"/>
        </w:rPr>
        <w:t xml:space="preserve"> - knee replacement) and minor (</w:t>
      </w:r>
      <w:proofErr w:type="spellStart"/>
      <w:r>
        <w:rPr>
          <w:color w:val="070707"/>
          <w:w w:val="105"/>
        </w:rPr>
        <w:t>ie</w:t>
      </w:r>
      <w:proofErr w:type="spellEnd"/>
      <w:r>
        <w:rPr>
          <w:color w:val="070707"/>
          <w:w w:val="105"/>
        </w:rPr>
        <w:t xml:space="preserve"> -  colonoscopies) outpatient surgeries in HOPD's. While total spending for major outpatient surgery grew 9.5% from 2015 to 2017, only a small portion of the spending growth was driven by an increase in the number of surgeries Gust under </w:t>
      </w:r>
      <w:r>
        <w:rPr>
          <w:color w:val="070707"/>
          <w:spacing w:val="5"/>
          <w:w w:val="105"/>
        </w:rPr>
        <w:t>1</w:t>
      </w:r>
      <w:r>
        <w:rPr>
          <w:color w:val="070707"/>
          <w:spacing w:val="5"/>
          <w:w w:val="105"/>
          <w:sz w:val="45"/>
        </w:rPr>
        <w:t xml:space="preserve">o/o </w:t>
      </w:r>
      <w:r>
        <w:rPr>
          <w:color w:val="070707"/>
          <w:w w:val="105"/>
        </w:rPr>
        <w:t xml:space="preserve">over this period), or by increased complexity </w:t>
      </w:r>
      <w:r>
        <w:rPr>
          <w:color w:val="070707"/>
          <w:spacing w:val="3"/>
          <w:w w:val="105"/>
        </w:rPr>
        <w:t xml:space="preserve">(1%). </w:t>
      </w:r>
      <w:r>
        <w:rPr>
          <w:color w:val="070707"/>
          <w:w w:val="105"/>
        </w:rPr>
        <w:t xml:space="preserve">Instead, the growth was driven by growth in the </w:t>
      </w:r>
      <w:r w:rsidR="00671161">
        <w:rPr>
          <w:color w:val="070707"/>
          <w:w w:val="105"/>
        </w:rPr>
        <w:t xml:space="preserve">payment per episode (8.6%) and the </w:t>
      </w:r>
      <w:r>
        <w:rPr>
          <w:color w:val="070707"/>
          <w:w w:val="105"/>
        </w:rPr>
        <w:t xml:space="preserve">growth in payment for the hospital component (10.2%). This is consistent with Medicare data. For knee replacements at an HOPD, Medicare pays $11,900.71, versus $8,609.82 at a non-hospital based or affiliated ASC. Similarly, </w:t>
      </w:r>
      <w:proofErr w:type="gramStart"/>
      <w:r>
        <w:rPr>
          <w:color w:val="070707"/>
          <w:w w:val="105"/>
        </w:rPr>
        <w:t>according to</w:t>
      </w:r>
      <w:proofErr w:type="gramEnd"/>
      <w:r>
        <w:rPr>
          <w:color w:val="070707"/>
          <w:w w:val="105"/>
        </w:rPr>
        <w:t xml:space="preserve"> the Workers Compensation Research Institute, Comparing Payments to Ambulatory Surgery Centers and Hospital Outpatient Departments (November, 2018), Massachusetts is among 14 states whe</w:t>
      </w:r>
      <w:r w:rsidR="00671161">
        <w:rPr>
          <w:color w:val="070707"/>
          <w:w w:val="105"/>
        </w:rPr>
        <w:t xml:space="preserve">re payments for knee surgeries were at least </w:t>
      </w:r>
      <w:r>
        <w:rPr>
          <w:color w:val="070707"/>
          <w:w w:val="105"/>
        </w:rPr>
        <w:t>21 percent lower than payments for the same procedures in hospital outp</w:t>
      </w:r>
      <w:r w:rsidR="00671161">
        <w:rPr>
          <w:color w:val="070707"/>
          <w:w w:val="105"/>
        </w:rPr>
        <w:t xml:space="preserve">atient environments. </w:t>
      </w:r>
      <w:proofErr w:type="gramStart"/>
      <w:r w:rsidR="00671161">
        <w:rPr>
          <w:color w:val="070707"/>
          <w:w w:val="105"/>
        </w:rPr>
        <w:t xml:space="preserve">According </w:t>
      </w:r>
      <w:r>
        <w:rPr>
          <w:color w:val="070707"/>
          <w:w w:val="105"/>
        </w:rPr>
        <w:t>to</w:t>
      </w:r>
      <w:proofErr w:type="gramEnd"/>
      <w:r>
        <w:rPr>
          <w:color w:val="070707"/>
          <w:w w:val="105"/>
        </w:rPr>
        <w:t xml:space="preserve"> that report,</w:t>
      </w:r>
      <w:r>
        <w:rPr>
          <w:color w:val="070707"/>
          <w:spacing w:val="-24"/>
          <w:w w:val="105"/>
        </w:rPr>
        <w:t xml:space="preserve"> </w:t>
      </w:r>
      <w:r>
        <w:rPr>
          <w:color w:val="070707"/>
          <w:w w:val="105"/>
        </w:rPr>
        <w:t>in</w:t>
      </w:r>
      <w:r>
        <w:rPr>
          <w:color w:val="070707"/>
          <w:spacing w:val="10"/>
          <w:w w:val="105"/>
        </w:rPr>
        <w:t xml:space="preserve"> </w:t>
      </w:r>
      <w:r>
        <w:rPr>
          <w:color w:val="070707"/>
          <w:w w:val="105"/>
          <w:sz w:val="44"/>
        </w:rPr>
        <w:t>2016,</w:t>
      </w:r>
      <w:r>
        <w:rPr>
          <w:color w:val="070707"/>
          <w:spacing w:val="-8"/>
          <w:w w:val="105"/>
          <w:sz w:val="44"/>
        </w:rPr>
        <w:t xml:space="preserve"> </w:t>
      </w:r>
      <w:r>
        <w:rPr>
          <w:color w:val="070707"/>
          <w:w w:val="105"/>
        </w:rPr>
        <w:t>knee</w:t>
      </w:r>
      <w:r>
        <w:rPr>
          <w:color w:val="070707"/>
          <w:spacing w:val="-24"/>
          <w:w w:val="105"/>
        </w:rPr>
        <w:t xml:space="preserve"> </w:t>
      </w:r>
      <w:r>
        <w:rPr>
          <w:color w:val="070707"/>
          <w:w w:val="105"/>
        </w:rPr>
        <w:t>surgeries</w:t>
      </w:r>
      <w:r>
        <w:rPr>
          <w:color w:val="070707"/>
          <w:spacing w:val="-1"/>
          <w:w w:val="105"/>
        </w:rPr>
        <w:t xml:space="preserve"> </w:t>
      </w:r>
      <w:r>
        <w:rPr>
          <w:color w:val="070707"/>
          <w:w w:val="105"/>
        </w:rPr>
        <w:t>were</w:t>
      </w:r>
      <w:r>
        <w:rPr>
          <w:color w:val="070707"/>
          <w:spacing w:val="4"/>
          <w:w w:val="105"/>
        </w:rPr>
        <w:t xml:space="preserve"> </w:t>
      </w:r>
      <w:r>
        <w:rPr>
          <w:color w:val="070707"/>
          <w:w w:val="105"/>
          <w:sz w:val="44"/>
        </w:rPr>
        <w:t>29o/o</w:t>
      </w:r>
      <w:r>
        <w:rPr>
          <w:color w:val="070707"/>
          <w:spacing w:val="-21"/>
          <w:w w:val="105"/>
          <w:sz w:val="44"/>
        </w:rPr>
        <w:t xml:space="preserve"> </w:t>
      </w:r>
      <w:r>
        <w:rPr>
          <w:color w:val="070707"/>
          <w:w w:val="105"/>
        </w:rPr>
        <w:t>lower</w:t>
      </w:r>
      <w:r>
        <w:rPr>
          <w:color w:val="070707"/>
          <w:spacing w:val="-10"/>
          <w:w w:val="105"/>
        </w:rPr>
        <w:t xml:space="preserve"> </w:t>
      </w:r>
      <w:r>
        <w:rPr>
          <w:color w:val="070707"/>
          <w:w w:val="105"/>
        </w:rPr>
        <w:t>at</w:t>
      </w:r>
      <w:r>
        <w:rPr>
          <w:color w:val="070707"/>
          <w:spacing w:val="6"/>
          <w:w w:val="105"/>
        </w:rPr>
        <w:t xml:space="preserve"> </w:t>
      </w:r>
      <w:r>
        <w:rPr>
          <w:color w:val="070707"/>
          <w:w w:val="105"/>
        </w:rPr>
        <w:t>an</w:t>
      </w:r>
      <w:r>
        <w:rPr>
          <w:color w:val="070707"/>
          <w:spacing w:val="-12"/>
          <w:w w:val="105"/>
        </w:rPr>
        <w:t xml:space="preserve"> </w:t>
      </w:r>
      <w:r>
        <w:rPr>
          <w:color w:val="070707"/>
          <w:w w:val="105"/>
        </w:rPr>
        <w:t>ASC</w:t>
      </w:r>
      <w:r>
        <w:rPr>
          <w:color w:val="070707"/>
          <w:spacing w:val="-1"/>
          <w:w w:val="105"/>
        </w:rPr>
        <w:t xml:space="preserve"> </w:t>
      </w:r>
      <w:r>
        <w:rPr>
          <w:color w:val="070707"/>
          <w:w w:val="105"/>
        </w:rPr>
        <w:t>than</w:t>
      </w:r>
      <w:r>
        <w:rPr>
          <w:color w:val="070707"/>
          <w:spacing w:val="-6"/>
          <w:w w:val="105"/>
        </w:rPr>
        <w:t xml:space="preserve"> </w:t>
      </w:r>
      <w:r>
        <w:rPr>
          <w:color w:val="070707"/>
          <w:w w:val="105"/>
        </w:rPr>
        <w:t>an</w:t>
      </w:r>
      <w:r>
        <w:rPr>
          <w:color w:val="070707"/>
          <w:spacing w:val="-9"/>
          <w:w w:val="105"/>
        </w:rPr>
        <w:t xml:space="preserve"> </w:t>
      </w:r>
      <w:r>
        <w:rPr>
          <w:color w:val="070707"/>
          <w:w w:val="105"/>
        </w:rPr>
        <w:t>HOPD.</w:t>
      </w:r>
    </w:p>
    <w:p w:rsidR="00683071" w:rsidRDefault="00683071" w:rsidP="00683071">
      <w:pPr>
        <w:pStyle w:val="BodyText"/>
        <w:spacing w:before="2"/>
        <w:rPr>
          <w:sz w:val="26"/>
        </w:rPr>
      </w:pPr>
    </w:p>
    <w:p w:rsidR="00683071" w:rsidRDefault="00683071" w:rsidP="00683071">
      <w:pPr>
        <w:pStyle w:val="BodyText"/>
        <w:tabs>
          <w:tab w:val="left" w:pos="12003"/>
          <w:tab w:val="left" w:pos="16762"/>
        </w:tabs>
        <w:spacing w:before="87" w:line="288" w:lineRule="auto"/>
        <w:ind w:left="442" w:right="108" w:firstLine="3"/>
      </w:pPr>
      <w:r>
        <w:rPr>
          <w:color w:val="070707"/>
          <w:w w:val="110"/>
          <w:u w:val="single" w:color="070707"/>
        </w:rPr>
        <w:t>The take away point is cost savings will not be realized simply by shifting care from inpatient to</w:t>
      </w:r>
      <w:r>
        <w:rPr>
          <w:color w:val="070707"/>
          <w:w w:val="110"/>
        </w:rPr>
        <w:t xml:space="preserve"> </w:t>
      </w:r>
      <w:r>
        <w:rPr>
          <w:color w:val="070707"/>
          <w:w w:val="110"/>
          <w:u w:val="single" w:color="070707"/>
        </w:rPr>
        <w:t>outpatient.</w:t>
      </w:r>
      <w:r>
        <w:rPr>
          <w:color w:val="070707"/>
          <w:w w:val="110"/>
        </w:rPr>
        <w:t xml:space="preserve"> </w:t>
      </w:r>
      <w:r>
        <w:rPr>
          <w:color w:val="070707"/>
          <w:w w:val="110"/>
          <w:u w:val="single" w:color="070707"/>
        </w:rPr>
        <w:t>What matters most is where that outpatient care is delivered. or the site of service.</w:t>
      </w:r>
      <w:r>
        <w:rPr>
          <w:color w:val="070707"/>
          <w:w w:val="110"/>
        </w:rPr>
        <w:t xml:space="preserve"> </w:t>
      </w:r>
      <w:r>
        <w:rPr>
          <w:color w:val="070707"/>
          <w:spacing w:val="-14"/>
          <w:w w:val="110"/>
        </w:rPr>
        <w:t xml:space="preserve">This </w:t>
      </w:r>
      <w:r>
        <w:rPr>
          <w:color w:val="070707"/>
          <w:w w:val="110"/>
        </w:rPr>
        <w:t>fact was borne out elsewhere in the Cost Trends report which found little to no savings when care is shifted from lower-priced inpatient facilities to higher-priced outpatient facilities, an unfortunate fact</w:t>
      </w:r>
      <w:r>
        <w:rPr>
          <w:color w:val="070707"/>
          <w:spacing w:val="-28"/>
          <w:w w:val="110"/>
        </w:rPr>
        <w:t xml:space="preserve"> </w:t>
      </w:r>
      <w:r>
        <w:rPr>
          <w:color w:val="070707"/>
          <w:w w:val="110"/>
        </w:rPr>
        <w:t>given</w:t>
      </w:r>
      <w:r>
        <w:rPr>
          <w:color w:val="070707"/>
          <w:spacing w:val="-15"/>
          <w:w w:val="110"/>
        </w:rPr>
        <w:t xml:space="preserve"> </w:t>
      </w:r>
      <w:r>
        <w:rPr>
          <w:color w:val="070707"/>
          <w:w w:val="110"/>
        </w:rPr>
        <w:t>that</w:t>
      </w:r>
      <w:r>
        <w:rPr>
          <w:color w:val="070707"/>
          <w:spacing w:val="-34"/>
          <w:w w:val="110"/>
        </w:rPr>
        <w:t xml:space="preserve"> </w:t>
      </w:r>
      <w:r>
        <w:rPr>
          <w:color w:val="070707"/>
          <w:w w:val="110"/>
        </w:rPr>
        <w:t>"both</w:t>
      </w:r>
      <w:r>
        <w:rPr>
          <w:color w:val="070707"/>
          <w:spacing w:val="-1"/>
          <w:w w:val="110"/>
        </w:rPr>
        <w:t xml:space="preserve"> </w:t>
      </w:r>
      <w:r>
        <w:rPr>
          <w:color w:val="070707"/>
          <w:w w:val="110"/>
        </w:rPr>
        <w:t>major</w:t>
      </w:r>
      <w:r>
        <w:rPr>
          <w:color w:val="070707"/>
          <w:spacing w:val="-10"/>
          <w:w w:val="110"/>
        </w:rPr>
        <w:t xml:space="preserve"> </w:t>
      </w:r>
      <w:r>
        <w:rPr>
          <w:color w:val="070707"/>
          <w:w w:val="110"/>
        </w:rPr>
        <w:t>and</w:t>
      </w:r>
      <w:r>
        <w:rPr>
          <w:color w:val="070707"/>
          <w:spacing w:val="20"/>
          <w:w w:val="110"/>
        </w:rPr>
        <w:t xml:space="preserve"> </w:t>
      </w:r>
      <w:r>
        <w:rPr>
          <w:color w:val="070707"/>
          <w:w w:val="110"/>
        </w:rPr>
        <w:t>minor</w:t>
      </w:r>
      <w:r>
        <w:rPr>
          <w:color w:val="070707"/>
          <w:spacing w:val="-6"/>
          <w:w w:val="110"/>
        </w:rPr>
        <w:t xml:space="preserve"> </w:t>
      </w:r>
      <w:r>
        <w:rPr>
          <w:color w:val="070707"/>
          <w:w w:val="110"/>
        </w:rPr>
        <w:t>hospital outpatient</w:t>
      </w:r>
      <w:r>
        <w:rPr>
          <w:color w:val="070707"/>
          <w:spacing w:val="-15"/>
          <w:w w:val="110"/>
        </w:rPr>
        <w:t xml:space="preserve"> </w:t>
      </w:r>
      <w:r>
        <w:rPr>
          <w:color w:val="070707"/>
          <w:w w:val="110"/>
        </w:rPr>
        <w:t>surgeries</w:t>
      </w:r>
      <w:r>
        <w:rPr>
          <w:color w:val="070707"/>
          <w:spacing w:val="-7"/>
          <w:w w:val="110"/>
        </w:rPr>
        <w:t xml:space="preserve"> </w:t>
      </w:r>
      <w:r>
        <w:rPr>
          <w:color w:val="070707"/>
          <w:w w:val="110"/>
        </w:rPr>
        <w:t>are</w:t>
      </w:r>
      <w:r>
        <w:rPr>
          <w:color w:val="070707"/>
          <w:spacing w:val="12"/>
          <w:w w:val="110"/>
        </w:rPr>
        <w:t xml:space="preserve"> </w:t>
      </w:r>
      <w:r>
        <w:rPr>
          <w:color w:val="070707"/>
          <w:w w:val="110"/>
        </w:rPr>
        <w:t>highly</w:t>
      </w:r>
      <w:r>
        <w:rPr>
          <w:color w:val="070707"/>
          <w:spacing w:val="-14"/>
          <w:w w:val="110"/>
        </w:rPr>
        <w:t xml:space="preserve"> </w:t>
      </w:r>
      <w:r>
        <w:rPr>
          <w:color w:val="070707"/>
          <w:w w:val="110"/>
        </w:rPr>
        <w:t>concentrated</w:t>
      </w:r>
      <w:r>
        <w:rPr>
          <w:color w:val="070707"/>
          <w:spacing w:val="22"/>
          <w:w w:val="110"/>
        </w:rPr>
        <w:t xml:space="preserve"> </w:t>
      </w:r>
      <w:r>
        <w:rPr>
          <w:color w:val="070707"/>
          <w:w w:val="110"/>
        </w:rPr>
        <w:t>in</w:t>
      </w:r>
      <w:r>
        <w:rPr>
          <w:color w:val="070707"/>
          <w:spacing w:val="-20"/>
          <w:w w:val="110"/>
        </w:rPr>
        <w:t xml:space="preserve"> </w:t>
      </w:r>
      <w:r>
        <w:rPr>
          <w:color w:val="070707"/>
          <w:w w:val="110"/>
        </w:rPr>
        <w:t>a</w:t>
      </w:r>
      <w:r>
        <w:rPr>
          <w:color w:val="070707"/>
          <w:spacing w:val="-16"/>
          <w:w w:val="110"/>
        </w:rPr>
        <w:t xml:space="preserve"> </w:t>
      </w:r>
      <w:r>
        <w:rPr>
          <w:color w:val="070707"/>
          <w:w w:val="110"/>
        </w:rPr>
        <w:t>few hospital systems and this concentration continues</w:t>
      </w:r>
      <w:r>
        <w:rPr>
          <w:color w:val="070707"/>
          <w:spacing w:val="-67"/>
          <w:w w:val="110"/>
        </w:rPr>
        <w:t xml:space="preserve"> </w:t>
      </w:r>
      <w:r>
        <w:rPr>
          <w:color w:val="070707"/>
          <w:w w:val="110"/>
        </w:rPr>
        <w:t>to</w:t>
      </w:r>
      <w:r>
        <w:rPr>
          <w:color w:val="070707"/>
          <w:spacing w:val="-18"/>
          <w:w w:val="110"/>
        </w:rPr>
        <w:t xml:space="preserve"> </w:t>
      </w:r>
      <w:r>
        <w:rPr>
          <w:color w:val="070707"/>
          <w:w w:val="110"/>
        </w:rPr>
        <w:t>grow.".</w:t>
      </w:r>
      <w:r>
        <w:rPr>
          <w:color w:val="070707"/>
          <w:w w:val="110"/>
        </w:rPr>
        <w:tab/>
        <w:t>Consistently, MGB will undoubtedly use</w:t>
      </w:r>
      <w:r>
        <w:rPr>
          <w:color w:val="070707"/>
          <w:spacing w:val="-15"/>
          <w:w w:val="110"/>
        </w:rPr>
        <w:t xml:space="preserve"> </w:t>
      </w:r>
      <w:r>
        <w:rPr>
          <w:color w:val="070707"/>
          <w:w w:val="110"/>
        </w:rPr>
        <w:t>its</w:t>
      </w:r>
      <w:r>
        <w:rPr>
          <w:color w:val="070707"/>
          <w:spacing w:val="-18"/>
          <w:w w:val="110"/>
        </w:rPr>
        <w:t xml:space="preserve"> </w:t>
      </w:r>
      <w:r>
        <w:rPr>
          <w:color w:val="070707"/>
          <w:w w:val="110"/>
        </w:rPr>
        <w:t>inpatient</w:t>
      </w:r>
      <w:r>
        <w:rPr>
          <w:color w:val="070707"/>
          <w:spacing w:val="-16"/>
          <w:w w:val="110"/>
        </w:rPr>
        <w:t xml:space="preserve"> </w:t>
      </w:r>
      <w:r>
        <w:rPr>
          <w:color w:val="070707"/>
          <w:w w:val="110"/>
        </w:rPr>
        <w:t>market</w:t>
      </w:r>
      <w:r>
        <w:rPr>
          <w:color w:val="070707"/>
          <w:spacing w:val="-4"/>
          <w:w w:val="110"/>
        </w:rPr>
        <w:t xml:space="preserve"> </w:t>
      </w:r>
      <w:r>
        <w:rPr>
          <w:color w:val="070707"/>
          <w:w w:val="110"/>
        </w:rPr>
        <w:t>power</w:t>
      </w:r>
      <w:r>
        <w:rPr>
          <w:color w:val="070707"/>
          <w:spacing w:val="-13"/>
          <w:w w:val="110"/>
        </w:rPr>
        <w:t xml:space="preserve"> </w:t>
      </w:r>
      <w:r>
        <w:rPr>
          <w:color w:val="070707"/>
          <w:w w:val="110"/>
        </w:rPr>
        <w:t>to</w:t>
      </w:r>
      <w:r>
        <w:rPr>
          <w:color w:val="070707"/>
          <w:spacing w:val="2"/>
          <w:w w:val="110"/>
        </w:rPr>
        <w:t xml:space="preserve"> </w:t>
      </w:r>
      <w:r>
        <w:rPr>
          <w:color w:val="070707"/>
          <w:w w:val="110"/>
        </w:rPr>
        <w:t>obtain</w:t>
      </w:r>
      <w:r>
        <w:rPr>
          <w:color w:val="070707"/>
          <w:spacing w:val="-5"/>
          <w:w w:val="110"/>
        </w:rPr>
        <w:t xml:space="preserve"> </w:t>
      </w:r>
      <w:r>
        <w:rPr>
          <w:color w:val="070707"/>
          <w:w w:val="110"/>
        </w:rPr>
        <w:t>higher</w:t>
      </w:r>
      <w:r>
        <w:rPr>
          <w:color w:val="070707"/>
          <w:spacing w:val="-6"/>
          <w:w w:val="110"/>
        </w:rPr>
        <w:t xml:space="preserve"> </w:t>
      </w:r>
      <w:r>
        <w:rPr>
          <w:color w:val="070707"/>
          <w:w w:val="110"/>
        </w:rPr>
        <w:t>outpatient</w:t>
      </w:r>
      <w:r>
        <w:rPr>
          <w:color w:val="070707"/>
          <w:spacing w:val="4"/>
          <w:w w:val="110"/>
        </w:rPr>
        <w:t xml:space="preserve"> </w:t>
      </w:r>
      <w:r>
        <w:rPr>
          <w:color w:val="070707"/>
          <w:w w:val="110"/>
        </w:rPr>
        <w:t>prices,</w:t>
      </w:r>
      <w:r>
        <w:rPr>
          <w:color w:val="070707"/>
          <w:spacing w:val="-16"/>
          <w:w w:val="110"/>
        </w:rPr>
        <w:t xml:space="preserve"> </w:t>
      </w:r>
      <w:r>
        <w:rPr>
          <w:color w:val="070707"/>
          <w:w w:val="110"/>
        </w:rPr>
        <w:t>thus,</w:t>
      </w:r>
      <w:r>
        <w:rPr>
          <w:color w:val="070707"/>
          <w:spacing w:val="-27"/>
          <w:w w:val="110"/>
        </w:rPr>
        <w:t xml:space="preserve"> </w:t>
      </w:r>
      <w:r>
        <w:rPr>
          <w:color w:val="070707"/>
          <w:w w:val="110"/>
        </w:rPr>
        <w:t>approval</w:t>
      </w:r>
      <w:r>
        <w:rPr>
          <w:color w:val="070707"/>
          <w:spacing w:val="17"/>
          <w:w w:val="110"/>
        </w:rPr>
        <w:t xml:space="preserve"> </w:t>
      </w:r>
      <w:r>
        <w:rPr>
          <w:color w:val="070707"/>
          <w:w w:val="110"/>
        </w:rPr>
        <w:t>of</w:t>
      </w:r>
      <w:r>
        <w:rPr>
          <w:color w:val="070707"/>
          <w:spacing w:val="-13"/>
          <w:w w:val="110"/>
        </w:rPr>
        <w:t xml:space="preserve"> </w:t>
      </w:r>
      <w:r>
        <w:rPr>
          <w:color w:val="070707"/>
          <w:w w:val="110"/>
        </w:rPr>
        <w:t>the</w:t>
      </w:r>
      <w:r>
        <w:rPr>
          <w:color w:val="070707"/>
          <w:w w:val="110"/>
        </w:rPr>
        <w:tab/>
      </w:r>
      <w:proofErr w:type="spellStart"/>
      <w:r>
        <w:rPr>
          <w:color w:val="070707"/>
          <w:w w:val="110"/>
        </w:rPr>
        <w:t>DoN</w:t>
      </w:r>
      <w:proofErr w:type="spellEnd"/>
      <w:r>
        <w:rPr>
          <w:color w:val="070707"/>
          <w:w w:val="110"/>
        </w:rPr>
        <w:t xml:space="preserve"> application for 3 outpatient facilities will contribute to unnecessarily high outpatient care costs in those</w:t>
      </w:r>
      <w:r>
        <w:rPr>
          <w:color w:val="070707"/>
          <w:spacing w:val="-30"/>
          <w:w w:val="110"/>
        </w:rPr>
        <w:t xml:space="preserve"> </w:t>
      </w:r>
      <w:r>
        <w:rPr>
          <w:color w:val="070707"/>
          <w:w w:val="110"/>
        </w:rPr>
        <w:t>service</w:t>
      </w:r>
      <w:r>
        <w:rPr>
          <w:color w:val="070707"/>
          <w:spacing w:val="-13"/>
          <w:w w:val="110"/>
        </w:rPr>
        <w:t xml:space="preserve"> </w:t>
      </w:r>
      <w:r>
        <w:rPr>
          <w:color w:val="070707"/>
          <w:w w:val="110"/>
        </w:rPr>
        <w:t>areas</w:t>
      </w:r>
      <w:r>
        <w:rPr>
          <w:color w:val="070707"/>
          <w:spacing w:val="-22"/>
          <w:w w:val="110"/>
        </w:rPr>
        <w:t xml:space="preserve"> </w:t>
      </w:r>
      <w:r>
        <w:rPr>
          <w:color w:val="070707"/>
          <w:w w:val="110"/>
        </w:rPr>
        <w:t>and</w:t>
      </w:r>
      <w:r>
        <w:rPr>
          <w:color w:val="070707"/>
          <w:spacing w:val="-27"/>
          <w:w w:val="110"/>
        </w:rPr>
        <w:t xml:space="preserve"> </w:t>
      </w:r>
      <w:r>
        <w:rPr>
          <w:color w:val="070707"/>
          <w:w w:val="110"/>
        </w:rPr>
        <w:t>will</w:t>
      </w:r>
      <w:r>
        <w:rPr>
          <w:color w:val="070707"/>
          <w:spacing w:val="-19"/>
          <w:w w:val="110"/>
        </w:rPr>
        <w:t xml:space="preserve"> </w:t>
      </w:r>
      <w:r>
        <w:rPr>
          <w:color w:val="070707"/>
          <w:w w:val="110"/>
        </w:rPr>
        <w:t>increase</w:t>
      </w:r>
      <w:r>
        <w:rPr>
          <w:color w:val="070707"/>
          <w:spacing w:val="-3"/>
          <w:w w:val="110"/>
        </w:rPr>
        <w:t xml:space="preserve"> </w:t>
      </w:r>
      <w:r>
        <w:rPr>
          <w:color w:val="070707"/>
          <w:w w:val="110"/>
        </w:rPr>
        <w:t>market</w:t>
      </w:r>
      <w:r>
        <w:rPr>
          <w:color w:val="070707"/>
          <w:spacing w:val="-9"/>
          <w:w w:val="110"/>
        </w:rPr>
        <w:t xml:space="preserve"> </w:t>
      </w:r>
      <w:r>
        <w:rPr>
          <w:color w:val="070707"/>
          <w:w w:val="110"/>
        </w:rPr>
        <w:t>consolidation.</w:t>
      </w:r>
    </w:p>
    <w:p w:rsidR="00683071" w:rsidRDefault="00683071" w:rsidP="00683071">
      <w:pPr>
        <w:pStyle w:val="BodyText"/>
        <w:tabs>
          <w:tab w:val="left" w:pos="4561"/>
        </w:tabs>
        <w:spacing w:before="353" w:line="288" w:lineRule="auto"/>
        <w:ind w:left="444" w:right="144" w:firstLine="4"/>
      </w:pPr>
      <w:r>
        <w:rPr>
          <w:color w:val="070707"/>
          <w:w w:val="110"/>
        </w:rPr>
        <w:t>In</w:t>
      </w:r>
      <w:r>
        <w:rPr>
          <w:color w:val="070707"/>
          <w:spacing w:val="-38"/>
          <w:w w:val="110"/>
        </w:rPr>
        <w:t xml:space="preserve"> </w:t>
      </w:r>
      <w:r>
        <w:rPr>
          <w:color w:val="070707"/>
          <w:w w:val="110"/>
        </w:rPr>
        <w:t>addition</w:t>
      </w:r>
      <w:r>
        <w:rPr>
          <w:color w:val="070707"/>
          <w:spacing w:val="-17"/>
          <w:w w:val="110"/>
        </w:rPr>
        <w:t xml:space="preserve"> </w:t>
      </w:r>
      <w:r>
        <w:rPr>
          <w:color w:val="070707"/>
          <w:w w:val="110"/>
        </w:rPr>
        <w:t>to</w:t>
      </w:r>
      <w:r>
        <w:rPr>
          <w:color w:val="070707"/>
          <w:spacing w:val="-22"/>
          <w:w w:val="110"/>
        </w:rPr>
        <w:t xml:space="preserve"> </w:t>
      </w:r>
      <w:r>
        <w:rPr>
          <w:color w:val="070707"/>
          <w:w w:val="110"/>
        </w:rPr>
        <w:t>increased</w:t>
      </w:r>
      <w:r>
        <w:rPr>
          <w:color w:val="070707"/>
          <w:spacing w:val="-8"/>
          <w:w w:val="110"/>
        </w:rPr>
        <w:t xml:space="preserve"> </w:t>
      </w:r>
      <w:r>
        <w:rPr>
          <w:color w:val="070707"/>
          <w:w w:val="110"/>
        </w:rPr>
        <w:t>costs</w:t>
      </w:r>
      <w:r>
        <w:rPr>
          <w:color w:val="070707"/>
          <w:spacing w:val="-20"/>
          <w:w w:val="110"/>
        </w:rPr>
        <w:t xml:space="preserve"> </w:t>
      </w:r>
      <w:r>
        <w:rPr>
          <w:color w:val="070707"/>
          <w:w w:val="110"/>
        </w:rPr>
        <w:t>per</w:t>
      </w:r>
      <w:r>
        <w:rPr>
          <w:color w:val="070707"/>
          <w:spacing w:val="-8"/>
          <w:w w:val="110"/>
        </w:rPr>
        <w:t xml:space="preserve"> </w:t>
      </w:r>
      <w:r>
        <w:rPr>
          <w:color w:val="070707"/>
          <w:w w:val="110"/>
        </w:rPr>
        <w:t>procedure,</w:t>
      </w:r>
      <w:r>
        <w:rPr>
          <w:color w:val="070707"/>
          <w:spacing w:val="-25"/>
          <w:w w:val="110"/>
        </w:rPr>
        <w:t xml:space="preserve"> </w:t>
      </w:r>
      <w:r>
        <w:rPr>
          <w:color w:val="070707"/>
          <w:w w:val="110"/>
        </w:rPr>
        <w:t>the</w:t>
      </w:r>
      <w:r>
        <w:rPr>
          <w:color w:val="070707"/>
          <w:spacing w:val="-7"/>
          <w:w w:val="110"/>
        </w:rPr>
        <w:t xml:space="preserve"> </w:t>
      </w:r>
      <w:r>
        <w:rPr>
          <w:color w:val="070707"/>
          <w:w w:val="110"/>
        </w:rPr>
        <w:t>entry</w:t>
      </w:r>
      <w:r>
        <w:rPr>
          <w:color w:val="070707"/>
          <w:spacing w:val="-37"/>
          <w:w w:val="110"/>
        </w:rPr>
        <w:t xml:space="preserve"> </w:t>
      </w:r>
      <w:r>
        <w:rPr>
          <w:color w:val="070707"/>
          <w:w w:val="110"/>
        </w:rPr>
        <w:t>of</w:t>
      </w:r>
      <w:r>
        <w:rPr>
          <w:color w:val="070707"/>
          <w:spacing w:val="-22"/>
          <w:w w:val="110"/>
        </w:rPr>
        <w:t xml:space="preserve"> </w:t>
      </w:r>
      <w:r>
        <w:rPr>
          <w:color w:val="070707"/>
          <w:w w:val="110"/>
        </w:rPr>
        <w:t>MGB</w:t>
      </w:r>
      <w:r>
        <w:rPr>
          <w:color w:val="070707"/>
          <w:spacing w:val="-32"/>
          <w:w w:val="110"/>
        </w:rPr>
        <w:t xml:space="preserve"> </w:t>
      </w:r>
      <w:r>
        <w:rPr>
          <w:color w:val="070707"/>
          <w:w w:val="110"/>
        </w:rPr>
        <w:t>will</w:t>
      </w:r>
      <w:r>
        <w:rPr>
          <w:color w:val="070707"/>
          <w:spacing w:val="-47"/>
          <w:w w:val="110"/>
        </w:rPr>
        <w:t xml:space="preserve"> </w:t>
      </w:r>
      <w:r>
        <w:rPr>
          <w:color w:val="070707"/>
          <w:w w:val="110"/>
        </w:rPr>
        <w:t>likely</w:t>
      </w:r>
      <w:r>
        <w:rPr>
          <w:color w:val="070707"/>
          <w:spacing w:val="-45"/>
          <w:w w:val="110"/>
        </w:rPr>
        <w:t xml:space="preserve"> </w:t>
      </w:r>
      <w:r>
        <w:rPr>
          <w:color w:val="070707"/>
          <w:w w:val="110"/>
        </w:rPr>
        <w:t>siphon</w:t>
      </w:r>
      <w:r>
        <w:rPr>
          <w:color w:val="070707"/>
          <w:spacing w:val="-22"/>
          <w:w w:val="110"/>
        </w:rPr>
        <w:t xml:space="preserve"> </w:t>
      </w:r>
      <w:r>
        <w:rPr>
          <w:color w:val="070707"/>
          <w:w w:val="110"/>
        </w:rPr>
        <w:t>away</w:t>
      </w:r>
      <w:r>
        <w:rPr>
          <w:color w:val="070707"/>
          <w:spacing w:val="-31"/>
          <w:w w:val="110"/>
        </w:rPr>
        <w:t xml:space="preserve"> </w:t>
      </w:r>
      <w:r>
        <w:rPr>
          <w:color w:val="070707"/>
          <w:w w:val="110"/>
        </w:rPr>
        <w:t>patients</w:t>
      </w:r>
      <w:r>
        <w:rPr>
          <w:color w:val="070707"/>
          <w:spacing w:val="-24"/>
          <w:w w:val="110"/>
        </w:rPr>
        <w:t xml:space="preserve"> </w:t>
      </w:r>
      <w:r>
        <w:rPr>
          <w:color w:val="070707"/>
          <w:w w:val="110"/>
        </w:rPr>
        <w:t>from lower cost community based providers, like community hospitals, and freestanding ASC's, especially</w:t>
      </w:r>
      <w:r>
        <w:rPr>
          <w:color w:val="070707"/>
          <w:spacing w:val="-18"/>
          <w:w w:val="110"/>
        </w:rPr>
        <w:t xml:space="preserve"> </w:t>
      </w:r>
      <w:r>
        <w:rPr>
          <w:color w:val="070707"/>
          <w:w w:val="110"/>
        </w:rPr>
        <w:t>as</w:t>
      </w:r>
      <w:r>
        <w:rPr>
          <w:color w:val="070707"/>
          <w:spacing w:val="1"/>
          <w:w w:val="110"/>
        </w:rPr>
        <w:t xml:space="preserve"> </w:t>
      </w:r>
      <w:r>
        <w:rPr>
          <w:color w:val="070707"/>
          <w:w w:val="110"/>
        </w:rPr>
        <w:t>MGB</w:t>
      </w:r>
      <w:r>
        <w:rPr>
          <w:color w:val="070707"/>
          <w:spacing w:val="-23"/>
          <w:w w:val="110"/>
        </w:rPr>
        <w:t xml:space="preserve"> </w:t>
      </w:r>
      <w:r>
        <w:rPr>
          <w:color w:val="070707"/>
          <w:w w:val="110"/>
        </w:rPr>
        <w:t>will</w:t>
      </w:r>
      <w:r>
        <w:rPr>
          <w:color w:val="070707"/>
          <w:spacing w:val="-36"/>
          <w:w w:val="110"/>
        </w:rPr>
        <w:t xml:space="preserve"> </w:t>
      </w:r>
      <w:r>
        <w:rPr>
          <w:color w:val="070707"/>
          <w:w w:val="110"/>
        </w:rPr>
        <w:t>likely</w:t>
      </w:r>
      <w:r>
        <w:rPr>
          <w:color w:val="070707"/>
          <w:spacing w:val="-36"/>
          <w:w w:val="110"/>
        </w:rPr>
        <w:t xml:space="preserve"> </w:t>
      </w:r>
      <w:r>
        <w:rPr>
          <w:color w:val="070707"/>
          <w:w w:val="110"/>
        </w:rPr>
        <w:t>refer</w:t>
      </w:r>
      <w:r>
        <w:rPr>
          <w:color w:val="070707"/>
          <w:spacing w:val="-34"/>
          <w:w w:val="110"/>
        </w:rPr>
        <w:t xml:space="preserve"> </w:t>
      </w:r>
      <w:r>
        <w:rPr>
          <w:color w:val="070707"/>
          <w:w w:val="110"/>
        </w:rPr>
        <w:t>its</w:t>
      </w:r>
      <w:r>
        <w:rPr>
          <w:color w:val="070707"/>
          <w:spacing w:val="-22"/>
          <w:w w:val="110"/>
        </w:rPr>
        <w:t xml:space="preserve"> </w:t>
      </w:r>
      <w:r>
        <w:rPr>
          <w:color w:val="070707"/>
          <w:w w:val="110"/>
        </w:rPr>
        <w:t>patients</w:t>
      </w:r>
      <w:r>
        <w:rPr>
          <w:color w:val="070707"/>
          <w:spacing w:val="-28"/>
          <w:w w:val="110"/>
        </w:rPr>
        <w:t xml:space="preserve"> </w:t>
      </w:r>
      <w:r>
        <w:rPr>
          <w:color w:val="070707"/>
          <w:w w:val="110"/>
        </w:rPr>
        <w:t>to</w:t>
      </w:r>
      <w:r>
        <w:rPr>
          <w:color w:val="070707"/>
          <w:spacing w:val="-14"/>
          <w:w w:val="110"/>
        </w:rPr>
        <w:t xml:space="preserve"> </w:t>
      </w:r>
      <w:r>
        <w:rPr>
          <w:color w:val="070707"/>
          <w:w w:val="110"/>
        </w:rPr>
        <w:t>providers</w:t>
      </w:r>
      <w:r>
        <w:rPr>
          <w:color w:val="070707"/>
          <w:spacing w:val="-20"/>
          <w:w w:val="110"/>
        </w:rPr>
        <w:t xml:space="preserve"> </w:t>
      </w:r>
      <w:r>
        <w:rPr>
          <w:color w:val="070707"/>
          <w:w w:val="110"/>
        </w:rPr>
        <w:t>within</w:t>
      </w:r>
      <w:r>
        <w:rPr>
          <w:color w:val="070707"/>
          <w:spacing w:val="-29"/>
          <w:w w:val="110"/>
        </w:rPr>
        <w:t xml:space="preserve"> </w:t>
      </w:r>
      <w:r>
        <w:rPr>
          <w:color w:val="070707"/>
          <w:w w:val="110"/>
        </w:rPr>
        <w:t>its</w:t>
      </w:r>
      <w:r>
        <w:rPr>
          <w:color w:val="070707"/>
          <w:spacing w:val="-18"/>
          <w:w w:val="110"/>
        </w:rPr>
        <w:t xml:space="preserve"> </w:t>
      </w:r>
      <w:r>
        <w:rPr>
          <w:color w:val="070707"/>
          <w:w w:val="110"/>
        </w:rPr>
        <w:t>own</w:t>
      </w:r>
      <w:r>
        <w:rPr>
          <w:color w:val="070707"/>
          <w:spacing w:val="-28"/>
          <w:w w:val="110"/>
        </w:rPr>
        <w:t xml:space="preserve"> </w:t>
      </w:r>
      <w:r>
        <w:rPr>
          <w:color w:val="070707"/>
          <w:w w:val="110"/>
        </w:rPr>
        <w:t>health</w:t>
      </w:r>
      <w:r>
        <w:rPr>
          <w:color w:val="070707"/>
          <w:spacing w:val="-20"/>
          <w:w w:val="110"/>
        </w:rPr>
        <w:t xml:space="preserve"> </w:t>
      </w:r>
      <w:r>
        <w:rPr>
          <w:color w:val="070707"/>
          <w:w w:val="110"/>
        </w:rPr>
        <w:t>care</w:t>
      </w:r>
      <w:r>
        <w:rPr>
          <w:color w:val="070707"/>
          <w:spacing w:val="-47"/>
          <w:w w:val="110"/>
        </w:rPr>
        <w:t xml:space="preserve"> </w:t>
      </w:r>
      <w:r>
        <w:rPr>
          <w:color w:val="070707"/>
          <w:w w:val="110"/>
        </w:rPr>
        <w:t>system.</w:t>
      </w:r>
      <w:r>
        <w:rPr>
          <w:color w:val="070707"/>
          <w:spacing w:val="-42"/>
          <w:w w:val="110"/>
        </w:rPr>
        <w:t xml:space="preserve"> </w:t>
      </w:r>
      <w:r>
        <w:rPr>
          <w:color w:val="070707"/>
          <w:w w:val="110"/>
        </w:rPr>
        <w:t>This could</w:t>
      </w:r>
      <w:r>
        <w:rPr>
          <w:color w:val="070707"/>
          <w:spacing w:val="-74"/>
          <w:w w:val="110"/>
        </w:rPr>
        <w:t xml:space="preserve"> </w:t>
      </w:r>
      <w:r>
        <w:rPr>
          <w:color w:val="070707"/>
          <w:w w:val="110"/>
        </w:rPr>
        <w:t>force</w:t>
      </w:r>
      <w:r>
        <w:rPr>
          <w:color w:val="070707"/>
          <w:spacing w:val="-80"/>
          <w:w w:val="110"/>
        </w:rPr>
        <w:t xml:space="preserve"> </w:t>
      </w:r>
      <w:r>
        <w:rPr>
          <w:color w:val="070707"/>
          <w:w w:val="110"/>
        </w:rPr>
        <w:t>ASC's</w:t>
      </w:r>
      <w:r>
        <w:rPr>
          <w:color w:val="070707"/>
          <w:spacing w:val="-76"/>
          <w:w w:val="110"/>
        </w:rPr>
        <w:t xml:space="preserve"> </w:t>
      </w:r>
      <w:r>
        <w:rPr>
          <w:color w:val="070707"/>
          <w:w w:val="110"/>
        </w:rPr>
        <w:t>and</w:t>
      </w:r>
      <w:r>
        <w:rPr>
          <w:color w:val="070707"/>
          <w:w w:val="110"/>
        </w:rPr>
        <w:tab/>
        <w:t>other community based providers to reduce services and lead to increased commercial insurance</w:t>
      </w:r>
      <w:r>
        <w:rPr>
          <w:color w:val="070707"/>
          <w:spacing w:val="33"/>
          <w:w w:val="110"/>
        </w:rPr>
        <w:t xml:space="preserve"> </w:t>
      </w:r>
      <w:r>
        <w:rPr>
          <w:color w:val="070707"/>
          <w:w w:val="110"/>
        </w:rPr>
        <w:t>rates.</w:t>
      </w:r>
    </w:p>
    <w:p w:rsidR="00683071" w:rsidRDefault="00683071" w:rsidP="00683071">
      <w:pPr>
        <w:pStyle w:val="BodyText"/>
        <w:tabs>
          <w:tab w:val="left" w:pos="4713"/>
          <w:tab w:val="left" w:pos="5544"/>
        </w:tabs>
        <w:spacing w:before="399" w:line="288" w:lineRule="auto"/>
        <w:ind w:left="435" w:right="171" w:firstLine="22"/>
      </w:pPr>
      <w:r>
        <w:rPr>
          <w:color w:val="070707"/>
          <w:w w:val="110"/>
        </w:rPr>
        <w:t>In</w:t>
      </w:r>
      <w:r>
        <w:rPr>
          <w:color w:val="070707"/>
          <w:spacing w:val="-68"/>
          <w:w w:val="110"/>
        </w:rPr>
        <w:t xml:space="preserve"> </w:t>
      </w:r>
      <w:r>
        <w:rPr>
          <w:color w:val="070707"/>
          <w:w w:val="110"/>
        </w:rPr>
        <w:t>conclusion,</w:t>
      </w:r>
      <w:r>
        <w:rPr>
          <w:color w:val="070707"/>
          <w:spacing w:val="-66"/>
          <w:w w:val="110"/>
        </w:rPr>
        <w:t xml:space="preserve"> </w:t>
      </w:r>
      <w:r>
        <w:rPr>
          <w:color w:val="070707"/>
          <w:w w:val="110"/>
        </w:rPr>
        <w:t>the</w:t>
      </w:r>
      <w:r>
        <w:rPr>
          <w:color w:val="070707"/>
          <w:spacing w:val="-46"/>
          <w:w w:val="110"/>
        </w:rPr>
        <w:t xml:space="preserve"> </w:t>
      </w:r>
      <w:r>
        <w:rPr>
          <w:color w:val="070707"/>
          <w:w w:val="110"/>
        </w:rPr>
        <w:t>HPC</w:t>
      </w:r>
      <w:r>
        <w:rPr>
          <w:color w:val="070707"/>
          <w:spacing w:val="-68"/>
          <w:w w:val="110"/>
        </w:rPr>
        <w:t xml:space="preserve"> </w:t>
      </w:r>
      <w:r>
        <w:rPr>
          <w:color w:val="070707"/>
          <w:w w:val="110"/>
        </w:rPr>
        <w:t>and</w:t>
      </w:r>
      <w:r>
        <w:rPr>
          <w:color w:val="070707"/>
          <w:w w:val="110"/>
        </w:rPr>
        <w:tab/>
        <w:t>many other studies have clearly shown that payments for standard services and medical tests are substantially higher in the hospital outpatient departments owned or affiliated</w:t>
      </w:r>
      <w:r>
        <w:rPr>
          <w:color w:val="070707"/>
          <w:spacing w:val="-18"/>
          <w:w w:val="110"/>
        </w:rPr>
        <w:t xml:space="preserve"> </w:t>
      </w:r>
      <w:r>
        <w:rPr>
          <w:color w:val="070707"/>
          <w:w w:val="110"/>
        </w:rPr>
        <w:t>with</w:t>
      </w:r>
      <w:r>
        <w:rPr>
          <w:color w:val="070707"/>
          <w:spacing w:val="-36"/>
          <w:w w:val="110"/>
        </w:rPr>
        <w:t xml:space="preserve"> </w:t>
      </w:r>
      <w:r>
        <w:rPr>
          <w:color w:val="070707"/>
          <w:w w:val="110"/>
        </w:rPr>
        <w:t>academic</w:t>
      </w:r>
      <w:r>
        <w:rPr>
          <w:color w:val="070707"/>
          <w:spacing w:val="-27"/>
          <w:w w:val="110"/>
        </w:rPr>
        <w:t xml:space="preserve"> </w:t>
      </w:r>
      <w:r>
        <w:rPr>
          <w:color w:val="070707"/>
          <w:w w:val="110"/>
        </w:rPr>
        <w:t>medical</w:t>
      </w:r>
      <w:r>
        <w:rPr>
          <w:color w:val="070707"/>
          <w:spacing w:val="-19"/>
          <w:w w:val="110"/>
        </w:rPr>
        <w:t xml:space="preserve"> </w:t>
      </w:r>
      <w:r>
        <w:rPr>
          <w:color w:val="070707"/>
          <w:w w:val="110"/>
        </w:rPr>
        <w:t>centers,</w:t>
      </w:r>
      <w:r>
        <w:rPr>
          <w:color w:val="070707"/>
          <w:spacing w:val="-46"/>
          <w:w w:val="110"/>
        </w:rPr>
        <w:t xml:space="preserve"> </w:t>
      </w:r>
      <w:r>
        <w:rPr>
          <w:color w:val="070707"/>
          <w:w w:val="110"/>
        </w:rPr>
        <w:t>such</w:t>
      </w:r>
      <w:r>
        <w:rPr>
          <w:color w:val="070707"/>
          <w:spacing w:val="-35"/>
          <w:w w:val="110"/>
        </w:rPr>
        <w:t xml:space="preserve"> </w:t>
      </w:r>
      <w:r>
        <w:rPr>
          <w:color w:val="070707"/>
          <w:w w:val="110"/>
        </w:rPr>
        <w:t>as</w:t>
      </w:r>
      <w:r>
        <w:rPr>
          <w:color w:val="070707"/>
          <w:spacing w:val="-34"/>
          <w:w w:val="110"/>
        </w:rPr>
        <w:t xml:space="preserve"> </w:t>
      </w:r>
      <w:r>
        <w:rPr>
          <w:color w:val="070707"/>
          <w:w w:val="110"/>
        </w:rPr>
        <w:t>the</w:t>
      </w:r>
      <w:r>
        <w:rPr>
          <w:color w:val="070707"/>
          <w:spacing w:val="-28"/>
          <w:w w:val="110"/>
        </w:rPr>
        <w:t xml:space="preserve"> </w:t>
      </w:r>
      <w:r>
        <w:rPr>
          <w:color w:val="070707"/>
          <w:w w:val="110"/>
        </w:rPr>
        <w:t>three</w:t>
      </w:r>
      <w:r>
        <w:rPr>
          <w:color w:val="070707"/>
          <w:spacing w:val="-36"/>
          <w:w w:val="110"/>
        </w:rPr>
        <w:t xml:space="preserve"> </w:t>
      </w:r>
      <w:r>
        <w:rPr>
          <w:color w:val="070707"/>
          <w:w w:val="110"/>
        </w:rPr>
        <w:t>new</w:t>
      </w:r>
      <w:r>
        <w:rPr>
          <w:color w:val="070707"/>
          <w:spacing w:val="-79"/>
          <w:w w:val="110"/>
        </w:rPr>
        <w:t xml:space="preserve"> </w:t>
      </w:r>
      <w:r>
        <w:rPr>
          <w:color w:val="070707"/>
          <w:w w:val="110"/>
        </w:rPr>
        <w:t>facilities</w:t>
      </w:r>
      <w:r>
        <w:rPr>
          <w:color w:val="070707"/>
          <w:spacing w:val="-28"/>
          <w:w w:val="110"/>
        </w:rPr>
        <w:t xml:space="preserve"> </w:t>
      </w:r>
      <w:r>
        <w:rPr>
          <w:color w:val="070707"/>
          <w:w w:val="110"/>
        </w:rPr>
        <w:t>sought</w:t>
      </w:r>
      <w:r>
        <w:rPr>
          <w:color w:val="070707"/>
          <w:spacing w:val="-36"/>
          <w:w w:val="110"/>
        </w:rPr>
        <w:t xml:space="preserve"> </w:t>
      </w:r>
      <w:r>
        <w:rPr>
          <w:color w:val="070707"/>
          <w:w w:val="110"/>
        </w:rPr>
        <w:t>by</w:t>
      </w:r>
      <w:r>
        <w:rPr>
          <w:color w:val="070707"/>
          <w:spacing w:val="-48"/>
          <w:w w:val="110"/>
        </w:rPr>
        <w:t xml:space="preserve"> </w:t>
      </w:r>
      <w:r>
        <w:rPr>
          <w:color w:val="070707"/>
          <w:w w:val="110"/>
        </w:rPr>
        <w:t>MGB,</w:t>
      </w:r>
      <w:r>
        <w:rPr>
          <w:color w:val="070707"/>
          <w:spacing w:val="-28"/>
          <w:w w:val="110"/>
        </w:rPr>
        <w:t xml:space="preserve"> </w:t>
      </w:r>
      <w:r>
        <w:rPr>
          <w:color w:val="070707"/>
          <w:w w:val="110"/>
        </w:rPr>
        <w:t>compared to</w:t>
      </w:r>
      <w:r>
        <w:rPr>
          <w:color w:val="070707"/>
          <w:spacing w:val="-45"/>
          <w:w w:val="110"/>
        </w:rPr>
        <w:t xml:space="preserve"> </w:t>
      </w:r>
      <w:r>
        <w:rPr>
          <w:color w:val="070707"/>
          <w:w w:val="110"/>
        </w:rPr>
        <w:t>freestanding</w:t>
      </w:r>
      <w:r>
        <w:rPr>
          <w:color w:val="070707"/>
          <w:spacing w:val="-59"/>
          <w:w w:val="110"/>
        </w:rPr>
        <w:t xml:space="preserve"> </w:t>
      </w:r>
      <w:r>
        <w:rPr>
          <w:color w:val="070707"/>
          <w:w w:val="110"/>
        </w:rPr>
        <w:t>ASC's,</w:t>
      </w:r>
      <w:r>
        <w:rPr>
          <w:color w:val="070707"/>
          <w:w w:val="110"/>
        </w:rPr>
        <w:tab/>
        <w:t>physician offices and other non-hospital settings." With an increasing number of healthcare consumers with high deductible plans and increasing out of pocket costs, these cost increases directly impact consumers as well as the Commonwealth's health care cost growth</w:t>
      </w:r>
      <w:r>
        <w:rPr>
          <w:color w:val="070707"/>
          <w:spacing w:val="14"/>
          <w:w w:val="110"/>
        </w:rPr>
        <w:t xml:space="preserve"> </w:t>
      </w:r>
      <w:r>
        <w:rPr>
          <w:color w:val="070707"/>
          <w:w w:val="110"/>
        </w:rPr>
        <w:t>benchmark.</w:t>
      </w:r>
    </w:p>
    <w:p w:rsidR="00683071" w:rsidRDefault="00683071" w:rsidP="00683071">
      <w:pPr>
        <w:pStyle w:val="BodyText"/>
        <w:rPr>
          <w:sz w:val="48"/>
        </w:rPr>
      </w:pPr>
    </w:p>
    <w:p w:rsidR="00683071" w:rsidRDefault="00683071" w:rsidP="00683071">
      <w:pPr>
        <w:tabs>
          <w:tab w:val="left" w:pos="8141"/>
        </w:tabs>
        <w:spacing w:before="360"/>
        <w:ind w:left="354"/>
        <w:jc w:val="center"/>
        <w:rPr>
          <w:rFonts w:ascii="Arial"/>
          <w:sz w:val="36"/>
        </w:rPr>
      </w:pPr>
      <w:r>
        <w:rPr>
          <w:rFonts w:ascii="Arial"/>
          <w:color w:val="215B87"/>
          <w:sz w:val="36"/>
        </w:rPr>
        <w:t xml:space="preserve">121 REVERE STREET, UNIT </w:t>
      </w:r>
      <w:r>
        <w:rPr>
          <w:rFonts w:ascii="Arial"/>
          <w:color w:val="215B87"/>
          <w:spacing w:val="-19"/>
          <w:sz w:val="36"/>
        </w:rPr>
        <w:t>B</w:t>
      </w:r>
      <w:r>
        <w:rPr>
          <w:rFonts w:ascii="Arial"/>
          <w:color w:val="486982"/>
          <w:spacing w:val="-19"/>
          <w:sz w:val="36"/>
        </w:rPr>
        <w:t>,</w:t>
      </w:r>
      <w:r>
        <w:rPr>
          <w:rFonts w:ascii="Arial"/>
          <w:color w:val="486982"/>
          <w:spacing w:val="3"/>
          <w:sz w:val="36"/>
        </w:rPr>
        <w:t xml:space="preserve"> </w:t>
      </w:r>
      <w:r>
        <w:rPr>
          <w:rFonts w:ascii="Arial"/>
          <w:color w:val="215B87"/>
          <w:sz w:val="36"/>
        </w:rPr>
        <w:t>CANTON</w:t>
      </w:r>
      <w:r>
        <w:rPr>
          <w:rFonts w:ascii="Arial"/>
          <w:color w:val="486982"/>
          <w:sz w:val="36"/>
        </w:rPr>
        <w:t>,</w:t>
      </w:r>
      <w:r>
        <w:rPr>
          <w:rFonts w:ascii="Arial"/>
          <w:color w:val="486982"/>
          <w:spacing w:val="14"/>
          <w:sz w:val="36"/>
        </w:rPr>
        <w:t xml:space="preserve"> </w:t>
      </w:r>
      <w:r>
        <w:rPr>
          <w:rFonts w:ascii="Arial"/>
          <w:color w:val="215B87"/>
          <w:sz w:val="36"/>
        </w:rPr>
        <w:t>MA</w:t>
      </w:r>
      <w:r>
        <w:rPr>
          <w:rFonts w:ascii="Arial"/>
          <w:color w:val="215B87"/>
          <w:sz w:val="36"/>
        </w:rPr>
        <w:tab/>
        <w:t>02021</w:t>
      </w:r>
    </w:p>
    <w:p w:rsidR="00683071" w:rsidRDefault="00683071" w:rsidP="00683071">
      <w:pPr>
        <w:tabs>
          <w:tab w:val="left" w:pos="6203"/>
        </w:tabs>
        <w:spacing w:before="51"/>
        <w:ind w:left="329"/>
        <w:jc w:val="center"/>
        <w:rPr>
          <w:sz w:val="44"/>
        </w:rPr>
      </w:pPr>
      <w:r>
        <w:rPr>
          <w:color w:val="215B87"/>
          <w:spacing w:val="-8"/>
          <w:w w:val="110"/>
          <w:sz w:val="40"/>
        </w:rPr>
        <w:tab/>
      </w:r>
      <w:hyperlink r:id="rId6">
        <w:r w:rsidR="00920893">
          <w:rPr>
            <w:color w:val="16365E"/>
            <w:spacing w:val="4"/>
            <w:w w:val="110"/>
            <w:sz w:val="44"/>
            <w:u w:val="single" w:color="16365E"/>
          </w:rPr>
          <w:t>Massachusetts Association of Ambulatory Surgery Centers website</w:t>
        </w:r>
      </w:hyperlink>
    </w:p>
    <w:p w:rsidR="00683071" w:rsidRDefault="00683071" w:rsidP="00683071">
      <w:pPr>
        <w:jc w:val="center"/>
        <w:rPr>
          <w:sz w:val="44"/>
        </w:rPr>
        <w:sectPr w:rsidR="00683071">
          <w:pgSz w:w="24440" w:h="31660"/>
          <w:pgMar w:top="2280" w:right="2580" w:bottom="280" w:left="2600" w:header="720" w:footer="720" w:gutter="0"/>
          <w:cols w:space="720"/>
        </w:sectPr>
      </w:pPr>
    </w:p>
    <w:p w:rsidR="00683071" w:rsidRDefault="00683071" w:rsidP="00683071">
      <w:pPr>
        <w:spacing w:before="59" w:line="276" w:lineRule="auto"/>
        <w:ind w:left="530" w:right="365" w:firstLine="37"/>
        <w:rPr>
          <w:sz w:val="44"/>
        </w:rPr>
      </w:pPr>
      <w:r>
        <w:rPr>
          <w:color w:val="070707"/>
          <w:w w:val="105"/>
          <w:sz w:val="44"/>
        </w:rPr>
        <w:lastRenderedPageBreak/>
        <w:t xml:space="preserve">For </w:t>
      </w:r>
      <w:proofErr w:type="gramStart"/>
      <w:r>
        <w:rPr>
          <w:color w:val="070707"/>
          <w:w w:val="105"/>
          <w:sz w:val="44"/>
        </w:rPr>
        <w:t>all of</w:t>
      </w:r>
      <w:proofErr w:type="gramEnd"/>
      <w:r>
        <w:rPr>
          <w:color w:val="070707"/>
          <w:w w:val="105"/>
          <w:sz w:val="44"/>
        </w:rPr>
        <w:t xml:space="preserve"> the above reasons, the MAASC supports the requirement of an independent cost analysis before final decisions are made on MGB's </w:t>
      </w:r>
      <w:proofErr w:type="spellStart"/>
      <w:r>
        <w:rPr>
          <w:color w:val="070707"/>
          <w:w w:val="105"/>
          <w:sz w:val="44"/>
        </w:rPr>
        <w:t>DoN</w:t>
      </w:r>
      <w:proofErr w:type="spellEnd"/>
      <w:r>
        <w:rPr>
          <w:color w:val="070707"/>
          <w:w w:val="105"/>
          <w:sz w:val="44"/>
        </w:rPr>
        <w:t xml:space="preserve"> application. While we </w:t>
      </w:r>
      <w:proofErr w:type="gramStart"/>
      <w:r>
        <w:rPr>
          <w:color w:val="070707"/>
          <w:w w:val="105"/>
          <w:sz w:val="44"/>
        </w:rPr>
        <w:t>understand</w:t>
      </w:r>
      <w:proofErr w:type="gramEnd"/>
      <w:r>
        <w:rPr>
          <w:color w:val="070707"/>
          <w:w w:val="105"/>
          <w:sz w:val="44"/>
        </w:rPr>
        <w:t xml:space="preserve"> a company has been chosen to do this analysis, given </w:t>
      </w:r>
      <w:r>
        <w:rPr>
          <w:color w:val="070707"/>
          <w:w w:val="105"/>
          <w:sz w:val="42"/>
        </w:rPr>
        <w:t xml:space="preserve">its </w:t>
      </w:r>
      <w:r>
        <w:rPr>
          <w:color w:val="070707"/>
          <w:w w:val="105"/>
          <w:sz w:val="44"/>
        </w:rPr>
        <w:t xml:space="preserve">expertise in this arena, the MAASC also suggests that the </w:t>
      </w:r>
      <w:r>
        <w:rPr>
          <w:color w:val="070707"/>
          <w:sz w:val="48"/>
        </w:rPr>
        <w:t>HPC</w:t>
      </w:r>
      <w:r>
        <w:rPr>
          <w:color w:val="070707"/>
          <w:spacing w:val="-42"/>
          <w:sz w:val="48"/>
        </w:rPr>
        <w:t xml:space="preserve"> </w:t>
      </w:r>
      <w:r>
        <w:rPr>
          <w:color w:val="070707"/>
          <w:sz w:val="48"/>
        </w:rPr>
        <w:t>be</w:t>
      </w:r>
      <w:r>
        <w:rPr>
          <w:color w:val="070707"/>
          <w:spacing w:val="-56"/>
          <w:sz w:val="48"/>
        </w:rPr>
        <w:t xml:space="preserve"> </w:t>
      </w:r>
      <w:r>
        <w:rPr>
          <w:color w:val="070707"/>
          <w:sz w:val="48"/>
        </w:rPr>
        <w:t>tasked</w:t>
      </w:r>
      <w:r>
        <w:rPr>
          <w:color w:val="070707"/>
          <w:spacing w:val="-48"/>
          <w:sz w:val="48"/>
        </w:rPr>
        <w:t xml:space="preserve"> </w:t>
      </w:r>
      <w:r>
        <w:rPr>
          <w:color w:val="070707"/>
          <w:sz w:val="48"/>
        </w:rPr>
        <w:t>with</w:t>
      </w:r>
      <w:r>
        <w:rPr>
          <w:color w:val="070707"/>
          <w:spacing w:val="-47"/>
          <w:sz w:val="48"/>
        </w:rPr>
        <w:t xml:space="preserve"> </w:t>
      </w:r>
      <w:r>
        <w:rPr>
          <w:color w:val="070707"/>
          <w:sz w:val="48"/>
        </w:rPr>
        <w:t>conducting</w:t>
      </w:r>
      <w:r>
        <w:rPr>
          <w:color w:val="070707"/>
          <w:spacing w:val="-55"/>
          <w:sz w:val="48"/>
        </w:rPr>
        <w:t xml:space="preserve"> </w:t>
      </w:r>
      <w:r>
        <w:rPr>
          <w:color w:val="070707"/>
          <w:sz w:val="48"/>
        </w:rPr>
        <w:t>an</w:t>
      </w:r>
      <w:r>
        <w:rPr>
          <w:color w:val="070707"/>
          <w:spacing w:val="-57"/>
          <w:sz w:val="48"/>
        </w:rPr>
        <w:t xml:space="preserve"> </w:t>
      </w:r>
      <w:r>
        <w:rPr>
          <w:color w:val="070707"/>
          <w:sz w:val="48"/>
        </w:rPr>
        <w:t>analysis</w:t>
      </w:r>
      <w:r>
        <w:rPr>
          <w:color w:val="070707"/>
          <w:spacing w:val="-39"/>
          <w:sz w:val="48"/>
        </w:rPr>
        <w:t xml:space="preserve"> </w:t>
      </w:r>
      <w:r>
        <w:rPr>
          <w:color w:val="070707"/>
          <w:sz w:val="48"/>
        </w:rPr>
        <w:t>on</w:t>
      </w:r>
      <w:r>
        <w:rPr>
          <w:color w:val="070707"/>
          <w:spacing w:val="-55"/>
          <w:sz w:val="48"/>
        </w:rPr>
        <w:t xml:space="preserve"> </w:t>
      </w:r>
      <w:r>
        <w:rPr>
          <w:color w:val="070707"/>
          <w:sz w:val="48"/>
        </w:rPr>
        <w:t>the</w:t>
      </w:r>
      <w:r>
        <w:rPr>
          <w:color w:val="070707"/>
          <w:spacing w:val="-56"/>
          <w:sz w:val="48"/>
        </w:rPr>
        <w:t xml:space="preserve"> </w:t>
      </w:r>
      <w:r>
        <w:rPr>
          <w:color w:val="070707"/>
          <w:sz w:val="48"/>
        </w:rPr>
        <w:t>impact</w:t>
      </w:r>
      <w:r>
        <w:rPr>
          <w:color w:val="070707"/>
          <w:spacing w:val="-55"/>
          <w:sz w:val="48"/>
        </w:rPr>
        <w:t xml:space="preserve"> </w:t>
      </w:r>
      <w:r>
        <w:rPr>
          <w:color w:val="070707"/>
          <w:sz w:val="48"/>
        </w:rPr>
        <w:t>of</w:t>
      </w:r>
      <w:r>
        <w:rPr>
          <w:color w:val="070707"/>
          <w:spacing w:val="-42"/>
          <w:sz w:val="48"/>
        </w:rPr>
        <w:t xml:space="preserve"> </w:t>
      </w:r>
      <w:r>
        <w:rPr>
          <w:color w:val="070707"/>
          <w:sz w:val="48"/>
        </w:rPr>
        <w:t>MGB's</w:t>
      </w:r>
      <w:r>
        <w:rPr>
          <w:color w:val="070707"/>
          <w:spacing w:val="-28"/>
          <w:sz w:val="48"/>
        </w:rPr>
        <w:t xml:space="preserve"> </w:t>
      </w:r>
      <w:r>
        <w:rPr>
          <w:color w:val="070707"/>
          <w:sz w:val="48"/>
        </w:rPr>
        <w:t>application</w:t>
      </w:r>
      <w:r>
        <w:rPr>
          <w:color w:val="070707"/>
          <w:spacing w:val="-20"/>
          <w:sz w:val="48"/>
        </w:rPr>
        <w:t xml:space="preserve"> </w:t>
      </w:r>
      <w:r>
        <w:rPr>
          <w:color w:val="070707"/>
          <w:sz w:val="48"/>
        </w:rPr>
        <w:t>on</w:t>
      </w:r>
      <w:r>
        <w:rPr>
          <w:color w:val="070707"/>
          <w:spacing w:val="-50"/>
          <w:sz w:val="48"/>
        </w:rPr>
        <w:t xml:space="preserve"> </w:t>
      </w:r>
      <w:r>
        <w:rPr>
          <w:color w:val="070707"/>
          <w:sz w:val="48"/>
        </w:rPr>
        <w:t>outpatient</w:t>
      </w:r>
      <w:r>
        <w:rPr>
          <w:color w:val="070707"/>
          <w:spacing w:val="-40"/>
          <w:sz w:val="48"/>
        </w:rPr>
        <w:t xml:space="preserve"> </w:t>
      </w:r>
      <w:r>
        <w:rPr>
          <w:color w:val="070707"/>
          <w:sz w:val="48"/>
        </w:rPr>
        <w:t xml:space="preserve">care </w:t>
      </w:r>
      <w:r>
        <w:rPr>
          <w:color w:val="070707"/>
          <w:w w:val="105"/>
          <w:sz w:val="44"/>
        </w:rPr>
        <w:t>costs in the designated areas and on the cost growth</w:t>
      </w:r>
      <w:r>
        <w:rPr>
          <w:color w:val="070707"/>
          <w:spacing w:val="-54"/>
          <w:w w:val="105"/>
          <w:sz w:val="44"/>
        </w:rPr>
        <w:t xml:space="preserve"> </w:t>
      </w:r>
      <w:r>
        <w:rPr>
          <w:color w:val="070707"/>
          <w:w w:val="105"/>
          <w:sz w:val="44"/>
        </w:rPr>
        <w:t>benchmark.</w:t>
      </w:r>
    </w:p>
    <w:p w:rsidR="00683071" w:rsidRDefault="00683071" w:rsidP="00683071">
      <w:pPr>
        <w:pStyle w:val="BodyText"/>
        <w:spacing w:before="5"/>
        <w:rPr>
          <w:sz w:val="38"/>
        </w:rPr>
      </w:pPr>
    </w:p>
    <w:p w:rsidR="00683071" w:rsidRDefault="00683071" w:rsidP="00DC464D">
      <w:pPr>
        <w:pStyle w:val="BodyText"/>
      </w:pPr>
      <w:r>
        <w:rPr>
          <w:w w:val="105"/>
        </w:rPr>
        <w:t>Thank you for your attention to the concerns of the MAASC. We look forward to continuing</w:t>
      </w:r>
      <w:r>
        <w:rPr>
          <w:spacing w:val="-67"/>
          <w:w w:val="105"/>
        </w:rPr>
        <w:t xml:space="preserve"> </w:t>
      </w:r>
      <w:r>
        <w:rPr>
          <w:w w:val="105"/>
        </w:rPr>
        <w:t>our mutual efforts to promote increased access to high-quality, affordable outpatient surgical and diagnostic care to all patients in</w:t>
      </w:r>
      <w:r>
        <w:rPr>
          <w:spacing w:val="-62"/>
          <w:w w:val="105"/>
        </w:rPr>
        <w:t xml:space="preserve"> </w:t>
      </w:r>
      <w:r>
        <w:rPr>
          <w:w w:val="105"/>
        </w:rPr>
        <w:t>Massachusetts.</w:t>
      </w:r>
    </w:p>
    <w:p w:rsidR="00683071" w:rsidRDefault="00683071" w:rsidP="00683071">
      <w:pPr>
        <w:spacing w:before="402"/>
        <w:ind w:left="470"/>
        <w:rPr>
          <w:sz w:val="44"/>
        </w:rPr>
      </w:pPr>
      <w:r>
        <w:rPr>
          <w:noProof/>
        </w:rPr>
        <w:drawing>
          <wp:anchor distT="0" distB="0" distL="0" distR="0" simplePos="0" relativeHeight="251659264" behindDoc="1" locked="0" layoutInCell="1" allowOverlap="1" wp14:anchorId="4310E584" wp14:editId="7A41D3D7">
            <wp:simplePos x="0" y="0"/>
            <wp:positionH relativeFrom="page">
              <wp:posOffset>1954923</wp:posOffset>
            </wp:positionH>
            <wp:positionV relativeFrom="paragraph">
              <wp:posOffset>522224</wp:posOffset>
            </wp:positionV>
            <wp:extent cx="4080902" cy="1025967"/>
            <wp:effectExtent l="0" t="0" r="0" b="3175"/>
            <wp:wrapNone/>
            <wp:docPr id="3" name="image2.jpeg" descr="Gregory P. DeConciliis&#10;&lt;signature on file&gt;" title="Gregory P. DeConciliis, PA-C, CASC Presid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080902" cy="1025967"/>
                    </a:xfrm>
                    <a:prstGeom prst="rect">
                      <a:avLst/>
                    </a:prstGeom>
                  </pic:spPr>
                </pic:pic>
              </a:graphicData>
            </a:graphic>
          </wp:anchor>
        </w:drawing>
      </w:r>
      <w:r>
        <w:rPr>
          <w:color w:val="070707"/>
          <w:w w:val="105"/>
          <w:sz w:val="44"/>
        </w:rPr>
        <w:t>Sincerely,</w:t>
      </w:r>
    </w:p>
    <w:p w:rsidR="00683071" w:rsidRDefault="00683071" w:rsidP="00683071">
      <w:pPr>
        <w:pStyle w:val="BodyText"/>
        <w:rPr>
          <w:sz w:val="48"/>
        </w:rPr>
      </w:pPr>
    </w:p>
    <w:p w:rsidR="00683071" w:rsidRDefault="00683071" w:rsidP="00683071">
      <w:pPr>
        <w:pStyle w:val="BodyText"/>
        <w:rPr>
          <w:sz w:val="48"/>
        </w:rPr>
      </w:pPr>
    </w:p>
    <w:p w:rsidR="00683071" w:rsidRDefault="00683071" w:rsidP="00F741E8">
      <w:pPr>
        <w:spacing w:before="405" w:line="237" w:lineRule="auto"/>
        <w:ind w:left="452" w:right="10749" w:firstLine="1"/>
        <w:rPr>
          <w:sz w:val="50"/>
        </w:rPr>
      </w:pPr>
      <w:r>
        <w:rPr>
          <w:color w:val="070707"/>
          <w:w w:val="95"/>
          <w:sz w:val="45"/>
        </w:rPr>
        <w:t>Gregory</w:t>
      </w:r>
      <w:r>
        <w:rPr>
          <w:color w:val="070707"/>
          <w:spacing w:val="-25"/>
          <w:w w:val="95"/>
          <w:sz w:val="45"/>
        </w:rPr>
        <w:t xml:space="preserve"> </w:t>
      </w:r>
      <w:r>
        <w:rPr>
          <w:color w:val="070707"/>
          <w:w w:val="95"/>
          <w:sz w:val="45"/>
        </w:rPr>
        <w:t>P.</w:t>
      </w:r>
      <w:r>
        <w:rPr>
          <w:color w:val="070707"/>
          <w:spacing w:val="-52"/>
          <w:w w:val="95"/>
          <w:sz w:val="45"/>
        </w:rPr>
        <w:t xml:space="preserve"> </w:t>
      </w:r>
      <w:proofErr w:type="spellStart"/>
      <w:r>
        <w:rPr>
          <w:color w:val="070707"/>
          <w:w w:val="95"/>
          <w:sz w:val="45"/>
        </w:rPr>
        <w:t>DeConciliis</w:t>
      </w:r>
      <w:proofErr w:type="spellEnd"/>
      <w:r>
        <w:rPr>
          <w:color w:val="070707"/>
          <w:w w:val="95"/>
          <w:sz w:val="45"/>
        </w:rPr>
        <w:t>,</w:t>
      </w:r>
      <w:r>
        <w:rPr>
          <w:color w:val="070707"/>
          <w:spacing w:val="-21"/>
          <w:w w:val="95"/>
          <w:sz w:val="45"/>
        </w:rPr>
        <w:t xml:space="preserve"> </w:t>
      </w:r>
      <w:r>
        <w:rPr>
          <w:color w:val="070707"/>
          <w:w w:val="95"/>
          <w:sz w:val="45"/>
        </w:rPr>
        <w:t>PA-C,</w:t>
      </w:r>
      <w:r>
        <w:rPr>
          <w:color w:val="070707"/>
          <w:spacing w:val="-43"/>
          <w:w w:val="95"/>
          <w:sz w:val="45"/>
        </w:rPr>
        <w:t xml:space="preserve"> </w:t>
      </w:r>
      <w:r>
        <w:rPr>
          <w:color w:val="070707"/>
          <w:w w:val="95"/>
          <w:sz w:val="45"/>
        </w:rPr>
        <w:t xml:space="preserve">CASC </w:t>
      </w:r>
      <w:r>
        <w:rPr>
          <w:color w:val="070707"/>
          <w:sz w:val="45"/>
        </w:rPr>
        <w:t>President</w:t>
      </w:r>
    </w:p>
    <w:p w:rsidR="00683071" w:rsidRDefault="00683071" w:rsidP="00683071">
      <w:pPr>
        <w:tabs>
          <w:tab w:val="left" w:pos="7787"/>
        </w:tabs>
        <w:spacing w:before="320"/>
        <w:ind w:right="77"/>
        <w:jc w:val="center"/>
        <w:rPr>
          <w:rFonts w:ascii="Arial"/>
          <w:sz w:val="36"/>
        </w:rPr>
      </w:pPr>
      <w:r>
        <w:rPr>
          <w:rFonts w:ascii="Arial"/>
          <w:color w:val="1F5785"/>
          <w:w w:val="105"/>
          <w:sz w:val="36"/>
        </w:rPr>
        <w:t>121</w:t>
      </w:r>
      <w:r>
        <w:rPr>
          <w:rFonts w:ascii="Arial"/>
          <w:color w:val="1F5785"/>
          <w:spacing w:val="-35"/>
          <w:w w:val="105"/>
          <w:sz w:val="36"/>
        </w:rPr>
        <w:t xml:space="preserve"> </w:t>
      </w:r>
      <w:r>
        <w:rPr>
          <w:rFonts w:ascii="Arial"/>
          <w:color w:val="1F5785"/>
          <w:w w:val="105"/>
          <w:sz w:val="36"/>
        </w:rPr>
        <w:t>REVERE</w:t>
      </w:r>
      <w:r>
        <w:rPr>
          <w:rFonts w:ascii="Arial"/>
          <w:color w:val="1F5785"/>
          <w:spacing w:val="-51"/>
          <w:w w:val="105"/>
          <w:sz w:val="36"/>
        </w:rPr>
        <w:t xml:space="preserve"> </w:t>
      </w:r>
      <w:r>
        <w:rPr>
          <w:rFonts w:ascii="Arial"/>
          <w:color w:val="1F5785"/>
          <w:spacing w:val="-5"/>
          <w:w w:val="105"/>
          <w:sz w:val="36"/>
        </w:rPr>
        <w:t>STREET</w:t>
      </w:r>
      <w:r>
        <w:rPr>
          <w:rFonts w:ascii="Arial"/>
          <w:color w:val="5D839C"/>
          <w:spacing w:val="-5"/>
          <w:w w:val="105"/>
          <w:sz w:val="36"/>
        </w:rPr>
        <w:t>,</w:t>
      </w:r>
      <w:r>
        <w:rPr>
          <w:rFonts w:ascii="Arial"/>
          <w:color w:val="5D839C"/>
          <w:spacing w:val="-27"/>
          <w:w w:val="105"/>
          <w:sz w:val="36"/>
        </w:rPr>
        <w:t xml:space="preserve"> </w:t>
      </w:r>
      <w:r>
        <w:rPr>
          <w:rFonts w:ascii="Arial"/>
          <w:color w:val="1F5785"/>
          <w:w w:val="105"/>
          <w:sz w:val="36"/>
        </w:rPr>
        <w:t>UNIT</w:t>
      </w:r>
      <w:r>
        <w:rPr>
          <w:rFonts w:ascii="Arial"/>
          <w:color w:val="1F5785"/>
          <w:spacing w:val="-56"/>
          <w:w w:val="105"/>
          <w:sz w:val="36"/>
        </w:rPr>
        <w:t xml:space="preserve"> </w:t>
      </w:r>
      <w:r>
        <w:rPr>
          <w:rFonts w:ascii="Arial"/>
          <w:color w:val="1F5785"/>
          <w:w w:val="105"/>
          <w:sz w:val="36"/>
        </w:rPr>
        <w:t>B,</w:t>
      </w:r>
      <w:r>
        <w:rPr>
          <w:rFonts w:ascii="Arial"/>
          <w:color w:val="1F5785"/>
          <w:spacing w:val="-67"/>
          <w:w w:val="105"/>
          <w:sz w:val="36"/>
        </w:rPr>
        <w:t xml:space="preserve"> </w:t>
      </w:r>
      <w:r>
        <w:rPr>
          <w:rFonts w:ascii="Arial"/>
          <w:color w:val="1F5785"/>
          <w:w w:val="105"/>
          <w:sz w:val="36"/>
        </w:rPr>
        <w:t>CANTON,</w:t>
      </w:r>
      <w:r>
        <w:rPr>
          <w:rFonts w:ascii="Arial"/>
          <w:color w:val="1F5785"/>
          <w:spacing w:val="-46"/>
          <w:w w:val="105"/>
          <w:sz w:val="36"/>
        </w:rPr>
        <w:t xml:space="preserve"> </w:t>
      </w:r>
      <w:r>
        <w:rPr>
          <w:rFonts w:ascii="Arial"/>
          <w:color w:val="1F5785"/>
          <w:w w:val="105"/>
          <w:sz w:val="36"/>
        </w:rPr>
        <w:t>MA</w:t>
      </w:r>
      <w:r>
        <w:rPr>
          <w:rFonts w:ascii="Arial"/>
          <w:color w:val="1F5785"/>
          <w:w w:val="105"/>
          <w:sz w:val="36"/>
        </w:rPr>
        <w:tab/>
        <w:t>02021</w:t>
      </w:r>
    </w:p>
    <w:p w:rsidR="00683071" w:rsidRDefault="00683071" w:rsidP="00683071">
      <w:pPr>
        <w:tabs>
          <w:tab w:val="left" w:pos="5869"/>
        </w:tabs>
        <w:spacing w:before="52"/>
        <w:ind w:right="119"/>
        <w:jc w:val="center"/>
        <w:rPr>
          <w:sz w:val="45"/>
        </w:rPr>
      </w:pPr>
      <w:bookmarkStart w:id="0" w:name="_GoBack"/>
      <w:bookmarkEnd w:id="0"/>
      <w:r>
        <w:rPr>
          <w:rFonts w:ascii="Arial"/>
          <w:color w:val="1F5785"/>
          <w:sz w:val="36"/>
        </w:rPr>
        <w:tab/>
      </w:r>
      <w:hyperlink r:id="rId8" w:history="1">
        <w:r w:rsidR="00920893">
          <w:rPr>
            <w:rStyle w:val="Hyperlink"/>
            <w:spacing w:val="-3"/>
            <w:sz w:val="45"/>
            <w:u w:color="183B64"/>
          </w:rPr>
          <w:t>Massachusetts Association of Ambulatory Surgery Centers website</w:t>
        </w:r>
      </w:hyperlink>
    </w:p>
    <w:p w:rsidR="00044FBA" w:rsidRDefault="00044FBA"/>
    <w:sectPr w:rsidR="00044FBA">
      <w:pgSz w:w="24440" w:h="31660"/>
      <w:pgMar w:top="2300" w:right="2580" w:bottom="280" w:left="2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71"/>
    <w:rsid w:val="00044FBA"/>
    <w:rsid w:val="00202F28"/>
    <w:rsid w:val="00316FDB"/>
    <w:rsid w:val="00671161"/>
    <w:rsid w:val="00683071"/>
    <w:rsid w:val="00912DA5"/>
    <w:rsid w:val="00920893"/>
    <w:rsid w:val="00DC464D"/>
    <w:rsid w:val="00F7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0AC4"/>
  <w15:chartTrackingRefBased/>
  <w15:docId w15:val="{54EA9C40-D582-4B0A-9BFC-D1564A00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8307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83071"/>
    <w:pPr>
      <w:ind w:left="470"/>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3071"/>
    <w:rPr>
      <w:rFonts w:ascii="Times New Roman" w:eastAsia="Times New Roman" w:hAnsi="Times New Roman" w:cs="Times New Roman"/>
      <w:sz w:val="44"/>
      <w:szCs w:val="44"/>
    </w:rPr>
  </w:style>
  <w:style w:type="paragraph" w:styleId="BodyText">
    <w:name w:val="Body Text"/>
    <w:basedOn w:val="Normal"/>
    <w:link w:val="BodyTextChar"/>
    <w:uiPriority w:val="1"/>
    <w:qFormat/>
    <w:rsid w:val="00683071"/>
    <w:rPr>
      <w:sz w:val="43"/>
      <w:szCs w:val="43"/>
    </w:rPr>
  </w:style>
  <w:style w:type="character" w:customStyle="1" w:styleId="BodyTextChar">
    <w:name w:val="Body Text Char"/>
    <w:basedOn w:val="DefaultParagraphFont"/>
    <w:link w:val="BodyText"/>
    <w:uiPriority w:val="1"/>
    <w:rsid w:val="00683071"/>
    <w:rPr>
      <w:rFonts w:ascii="Times New Roman" w:eastAsia="Times New Roman" w:hAnsi="Times New Roman" w:cs="Times New Roman"/>
      <w:sz w:val="43"/>
      <w:szCs w:val="43"/>
    </w:rPr>
  </w:style>
  <w:style w:type="character" w:styleId="Hyperlink">
    <w:name w:val="Hyperlink"/>
    <w:basedOn w:val="DefaultParagraphFont"/>
    <w:uiPriority w:val="99"/>
    <w:unhideWhenUsed/>
    <w:rsid w:val="006830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sc.or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asc.org/" TargetMode="External"/><Relationship Id="rId5" Type="http://schemas.openxmlformats.org/officeDocument/2006/relationships/hyperlink" Target="http://www.maasc.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2</cp:revision>
  <dcterms:created xsi:type="dcterms:W3CDTF">2021-08-20T19:45:00Z</dcterms:created>
  <dcterms:modified xsi:type="dcterms:W3CDTF">2021-08-20T19:45:00Z</dcterms:modified>
</cp:coreProperties>
</file>