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D6818" w14:textId="4DFAC032" w:rsidR="006F579F" w:rsidRDefault="006F579F" w:rsidP="006F579F">
      <w:r w:rsidRPr="0041665D">
        <w:t>January 27, 2022</w:t>
      </w:r>
    </w:p>
    <w:p w14:paraId="27AC22A5" w14:textId="77777777" w:rsidR="00E93314" w:rsidRPr="0041665D" w:rsidRDefault="00E93314" w:rsidP="006F579F"/>
    <w:p w14:paraId="5DFF47F8" w14:textId="77777777" w:rsidR="006F579F" w:rsidRPr="009C2CD5" w:rsidRDefault="006F579F" w:rsidP="006F579F">
      <w:pPr>
        <w:rPr>
          <w:u w:val="single"/>
        </w:rPr>
      </w:pPr>
      <w:r>
        <w:rPr>
          <w:u w:val="single"/>
        </w:rPr>
        <w:t xml:space="preserve">Via Email: </w:t>
      </w:r>
      <w:hyperlink r:id="rId9" w:history="1">
        <w:r>
          <w:rPr>
            <w:rStyle w:val="Hyperlink"/>
          </w:rPr>
          <w:t>DPH.DON@MassMail.State.MA.US</w:t>
        </w:r>
      </w:hyperlink>
      <w:bookmarkStart w:id="0" w:name="_GoBack"/>
      <w:bookmarkEnd w:id="0"/>
    </w:p>
    <w:p w14:paraId="2578DAA0" w14:textId="77777777" w:rsidR="006F579F" w:rsidRPr="0041665D" w:rsidRDefault="006F579F" w:rsidP="006F579F">
      <w:r w:rsidRPr="0041665D">
        <w:t>Lara Szent-Gyorgyi, MPA</w:t>
      </w:r>
    </w:p>
    <w:p w14:paraId="2867E453" w14:textId="77777777" w:rsidR="006F579F" w:rsidRPr="0041665D" w:rsidRDefault="006F579F" w:rsidP="006F579F">
      <w:r w:rsidRPr="0041665D">
        <w:t>Director, Determination of Need Program</w:t>
      </w:r>
    </w:p>
    <w:p w14:paraId="34AF0078" w14:textId="77777777" w:rsidR="006F579F" w:rsidRPr="0041665D" w:rsidRDefault="006F579F" w:rsidP="006F579F">
      <w:r w:rsidRPr="0041665D">
        <w:t>Department of Public Health</w:t>
      </w:r>
    </w:p>
    <w:p w14:paraId="38B1DDE7" w14:textId="77777777" w:rsidR="006F579F" w:rsidRPr="0041665D" w:rsidRDefault="006F579F" w:rsidP="006F579F">
      <w:r w:rsidRPr="0041665D">
        <w:t>67 Forest Street</w:t>
      </w:r>
    </w:p>
    <w:p w14:paraId="1A9AA663" w14:textId="77777777" w:rsidR="006F579F" w:rsidRPr="0041665D" w:rsidRDefault="006F579F" w:rsidP="006F579F">
      <w:r w:rsidRPr="0041665D">
        <w:t>Marlborough, MA 01752</w:t>
      </w:r>
    </w:p>
    <w:p w14:paraId="39EDD1AC" w14:textId="77777777" w:rsidR="006F579F" w:rsidRPr="0041665D" w:rsidRDefault="006F579F" w:rsidP="006F579F"/>
    <w:p w14:paraId="739185AE" w14:textId="77777777" w:rsidR="006F579F" w:rsidRPr="00BD6E50" w:rsidRDefault="006F579F" w:rsidP="006F579F">
      <w:pPr>
        <w:ind w:left="720"/>
        <w:rPr>
          <w:u w:val="single"/>
        </w:rPr>
      </w:pPr>
      <w:r w:rsidRPr="00BD6E50">
        <w:t xml:space="preserve">Re: </w:t>
      </w:r>
      <w:r w:rsidRPr="00BD6E50">
        <w:rPr>
          <w:u w:val="single"/>
        </w:rPr>
        <w:t>Application No. MGB-20121716-HE Independent Cost-Analysis</w:t>
      </w:r>
    </w:p>
    <w:p w14:paraId="30C24804" w14:textId="77777777" w:rsidR="006F579F" w:rsidRPr="0041665D" w:rsidRDefault="006F579F" w:rsidP="006F579F">
      <w:pPr>
        <w:ind w:left="720"/>
        <w:rPr>
          <w:u w:val="single"/>
        </w:rPr>
      </w:pPr>
    </w:p>
    <w:p w14:paraId="7B1D25D9" w14:textId="77777777" w:rsidR="006F579F" w:rsidRDefault="006F579F" w:rsidP="006F579F"/>
    <w:p w14:paraId="28519932" w14:textId="2311C0C6" w:rsidR="006F579F" w:rsidRPr="0041665D" w:rsidRDefault="006F579F" w:rsidP="006F579F">
      <w:r>
        <w:t xml:space="preserve">Dear </w:t>
      </w:r>
      <w:r w:rsidRPr="0041665D">
        <w:t>Director Szent-Gyorgyi:</w:t>
      </w:r>
    </w:p>
    <w:p w14:paraId="5D6EE18A" w14:textId="77777777" w:rsidR="006F579F" w:rsidRPr="0041665D" w:rsidRDefault="006F579F" w:rsidP="006F579F"/>
    <w:p w14:paraId="01CF44D3" w14:textId="77777777" w:rsidR="006F579F" w:rsidRPr="00D637BA" w:rsidRDefault="006F579F" w:rsidP="006F579F">
      <w:pPr>
        <w:rPr>
          <w:u w:val="single"/>
        </w:rPr>
      </w:pPr>
      <w:r w:rsidRPr="0041665D">
        <w:t>Mass General Brigham Incorporated (“MGB” or “Applicant”) is hereby providing written comments with respect to the independent cost analysis (“ICA”) that was prepared as required by the Department of Public Health</w:t>
      </w:r>
      <w:r>
        <w:t>’s</w:t>
      </w:r>
      <w:r w:rsidRPr="0041665D">
        <w:t xml:space="preserve"> (“</w:t>
      </w:r>
      <w:r>
        <w:t>Department</w:t>
      </w:r>
      <w:r w:rsidRPr="0041665D">
        <w:t xml:space="preserve">”) </w:t>
      </w:r>
      <w:r w:rsidRPr="004D4744">
        <w:t>Determination of Need (“</w:t>
      </w:r>
      <w:proofErr w:type="spellStart"/>
      <w:r w:rsidRPr="004D4744">
        <w:t>DoN</w:t>
      </w:r>
      <w:proofErr w:type="spellEnd"/>
      <w:r w:rsidRPr="004D4744">
        <w:t>”)</w:t>
      </w:r>
      <w:r w:rsidRPr="0041665D">
        <w:t xml:space="preserve"> Program</w:t>
      </w:r>
      <w:r>
        <w:t xml:space="preserve"> with respect to the above captioned </w:t>
      </w:r>
      <w:proofErr w:type="spellStart"/>
      <w:r>
        <w:t>DoN</w:t>
      </w:r>
      <w:proofErr w:type="spellEnd"/>
      <w:r>
        <w:t xml:space="preserve"> </w:t>
      </w:r>
      <w:r w:rsidRPr="004D4744">
        <w:t>application</w:t>
      </w:r>
      <w:r w:rsidRPr="00ED641C">
        <w:t xml:space="preserve"> </w:t>
      </w:r>
      <w:r w:rsidRPr="00D637BA">
        <w:t xml:space="preserve">for </w:t>
      </w:r>
      <w:r>
        <w:t>Brigham and Women’s Faulkner Hospital</w:t>
      </w:r>
      <w:r w:rsidRPr="00D637BA">
        <w:t xml:space="preserve"> (“</w:t>
      </w:r>
      <w:r>
        <w:t>BWF</w:t>
      </w:r>
      <w:r w:rsidRPr="00D637BA">
        <w:t>H</w:t>
      </w:r>
      <w:proofErr w:type="gramStart"/>
      <w:r w:rsidRPr="00D637BA">
        <w:t>”)(</w:t>
      </w:r>
      <w:proofErr w:type="gramEnd"/>
      <w:r w:rsidRPr="00D637BA">
        <w:t>“Application”).</w:t>
      </w:r>
      <w:r w:rsidRPr="0041665D">
        <w:t xml:space="preserve"> </w:t>
      </w:r>
      <w:r>
        <w:t>Consistent with the Department’s regulations, the</w:t>
      </w:r>
      <w:r w:rsidRPr="0041665D">
        <w:t xml:space="preserve"> Department determined the scope of the ICA to be completed </w:t>
      </w:r>
      <w:proofErr w:type="gramStart"/>
      <w:r w:rsidRPr="0041665D">
        <w:t>in order to</w:t>
      </w:r>
      <w:proofErr w:type="gramEnd"/>
      <w:r w:rsidRPr="0041665D">
        <w:t xml:space="preserve"> conclude whether the proposed project is consistent with </w:t>
      </w:r>
      <w:r>
        <w:t>t</w:t>
      </w:r>
      <w:r w:rsidRPr="0041665D">
        <w:t>he Commonwealth’s health care cost containment goals. As part of this analysis, the independent economist</w:t>
      </w:r>
      <w:r>
        <w:t xml:space="preserve"> approved by the Department</w:t>
      </w:r>
      <w:r w:rsidRPr="0041665D">
        <w:t xml:space="preserve">, Charles River Associates was also required to evaluate the Applicant’s calculation of need for the proposed project. </w:t>
      </w:r>
    </w:p>
    <w:p w14:paraId="07901664" w14:textId="77777777" w:rsidR="006F579F" w:rsidRPr="0041665D" w:rsidRDefault="006F579F" w:rsidP="006F579F"/>
    <w:p w14:paraId="3DB7B599" w14:textId="77777777" w:rsidR="006F579F" w:rsidRPr="0041665D" w:rsidRDefault="006F579F" w:rsidP="006F579F">
      <w:r w:rsidRPr="0041665D">
        <w:t>For the following reasons, the ICA findings support the conclusion that the proposed project is not only consistent with health care cost containment goals, but also found that the Applicant’s analysis demonstrates that</w:t>
      </w:r>
      <w:r>
        <w:t xml:space="preserve"> there is demand for</w:t>
      </w:r>
      <w:r w:rsidRPr="0041665D">
        <w:t xml:space="preserve"> the proposed project</w:t>
      </w:r>
      <w:r>
        <w:t>:</w:t>
      </w:r>
      <w:r w:rsidRPr="0041665D">
        <w:t xml:space="preserve"> </w:t>
      </w:r>
    </w:p>
    <w:p w14:paraId="4BBE930D" w14:textId="77777777" w:rsidR="006F579F" w:rsidRPr="0041665D" w:rsidRDefault="006F579F" w:rsidP="006F579F"/>
    <w:p w14:paraId="691C3A87" w14:textId="77777777" w:rsidR="006F579F" w:rsidRDefault="006F579F" w:rsidP="006F579F">
      <w:pPr>
        <w:pStyle w:val="ListParagraph"/>
        <w:numPr>
          <w:ilvl w:val="0"/>
          <w:numId w:val="10"/>
        </w:numPr>
      </w:pPr>
      <w:r w:rsidRPr="000D1D80">
        <w:t xml:space="preserve">Demand for the services in the proposed project is projected to continue to increase over the next decade due to projected population growth for the service area and significant aging of the population. </w:t>
      </w:r>
    </w:p>
    <w:p w14:paraId="7AFE40F4" w14:textId="77777777" w:rsidR="006F579F" w:rsidRPr="000D1D80" w:rsidRDefault="006F579F" w:rsidP="006F579F">
      <w:pPr>
        <w:pStyle w:val="ListParagraph"/>
        <w:numPr>
          <w:ilvl w:val="0"/>
          <w:numId w:val="10"/>
        </w:numPr>
      </w:pPr>
      <w:r w:rsidRPr="000D1D80">
        <w:t>MGB’s “shares associated with the proposed project are modest and unlikely to meaningfully change the system’s bargaining leverage with health insurers.”</w:t>
      </w:r>
    </w:p>
    <w:p w14:paraId="070ED0C6" w14:textId="77777777" w:rsidR="006F579F" w:rsidRDefault="006F579F" w:rsidP="006F579F">
      <w:pPr>
        <w:pStyle w:val="ListParagraph"/>
        <w:numPr>
          <w:ilvl w:val="0"/>
          <w:numId w:val="10"/>
        </w:numPr>
      </w:pPr>
      <w:r w:rsidRPr="0041665D">
        <w:lastRenderedPageBreak/>
        <w:t xml:space="preserve">Allowing </w:t>
      </w:r>
      <w:r>
        <w:t xml:space="preserve">hospitals to expand lowers healthcare prices and reduces expenditures on health care services. </w:t>
      </w:r>
    </w:p>
    <w:p w14:paraId="5E6BE06B" w14:textId="77777777" w:rsidR="006F579F" w:rsidRPr="00435331" w:rsidRDefault="006F579F" w:rsidP="006F579F">
      <w:pPr>
        <w:pStyle w:val="ListParagraph"/>
        <w:numPr>
          <w:ilvl w:val="0"/>
          <w:numId w:val="10"/>
        </w:numPr>
      </w:pPr>
      <w:r w:rsidRPr="00435331">
        <w:t>The proposed project overall will decrease health care expenditures across all service lines in the project.</w:t>
      </w:r>
    </w:p>
    <w:p w14:paraId="6B8D5451" w14:textId="77777777" w:rsidR="006F579F" w:rsidRDefault="006F579F" w:rsidP="006F579F"/>
    <w:p w14:paraId="27E89366" w14:textId="77777777" w:rsidR="006F579F" w:rsidRDefault="006F579F" w:rsidP="006F579F">
      <w:r>
        <w:t xml:space="preserve">The Applicant also takes this opportunity to reiterate the need for the proposed project despite the Health Policy Commission’s (“HPC”) assertions that its own analysis should be considered in place of the ICA that was required and accepted by the Department.  While the Department must consider the HPC’s comments, it also must not give those comments greater weight than Department’s own analysis of the </w:t>
      </w:r>
      <w:proofErr w:type="spellStart"/>
      <w:r>
        <w:t>DoN</w:t>
      </w:r>
      <w:proofErr w:type="spellEnd"/>
      <w:r>
        <w:t xml:space="preserve"> Application and the ICA it required. The ICA answered the Department’s questions. While the HPC is critical of the ICA, the Department must be mindful that HPC’s comments are provided in a vacuum and do not balance </w:t>
      </w:r>
      <w:proofErr w:type="gramStart"/>
      <w:r>
        <w:t>all of</w:t>
      </w:r>
      <w:proofErr w:type="gramEnd"/>
      <w:r>
        <w:t xml:space="preserve"> the factors that the Department must review, including access, quality, outcomes and health equity.  Moreover, the HPC conclusions are based on unsubstantiated assumptions designed to inflame the public discourse regarding the proposed project and MGB overall. </w:t>
      </w:r>
    </w:p>
    <w:p w14:paraId="206B8028" w14:textId="77777777" w:rsidR="006F579F" w:rsidRDefault="006F579F" w:rsidP="006F579F"/>
    <w:p w14:paraId="572038AD" w14:textId="77777777" w:rsidR="006F579F" w:rsidRDefault="006F579F" w:rsidP="006F579F">
      <w:r>
        <w:t xml:space="preserve">The HPC’s conclusions are blind to the current state of the health care system in Massachusetts as it relates to the need for additional inpatient beds. Each day, all hospitals collectively meet with DPH to discuss where there is bed capacity in the state. Each day, there are little to no available beds.  Had community hospitals, such as BWFH, had more beds, most patients who are now being boarded in hallways would be admitted to an inpatient bed in a timely manner. Instead, due to lack of beds, care is being delayed and ultimately may lead to poorer outcomes and increased costs to care for the patient.  BWFH’s plan to add inpatient capacity will meet future demand as the Commonwealth cannot risk being in the position of having inadequate inpatient capacity as the population ages and more residents require inpatient care. </w:t>
      </w:r>
    </w:p>
    <w:p w14:paraId="0A2B1CE4" w14:textId="77777777" w:rsidR="006F579F" w:rsidRDefault="006F579F" w:rsidP="006F579F"/>
    <w:p w14:paraId="33001AB7" w14:textId="77777777" w:rsidR="006F579F" w:rsidRDefault="006F579F" w:rsidP="006F579F">
      <w:r>
        <w:t xml:space="preserve">The HPC’s analysis was designed to reach its predetermined conclusion that patients should not have a choice with respect to their own health care if the costs of such care may be higher than that offered by another provider. The HPC arrives it its conclusion by ignoring data indicating that there is demand for additional services at BWFH.  BWFH fulfilled the </w:t>
      </w:r>
      <w:proofErr w:type="spellStart"/>
      <w:r>
        <w:t>DoN</w:t>
      </w:r>
      <w:proofErr w:type="spellEnd"/>
      <w:r>
        <w:t xml:space="preserve"> requirement to demonstrate the need for the project based on patient panel demand. The </w:t>
      </w:r>
      <w:proofErr w:type="spellStart"/>
      <w:r>
        <w:t>DoN</w:t>
      </w:r>
      <w:proofErr w:type="spellEnd"/>
      <w:r>
        <w:t xml:space="preserve"> factors of review do not require any Applicant to provide an analysis of capacity outside of its own system. Furthermore, the regulations also do not require the Department to consider potential impacts of a </w:t>
      </w:r>
      <w:proofErr w:type="gramStart"/>
      <w:r>
        <w:t>particular project</w:t>
      </w:r>
      <w:proofErr w:type="gramEnd"/>
      <w:r>
        <w:t xml:space="preserve"> on other providers.  These standards should not be imposed on the proposed project just because the Applicant is MGB. </w:t>
      </w:r>
    </w:p>
    <w:p w14:paraId="260DA7B0" w14:textId="77777777" w:rsidR="006F579F" w:rsidRDefault="006F579F" w:rsidP="006F579F"/>
    <w:p w14:paraId="74E6D02B" w14:textId="77777777" w:rsidR="006F579F" w:rsidRDefault="006F579F" w:rsidP="006F579F">
      <w:r>
        <w:t xml:space="preserve">DPH must consider these projects based upon the regulatory framework under which it must determine if a project is needed. No one single factor should be given more weight to the detriment of patient access and public health outcomes. The Applicant, through its Application and responses to the Department’s comprehensive questions, has demonstrated that the proposed project is needed to serve its patient panel. This conclusion is further supported by the ICA. </w:t>
      </w:r>
    </w:p>
    <w:p w14:paraId="55CCFB87" w14:textId="77777777" w:rsidR="006F579F" w:rsidRDefault="006F579F" w:rsidP="006F579F"/>
    <w:p w14:paraId="33DA5843" w14:textId="77777777" w:rsidR="006F579F" w:rsidRDefault="006F579F" w:rsidP="006F579F">
      <w:r>
        <w:t xml:space="preserve">The Department must find that that the proposed project has met the </w:t>
      </w:r>
      <w:proofErr w:type="spellStart"/>
      <w:r>
        <w:t>DoN</w:t>
      </w:r>
      <w:proofErr w:type="spellEnd"/>
      <w:r>
        <w:t xml:space="preserve"> factors of review and approve MGB’s Application to improve and expand services at BWFH to operate as a full-service community hospital. The requested additional beds will allow clinically appropriate </w:t>
      </w:r>
      <w:r>
        <w:lastRenderedPageBreak/>
        <w:t xml:space="preserve">patients to be cared for in the community hospital setting. The addition of an advanced endoscopy room and 3T MRI will ensure that all patients have access to these basic hospital services. More specifically, the additional MRI is a prudent investment to ensure that patients have continuous access to MRI in the event its existing only MRI unit requires maintenance or repair, which does indeed occur too frequently.  To that end, the proposed project must be approved to ensure access and continuity of care for patients in a lower cost setting. </w:t>
      </w:r>
    </w:p>
    <w:p w14:paraId="5A78E398" w14:textId="77777777" w:rsidR="006F579F" w:rsidRDefault="006F579F" w:rsidP="006F579F"/>
    <w:p w14:paraId="6AC03594" w14:textId="77777777" w:rsidR="006F579F" w:rsidRDefault="006F579F" w:rsidP="006F579F">
      <w:r>
        <w:t xml:space="preserve">We urge the Department’s favorable and timely action to allow the project to move forward. We appreciate the </w:t>
      </w:r>
      <w:proofErr w:type="spellStart"/>
      <w:r>
        <w:t>DoN</w:t>
      </w:r>
      <w:proofErr w:type="spellEnd"/>
      <w:r>
        <w:t xml:space="preserve"> Program’s time and thoughtful review of the Application.</w:t>
      </w:r>
    </w:p>
    <w:p w14:paraId="6AD4562A" w14:textId="77777777" w:rsidR="006F579F" w:rsidRDefault="006F579F" w:rsidP="006F579F"/>
    <w:p w14:paraId="6EFA7C92" w14:textId="77777777" w:rsidR="006F579F" w:rsidRDefault="006F579F" w:rsidP="006F579F">
      <w:r>
        <w:t>Sincerely,</w:t>
      </w:r>
    </w:p>
    <w:p w14:paraId="1A89DBDC" w14:textId="77777777" w:rsidR="006F579F" w:rsidRDefault="006F579F" w:rsidP="006F579F"/>
    <w:p w14:paraId="35C45346" w14:textId="3069653F" w:rsidR="006F579F" w:rsidRDefault="00721B7C" w:rsidP="006F579F">
      <w:r>
        <w:rPr>
          <w:noProof/>
        </w:rPr>
        <w:t>&lt;signature on file&gt;</w:t>
      </w:r>
    </w:p>
    <w:p w14:paraId="47BB81CA" w14:textId="77777777" w:rsidR="006F579F" w:rsidRDefault="006F579F" w:rsidP="006F579F"/>
    <w:p w14:paraId="7F6F08A8" w14:textId="6A9AE7DB" w:rsidR="006F579F" w:rsidRDefault="006F579F" w:rsidP="006F579F">
      <w:r>
        <w:t xml:space="preserve">David </w:t>
      </w:r>
      <w:r w:rsidR="00B10278">
        <w:t xml:space="preserve">O. </w:t>
      </w:r>
      <w:r>
        <w:t>McCready</w:t>
      </w:r>
    </w:p>
    <w:p w14:paraId="61AC12E9" w14:textId="77777777" w:rsidR="006F579F" w:rsidRDefault="006F579F" w:rsidP="006F579F">
      <w:r>
        <w:t>President, Brigham and Women’s Faulkner Hospital</w:t>
      </w:r>
    </w:p>
    <w:p w14:paraId="215E547B" w14:textId="77777777" w:rsidR="006F579F" w:rsidRDefault="006F579F" w:rsidP="006F579F"/>
    <w:p w14:paraId="3ADBB260" w14:textId="77777777" w:rsidR="006F579F" w:rsidRDefault="006F579F" w:rsidP="006F579F"/>
    <w:p w14:paraId="1956CF7D" w14:textId="77777777" w:rsidR="006F579F" w:rsidRDefault="006F579F" w:rsidP="006F579F">
      <w:r>
        <w:t xml:space="preserve">cc: </w:t>
      </w:r>
      <w:r>
        <w:tab/>
        <w:t>R. Rodman, Esq.</w:t>
      </w:r>
    </w:p>
    <w:p w14:paraId="3262B43F" w14:textId="77777777" w:rsidR="006F579F" w:rsidRDefault="006F579F" w:rsidP="006F579F">
      <w:pPr>
        <w:ind w:firstLine="720"/>
      </w:pPr>
      <w:r>
        <w:t>T. McNamara</w:t>
      </w:r>
    </w:p>
    <w:p w14:paraId="158FC312" w14:textId="6CC935AE" w:rsidR="00A7770A" w:rsidRDefault="006F579F" w:rsidP="00E93314">
      <w:pPr>
        <w:ind w:firstLine="720"/>
      </w:pPr>
      <w:r>
        <w:t>E. Kelley</w:t>
      </w:r>
    </w:p>
    <w:p w14:paraId="4A832761" w14:textId="30FDAF6C" w:rsidR="00A7770A" w:rsidRDefault="00A7770A" w:rsidP="00FB61E7"/>
    <w:sectPr w:rsidR="00A7770A" w:rsidSect="00B31BCF">
      <w:headerReference w:type="default" r:id="rId10"/>
      <w:footerReference w:type="default" r:id="rId11"/>
      <w:headerReference w:type="first" r:id="rId12"/>
      <w:footerReference w:type="first" r:id="rId13"/>
      <w:pgSz w:w="12240" w:h="15840"/>
      <w:pgMar w:top="1170" w:right="1440" w:bottom="1440" w:left="1440" w:header="116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EB90F" w14:textId="77777777" w:rsidR="00073C23" w:rsidRDefault="00073C23" w:rsidP="00734C1C">
      <w:r>
        <w:separator/>
      </w:r>
    </w:p>
  </w:endnote>
  <w:endnote w:type="continuationSeparator" w:id="0">
    <w:p w14:paraId="7C451C7C" w14:textId="77777777" w:rsidR="00073C23" w:rsidRDefault="00073C23" w:rsidP="0073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AC38E" w14:textId="3C6A9CBC" w:rsidR="003234D9" w:rsidRDefault="004D3DE3" w:rsidP="00E51301">
    <w:pPr>
      <w:tabs>
        <w:tab w:val="right" w:pos="10350"/>
      </w:tabs>
      <w:rPr>
        <w:rFonts w:ascii="Book Antiqua" w:hAnsi="Book Antiqua"/>
        <w:color w:val="000000" w:themeColor="text1"/>
        <w:sz w:val="18"/>
        <w:szCs w:val="18"/>
      </w:rPr>
    </w:pPr>
    <w:r w:rsidRPr="004D3DE3">
      <w:rPr>
        <w:rFonts w:ascii="Book Antiqua" w:hAnsi="Book Antiqua"/>
        <w:noProof/>
        <w:color w:val="000000" w:themeColor="text1"/>
        <w:sz w:val="16"/>
        <w:szCs w:val="16"/>
      </w:rPr>
      <w:drawing>
        <wp:inline distT="0" distB="0" distL="0" distR="0" wp14:anchorId="52FF2707" wp14:editId="21221D26">
          <wp:extent cx="251460" cy="344805"/>
          <wp:effectExtent l="0" t="0" r="0" b="0"/>
          <wp:docPr id="1" name="Graphic 41" descr="Mass General Brigham Brigham and Women's Faulkner Hosptial logo" title="Mass General Brigham Brigham and Women's Faulkner Hosptial logo">
            <a:extLst xmlns:a="http://schemas.openxmlformats.org/drawingml/2006/main">
              <a:ext uri="{FF2B5EF4-FFF2-40B4-BE49-F238E27FC236}">
                <a16:creationId xmlns:a16="http://schemas.microsoft.com/office/drawing/2014/main" id="{D40E65D4-0B0A-FF40-8007-5D9E4DC5D0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1">
                    <a:extLst>
                      <a:ext uri="{FF2B5EF4-FFF2-40B4-BE49-F238E27FC236}">
                        <a16:creationId xmlns:a16="http://schemas.microsoft.com/office/drawing/2014/main" id="{D40E65D4-0B0A-FF40-8007-5D9E4DC5D06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89889"/>
                  <a:stretch>
                    <a:fillRect/>
                  </a:stretch>
                </pic:blipFill>
                <pic:spPr>
                  <a:xfrm>
                    <a:off x="0" y="0"/>
                    <a:ext cx="251460" cy="344805"/>
                  </a:xfrm>
                  <a:custGeom>
                    <a:avLst/>
                    <a:gdLst>
                      <a:gd name="connsiteX0" fmla="*/ 0 w 251703"/>
                      <a:gd name="connsiteY0" fmla="*/ 0 h 345186"/>
                      <a:gd name="connsiteX1" fmla="*/ 251703 w 251703"/>
                      <a:gd name="connsiteY1" fmla="*/ 0 h 345186"/>
                      <a:gd name="connsiteX2" fmla="*/ 251703 w 251703"/>
                      <a:gd name="connsiteY2" fmla="*/ 345186 h 345186"/>
                      <a:gd name="connsiteX3" fmla="*/ 0 w 251703"/>
                      <a:gd name="connsiteY3" fmla="*/ 345186 h 345186"/>
                    </a:gdLst>
                    <a:ahLst/>
                    <a:cxnLst>
                      <a:cxn ang="0">
                        <a:pos x="connsiteX0" y="connsiteY0"/>
                      </a:cxn>
                      <a:cxn ang="0">
                        <a:pos x="connsiteX1" y="connsiteY1"/>
                      </a:cxn>
                      <a:cxn ang="0">
                        <a:pos x="connsiteX2" y="connsiteY2"/>
                      </a:cxn>
                      <a:cxn ang="0">
                        <a:pos x="connsiteX3" y="connsiteY3"/>
                      </a:cxn>
                    </a:cxnLst>
                    <a:rect l="l" t="t" r="r" b="b"/>
                    <a:pathLst>
                      <a:path w="251703" h="345186">
                        <a:moveTo>
                          <a:pt x="0" y="0"/>
                        </a:moveTo>
                        <a:lnTo>
                          <a:pt x="251703" y="0"/>
                        </a:lnTo>
                        <a:lnTo>
                          <a:pt x="251703" y="345186"/>
                        </a:lnTo>
                        <a:lnTo>
                          <a:pt x="0" y="345186"/>
                        </a:lnTo>
                        <a:close/>
                      </a:path>
                    </a:pathLst>
                  </a:cu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17F6C" w14:textId="01BDC9DE" w:rsidR="00E51301" w:rsidRDefault="00E51301" w:rsidP="003234D9">
    <w:pPr>
      <w:tabs>
        <w:tab w:val="right" w:pos="10350"/>
      </w:tabs>
      <w:ind w:left="180"/>
      <w:jc w:val="right"/>
      <w:rPr>
        <w:rFonts w:ascii="Book Antiqua" w:hAnsi="Book Antiqua"/>
        <w:color w:val="000000" w:themeColor="text1"/>
        <w:sz w:val="18"/>
        <w:szCs w:val="18"/>
      </w:rPr>
    </w:pPr>
  </w:p>
  <w:p w14:paraId="5749165D" w14:textId="68F5E7C4" w:rsidR="003234D9" w:rsidRPr="00E51301" w:rsidRDefault="004D3DE3" w:rsidP="003234D9">
    <w:pPr>
      <w:tabs>
        <w:tab w:val="right" w:pos="10350"/>
      </w:tabs>
      <w:ind w:left="180"/>
      <w:jc w:val="right"/>
      <w:rPr>
        <w:rFonts w:ascii="Book Antiqua" w:hAnsi="Book Antiqua"/>
        <w:color w:val="000000" w:themeColor="text1"/>
        <w:sz w:val="16"/>
        <w:szCs w:val="16"/>
      </w:rPr>
    </w:pPr>
    <w:r w:rsidRPr="004D3DE3">
      <w:rPr>
        <w:rFonts w:ascii="Book Antiqua" w:hAnsi="Book Antiqua"/>
        <w:noProof/>
        <w:color w:val="000000" w:themeColor="text1"/>
        <w:sz w:val="16"/>
        <w:szCs w:val="16"/>
      </w:rPr>
      <w:drawing>
        <wp:inline distT="0" distB="0" distL="0" distR="0" wp14:anchorId="59AA94A4" wp14:editId="4A90EAF6">
          <wp:extent cx="251460" cy="344805"/>
          <wp:effectExtent l="0" t="0" r="0" b="0"/>
          <wp:docPr id="42" name="Graphic 41" descr="Mass General Brigham Brigham and Women's Faulkner Hospital logo" title="Mass General Brigham Brigham and Women's Faulkner Hospital logo">
            <a:extLst xmlns:a="http://schemas.openxmlformats.org/drawingml/2006/main">
              <a:ext uri="{FF2B5EF4-FFF2-40B4-BE49-F238E27FC236}">
                <a16:creationId xmlns:a16="http://schemas.microsoft.com/office/drawing/2014/main" id="{D40E65D4-0B0A-FF40-8007-5D9E4DC5D0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1">
                    <a:extLst>
                      <a:ext uri="{FF2B5EF4-FFF2-40B4-BE49-F238E27FC236}">
                        <a16:creationId xmlns:a16="http://schemas.microsoft.com/office/drawing/2014/main" id="{D40E65D4-0B0A-FF40-8007-5D9E4DC5D06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89889"/>
                  <a:stretch>
                    <a:fillRect/>
                  </a:stretch>
                </pic:blipFill>
                <pic:spPr>
                  <a:xfrm>
                    <a:off x="0" y="0"/>
                    <a:ext cx="251460" cy="344805"/>
                  </a:xfrm>
                  <a:custGeom>
                    <a:avLst/>
                    <a:gdLst>
                      <a:gd name="connsiteX0" fmla="*/ 0 w 251703"/>
                      <a:gd name="connsiteY0" fmla="*/ 0 h 345186"/>
                      <a:gd name="connsiteX1" fmla="*/ 251703 w 251703"/>
                      <a:gd name="connsiteY1" fmla="*/ 0 h 345186"/>
                      <a:gd name="connsiteX2" fmla="*/ 251703 w 251703"/>
                      <a:gd name="connsiteY2" fmla="*/ 345186 h 345186"/>
                      <a:gd name="connsiteX3" fmla="*/ 0 w 251703"/>
                      <a:gd name="connsiteY3" fmla="*/ 345186 h 345186"/>
                    </a:gdLst>
                    <a:ahLst/>
                    <a:cxnLst>
                      <a:cxn ang="0">
                        <a:pos x="connsiteX0" y="connsiteY0"/>
                      </a:cxn>
                      <a:cxn ang="0">
                        <a:pos x="connsiteX1" y="connsiteY1"/>
                      </a:cxn>
                      <a:cxn ang="0">
                        <a:pos x="connsiteX2" y="connsiteY2"/>
                      </a:cxn>
                      <a:cxn ang="0">
                        <a:pos x="connsiteX3" y="connsiteY3"/>
                      </a:cxn>
                    </a:cxnLst>
                    <a:rect l="l" t="t" r="r" b="b"/>
                    <a:pathLst>
                      <a:path w="251703" h="345186">
                        <a:moveTo>
                          <a:pt x="0" y="0"/>
                        </a:moveTo>
                        <a:lnTo>
                          <a:pt x="251703" y="0"/>
                        </a:lnTo>
                        <a:lnTo>
                          <a:pt x="251703" y="345186"/>
                        </a:lnTo>
                        <a:lnTo>
                          <a:pt x="0" y="345186"/>
                        </a:lnTo>
                        <a:close/>
                      </a:path>
                    </a:pathLst>
                  </a:custGeom>
                </pic:spPr>
              </pic:pic>
            </a:graphicData>
          </a:graphic>
        </wp:inline>
      </w:drawing>
    </w:r>
    <w:r w:rsidR="003234D9" w:rsidRPr="00E51301">
      <w:rPr>
        <w:rFonts w:ascii="Book Antiqua" w:hAnsi="Book Antiqua"/>
        <w:color w:val="000000" w:themeColor="text1"/>
        <w:sz w:val="16"/>
        <w:szCs w:val="16"/>
      </w:rPr>
      <w:t>Brigham and Women’s Faulkner Hospital</w:t>
    </w:r>
  </w:p>
  <w:p w14:paraId="0678D542" w14:textId="615D79D4" w:rsidR="003234D9" w:rsidRPr="00E51301" w:rsidRDefault="003234D9" w:rsidP="003234D9">
    <w:pPr>
      <w:tabs>
        <w:tab w:val="right" w:pos="10350"/>
      </w:tabs>
      <w:ind w:left="180"/>
      <w:jc w:val="right"/>
      <w:rPr>
        <w:rFonts w:ascii="Book Antiqua" w:hAnsi="Book Antiqua"/>
        <w:color w:val="000000" w:themeColor="text1"/>
        <w:sz w:val="16"/>
        <w:szCs w:val="16"/>
      </w:rPr>
    </w:pPr>
    <w:r w:rsidRPr="00E51301">
      <w:rPr>
        <w:rFonts w:ascii="Book Antiqua" w:hAnsi="Book Antiqua"/>
        <w:color w:val="000000" w:themeColor="text1"/>
        <w:sz w:val="16"/>
        <w:szCs w:val="16"/>
      </w:rPr>
      <w:t>1153 Centre Street Boston, MA 02130</w:t>
    </w:r>
  </w:p>
  <w:p w14:paraId="503BF811" w14:textId="2368D87F" w:rsidR="003234D9" w:rsidRPr="00E51301" w:rsidRDefault="003234D9" w:rsidP="003234D9">
    <w:pPr>
      <w:tabs>
        <w:tab w:val="right" w:pos="10350"/>
      </w:tabs>
      <w:ind w:left="180"/>
      <w:jc w:val="right"/>
      <w:rPr>
        <w:rFonts w:ascii="Book Antiqua" w:hAnsi="Book Antiqua"/>
        <w:color w:val="000000" w:themeColor="text1"/>
        <w:sz w:val="16"/>
        <w:szCs w:val="16"/>
      </w:rPr>
    </w:pPr>
    <w:r w:rsidRPr="00E51301">
      <w:rPr>
        <w:rFonts w:ascii="Book Antiqua" w:eastAsia="Calibri" w:hAnsi="Book Antiqua"/>
        <w:color w:val="000000" w:themeColor="text1"/>
        <w:sz w:val="16"/>
        <w:szCs w:val="16"/>
      </w:rPr>
      <w:t>Phone: 617 983 7400</w:t>
    </w:r>
  </w:p>
  <w:p w14:paraId="700CEF7B" w14:textId="23AC6603" w:rsidR="003234D9" w:rsidRPr="00E51301" w:rsidRDefault="003234D9" w:rsidP="003234D9">
    <w:pPr>
      <w:pStyle w:val="Footer"/>
      <w:jc w:val="right"/>
      <w:rPr>
        <w:sz w:val="16"/>
        <w:szCs w:val="16"/>
      </w:rPr>
    </w:pPr>
    <w:r w:rsidRPr="00E51301">
      <w:rPr>
        <w:rFonts w:ascii="Book Antiqua" w:eastAsia="Calibri" w:hAnsi="Book Antiqua"/>
        <w:color w:val="000000" w:themeColor="text1"/>
        <w:sz w:val="16"/>
        <w:szCs w:val="16"/>
      </w:rPr>
      <w:t>dmccready@bwh.harvard.edu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01CE2" w14:textId="77777777" w:rsidR="00073C23" w:rsidRDefault="00073C23" w:rsidP="00734C1C">
      <w:r>
        <w:separator/>
      </w:r>
    </w:p>
  </w:footnote>
  <w:footnote w:type="continuationSeparator" w:id="0">
    <w:p w14:paraId="6D194F67" w14:textId="77777777" w:rsidR="00073C23" w:rsidRDefault="00073C23" w:rsidP="00734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EF0A1" w14:textId="344ED532" w:rsidR="003234D9" w:rsidRPr="003234D9" w:rsidRDefault="003234D9">
    <w:pPr>
      <w:pStyle w:val="Header"/>
      <w:jc w:val="right"/>
      <w:rPr>
        <w:sz w:val="20"/>
        <w:szCs w:val="20"/>
      </w:rPr>
    </w:pPr>
    <w:r w:rsidRPr="003234D9">
      <w:rPr>
        <w:sz w:val="20"/>
        <w:szCs w:val="20"/>
      </w:rPr>
      <w:t xml:space="preserve">Page </w:t>
    </w:r>
    <w:sdt>
      <w:sdtPr>
        <w:rPr>
          <w:sz w:val="20"/>
          <w:szCs w:val="20"/>
        </w:rPr>
        <w:id w:val="-759377660"/>
        <w:docPartObj>
          <w:docPartGallery w:val="Page Numbers (Top of Page)"/>
          <w:docPartUnique/>
        </w:docPartObj>
      </w:sdtPr>
      <w:sdtEndPr>
        <w:rPr>
          <w:noProof/>
        </w:rPr>
      </w:sdtEndPr>
      <w:sdtContent>
        <w:r w:rsidRPr="003234D9">
          <w:rPr>
            <w:sz w:val="20"/>
            <w:szCs w:val="20"/>
          </w:rPr>
          <w:fldChar w:fldCharType="begin"/>
        </w:r>
        <w:r w:rsidRPr="003234D9">
          <w:rPr>
            <w:sz w:val="20"/>
            <w:szCs w:val="20"/>
          </w:rPr>
          <w:instrText xml:space="preserve"> PAGE   \* MERGEFORMAT </w:instrText>
        </w:r>
        <w:r w:rsidRPr="003234D9">
          <w:rPr>
            <w:sz w:val="20"/>
            <w:szCs w:val="20"/>
          </w:rPr>
          <w:fldChar w:fldCharType="separate"/>
        </w:r>
        <w:r w:rsidR="00B23C3F">
          <w:rPr>
            <w:noProof/>
            <w:sz w:val="20"/>
            <w:szCs w:val="20"/>
          </w:rPr>
          <w:t>3</w:t>
        </w:r>
        <w:r w:rsidRPr="003234D9">
          <w:rPr>
            <w:noProof/>
            <w:sz w:val="20"/>
            <w:szCs w:val="20"/>
          </w:rPr>
          <w:fldChar w:fldCharType="end"/>
        </w:r>
      </w:sdtContent>
    </w:sdt>
  </w:p>
  <w:p w14:paraId="2A64D5A4" w14:textId="330FE827" w:rsidR="00734C1C" w:rsidRDefault="00734C1C" w:rsidP="003234D9">
    <w:pPr>
      <w:pStyle w:val="Header"/>
      <w:jc w:val="center"/>
      <w:rPr>
        <w:rFonts w:ascii="Book Antiqua" w:hAnsi="Book Antiqua"/>
        <w:sz w:val="20"/>
      </w:rPr>
    </w:pPr>
  </w:p>
  <w:p w14:paraId="0449E555" w14:textId="77777777" w:rsidR="003234D9" w:rsidRDefault="003234D9" w:rsidP="003234D9">
    <w:pPr>
      <w:pStyle w:val="Header"/>
      <w:jc w:val="center"/>
      <w:rPr>
        <w:rFonts w:ascii="Book Antiqua" w:hAnsi="Book Antiqu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ED05B" w14:textId="77777777" w:rsidR="00E93314" w:rsidRDefault="00E93314"/>
  <w:p w14:paraId="1D8B3322" w14:textId="77777777" w:rsidR="00E93314" w:rsidRDefault="00E93314"/>
  <w:p w14:paraId="6AF55792" w14:textId="77777777" w:rsidR="001325E1" w:rsidRDefault="001325E1"/>
  <w:tbl>
    <w:tblPr>
      <w:tblStyle w:val="TableGrid"/>
      <w:tblW w:w="8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ass General Brigham Brigham and Women's Faulkner Hospital letterhead for David O. McCready, President"/>
      <w:tblDescription w:val="Mass General Brigham Brigham and Women's Faulkner Hospital letterhead for David O. McCready, President"/>
    </w:tblPr>
    <w:tblGrid>
      <w:gridCol w:w="665"/>
      <w:gridCol w:w="4649"/>
      <w:gridCol w:w="2915"/>
    </w:tblGrid>
    <w:tr w:rsidR="003234D9" w:rsidRPr="00E238D8" w14:paraId="797CF8D4" w14:textId="77777777" w:rsidTr="00664F73">
      <w:trPr>
        <w:gridBefore w:val="1"/>
        <w:gridAfter w:val="1"/>
        <w:wBefore w:w="665" w:type="dxa"/>
        <w:wAfter w:w="2915" w:type="dxa"/>
      </w:trPr>
      <w:tc>
        <w:tcPr>
          <w:tcW w:w="4649" w:type="dxa"/>
        </w:tcPr>
        <w:p w14:paraId="5F5275C5" w14:textId="77777777" w:rsidR="003234D9" w:rsidRPr="00E238D8" w:rsidRDefault="003234D9" w:rsidP="003234D9">
          <w:pPr>
            <w:tabs>
              <w:tab w:val="right" w:pos="3149"/>
            </w:tabs>
            <w:ind w:left="176" w:hanging="176"/>
            <w:jc w:val="center"/>
            <w:rPr>
              <w:rFonts w:ascii="Book Antiqua" w:hAnsi="Book Antiqua"/>
              <w:sz w:val="16"/>
              <w:szCs w:val="16"/>
            </w:rPr>
          </w:pPr>
        </w:p>
      </w:tc>
    </w:tr>
    <w:tr w:rsidR="003234D9" w:rsidRPr="00E238D8" w14:paraId="2BAD48CA" w14:textId="77777777" w:rsidTr="00664F73">
      <w:tc>
        <w:tcPr>
          <w:tcW w:w="8229" w:type="dxa"/>
          <w:gridSpan w:val="3"/>
        </w:tcPr>
        <w:p w14:paraId="3F9F87D0" w14:textId="77777777" w:rsidR="003234D9" w:rsidRDefault="003234D9" w:rsidP="003234D9">
          <w:pPr>
            <w:tabs>
              <w:tab w:val="right" w:pos="5575"/>
            </w:tabs>
            <w:ind w:left="180" w:hanging="180"/>
            <w:rPr>
              <w:rFonts w:ascii="Book Antiqua" w:eastAsia="Calibri" w:hAnsi="Book Antiqua"/>
              <w:b/>
              <w:color w:val="000000" w:themeColor="text1"/>
              <w:lang w:eastAsia="zh-CN"/>
            </w:rPr>
          </w:pPr>
          <w:bookmarkStart w:id="1" w:name="_Hlk62127844"/>
        </w:p>
        <w:p w14:paraId="752BE373" w14:textId="1BE92867" w:rsidR="003234D9" w:rsidRDefault="003234D9" w:rsidP="003234D9">
          <w:pPr>
            <w:tabs>
              <w:tab w:val="right" w:pos="5575"/>
            </w:tabs>
            <w:ind w:left="180" w:hanging="180"/>
            <w:rPr>
              <w:rFonts w:ascii="Book Antiqua" w:eastAsia="Calibri" w:hAnsi="Book Antiqua"/>
              <w:b/>
              <w:color w:val="000000" w:themeColor="text1"/>
              <w:lang w:eastAsia="zh-CN"/>
            </w:rPr>
          </w:pPr>
          <w:r w:rsidRPr="00E238D8">
            <w:rPr>
              <w:rFonts w:ascii="Book Antiqua" w:eastAsia="Calibri" w:hAnsi="Book Antiqua"/>
              <w:noProof/>
              <w:color w:val="000000" w:themeColor="text1"/>
              <w:sz w:val="14"/>
            </w:rPr>
            <mc:AlternateContent>
              <mc:Choice Requires="wps">
                <w:drawing>
                  <wp:inline distT="0" distB="0" distL="0" distR="0" wp14:anchorId="197C634B" wp14:editId="44C8BACF">
                    <wp:extent cx="6151418" cy="44549"/>
                    <wp:effectExtent l="0" t="0" r="20955" b="31750"/>
                    <wp:docPr id="74" name="Line 3" descr="Letterhead division line" title="Letterhead divis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418" cy="44549"/>
                            </a:xfrm>
                            <a:prstGeom prst="line">
                              <a:avLst/>
                            </a:prstGeom>
                            <a:noFill/>
                            <a:ln w="3175">
                              <a:solidFill>
                                <a:srgbClr val="0099CC"/>
                              </a:solidFill>
                              <a:round/>
                              <a:headEnd/>
                              <a:tailEnd/>
                            </a:ln>
                            <a:extLst>
                              <a:ext uri="{909E8E84-426E-40dd-AFC4-6F175D3DCCD1}">
                                <a14:hiddenFill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inline>
                </w:drawing>
              </mc:Choice>
              <mc:Fallback>
                <w:pict>
                  <v:line w14:anchorId="6EABF249" id="Line 3" o:spid="_x0000_s1026" alt="Title: Letterhead division line - Description: Letterhead division line" style="visibility:visible;mso-wrap-style:square;mso-left-percent:-10001;mso-top-percent:-10001;mso-position-horizontal:absolute;mso-position-horizontal-relative:char;mso-position-vertical:absolute;mso-position-vertical-relative:line;mso-left-percent:-10001;mso-top-percent:-10001" from="0,0" to="48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" strokecolor="#09c" strokeweight=".25pt">
                    <w10:anchorlock/>
                  </v:line>
                </w:pict>
              </mc:Fallback>
            </mc:AlternateContent>
          </w:r>
        </w:p>
        <w:p w14:paraId="4A62DD4B" w14:textId="2FC1BC46" w:rsidR="003234D9" w:rsidRPr="00C31BDA" w:rsidRDefault="003234D9" w:rsidP="003234D9">
          <w:pPr>
            <w:tabs>
              <w:tab w:val="right" w:pos="5575"/>
            </w:tabs>
            <w:ind w:left="180" w:hanging="180"/>
            <w:rPr>
              <w:rFonts w:ascii="Book Antiqua" w:eastAsia="Calibri" w:hAnsi="Book Antiqua"/>
              <w:color w:val="000000" w:themeColor="text1"/>
            </w:rPr>
          </w:pPr>
          <w:r w:rsidRPr="00C31BDA">
            <w:rPr>
              <w:rFonts w:ascii="Book Antiqua" w:eastAsia="Calibri" w:hAnsi="Book Antiqua"/>
              <w:b/>
              <w:color w:val="000000" w:themeColor="text1"/>
              <w:lang w:eastAsia="zh-CN"/>
            </w:rPr>
            <w:t>David O. McCready</w:t>
          </w:r>
          <w:r>
            <w:rPr>
              <w:rFonts w:ascii="Book Antiqua" w:eastAsia="Calibri" w:hAnsi="Book Antiqua"/>
              <w:b/>
              <w:color w:val="000000" w:themeColor="text1"/>
              <w:lang w:eastAsia="zh-CN"/>
            </w:rPr>
            <w:tab/>
          </w:r>
        </w:p>
        <w:p w14:paraId="4DD05EE3" w14:textId="77777777" w:rsidR="003234D9" w:rsidRPr="00C31BDA" w:rsidRDefault="003234D9" w:rsidP="003234D9">
          <w:pPr>
            <w:tabs>
              <w:tab w:val="right" w:pos="10350"/>
            </w:tabs>
            <w:ind w:left="180" w:hanging="180"/>
            <w:rPr>
              <w:rFonts w:ascii="Book Antiqua" w:hAnsi="Book Antiqua"/>
              <w:color w:val="000000" w:themeColor="text1"/>
            </w:rPr>
          </w:pPr>
          <w:r w:rsidRPr="00C31BDA">
            <w:rPr>
              <w:rFonts w:ascii="Book Antiqua" w:eastAsia="Calibri" w:hAnsi="Book Antiqua"/>
              <w:color w:val="000000" w:themeColor="text1"/>
            </w:rPr>
            <w:t>President</w:t>
          </w:r>
        </w:p>
        <w:bookmarkEnd w:id="1"/>
        <w:p w14:paraId="4DD4FFBC" w14:textId="77777777" w:rsidR="003234D9" w:rsidRPr="00E238D8" w:rsidRDefault="003234D9" w:rsidP="003234D9">
          <w:pPr>
            <w:tabs>
              <w:tab w:val="right" w:pos="10350"/>
            </w:tabs>
            <w:ind w:left="90"/>
            <w:rPr>
              <w:rFonts w:ascii="Book Antiqua" w:hAnsi="Book Antiqua"/>
              <w:color w:val="000000" w:themeColor="text1"/>
              <w:sz w:val="16"/>
              <w:szCs w:val="16"/>
            </w:rPr>
          </w:pPr>
        </w:p>
        <w:p w14:paraId="7F639DE5" w14:textId="77777777" w:rsidR="003234D9" w:rsidRPr="00E238D8" w:rsidRDefault="003234D9" w:rsidP="003234D9">
          <w:pPr>
            <w:tabs>
              <w:tab w:val="right" w:pos="10350"/>
            </w:tabs>
            <w:ind w:left="90"/>
            <w:rPr>
              <w:rFonts w:ascii="Book Antiqua" w:hAnsi="Book Antiqua"/>
              <w:sz w:val="16"/>
              <w:szCs w:val="16"/>
            </w:rPr>
          </w:pPr>
        </w:p>
      </w:tc>
    </w:tr>
  </w:tbl>
  <w:p w14:paraId="425D4924" w14:textId="77777777" w:rsidR="003234D9" w:rsidRDefault="00323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7A3"/>
    <w:multiLevelType w:val="hybridMultilevel"/>
    <w:tmpl w:val="1BF01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90A28"/>
    <w:multiLevelType w:val="hybridMultilevel"/>
    <w:tmpl w:val="8D465C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893934"/>
    <w:multiLevelType w:val="hybridMultilevel"/>
    <w:tmpl w:val="61C4FF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8C17587"/>
    <w:multiLevelType w:val="hybridMultilevel"/>
    <w:tmpl w:val="8592D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62893"/>
    <w:multiLevelType w:val="hybridMultilevel"/>
    <w:tmpl w:val="B61C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A5C56"/>
    <w:multiLevelType w:val="hybridMultilevel"/>
    <w:tmpl w:val="5586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D7958"/>
    <w:multiLevelType w:val="hybridMultilevel"/>
    <w:tmpl w:val="CB1E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D4410"/>
    <w:multiLevelType w:val="hybridMultilevel"/>
    <w:tmpl w:val="C7D26C18"/>
    <w:lvl w:ilvl="0" w:tplc="4E685050">
      <w:numFmt w:val="bullet"/>
      <w:lvlText w:val="•"/>
      <w:lvlJc w:val="left"/>
      <w:pPr>
        <w:ind w:left="0" w:hanging="720"/>
      </w:pPr>
      <w:rPr>
        <w:rFonts w:ascii="Tahoma" w:eastAsia="Tahoma" w:hAnsi="Tahoma" w:cs="Tahoma"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65ED76D4"/>
    <w:multiLevelType w:val="hybridMultilevel"/>
    <w:tmpl w:val="DB12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61E51"/>
    <w:multiLevelType w:val="hybridMultilevel"/>
    <w:tmpl w:val="5AF01066"/>
    <w:lvl w:ilvl="0" w:tplc="66E25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3"/>
  </w:num>
  <w:num w:numId="4">
    <w:abstractNumId w:val="0"/>
  </w:num>
  <w:num w:numId="5">
    <w:abstractNumId w:val="7"/>
  </w:num>
  <w:num w:numId="6">
    <w:abstractNumId w:val="8"/>
  </w:num>
  <w:num w:numId="7">
    <w:abstractNumId w:val="5"/>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E7"/>
    <w:rsid w:val="000135AE"/>
    <w:rsid w:val="00015BFE"/>
    <w:rsid w:val="000212C0"/>
    <w:rsid w:val="00022ED0"/>
    <w:rsid w:val="0002419E"/>
    <w:rsid w:val="000244D0"/>
    <w:rsid w:val="00030147"/>
    <w:rsid w:val="00032C24"/>
    <w:rsid w:val="00041AD2"/>
    <w:rsid w:val="00053287"/>
    <w:rsid w:val="00053AE6"/>
    <w:rsid w:val="00066DDB"/>
    <w:rsid w:val="0007142B"/>
    <w:rsid w:val="00073C23"/>
    <w:rsid w:val="00075CFC"/>
    <w:rsid w:val="00084BA5"/>
    <w:rsid w:val="00095B43"/>
    <w:rsid w:val="00097992"/>
    <w:rsid w:val="000A6338"/>
    <w:rsid w:val="000B14B1"/>
    <w:rsid w:val="000D1DA2"/>
    <w:rsid w:val="000D1EAF"/>
    <w:rsid w:val="000D5276"/>
    <w:rsid w:val="000D57D0"/>
    <w:rsid w:val="000E320A"/>
    <w:rsid w:val="000E512E"/>
    <w:rsid w:val="000E6D6F"/>
    <w:rsid w:val="000E7661"/>
    <w:rsid w:val="000F0C79"/>
    <w:rsid w:val="0010613B"/>
    <w:rsid w:val="001064CB"/>
    <w:rsid w:val="001145F8"/>
    <w:rsid w:val="00120629"/>
    <w:rsid w:val="00125C26"/>
    <w:rsid w:val="00130111"/>
    <w:rsid w:val="001325E1"/>
    <w:rsid w:val="00140C31"/>
    <w:rsid w:val="00150F54"/>
    <w:rsid w:val="0015528D"/>
    <w:rsid w:val="0015751E"/>
    <w:rsid w:val="001664B8"/>
    <w:rsid w:val="001677B0"/>
    <w:rsid w:val="001724EF"/>
    <w:rsid w:val="00185903"/>
    <w:rsid w:val="001B24EB"/>
    <w:rsid w:val="001B441C"/>
    <w:rsid w:val="001D1536"/>
    <w:rsid w:val="001D48BC"/>
    <w:rsid w:val="001E24C5"/>
    <w:rsid w:val="001F118A"/>
    <w:rsid w:val="00201FB9"/>
    <w:rsid w:val="00206C6F"/>
    <w:rsid w:val="002136A1"/>
    <w:rsid w:val="00214DBF"/>
    <w:rsid w:val="00217993"/>
    <w:rsid w:val="00220C5B"/>
    <w:rsid w:val="00221A40"/>
    <w:rsid w:val="002323E8"/>
    <w:rsid w:val="00243732"/>
    <w:rsid w:val="00243C2D"/>
    <w:rsid w:val="00247B14"/>
    <w:rsid w:val="00254B22"/>
    <w:rsid w:val="00276DB4"/>
    <w:rsid w:val="00291893"/>
    <w:rsid w:val="00294941"/>
    <w:rsid w:val="00294EDC"/>
    <w:rsid w:val="002977A3"/>
    <w:rsid w:val="002A1981"/>
    <w:rsid w:val="002A3445"/>
    <w:rsid w:val="002B5DF6"/>
    <w:rsid w:val="002C3F44"/>
    <w:rsid w:val="002C76DC"/>
    <w:rsid w:val="002F52AE"/>
    <w:rsid w:val="002F7126"/>
    <w:rsid w:val="003234D9"/>
    <w:rsid w:val="0032697A"/>
    <w:rsid w:val="003356D4"/>
    <w:rsid w:val="003609B4"/>
    <w:rsid w:val="003629B6"/>
    <w:rsid w:val="00364202"/>
    <w:rsid w:val="003717BC"/>
    <w:rsid w:val="00380377"/>
    <w:rsid w:val="003A72C0"/>
    <w:rsid w:val="003A799C"/>
    <w:rsid w:val="003B2A9C"/>
    <w:rsid w:val="003B3A80"/>
    <w:rsid w:val="003D270B"/>
    <w:rsid w:val="003D3426"/>
    <w:rsid w:val="003E1895"/>
    <w:rsid w:val="0040158D"/>
    <w:rsid w:val="00403EA7"/>
    <w:rsid w:val="004065D3"/>
    <w:rsid w:val="00410D7F"/>
    <w:rsid w:val="00413BF0"/>
    <w:rsid w:val="0042344D"/>
    <w:rsid w:val="00426CF2"/>
    <w:rsid w:val="00430A2F"/>
    <w:rsid w:val="0043465C"/>
    <w:rsid w:val="00435276"/>
    <w:rsid w:val="00447358"/>
    <w:rsid w:val="00457CED"/>
    <w:rsid w:val="004645FA"/>
    <w:rsid w:val="004745F5"/>
    <w:rsid w:val="00475AC9"/>
    <w:rsid w:val="00480538"/>
    <w:rsid w:val="00494C8E"/>
    <w:rsid w:val="004A53ED"/>
    <w:rsid w:val="004A7F2B"/>
    <w:rsid w:val="004B1BE9"/>
    <w:rsid w:val="004C464F"/>
    <w:rsid w:val="004D28BF"/>
    <w:rsid w:val="004D3DE3"/>
    <w:rsid w:val="004D645D"/>
    <w:rsid w:val="004E289E"/>
    <w:rsid w:val="004E32F8"/>
    <w:rsid w:val="004F26D2"/>
    <w:rsid w:val="004F6E01"/>
    <w:rsid w:val="004F7BA9"/>
    <w:rsid w:val="00510571"/>
    <w:rsid w:val="00515619"/>
    <w:rsid w:val="005223AC"/>
    <w:rsid w:val="0052376F"/>
    <w:rsid w:val="0052377F"/>
    <w:rsid w:val="005241D1"/>
    <w:rsid w:val="00527A78"/>
    <w:rsid w:val="005322A5"/>
    <w:rsid w:val="005352B2"/>
    <w:rsid w:val="00537841"/>
    <w:rsid w:val="0054354A"/>
    <w:rsid w:val="005516B7"/>
    <w:rsid w:val="0055268C"/>
    <w:rsid w:val="00552AFD"/>
    <w:rsid w:val="005619B1"/>
    <w:rsid w:val="00565AEB"/>
    <w:rsid w:val="00573CCC"/>
    <w:rsid w:val="00576847"/>
    <w:rsid w:val="005824FB"/>
    <w:rsid w:val="0058285A"/>
    <w:rsid w:val="00582C14"/>
    <w:rsid w:val="005860C6"/>
    <w:rsid w:val="005A44C5"/>
    <w:rsid w:val="005B6438"/>
    <w:rsid w:val="005B6ECF"/>
    <w:rsid w:val="005B78CA"/>
    <w:rsid w:val="005C0EAD"/>
    <w:rsid w:val="005C456C"/>
    <w:rsid w:val="005E1053"/>
    <w:rsid w:val="005E6ECB"/>
    <w:rsid w:val="00600EA3"/>
    <w:rsid w:val="006233E6"/>
    <w:rsid w:val="00632D5E"/>
    <w:rsid w:val="00650699"/>
    <w:rsid w:val="00664860"/>
    <w:rsid w:val="00664F73"/>
    <w:rsid w:val="00670BF6"/>
    <w:rsid w:val="006746E6"/>
    <w:rsid w:val="00677843"/>
    <w:rsid w:val="006849DC"/>
    <w:rsid w:val="006A3A88"/>
    <w:rsid w:val="006A3F47"/>
    <w:rsid w:val="006A6464"/>
    <w:rsid w:val="006B467F"/>
    <w:rsid w:val="006B7A6E"/>
    <w:rsid w:val="006C0CF0"/>
    <w:rsid w:val="006C1A3E"/>
    <w:rsid w:val="006D7A6E"/>
    <w:rsid w:val="006E132D"/>
    <w:rsid w:val="006E2CF2"/>
    <w:rsid w:val="006F2A41"/>
    <w:rsid w:val="006F579F"/>
    <w:rsid w:val="006F6556"/>
    <w:rsid w:val="006F70D4"/>
    <w:rsid w:val="00711797"/>
    <w:rsid w:val="007144E9"/>
    <w:rsid w:val="00721B7C"/>
    <w:rsid w:val="007267A6"/>
    <w:rsid w:val="00730AD1"/>
    <w:rsid w:val="00730FEC"/>
    <w:rsid w:val="00734277"/>
    <w:rsid w:val="00734C1C"/>
    <w:rsid w:val="00734C36"/>
    <w:rsid w:val="00745998"/>
    <w:rsid w:val="007536AB"/>
    <w:rsid w:val="00773729"/>
    <w:rsid w:val="00782D26"/>
    <w:rsid w:val="00785A67"/>
    <w:rsid w:val="00792E2B"/>
    <w:rsid w:val="00793F8E"/>
    <w:rsid w:val="007A23A7"/>
    <w:rsid w:val="007A5A59"/>
    <w:rsid w:val="007A7F89"/>
    <w:rsid w:val="007B4E22"/>
    <w:rsid w:val="007B6529"/>
    <w:rsid w:val="007B7EAE"/>
    <w:rsid w:val="007C0E2E"/>
    <w:rsid w:val="007C4773"/>
    <w:rsid w:val="007C4DA5"/>
    <w:rsid w:val="007D3386"/>
    <w:rsid w:val="007E342C"/>
    <w:rsid w:val="007F0B94"/>
    <w:rsid w:val="008028AF"/>
    <w:rsid w:val="00811951"/>
    <w:rsid w:val="00821E42"/>
    <w:rsid w:val="0082335F"/>
    <w:rsid w:val="00826007"/>
    <w:rsid w:val="0084412C"/>
    <w:rsid w:val="008525BF"/>
    <w:rsid w:val="008549C1"/>
    <w:rsid w:val="00856B7C"/>
    <w:rsid w:val="0085790E"/>
    <w:rsid w:val="008659BB"/>
    <w:rsid w:val="0087462D"/>
    <w:rsid w:val="008848CC"/>
    <w:rsid w:val="008908CA"/>
    <w:rsid w:val="008A3939"/>
    <w:rsid w:val="008B7F50"/>
    <w:rsid w:val="008C07D4"/>
    <w:rsid w:val="008C4ED6"/>
    <w:rsid w:val="008C71E0"/>
    <w:rsid w:val="008C73C5"/>
    <w:rsid w:val="008D046D"/>
    <w:rsid w:val="008E515F"/>
    <w:rsid w:val="008E5BC2"/>
    <w:rsid w:val="008F4A23"/>
    <w:rsid w:val="00901001"/>
    <w:rsid w:val="00902258"/>
    <w:rsid w:val="00922337"/>
    <w:rsid w:val="00935A5F"/>
    <w:rsid w:val="0093655A"/>
    <w:rsid w:val="00943762"/>
    <w:rsid w:val="00943864"/>
    <w:rsid w:val="00954640"/>
    <w:rsid w:val="00955C0D"/>
    <w:rsid w:val="00962503"/>
    <w:rsid w:val="00966CD7"/>
    <w:rsid w:val="00966D67"/>
    <w:rsid w:val="00971361"/>
    <w:rsid w:val="0097543C"/>
    <w:rsid w:val="00977905"/>
    <w:rsid w:val="00982A5A"/>
    <w:rsid w:val="00982C96"/>
    <w:rsid w:val="00985237"/>
    <w:rsid w:val="0099483C"/>
    <w:rsid w:val="009A16F9"/>
    <w:rsid w:val="009B5800"/>
    <w:rsid w:val="009C2DAB"/>
    <w:rsid w:val="009D0309"/>
    <w:rsid w:val="009D5A98"/>
    <w:rsid w:val="009D5E22"/>
    <w:rsid w:val="009E2B31"/>
    <w:rsid w:val="009E34CD"/>
    <w:rsid w:val="009E45CA"/>
    <w:rsid w:val="009E4B31"/>
    <w:rsid w:val="009E4D44"/>
    <w:rsid w:val="009E6E75"/>
    <w:rsid w:val="009E71B3"/>
    <w:rsid w:val="009F10AA"/>
    <w:rsid w:val="00A1421B"/>
    <w:rsid w:val="00A21F17"/>
    <w:rsid w:val="00A234DB"/>
    <w:rsid w:val="00A32B84"/>
    <w:rsid w:val="00A34DF3"/>
    <w:rsid w:val="00A3626D"/>
    <w:rsid w:val="00A40345"/>
    <w:rsid w:val="00A64217"/>
    <w:rsid w:val="00A708C6"/>
    <w:rsid w:val="00A72F2C"/>
    <w:rsid w:val="00A75B4E"/>
    <w:rsid w:val="00A7770A"/>
    <w:rsid w:val="00A802A6"/>
    <w:rsid w:val="00A82842"/>
    <w:rsid w:val="00A83C56"/>
    <w:rsid w:val="00A90A63"/>
    <w:rsid w:val="00AA54A4"/>
    <w:rsid w:val="00AB47AF"/>
    <w:rsid w:val="00AC7C07"/>
    <w:rsid w:val="00AD0E49"/>
    <w:rsid w:val="00AD1D3B"/>
    <w:rsid w:val="00AD5AD7"/>
    <w:rsid w:val="00AF120D"/>
    <w:rsid w:val="00AF1FD3"/>
    <w:rsid w:val="00AF21EC"/>
    <w:rsid w:val="00AF28F6"/>
    <w:rsid w:val="00AF79DD"/>
    <w:rsid w:val="00B10278"/>
    <w:rsid w:val="00B1283C"/>
    <w:rsid w:val="00B12C30"/>
    <w:rsid w:val="00B130E3"/>
    <w:rsid w:val="00B21437"/>
    <w:rsid w:val="00B23C3F"/>
    <w:rsid w:val="00B3089C"/>
    <w:rsid w:val="00B31BCF"/>
    <w:rsid w:val="00B407F6"/>
    <w:rsid w:val="00B40889"/>
    <w:rsid w:val="00B454D7"/>
    <w:rsid w:val="00B53167"/>
    <w:rsid w:val="00B53941"/>
    <w:rsid w:val="00B55D37"/>
    <w:rsid w:val="00B719EF"/>
    <w:rsid w:val="00B75A53"/>
    <w:rsid w:val="00B7642B"/>
    <w:rsid w:val="00B80761"/>
    <w:rsid w:val="00B81DDB"/>
    <w:rsid w:val="00B919E5"/>
    <w:rsid w:val="00B95E21"/>
    <w:rsid w:val="00BA078E"/>
    <w:rsid w:val="00BA0965"/>
    <w:rsid w:val="00BA0C2F"/>
    <w:rsid w:val="00BA3069"/>
    <w:rsid w:val="00BA71E1"/>
    <w:rsid w:val="00BC2397"/>
    <w:rsid w:val="00BC26E1"/>
    <w:rsid w:val="00BE4BAF"/>
    <w:rsid w:val="00BF4A50"/>
    <w:rsid w:val="00BF6B87"/>
    <w:rsid w:val="00C04D03"/>
    <w:rsid w:val="00C057E9"/>
    <w:rsid w:val="00C108EA"/>
    <w:rsid w:val="00C15B39"/>
    <w:rsid w:val="00C33510"/>
    <w:rsid w:val="00C541CA"/>
    <w:rsid w:val="00C54CA1"/>
    <w:rsid w:val="00C54DD7"/>
    <w:rsid w:val="00C61C6E"/>
    <w:rsid w:val="00C66DD3"/>
    <w:rsid w:val="00C7222D"/>
    <w:rsid w:val="00C774D9"/>
    <w:rsid w:val="00C90861"/>
    <w:rsid w:val="00C93077"/>
    <w:rsid w:val="00C97DF4"/>
    <w:rsid w:val="00CA5616"/>
    <w:rsid w:val="00CB5028"/>
    <w:rsid w:val="00CC4873"/>
    <w:rsid w:val="00CC744C"/>
    <w:rsid w:val="00CC7707"/>
    <w:rsid w:val="00CD6FC5"/>
    <w:rsid w:val="00CE5771"/>
    <w:rsid w:val="00CF1E69"/>
    <w:rsid w:val="00CF7EB4"/>
    <w:rsid w:val="00D00327"/>
    <w:rsid w:val="00D01116"/>
    <w:rsid w:val="00D05211"/>
    <w:rsid w:val="00D126F6"/>
    <w:rsid w:val="00D17562"/>
    <w:rsid w:val="00D212E2"/>
    <w:rsid w:val="00D25042"/>
    <w:rsid w:val="00D310C7"/>
    <w:rsid w:val="00D35207"/>
    <w:rsid w:val="00D37F94"/>
    <w:rsid w:val="00D44751"/>
    <w:rsid w:val="00D459B7"/>
    <w:rsid w:val="00D6237C"/>
    <w:rsid w:val="00D70896"/>
    <w:rsid w:val="00D726F9"/>
    <w:rsid w:val="00D9367A"/>
    <w:rsid w:val="00D94B02"/>
    <w:rsid w:val="00D96CB1"/>
    <w:rsid w:val="00D97C35"/>
    <w:rsid w:val="00DA2329"/>
    <w:rsid w:val="00DA7942"/>
    <w:rsid w:val="00DB06BF"/>
    <w:rsid w:val="00DB0A49"/>
    <w:rsid w:val="00DB11F9"/>
    <w:rsid w:val="00DC0043"/>
    <w:rsid w:val="00DC36C8"/>
    <w:rsid w:val="00DC4723"/>
    <w:rsid w:val="00DC658E"/>
    <w:rsid w:val="00DD04FD"/>
    <w:rsid w:val="00DD195F"/>
    <w:rsid w:val="00DE1C5F"/>
    <w:rsid w:val="00DE2E9A"/>
    <w:rsid w:val="00DE536C"/>
    <w:rsid w:val="00DF255B"/>
    <w:rsid w:val="00DF5799"/>
    <w:rsid w:val="00E02BA8"/>
    <w:rsid w:val="00E03B6C"/>
    <w:rsid w:val="00E04E68"/>
    <w:rsid w:val="00E05764"/>
    <w:rsid w:val="00E0762C"/>
    <w:rsid w:val="00E07F81"/>
    <w:rsid w:val="00E24F3C"/>
    <w:rsid w:val="00E27F4D"/>
    <w:rsid w:val="00E51301"/>
    <w:rsid w:val="00E67896"/>
    <w:rsid w:val="00E7116C"/>
    <w:rsid w:val="00E72172"/>
    <w:rsid w:val="00E74DB5"/>
    <w:rsid w:val="00E8353D"/>
    <w:rsid w:val="00E835E4"/>
    <w:rsid w:val="00E8408A"/>
    <w:rsid w:val="00E8766D"/>
    <w:rsid w:val="00E91ECB"/>
    <w:rsid w:val="00E93314"/>
    <w:rsid w:val="00E9610A"/>
    <w:rsid w:val="00E96F70"/>
    <w:rsid w:val="00EA53F3"/>
    <w:rsid w:val="00EA5D5A"/>
    <w:rsid w:val="00EB6F50"/>
    <w:rsid w:val="00EC102E"/>
    <w:rsid w:val="00EC2F2C"/>
    <w:rsid w:val="00EC326B"/>
    <w:rsid w:val="00EC4909"/>
    <w:rsid w:val="00EC50B7"/>
    <w:rsid w:val="00EC5F68"/>
    <w:rsid w:val="00ED032F"/>
    <w:rsid w:val="00ED220A"/>
    <w:rsid w:val="00ED3245"/>
    <w:rsid w:val="00ED4ED7"/>
    <w:rsid w:val="00ED7850"/>
    <w:rsid w:val="00F01F84"/>
    <w:rsid w:val="00F04D59"/>
    <w:rsid w:val="00F0506C"/>
    <w:rsid w:val="00F06C31"/>
    <w:rsid w:val="00F21A0B"/>
    <w:rsid w:val="00F24C1F"/>
    <w:rsid w:val="00F34650"/>
    <w:rsid w:val="00F37672"/>
    <w:rsid w:val="00F43A6E"/>
    <w:rsid w:val="00F51EF9"/>
    <w:rsid w:val="00F5721E"/>
    <w:rsid w:val="00F76C27"/>
    <w:rsid w:val="00F97993"/>
    <w:rsid w:val="00FA0784"/>
    <w:rsid w:val="00FA2CB8"/>
    <w:rsid w:val="00FA3601"/>
    <w:rsid w:val="00FA5BE2"/>
    <w:rsid w:val="00FB2400"/>
    <w:rsid w:val="00FB3A11"/>
    <w:rsid w:val="00FB61E7"/>
    <w:rsid w:val="00FC1D7C"/>
    <w:rsid w:val="00FC735E"/>
    <w:rsid w:val="00FD1DE0"/>
    <w:rsid w:val="00FD1FC2"/>
    <w:rsid w:val="00FD76D8"/>
    <w:rsid w:val="00FF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9C5CE2"/>
  <w15:docId w15:val="{383F4F5A-CA8C-4740-89FA-1F3C3778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61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B61E7"/>
    <w:rPr>
      <w:sz w:val="20"/>
    </w:rPr>
  </w:style>
  <w:style w:type="character" w:customStyle="1" w:styleId="BodyTextChar">
    <w:name w:val="Body Text Char"/>
    <w:basedOn w:val="DefaultParagraphFont"/>
    <w:link w:val="BodyText"/>
    <w:rsid w:val="00FB61E7"/>
    <w:rPr>
      <w:rFonts w:ascii="Times New Roman" w:eastAsia="Times New Roman" w:hAnsi="Times New Roman" w:cs="Times New Roman"/>
      <w:sz w:val="20"/>
      <w:szCs w:val="24"/>
    </w:rPr>
  </w:style>
  <w:style w:type="character" w:styleId="CommentReference">
    <w:name w:val="annotation reference"/>
    <w:basedOn w:val="DefaultParagraphFont"/>
    <w:rsid w:val="00FB61E7"/>
    <w:rPr>
      <w:sz w:val="16"/>
      <w:szCs w:val="16"/>
    </w:rPr>
  </w:style>
  <w:style w:type="paragraph" w:styleId="CommentText">
    <w:name w:val="annotation text"/>
    <w:basedOn w:val="Normal"/>
    <w:link w:val="CommentTextChar"/>
    <w:rsid w:val="00FB61E7"/>
    <w:rPr>
      <w:sz w:val="20"/>
      <w:szCs w:val="20"/>
    </w:rPr>
  </w:style>
  <w:style w:type="character" w:customStyle="1" w:styleId="CommentTextChar">
    <w:name w:val="Comment Text Char"/>
    <w:basedOn w:val="DefaultParagraphFont"/>
    <w:link w:val="CommentText"/>
    <w:rsid w:val="00FB61E7"/>
    <w:rPr>
      <w:rFonts w:ascii="Times New Roman" w:eastAsia="Times New Roman" w:hAnsi="Times New Roman" w:cs="Times New Roman"/>
      <w:sz w:val="20"/>
      <w:szCs w:val="20"/>
    </w:rPr>
  </w:style>
  <w:style w:type="paragraph" w:styleId="ListParagraph">
    <w:name w:val="List Paragraph"/>
    <w:basedOn w:val="Normal"/>
    <w:uiPriority w:val="34"/>
    <w:qFormat/>
    <w:rsid w:val="00FB61E7"/>
    <w:pPr>
      <w:ind w:left="720"/>
      <w:contextualSpacing/>
    </w:pPr>
  </w:style>
  <w:style w:type="paragraph" w:styleId="BalloonText">
    <w:name w:val="Balloon Text"/>
    <w:basedOn w:val="Normal"/>
    <w:link w:val="BalloonTextChar"/>
    <w:uiPriority w:val="99"/>
    <w:semiHidden/>
    <w:unhideWhenUsed/>
    <w:rsid w:val="00FB61E7"/>
    <w:rPr>
      <w:rFonts w:ascii="Tahoma" w:hAnsi="Tahoma" w:cs="Tahoma"/>
      <w:sz w:val="16"/>
      <w:szCs w:val="16"/>
    </w:rPr>
  </w:style>
  <w:style w:type="character" w:customStyle="1" w:styleId="BalloonTextChar">
    <w:name w:val="Balloon Text Char"/>
    <w:basedOn w:val="DefaultParagraphFont"/>
    <w:link w:val="BalloonText"/>
    <w:uiPriority w:val="99"/>
    <w:semiHidden/>
    <w:rsid w:val="00FB61E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B61E7"/>
    <w:rPr>
      <w:b/>
      <w:bCs/>
    </w:rPr>
  </w:style>
  <w:style w:type="character" w:customStyle="1" w:styleId="CommentSubjectChar">
    <w:name w:val="Comment Subject Char"/>
    <w:basedOn w:val="CommentTextChar"/>
    <w:link w:val="CommentSubject"/>
    <w:uiPriority w:val="99"/>
    <w:semiHidden/>
    <w:rsid w:val="00FB61E7"/>
    <w:rPr>
      <w:rFonts w:ascii="Times New Roman" w:eastAsia="Times New Roman" w:hAnsi="Times New Roman" w:cs="Times New Roman"/>
      <w:b/>
      <w:bCs/>
      <w:sz w:val="20"/>
      <w:szCs w:val="20"/>
    </w:rPr>
  </w:style>
  <w:style w:type="paragraph" w:styleId="Revision">
    <w:name w:val="Revision"/>
    <w:hidden/>
    <w:uiPriority w:val="99"/>
    <w:semiHidden/>
    <w:rsid w:val="00FB61E7"/>
    <w:pPr>
      <w:spacing w:after="0" w:line="240" w:lineRule="auto"/>
    </w:pPr>
    <w:rPr>
      <w:rFonts w:ascii="Times New Roman" w:eastAsia="Times New Roman" w:hAnsi="Times New Roman" w:cs="Times New Roman"/>
      <w:sz w:val="24"/>
      <w:szCs w:val="24"/>
    </w:rPr>
  </w:style>
  <w:style w:type="character" w:styleId="Emphasis">
    <w:name w:val="Emphasis"/>
    <w:qFormat/>
    <w:rsid w:val="00B53167"/>
    <w:rPr>
      <w:i/>
      <w:iCs/>
    </w:rPr>
  </w:style>
  <w:style w:type="table" w:styleId="TableGrid">
    <w:name w:val="Table Grid"/>
    <w:basedOn w:val="TableNormal"/>
    <w:uiPriority w:val="59"/>
    <w:rsid w:val="007B7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C1C"/>
    <w:pPr>
      <w:tabs>
        <w:tab w:val="center" w:pos="4680"/>
        <w:tab w:val="right" w:pos="9360"/>
      </w:tabs>
    </w:pPr>
  </w:style>
  <w:style w:type="character" w:customStyle="1" w:styleId="HeaderChar">
    <w:name w:val="Header Char"/>
    <w:basedOn w:val="DefaultParagraphFont"/>
    <w:link w:val="Header"/>
    <w:uiPriority w:val="99"/>
    <w:rsid w:val="00734C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4C1C"/>
    <w:pPr>
      <w:tabs>
        <w:tab w:val="center" w:pos="4680"/>
        <w:tab w:val="right" w:pos="9360"/>
      </w:tabs>
    </w:pPr>
  </w:style>
  <w:style w:type="character" w:customStyle="1" w:styleId="FooterChar">
    <w:name w:val="Footer Char"/>
    <w:basedOn w:val="DefaultParagraphFont"/>
    <w:link w:val="Footer"/>
    <w:uiPriority w:val="99"/>
    <w:rsid w:val="00734C1C"/>
    <w:rPr>
      <w:rFonts w:ascii="Times New Roman" w:eastAsia="Times New Roman" w:hAnsi="Times New Roman" w:cs="Times New Roman"/>
      <w:sz w:val="24"/>
      <w:szCs w:val="24"/>
    </w:rPr>
  </w:style>
  <w:style w:type="paragraph" w:styleId="NoSpacing">
    <w:name w:val="No Spacing"/>
    <w:uiPriority w:val="1"/>
    <w:qFormat/>
    <w:rsid w:val="0065069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57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0734">
      <w:bodyDiv w:val="1"/>
      <w:marLeft w:val="0"/>
      <w:marRight w:val="0"/>
      <w:marTop w:val="0"/>
      <w:marBottom w:val="0"/>
      <w:divBdr>
        <w:top w:val="none" w:sz="0" w:space="0" w:color="auto"/>
        <w:left w:val="none" w:sz="0" w:space="0" w:color="auto"/>
        <w:bottom w:val="none" w:sz="0" w:space="0" w:color="auto"/>
        <w:right w:val="none" w:sz="0" w:space="0" w:color="auto"/>
      </w:divBdr>
    </w:div>
    <w:div w:id="179903454">
      <w:bodyDiv w:val="1"/>
      <w:marLeft w:val="0"/>
      <w:marRight w:val="0"/>
      <w:marTop w:val="0"/>
      <w:marBottom w:val="0"/>
      <w:divBdr>
        <w:top w:val="none" w:sz="0" w:space="0" w:color="auto"/>
        <w:left w:val="none" w:sz="0" w:space="0" w:color="auto"/>
        <w:bottom w:val="none" w:sz="0" w:space="0" w:color="auto"/>
        <w:right w:val="none" w:sz="0" w:space="0" w:color="auto"/>
      </w:divBdr>
    </w:div>
    <w:div w:id="185877004">
      <w:bodyDiv w:val="1"/>
      <w:marLeft w:val="0"/>
      <w:marRight w:val="0"/>
      <w:marTop w:val="0"/>
      <w:marBottom w:val="0"/>
      <w:divBdr>
        <w:top w:val="none" w:sz="0" w:space="0" w:color="auto"/>
        <w:left w:val="none" w:sz="0" w:space="0" w:color="auto"/>
        <w:bottom w:val="none" w:sz="0" w:space="0" w:color="auto"/>
        <w:right w:val="none" w:sz="0" w:space="0" w:color="auto"/>
      </w:divBdr>
    </w:div>
    <w:div w:id="460271410">
      <w:bodyDiv w:val="1"/>
      <w:marLeft w:val="0"/>
      <w:marRight w:val="0"/>
      <w:marTop w:val="0"/>
      <w:marBottom w:val="0"/>
      <w:divBdr>
        <w:top w:val="none" w:sz="0" w:space="0" w:color="auto"/>
        <w:left w:val="none" w:sz="0" w:space="0" w:color="auto"/>
        <w:bottom w:val="none" w:sz="0" w:space="0" w:color="auto"/>
        <w:right w:val="none" w:sz="0" w:space="0" w:color="auto"/>
      </w:divBdr>
    </w:div>
    <w:div w:id="1161852437">
      <w:bodyDiv w:val="1"/>
      <w:marLeft w:val="0"/>
      <w:marRight w:val="0"/>
      <w:marTop w:val="0"/>
      <w:marBottom w:val="0"/>
      <w:divBdr>
        <w:top w:val="none" w:sz="0" w:space="0" w:color="auto"/>
        <w:left w:val="none" w:sz="0" w:space="0" w:color="auto"/>
        <w:bottom w:val="none" w:sz="0" w:space="0" w:color="auto"/>
        <w:right w:val="none" w:sz="0" w:space="0" w:color="auto"/>
      </w:divBdr>
    </w:div>
    <w:div w:id="1455565221">
      <w:bodyDiv w:val="1"/>
      <w:marLeft w:val="0"/>
      <w:marRight w:val="0"/>
      <w:marTop w:val="0"/>
      <w:marBottom w:val="0"/>
      <w:divBdr>
        <w:top w:val="none" w:sz="0" w:space="0" w:color="auto"/>
        <w:left w:val="none" w:sz="0" w:space="0" w:color="auto"/>
        <w:bottom w:val="none" w:sz="0" w:space="0" w:color="auto"/>
        <w:right w:val="none" w:sz="0" w:space="0" w:color="auto"/>
      </w:divBdr>
    </w:div>
    <w:div w:id="188363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PH.DON@MassMail.State.MA.U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E9C58-424F-4C5E-BDC6-0CAA48F711FE}">
  <ds:schemaRefs>
    <ds:schemaRef ds:uri="http://schemas.openxmlformats.org/officeDocument/2006/bibliography"/>
  </ds:schemaRefs>
</ds:datastoreItem>
</file>

<file path=customXml/itemProps2.xml><?xml version="1.0" encoding="utf-8"?>
<ds:datastoreItem xmlns:ds="http://schemas.openxmlformats.org/officeDocument/2006/customXml" ds:itemID="{A8C40AD0-2B7D-4DDC-BE9F-AE79782F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Partners Information Systems</dc:creator>
  <cp:lastModifiedBy>Cioffari-Macphee, Diana (DPH)</cp:lastModifiedBy>
  <cp:revision>13</cp:revision>
  <cp:lastPrinted>2022-01-27T12:48:00Z</cp:lastPrinted>
  <dcterms:created xsi:type="dcterms:W3CDTF">2022-01-28T18:35:00Z</dcterms:created>
  <dcterms:modified xsi:type="dcterms:W3CDTF">2022-01-28T18:49:00Z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