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5D36" w14:textId="77777777" w:rsidR="00DE64DC" w:rsidRDefault="00DE64DC">
      <w:pPr>
        <w:rPr>
          <w:b/>
          <w:bCs/>
        </w:rPr>
      </w:pPr>
    </w:p>
    <w:p w14:paraId="459CBAAA" w14:textId="59ADBD6D" w:rsidR="001E6B93" w:rsidRDefault="00857A54">
      <w:pPr>
        <w:rPr>
          <w:b/>
          <w:bCs/>
        </w:rPr>
      </w:pPr>
      <w:r w:rsidRPr="00857A54">
        <w:rPr>
          <w:b/>
          <w:bCs/>
        </w:rPr>
        <w:t xml:space="preserve">September </w:t>
      </w:r>
      <w:r w:rsidR="002D74E1">
        <w:rPr>
          <w:b/>
          <w:bCs/>
        </w:rPr>
        <w:t>15</w:t>
      </w:r>
      <w:r w:rsidR="00BF267D">
        <w:rPr>
          <w:b/>
          <w:bCs/>
        </w:rPr>
        <w:t>,</w:t>
      </w:r>
      <w:r w:rsidRPr="00857A54">
        <w:rPr>
          <w:b/>
          <w:bCs/>
        </w:rPr>
        <w:t xml:space="preserve"> 2025</w:t>
      </w:r>
    </w:p>
    <w:p w14:paraId="5DF45942" w14:textId="77777777" w:rsidR="00857A54" w:rsidRPr="00857A54" w:rsidRDefault="00857A54"/>
    <w:p w14:paraId="4B7CF35B" w14:textId="754E8572" w:rsidR="001E6B93" w:rsidRPr="002D74E1" w:rsidRDefault="001E6B93">
      <w:pPr>
        <w:rPr>
          <w:i/>
          <w:iCs/>
          <w:sz w:val="26"/>
          <w:szCs w:val="26"/>
        </w:rPr>
      </w:pPr>
      <w:r w:rsidRPr="00BF267D">
        <w:rPr>
          <w:sz w:val="26"/>
          <w:szCs w:val="26"/>
        </w:rPr>
        <w:t xml:space="preserve">Thank you to the members of </w:t>
      </w:r>
      <w:r w:rsidR="00857A54" w:rsidRPr="00BF267D">
        <w:rPr>
          <w:sz w:val="26"/>
          <w:szCs w:val="26"/>
        </w:rPr>
        <w:t xml:space="preserve">the Allied Mental Health Board, </w:t>
      </w:r>
      <w:r w:rsidR="00E522A1">
        <w:rPr>
          <w:sz w:val="26"/>
          <w:szCs w:val="26"/>
        </w:rPr>
        <w:t xml:space="preserve">the Department of Public Health, Bureau of Health Professions Licensure, </w:t>
      </w:r>
      <w:r w:rsidR="00857A54" w:rsidRPr="00BF267D">
        <w:rPr>
          <w:sz w:val="26"/>
          <w:szCs w:val="26"/>
        </w:rPr>
        <w:t xml:space="preserve">and all interested parties </w:t>
      </w:r>
      <w:r w:rsidR="002D74E1">
        <w:rPr>
          <w:sz w:val="26"/>
          <w:szCs w:val="26"/>
        </w:rPr>
        <w:t xml:space="preserve">for this opportunity to comment on provisions of 262 CMR </w:t>
      </w:r>
      <w:r w:rsidR="002D74E1" w:rsidRPr="002D74E1">
        <w:rPr>
          <w:i/>
          <w:iCs/>
          <w:sz w:val="26"/>
          <w:szCs w:val="26"/>
        </w:rPr>
        <w:t>Requirements for Licensure as a Mental Health Counselor</w:t>
      </w:r>
      <w:r w:rsidR="002D74E1">
        <w:rPr>
          <w:i/>
          <w:iCs/>
          <w:sz w:val="26"/>
          <w:szCs w:val="26"/>
        </w:rPr>
        <w:t>.</w:t>
      </w:r>
    </w:p>
    <w:p w14:paraId="4E21E008" w14:textId="77777777" w:rsidR="001E6B93" w:rsidRPr="00BF267D" w:rsidRDefault="001E6B93">
      <w:pPr>
        <w:rPr>
          <w:sz w:val="26"/>
          <w:szCs w:val="26"/>
        </w:rPr>
      </w:pPr>
    </w:p>
    <w:p w14:paraId="76EC2947" w14:textId="660D0B4C" w:rsidR="00C62239" w:rsidRPr="00BF267D" w:rsidRDefault="001E6B93">
      <w:pPr>
        <w:rPr>
          <w:sz w:val="26"/>
          <w:szCs w:val="26"/>
        </w:rPr>
      </w:pPr>
      <w:r w:rsidRPr="00BF267D">
        <w:rPr>
          <w:sz w:val="26"/>
          <w:szCs w:val="26"/>
        </w:rPr>
        <w:t>The Board of</w:t>
      </w:r>
      <w:r w:rsidR="00721192" w:rsidRPr="00BF267D">
        <w:rPr>
          <w:sz w:val="26"/>
          <w:szCs w:val="26"/>
        </w:rPr>
        <w:t xml:space="preserve"> Directors of the Massachusetts Mental Health Counselors Association, Inc. (known as </w:t>
      </w:r>
      <w:r w:rsidRPr="00BF267D">
        <w:rPr>
          <w:sz w:val="26"/>
          <w:szCs w:val="26"/>
        </w:rPr>
        <w:t>MaMHCA</w:t>
      </w:r>
      <w:r w:rsidR="00721192" w:rsidRPr="00BF267D">
        <w:rPr>
          <w:sz w:val="26"/>
          <w:szCs w:val="26"/>
        </w:rPr>
        <w:t>)</w:t>
      </w:r>
      <w:r w:rsidRPr="00BF267D">
        <w:rPr>
          <w:sz w:val="26"/>
          <w:szCs w:val="26"/>
        </w:rPr>
        <w:t xml:space="preserve"> </w:t>
      </w:r>
      <w:r w:rsidR="00704D72" w:rsidRPr="00BF267D">
        <w:rPr>
          <w:sz w:val="26"/>
          <w:szCs w:val="26"/>
        </w:rPr>
        <w:t>strongly endorse</w:t>
      </w:r>
      <w:r w:rsidRPr="00BF267D">
        <w:rPr>
          <w:sz w:val="26"/>
          <w:szCs w:val="26"/>
        </w:rPr>
        <w:t>s</w:t>
      </w:r>
      <w:r w:rsidR="00704D72" w:rsidRPr="00BF267D">
        <w:rPr>
          <w:sz w:val="26"/>
          <w:szCs w:val="26"/>
        </w:rPr>
        <w:t xml:space="preserve"> providing a path to accelerate Approved Supervisor status through supervisor training with an emphasis on Massachusetts law, regulation, and policy regarding education, field training, and ethical standards, with minor suggested corrections.</w:t>
      </w:r>
    </w:p>
    <w:p w14:paraId="34AB1540" w14:textId="3D08CDD7" w:rsidR="00704D72" w:rsidRPr="00BF267D" w:rsidRDefault="00704D72">
      <w:pPr>
        <w:rPr>
          <w:sz w:val="26"/>
          <w:szCs w:val="26"/>
        </w:rPr>
      </w:pPr>
    </w:p>
    <w:p w14:paraId="089D5FFF" w14:textId="0629061A" w:rsidR="00704D72" w:rsidRPr="00BF267D" w:rsidRDefault="00704D72">
      <w:pPr>
        <w:rPr>
          <w:sz w:val="26"/>
          <w:szCs w:val="26"/>
        </w:rPr>
      </w:pPr>
      <w:r w:rsidRPr="00BF267D">
        <w:rPr>
          <w:sz w:val="26"/>
          <w:szCs w:val="26"/>
        </w:rPr>
        <w:t>We further strongly endorse the promulgation of regulations to implement the</w:t>
      </w:r>
      <w:r w:rsidR="00E522A1">
        <w:rPr>
          <w:sz w:val="26"/>
          <w:szCs w:val="26"/>
        </w:rPr>
        <w:t xml:space="preserve"> Licensed Supervised Mental Health Counselor</w:t>
      </w:r>
      <w:r w:rsidRPr="00BF267D">
        <w:rPr>
          <w:sz w:val="26"/>
          <w:szCs w:val="26"/>
        </w:rPr>
        <w:t xml:space="preserve"> </w:t>
      </w:r>
      <w:r w:rsidR="00E522A1">
        <w:rPr>
          <w:sz w:val="26"/>
          <w:szCs w:val="26"/>
        </w:rPr>
        <w:t>(</w:t>
      </w:r>
      <w:r w:rsidRPr="00BF267D">
        <w:rPr>
          <w:sz w:val="26"/>
          <w:szCs w:val="26"/>
        </w:rPr>
        <w:t>LSMHC</w:t>
      </w:r>
      <w:r w:rsidR="00E522A1">
        <w:rPr>
          <w:sz w:val="26"/>
          <w:szCs w:val="26"/>
        </w:rPr>
        <w:t>) entry-level</w:t>
      </w:r>
      <w:r w:rsidRPr="00BF267D">
        <w:rPr>
          <w:sz w:val="26"/>
          <w:szCs w:val="26"/>
        </w:rPr>
        <w:t xml:space="preserve"> license, with suggestions/recommendations for areas we believe need clarification.</w:t>
      </w:r>
    </w:p>
    <w:p w14:paraId="72C14AC7" w14:textId="77777777" w:rsidR="00704D72" w:rsidRPr="00BF267D" w:rsidRDefault="00704D72">
      <w:pPr>
        <w:rPr>
          <w:sz w:val="26"/>
          <w:szCs w:val="26"/>
        </w:rPr>
      </w:pPr>
    </w:p>
    <w:p w14:paraId="58FCF559" w14:textId="4C228F0D" w:rsidR="00704D72" w:rsidRPr="00BF267D" w:rsidRDefault="0079475F">
      <w:pPr>
        <w:rPr>
          <w:sz w:val="26"/>
          <w:szCs w:val="26"/>
        </w:rPr>
      </w:pPr>
      <w:r w:rsidRPr="00BF267D">
        <w:rPr>
          <w:sz w:val="26"/>
          <w:szCs w:val="26"/>
        </w:rPr>
        <w:t>O</w:t>
      </w:r>
      <w:r w:rsidR="00704D72" w:rsidRPr="00BF267D">
        <w:rPr>
          <w:sz w:val="26"/>
          <w:szCs w:val="26"/>
        </w:rPr>
        <w:t xml:space="preserve">ur comments will be offered as simple corrections; clarifications, </w:t>
      </w:r>
      <w:r w:rsidR="00721192" w:rsidRPr="00BF267D">
        <w:rPr>
          <w:sz w:val="26"/>
          <w:szCs w:val="26"/>
        </w:rPr>
        <w:t xml:space="preserve">and </w:t>
      </w:r>
      <w:r w:rsidR="00704D72" w:rsidRPr="00BF267D">
        <w:rPr>
          <w:sz w:val="26"/>
          <w:szCs w:val="26"/>
        </w:rPr>
        <w:t>recommendations, and a list of suggested additions</w:t>
      </w:r>
      <w:r w:rsidR="00721192" w:rsidRPr="00BF267D">
        <w:rPr>
          <w:sz w:val="26"/>
          <w:szCs w:val="26"/>
        </w:rPr>
        <w:t xml:space="preserve"> that need consideration</w:t>
      </w:r>
      <w:r w:rsidR="004F0A41" w:rsidRPr="00BF267D">
        <w:rPr>
          <w:sz w:val="26"/>
          <w:szCs w:val="26"/>
        </w:rPr>
        <w:t>, beginning with several definitions</w:t>
      </w:r>
      <w:r w:rsidR="00D555C8" w:rsidRPr="00BF267D">
        <w:rPr>
          <w:sz w:val="26"/>
          <w:szCs w:val="26"/>
        </w:rPr>
        <w:t>, all in service of protecting consumers.</w:t>
      </w:r>
    </w:p>
    <w:p w14:paraId="75B5A1DA" w14:textId="77777777" w:rsidR="00FA29F9" w:rsidRDefault="00FA29F9"/>
    <w:p w14:paraId="0BF8A974" w14:textId="77777777" w:rsidR="00384609" w:rsidRPr="00384609" w:rsidRDefault="00FA29F9" w:rsidP="00FA29F9">
      <w:pPr>
        <w:pStyle w:val="ListParagraph"/>
        <w:widowControl w:val="0"/>
        <w:numPr>
          <w:ilvl w:val="1"/>
          <w:numId w:val="1"/>
        </w:numPr>
        <w:tabs>
          <w:tab w:val="left" w:pos="541"/>
        </w:tabs>
        <w:autoSpaceDE w:val="0"/>
        <w:autoSpaceDN w:val="0"/>
        <w:contextualSpacing w:val="0"/>
      </w:pPr>
      <w:r w:rsidRPr="001654F9">
        <w:rPr>
          <w:u w:val="single"/>
        </w:rPr>
        <w:t>:  Definitions</w:t>
      </w:r>
      <w:r>
        <w:rPr>
          <w:u w:val="single"/>
        </w:rPr>
        <w:t xml:space="preserve">, </w:t>
      </w:r>
    </w:p>
    <w:p w14:paraId="1A696AEC" w14:textId="208E3E4C" w:rsidR="00FA29F9" w:rsidRPr="00FA29F9" w:rsidRDefault="00FA29F9" w:rsidP="00384609">
      <w:pPr>
        <w:pStyle w:val="ListParagraph"/>
        <w:widowControl w:val="0"/>
        <w:tabs>
          <w:tab w:val="left" w:pos="541"/>
        </w:tabs>
        <w:autoSpaceDE w:val="0"/>
        <w:autoSpaceDN w:val="0"/>
        <w:ind w:left="541"/>
        <w:contextualSpacing w:val="0"/>
      </w:pPr>
      <w:r>
        <w:rPr>
          <w:u w:val="single"/>
        </w:rPr>
        <w:t xml:space="preserve"> </w:t>
      </w:r>
    </w:p>
    <w:p w14:paraId="47D53FE9" w14:textId="67B6F205" w:rsidR="00642F18" w:rsidRDefault="00FA29F9" w:rsidP="00FA29F9">
      <w:pPr>
        <w:pStyle w:val="ListParagraph"/>
        <w:widowControl w:val="0"/>
        <w:tabs>
          <w:tab w:val="left" w:pos="541"/>
        </w:tabs>
        <w:autoSpaceDE w:val="0"/>
        <w:autoSpaceDN w:val="0"/>
        <w:ind w:left="541"/>
        <w:contextualSpacing w:val="0"/>
        <w:rPr>
          <w:b/>
          <w:bCs/>
        </w:rPr>
      </w:pPr>
      <w:r w:rsidRPr="00FA29F9">
        <w:rPr>
          <w:u w:val="single"/>
        </w:rPr>
        <w:t>Approved Supervisor</w:t>
      </w:r>
      <w:r>
        <w:t>. (1)(b)</w:t>
      </w:r>
      <w:r w:rsidR="00642F18">
        <w:t xml:space="preserve"> </w:t>
      </w:r>
      <w:r w:rsidR="00642F18" w:rsidRPr="00642F18">
        <w:rPr>
          <w:b/>
          <w:bCs/>
        </w:rPr>
        <w:t>Should read: “…a MaMHCA Certified Clinical Supervisor (MCCS) from the Massachusetts Mental Health Counselors Association</w:t>
      </w:r>
      <w:r w:rsidR="006B35D7">
        <w:rPr>
          <w:b/>
          <w:bCs/>
        </w:rPr>
        <w:t>”</w:t>
      </w:r>
      <w:r w:rsidR="00642F18" w:rsidRPr="00642F18">
        <w:rPr>
          <w:b/>
          <w:bCs/>
        </w:rPr>
        <w:t xml:space="preserve">. </w:t>
      </w:r>
    </w:p>
    <w:p w14:paraId="03313DA7" w14:textId="77777777" w:rsidR="006B35D7" w:rsidRPr="00642F18" w:rsidRDefault="006B35D7" w:rsidP="00FA29F9">
      <w:pPr>
        <w:pStyle w:val="ListParagraph"/>
        <w:widowControl w:val="0"/>
        <w:tabs>
          <w:tab w:val="left" w:pos="541"/>
        </w:tabs>
        <w:autoSpaceDE w:val="0"/>
        <w:autoSpaceDN w:val="0"/>
        <w:ind w:left="541"/>
        <w:contextualSpacing w:val="0"/>
        <w:rPr>
          <w:b/>
          <w:bCs/>
        </w:rPr>
      </w:pPr>
    </w:p>
    <w:p w14:paraId="43679277" w14:textId="5440C3BF" w:rsidR="00FA29F9" w:rsidRPr="00642F18" w:rsidRDefault="006B35D7" w:rsidP="006B35D7">
      <w:pPr>
        <w:tabs>
          <w:tab w:val="left" w:pos="2096"/>
        </w:tabs>
        <w:spacing w:before="5" w:line="242" w:lineRule="auto"/>
        <w:ind w:left="540" w:right="117" w:hanging="90"/>
        <w:rPr>
          <w:b/>
          <w:bCs/>
        </w:rPr>
      </w:pPr>
      <w:r>
        <w:rPr>
          <w:b/>
          <w:bCs/>
        </w:rPr>
        <w:t xml:space="preserve">  </w:t>
      </w:r>
      <w:r w:rsidRPr="006B35D7">
        <w:rPr>
          <w:b/>
          <w:bCs/>
        </w:rPr>
        <w:t>Approved supervision programs in 1(b) by non-MaMHCA entities ha</w:t>
      </w:r>
      <w:r>
        <w:rPr>
          <w:b/>
          <w:bCs/>
        </w:rPr>
        <w:t>ve</w:t>
      </w:r>
      <w:r w:rsidRPr="006B35D7">
        <w:rPr>
          <w:b/>
          <w:bCs/>
        </w:rPr>
        <w:t xml:space="preserve"> not yet been </w:t>
      </w:r>
      <w:r>
        <w:rPr>
          <w:b/>
          <w:bCs/>
        </w:rPr>
        <w:t xml:space="preserve">   </w:t>
      </w:r>
      <w:r w:rsidRPr="006B35D7">
        <w:rPr>
          <w:b/>
          <w:bCs/>
        </w:rPr>
        <w:t>identified, vetted or approved by the board (unlike the MA-specific MCCS). It should be noted that such programs, should they evolve to be identified as appropriate resources, would be eligible for such recognition under 1(c) and therefore should not be independently named under 1(b)."</w:t>
      </w:r>
    </w:p>
    <w:p w14:paraId="676DDA96" w14:textId="77777777" w:rsidR="006B35D7" w:rsidRDefault="006B35D7" w:rsidP="00954890">
      <w:pPr>
        <w:tabs>
          <w:tab w:val="left" w:pos="2096"/>
        </w:tabs>
        <w:spacing w:before="5" w:line="242" w:lineRule="auto"/>
        <w:ind w:right="117"/>
        <w:rPr>
          <w:sz w:val="26"/>
          <w:szCs w:val="26"/>
        </w:rPr>
      </w:pPr>
    </w:p>
    <w:p w14:paraId="60E5D76B" w14:textId="0AB7922E" w:rsidR="00FA29F9" w:rsidRPr="00BF267D" w:rsidRDefault="006B35D7" w:rsidP="00954890">
      <w:pPr>
        <w:tabs>
          <w:tab w:val="left" w:pos="2096"/>
        </w:tabs>
        <w:spacing w:before="5" w:line="242" w:lineRule="auto"/>
        <w:ind w:right="117"/>
        <w:rPr>
          <w:sz w:val="26"/>
          <w:szCs w:val="26"/>
        </w:rPr>
      </w:pPr>
      <w:r>
        <w:rPr>
          <w:sz w:val="26"/>
          <w:szCs w:val="26"/>
        </w:rPr>
        <w:t>Following from this</w:t>
      </w:r>
      <w:r w:rsidR="00455154" w:rsidRPr="00BF267D">
        <w:rPr>
          <w:sz w:val="26"/>
          <w:szCs w:val="26"/>
        </w:rPr>
        <w:t xml:space="preserve">, </w:t>
      </w:r>
      <w:r w:rsidR="00FA29F9" w:rsidRPr="00BF267D">
        <w:rPr>
          <w:sz w:val="26"/>
          <w:szCs w:val="26"/>
        </w:rPr>
        <w:t>we strongly recommend adding section</w:t>
      </w:r>
      <w:r w:rsidR="00964D61">
        <w:rPr>
          <w:sz w:val="26"/>
          <w:szCs w:val="26"/>
        </w:rPr>
        <w:t>s</w:t>
      </w:r>
      <w:r w:rsidR="00FA29F9" w:rsidRPr="00BF267D">
        <w:rPr>
          <w:sz w:val="26"/>
          <w:szCs w:val="26"/>
        </w:rPr>
        <w:t xml:space="preserve"> (d</w:t>
      </w:r>
      <w:r w:rsidR="00964D61">
        <w:rPr>
          <w:sz w:val="26"/>
          <w:szCs w:val="26"/>
        </w:rPr>
        <w:t xml:space="preserve"> &amp; e</w:t>
      </w:r>
      <w:r w:rsidR="00FA29F9" w:rsidRPr="00BF267D">
        <w:rPr>
          <w:sz w:val="26"/>
          <w:szCs w:val="26"/>
        </w:rPr>
        <w:t xml:space="preserve">) to support the learning of </w:t>
      </w:r>
      <w:r w:rsidR="00721192" w:rsidRPr="00BF267D">
        <w:rPr>
          <w:sz w:val="26"/>
          <w:szCs w:val="26"/>
        </w:rPr>
        <w:t xml:space="preserve">the </w:t>
      </w:r>
      <w:r w:rsidR="00FA29F9" w:rsidRPr="00BF267D">
        <w:rPr>
          <w:sz w:val="26"/>
          <w:szCs w:val="26"/>
        </w:rPr>
        <w:t>Massachusetts-specific Supervision requirements</w:t>
      </w:r>
      <w:r w:rsidR="0079475F" w:rsidRPr="00BF267D">
        <w:rPr>
          <w:sz w:val="26"/>
          <w:szCs w:val="26"/>
        </w:rPr>
        <w:t>:</w:t>
      </w:r>
      <w:r w:rsidR="00FA29F9" w:rsidRPr="00BF267D">
        <w:rPr>
          <w:sz w:val="26"/>
          <w:szCs w:val="26"/>
        </w:rPr>
        <w:t xml:space="preserve">  </w:t>
      </w:r>
    </w:p>
    <w:p w14:paraId="77E1752C" w14:textId="77777777" w:rsidR="00954890" w:rsidRPr="00FA29F9" w:rsidRDefault="00954890" w:rsidP="00954890">
      <w:pPr>
        <w:tabs>
          <w:tab w:val="left" w:pos="2096"/>
        </w:tabs>
        <w:spacing w:before="5" w:line="242" w:lineRule="auto"/>
        <w:ind w:right="117"/>
      </w:pPr>
    </w:p>
    <w:p w14:paraId="635A930E" w14:textId="377F3602" w:rsidR="00FA29F9" w:rsidRDefault="00FA29F9" w:rsidP="00FA29F9">
      <w:pPr>
        <w:tabs>
          <w:tab w:val="left" w:pos="2096"/>
        </w:tabs>
        <w:spacing w:before="5" w:line="242" w:lineRule="auto"/>
        <w:ind w:right="117"/>
        <w:rPr>
          <w:b/>
          <w:bCs/>
        </w:rPr>
      </w:pPr>
      <w:r w:rsidRPr="00FA29F9">
        <w:t xml:space="preserve">          </w:t>
      </w:r>
      <w:r w:rsidR="00642F18" w:rsidRPr="00342DA3">
        <w:rPr>
          <w:b/>
          <w:bCs/>
        </w:rPr>
        <w:t>(1)</w:t>
      </w:r>
      <w:r w:rsidRPr="00342DA3">
        <w:rPr>
          <w:b/>
          <w:bCs/>
        </w:rPr>
        <w:t>(d)</w:t>
      </w:r>
      <w:r w:rsidR="00D555C8">
        <w:t xml:space="preserve"> </w:t>
      </w:r>
      <w:r w:rsidRPr="00FA29F9">
        <w:rPr>
          <w:b/>
          <w:bCs/>
        </w:rPr>
        <w:t xml:space="preserve">In order to have the 3 year </w:t>
      </w:r>
      <w:proofErr w:type="gramStart"/>
      <w:r w:rsidRPr="00FA29F9">
        <w:rPr>
          <w:b/>
          <w:bCs/>
        </w:rPr>
        <w:t>Post-licensure</w:t>
      </w:r>
      <w:proofErr w:type="gramEnd"/>
      <w:r w:rsidRPr="00FA29F9">
        <w:rPr>
          <w:b/>
          <w:bCs/>
        </w:rPr>
        <w:t xml:space="preserve"> requirement waived, an approved </w:t>
      </w:r>
      <w:r>
        <w:rPr>
          <w:b/>
          <w:bCs/>
        </w:rPr>
        <w:t xml:space="preserve">  </w:t>
      </w:r>
    </w:p>
    <w:p w14:paraId="47186570" w14:textId="22F9CB81" w:rsidR="00FA29F9" w:rsidRDefault="00FA29F9" w:rsidP="007A2F0A">
      <w:pPr>
        <w:tabs>
          <w:tab w:val="left" w:pos="2096"/>
        </w:tabs>
        <w:spacing w:before="5" w:line="242" w:lineRule="auto"/>
        <w:ind w:left="450" w:right="117"/>
        <w:rPr>
          <w:b/>
          <w:bCs/>
        </w:rPr>
      </w:pPr>
      <w:r w:rsidRPr="00FA29F9">
        <w:rPr>
          <w:b/>
          <w:bCs/>
        </w:rPr>
        <w:t xml:space="preserve">supervisor must hold an MCCS (to support </w:t>
      </w:r>
      <w:r w:rsidR="00642F18">
        <w:rPr>
          <w:b/>
          <w:bCs/>
        </w:rPr>
        <w:t xml:space="preserve">the learning of the </w:t>
      </w:r>
      <w:r w:rsidRPr="00FA29F9">
        <w:rPr>
          <w:b/>
          <w:bCs/>
        </w:rPr>
        <w:t xml:space="preserve">Massachusetts-specific </w:t>
      </w:r>
      <w:r w:rsidR="00642F18">
        <w:rPr>
          <w:b/>
          <w:bCs/>
        </w:rPr>
        <w:t xml:space="preserve">  </w:t>
      </w:r>
      <w:r w:rsidRPr="00FA29F9">
        <w:rPr>
          <w:b/>
          <w:bCs/>
        </w:rPr>
        <w:t>Supervision</w:t>
      </w:r>
      <w:r w:rsidR="00642F18">
        <w:rPr>
          <w:b/>
          <w:bCs/>
        </w:rPr>
        <w:t xml:space="preserve"> </w:t>
      </w:r>
      <w:r w:rsidRPr="00FA29F9">
        <w:rPr>
          <w:b/>
          <w:bCs/>
        </w:rPr>
        <w:t>Requirements)</w:t>
      </w:r>
    </w:p>
    <w:p w14:paraId="51C63E41" w14:textId="3FCB86D2" w:rsidR="00964D61" w:rsidRPr="00964D61" w:rsidRDefault="00964D61" w:rsidP="00964D61">
      <w:pPr>
        <w:tabs>
          <w:tab w:val="left" w:pos="2096"/>
        </w:tabs>
        <w:spacing w:before="5" w:line="242" w:lineRule="auto"/>
        <w:ind w:left="450" w:right="117"/>
        <w:rPr>
          <w:b/>
          <w:bCs/>
        </w:rPr>
      </w:pPr>
      <w:r>
        <w:rPr>
          <w:b/>
          <w:bCs/>
        </w:rPr>
        <w:t>(1)</w:t>
      </w:r>
      <w:r w:rsidRPr="00964D61">
        <w:rPr>
          <w:b/>
          <w:bCs/>
        </w:rPr>
        <w:t>(e)</w:t>
      </w:r>
      <w:r>
        <w:rPr>
          <w:b/>
          <w:bCs/>
        </w:rPr>
        <w:t xml:space="preserve"> </w:t>
      </w:r>
      <w:r w:rsidRPr="00964D61">
        <w:rPr>
          <w:b/>
          <w:bCs/>
        </w:rPr>
        <w:t>"To promote further consistency of state-specific regulatory and ethical practice, we would include that MA hours completed by supervisees should only be supervised by Approved Supervisors residing and practicing supervision and clinical services in MA."</w:t>
      </w:r>
    </w:p>
    <w:p w14:paraId="461059CB" w14:textId="77777777" w:rsidR="00954890" w:rsidRDefault="00954890" w:rsidP="00FA29F9">
      <w:pPr>
        <w:tabs>
          <w:tab w:val="left" w:pos="2096"/>
        </w:tabs>
        <w:spacing w:before="5" w:line="242" w:lineRule="auto"/>
        <w:ind w:right="117"/>
        <w:rPr>
          <w:b/>
          <w:bCs/>
        </w:rPr>
      </w:pPr>
    </w:p>
    <w:p w14:paraId="45BE0F05" w14:textId="3E4991CF" w:rsidR="00954890" w:rsidRPr="00BF267D" w:rsidRDefault="00954890" w:rsidP="00FA29F9">
      <w:pPr>
        <w:tabs>
          <w:tab w:val="left" w:pos="2096"/>
        </w:tabs>
        <w:spacing w:before="5" w:line="242" w:lineRule="auto"/>
        <w:ind w:right="117"/>
        <w:rPr>
          <w:sz w:val="26"/>
          <w:szCs w:val="26"/>
        </w:rPr>
      </w:pPr>
      <w:r w:rsidRPr="00BF267D">
        <w:rPr>
          <w:sz w:val="26"/>
          <w:szCs w:val="26"/>
        </w:rPr>
        <w:t xml:space="preserve">For </w:t>
      </w:r>
      <w:r w:rsidR="0079475F" w:rsidRPr="00BF267D">
        <w:rPr>
          <w:sz w:val="26"/>
          <w:szCs w:val="26"/>
        </w:rPr>
        <w:t>all approved supervisors</w:t>
      </w:r>
      <w:r w:rsidRPr="00BF267D">
        <w:rPr>
          <w:sz w:val="26"/>
          <w:szCs w:val="26"/>
        </w:rPr>
        <w:t xml:space="preserve"> we also strongly recommend adding</w:t>
      </w:r>
      <w:r w:rsidR="001A7A24" w:rsidRPr="00BF267D">
        <w:rPr>
          <w:sz w:val="26"/>
          <w:szCs w:val="26"/>
        </w:rPr>
        <w:t xml:space="preserve"> an additional Section (7)</w:t>
      </w:r>
      <w:r w:rsidRPr="00BF267D">
        <w:rPr>
          <w:sz w:val="26"/>
          <w:szCs w:val="26"/>
        </w:rPr>
        <w:t>:</w:t>
      </w:r>
    </w:p>
    <w:p w14:paraId="161E356D" w14:textId="22D5C530" w:rsidR="003B3F92" w:rsidRDefault="003B3F92" w:rsidP="00D55D9B">
      <w:pPr>
        <w:tabs>
          <w:tab w:val="left" w:pos="2096"/>
        </w:tabs>
        <w:spacing w:before="5" w:line="242" w:lineRule="auto"/>
        <w:ind w:right="117"/>
        <w:rPr>
          <w:b/>
          <w:bCs/>
        </w:rPr>
      </w:pPr>
    </w:p>
    <w:p w14:paraId="11D5F79F" w14:textId="1FF45C5C" w:rsidR="00954890" w:rsidRDefault="003B3F92" w:rsidP="001B33E7">
      <w:pPr>
        <w:tabs>
          <w:tab w:val="left" w:pos="2096"/>
        </w:tabs>
        <w:spacing w:before="5" w:line="242" w:lineRule="auto"/>
        <w:ind w:left="540" w:right="117" w:hanging="540"/>
        <w:rPr>
          <w:b/>
          <w:bCs/>
        </w:rPr>
      </w:pPr>
      <w:r>
        <w:rPr>
          <w:b/>
          <w:bCs/>
        </w:rPr>
        <w:tab/>
      </w:r>
      <w:r w:rsidR="00954890" w:rsidRPr="00954890">
        <w:rPr>
          <w:b/>
          <w:bCs/>
        </w:rPr>
        <w:t>(7) All approved supervisors shall conduct supervision according to the</w:t>
      </w:r>
      <w:r w:rsidR="00954890">
        <w:rPr>
          <w:b/>
          <w:bCs/>
        </w:rPr>
        <w:t xml:space="preserve"> responsibilities and </w:t>
      </w:r>
      <w:r w:rsidR="00954890" w:rsidRPr="00954890">
        <w:rPr>
          <w:b/>
          <w:bCs/>
        </w:rPr>
        <w:t>requirements set out in 262 CMR Section 8. 04. (a) &amp; (b)</w:t>
      </w:r>
      <w:r w:rsidR="00954890">
        <w:rPr>
          <w:b/>
          <w:bCs/>
        </w:rPr>
        <w:t xml:space="preserve">; </w:t>
      </w:r>
    </w:p>
    <w:p w14:paraId="0C26CD96" w14:textId="77777777" w:rsidR="00E12259" w:rsidRDefault="00E12259" w:rsidP="00954890">
      <w:pPr>
        <w:tabs>
          <w:tab w:val="left" w:pos="2096"/>
        </w:tabs>
        <w:spacing w:before="5" w:line="242" w:lineRule="auto"/>
        <w:ind w:right="117"/>
        <w:rPr>
          <w:sz w:val="26"/>
          <w:szCs w:val="26"/>
        </w:rPr>
      </w:pPr>
    </w:p>
    <w:p w14:paraId="3B1A8988" w14:textId="6C2CC251" w:rsidR="00954890" w:rsidRPr="00BF267D" w:rsidRDefault="00954890" w:rsidP="00954890">
      <w:pPr>
        <w:tabs>
          <w:tab w:val="left" w:pos="2096"/>
        </w:tabs>
        <w:spacing w:before="5" w:line="242" w:lineRule="auto"/>
        <w:ind w:right="117"/>
        <w:rPr>
          <w:sz w:val="26"/>
          <w:szCs w:val="26"/>
        </w:rPr>
      </w:pPr>
      <w:r w:rsidRPr="00BF267D">
        <w:rPr>
          <w:sz w:val="26"/>
          <w:szCs w:val="26"/>
        </w:rPr>
        <w:t xml:space="preserve">While these requirements are set out in section 262 CMR Section 8, we </w:t>
      </w:r>
      <w:r w:rsidR="00546566">
        <w:rPr>
          <w:sz w:val="26"/>
          <w:szCs w:val="26"/>
        </w:rPr>
        <w:t>suggest that Approved Supervisors</w:t>
      </w:r>
      <w:r w:rsidRPr="00BF267D">
        <w:rPr>
          <w:sz w:val="26"/>
          <w:szCs w:val="26"/>
        </w:rPr>
        <w:t xml:space="preserve"> </w:t>
      </w:r>
      <w:r w:rsidR="00546566">
        <w:rPr>
          <w:sz w:val="26"/>
          <w:szCs w:val="26"/>
        </w:rPr>
        <w:t xml:space="preserve">from all approved disciplines listed </w:t>
      </w:r>
      <w:proofErr w:type="gramStart"/>
      <w:r w:rsidR="00546566">
        <w:rPr>
          <w:sz w:val="26"/>
          <w:szCs w:val="26"/>
        </w:rPr>
        <w:t>1.(</w:t>
      </w:r>
      <w:proofErr w:type="gramEnd"/>
      <w:r w:rsidR="00546566">
        <w:rPr>
          <w:sz w:val="26"/>
          <w:szCs w:val="26"/>
        </w:rPr>
        <w:t xml:space="preserve">2) through </w:t>
      </w:r>
      <w:proofErr w:type="gramStart"/>
      <w:r w:rsidR="00546566">
        <w:rPr>
          <w:sz w:val="26"/>
          <w:szCs w:val="26"/>
        </w:rPr>
        <w:t>1.(</w:t>
      </w:r>
      <w:proofErr w:type="gramEnd"/>
      <w:r w:rsidR="00546566">
        <w:rPr>
          <w:sz w:val="26"/>
          <w:szCs w:val="26"/>
        </w:rPr>
        <w:t xml:space="preserve">6) need </w:t>
      </w:r>
      <w:r w:rsidRPr="00BF267D">
        <w:rPr>
          <w:sz w:val="26"/>
          <w:szCs w:val="26"/>
        </w:rPr>
        <w:t>to know there are requirements beyond the simple requirements of numbers of hours required for supervision in field training sites, and that private practices will now be considered as field placement sites.</w:t>
      </w:r>
    </w:p>
    <w:p w14:paraId="41C74F3D" w14:textId="77777777" w:rsidR="00BF267D" w:rsidRDefault="00BF267D" w:rsidP="00954890">
      <w:pPr>
        <w:tabs>
          <w:tab w:val="left" w:pos="2096"/>
        </w:tabs>
        <w:spacing w:before="5" w:line="242" w:lineRule="auto"/>
        <w:ind w:right="117"/>
        <w:rPr>
          <w:b/>
          <w:bCs/>
        </w:rPr>
      </w:pPr>
    </w:p>
    <w:p w14:paraId="5F1DFD3E" w14:textId="23E4E499" w:rsidR="00954890" w:rsidRDefault="00954890" w:rsidP="00954890">
      <w:pPr>
        <w:tabs>
          <w:tab w:val="left" w:pos="2096"/>
        </w:tabs>
        <w:spacing w:before="5" w:line="242" w:lineRule="auto"/>
        <w:ind w:right="117"/>
        <w:rPr>
          <w:b/>
          <w:bCs/>
        </w:rPr>
      </w:pPr>
      <w:r w:rsidRPr="00721192">
        <w:rPr>
          <w:b/>
          <w:bCs/>
        </w:rPr>
        <w:t>Including both (d</w:t>
      </w:r>
      <w:r w:rsidR="00342DA3">
        <w:rPr>
          <w:b/>
          <w:bCs/>
        </w:rPr>
        <w:t xml:space="preserve"> &amp; e</w:t>
      </w:r>
      <w:r w:rsidRPr="00721192">
        <w:rPr>
          <w:b/>
          <w:bCs/>
        </w:rPr>
        <w:t>) and (7) above, will help ensure the safety and well-being of consumers of LMHC services</w:t>
      </w:r>
      <w:r w:rsidR="00721192" w:rsidRPr="00721192">
        <w:rPr>
          <w:b/>
          <w:bCs/>
        </w:rPr>
        <w:t>.</w:t>
      </w:r>
    </w:p>
    <w:p w14:paraId="79A3227C" w14:textId="77777777" w:rsidR="00782211" w:rsidRDefault="00782211" w:rsidP="00954890">
      <w:pPr>
        <w:tabs>
          <w:tab w:val="left" w:pos="2096"/>
        </w:tabs>
        <w:spacing w:before="5" w:line="242" w:lineRule="auto"/>
        <w:ind w:right="117"/>
        <w:rPr>
          <w:b/>
          <w:bCs/>
        </w:rPr>
      </w:pPr>
    </w:p>
    <w:p w14:paraId="11186FB0" w14:textId="27374F95" w:rsidR="00FD3372" w:rsidRDefault="00517324" w:rsidP="00CB4A6A">
      <w:pPr>
        <w:pStyle w:val="BodyText"/>
        <w:spacing w:line="242" w:lineRule="auto"/>
        <w:ind w:right="115"/>
        <w:jc w:val="both"/>
      </w:pPr>
      <w:r w:rsidRPr="00F76F21">
        <w:rPr>
          <w:u w:val="single"/>
        </w:rPr>
        <w:t>Contract Supervisor</w:t>
      </w:r>
      <w:r w:rsidRPr="00F76F21">
        <w:t xml:space="preserve">. A </w:t>
      </w:r>
      <w:proofErr w:type="spellStart"/>
      <w:r w:rsidRPr="00F76F21">
        <w:rPr>
          <w:b/>
          <w:bCs/>
          <w:color w:val="0000FF"/>
        </w:rPr>
        <w:t>L</w:t>
      </w:r>
      <w:r w:rsidRPr="00F76F21">
        <w:rPr>
          <w:strike/>
          <w:color w:val="FF0000"/>
        </w:rPr>
        <w:t>l</w:t>
      </w:r>
      <w:r w:rsidRPr="00F76F21">
        <w:rPr>
          <w:color w:val="000000" w:themeColor="text1"/>
        </w:rPr>
        <w:t>icensed</w:t>
      </w:r>
      <w:proofErr w:type="spellEnd"/>
      <w:r w:rsidRPr="00F76F21">
        <w:rPr>
          <w:color w:val="000000" w:themeColor="text1"/>
        </w:rPr>
        <w:t xml:space="preserve"> </w:t>
      </w:r>
      <w:proofErr w:type="spellStart"/>
      <w:r w:rsidRPr="00F76F21">
        <w:rPr>
          <w:b/>
          <w:bCs/>
          <w:color w:val="0000FF"/>
        </w:rPr>
        <w:t>M</w:t>
      </w:r>
      <w:r w:rsidRPr="00F76F21">
        <w:rPr>
          <w:strike/>
          <w:color w:val="FF0000"/>
        </w:rPr>
        <w:t>m</w:t>
      </w:r>
      <w:r w:rsidRPr="00F76F21">
        <w:rPr>
          <w:color w:val="000000" w:themeColor="text1"/>
        </w:rPr>
        <w:t>ental</w:t>
      </w:r>
      <w:proofErr w:type="spellEnd"/>
      <w:r w:rsidRPr="00F76F21">
        <w:rPr>
          <w:color w:val="000000" w:themeColor="text1"/>
        </w:rPr>
        <w:t xml:space="preserve"> </w:t>
      </w:r>
      <w:proofErr w:type="spellStart"/>
      <w:r w:rsidRPr="00F76F21">
        <w:rPr>
          <w:b/>
          <w:bCs/>
          <w:color w:val="0000FF"/>
        </w:rPr>
        <w:t>H</w:t>
      </w:r>
      <w:r w:rsidRPr="00F76F21">
        <w:rPr>
          <w:strike/>
          <w:color w:val="FF0000"/>
        </w:rPr>
        <w:t>h</w:t>
      </w:r>
      <w:r w:rsidRPr="00F76F21">
        <w:rPr>
          <w:color w:val="000000" w:themeColor="text1"/>
        </w:rPr>
        <w:t>ealth</w:t>
      </w:r>
      <w:proofErr w:type="spellEnd"/>
      <w:r w:rsidRPr="00F76F21">
        <w:rPr>
          <w:color w:val="000000" w:themeColor="text1"/>
        </w:rPr>
        <w:t xml:space="preserve"> </w:t>
      </w:r>
      <w:proofErr w:type="spellStart"/>
      <w:r w:rsidRPr="00F76F21">
        <w:rPr>
          <w:b/>
          <w:bCs/>
          <w:color w:val="0000FF"/>
        </w:rPr>
        <w:t>C</w:t>
      </w:r>
      <w:r w:rsidRPr="00F76F21">
        <w:rPr>
          <w:strike/>
          <w:color w:val="FF0000"/>
        </w:rPr>
        <w:t>c</w:t>
      </w:r>
      <w:r w:rsidRPr="00F76F21">
        <w:rPr>
          <w:color w:val="000000" w:themeColor="text1"/>
        </w:rPr>
        <w:t>ounselor</w:t>
      </w:r>
      <w:proofErr w:type="spellEnd"/>
      <w:r w:rsidRPr="00F76F21">
        <w:t xml:space="preserve"> with three years of Full Time or</w:t>
      </w:r>
      <w:r w:rsidR="00542CC1">
        <w:t xml:space="preserve"> </w:t>
      </w:r>
      <w:r w:rsidRPr="00F76F21">
        <w:t xml:space="preserve">the </w:t>
      </w:r>
    </w:p>
    <w:p w14:paraId="6C591941" w14:textId="74A95EC1" w:rsidR="00517324" w:rsidRDefault="00517324" w:rsidP="00FD3372">
      <w:pPr>
        <w:pStyle w:val="BodyText"/>
        <w:spacing w:line="242" w:lineRule="auto"/>
        <w:ind w:right="115"/>
        <w:jc w:val="both"/>
      </w:pPr>
      <w:r w:rsidRPr="00F76F21">
        <w:t>equivalent Part Time post-licensure clinical Mental Health Counseling experience</w:t>
      </w:r>
      <w:r w:rsidR="00384609">
        <w:t xml:space="preserve">, </w:t>
      </w:r>
    </w:p>
    <w:p w14:paraId="47789405" w14:textId="2DA8C097" w:rsidR="00517324" w:rsidRDefault="00517324" w:rsidP="004F0A41">
      <w:pPr>
        <w:pStyle w:val="BodyText"/>
        <w:spacing w:line="242" w:lineRule="auto"/>
        <w:ind w:left="540" w:right="115"/>
      </w:pPr>
      <w:r w:rsidRPr="004F0A41">
        <w:rPr>
          <w:b/>
          <w:bCs/>
        </w:rPr>
        <w:t>ADD</w:t>
      </w:r>
      <w:r w:rsidR="00384609" w:rsidRPr="004F0A41">
        <w:rPr>
          <w:b/>
          <w:bCs/>
        </w:rPr>
        <w:t xml:space="preserve">: who holds a </w:t>
      </w:r>
      <w:r w:rsidRPr="004F0A41">
        <w:rPr>
          <w:b/>
          <w:bCs/>
        </w:rPr>
        <w:t>MCCS or MACCS</w:t>
      </w:r>
      <w:r w:rsidR="00384609">
        <w:t xml:space="preserve">, and </w:t>
      </w:r>
      <w:r w:rsidRPr="00F76F21">
        <w:t xml:space="preserve">who has a written agreement </w:t>
      </w:r>
      <w:r w:rsidR="004F0A41">
        <w:t>…….</w:t>
      </w:r>
    </w:p>
    <w:p w14:paraId="4568908E" w14:textId="77777777" w:rsidR="0091558A" w:rsidRDefault="0091558A" w:rsidP="0027182B">
      <w:pPr>
        <w:pStyle w:val="BodyText"/>
        <w:spacing w:line="242" w:lineRule="auto"/>
        <w:ind w:right="115"/>
      </w:pPr>
    </w:p>
    <w:p w14:paraId="1511AF18" w14:textId="1A7154B7" w:rsidR="0091558A" w:rsidRPr="005E6337" w:rsidRDefault="0091558A" w:rsidP="005E6337">
      <w:pPr>
        <w:pStyle w:val="BodyText"/>
        <w:spacing w:line="242" w:lineRule="auto"/>
        <w:ind w:right="115"/>
        <w:rPr>
          <w:b/>
          <w:bCs/>
        </w:rPr>
      </w:pPr>
      <w:r w:rsidRPr="001654F9">
        <w:rPr>
          <w:u w:val="single"/>
        </w:rPr>
        <w:t>Direct Client Contact Experience</w:t>
      </w:r>
      <w:r w:rsidRPr="001654F9">
        <w:t xml:space="preserve">. Direct, face-to-face, clinical Mental Health Counseling experience </w:t>
      </w:r>
      <w:r w:rsidRPr="0091558A">
        <w:rPr>
          <w:b/>
          <w:bCs/>
        </w:rPr>
        <w:t>ADD:</w:t>
      </w:r>
      <w:r w:rsidR="00542CC1">
        <w:rPr>
          <w:b/>
          <w:bCs/>
        </w:rPr>
        <w:t xml:space="preserve"> </w:t>
      </w:r>
      <w:r w:rsidRPr="0091558A">
        <w:rPr>
          <w:b/>
          <w:bCs/>
        </w:rPr>
        <w:t xml:space="preserve">including by </w:t>
      </w:r>
      <w:r w:rsidR="005E6337">
        <w:rPr>
          <w:b/>
          <w:bCs/>
        </w:rPr>
        <w:t xml:space="preserve">HIPAA-compliant </w:t>
      </w:r>
      <w:r w:rsidRPr="0091558A">
        <w:rPr>
          <w:b/>
          <w:bCs/>
        </w:rPr>
        <w:t>electronic means</w:t>
      </w:r>
      <w:r w:rsidR="005E6337">
        <w:rPr>
          <w:b/>
          <w:bCs/>
        </w:rPr>
        <w:t xml:space="preserve">, </w:t>
      </w:r>
      <w:r w:rsidRPr="0091558A">
        <w:rPr>
          <w:b/>
          <w:bCs/>
        </w:rPr>
        <w:t>at all experience levels may be conducted as allowed by Massachusetts law</w:t>
      </w:r>
      <w:r w:rsidR="005E6337">
        <w:rPr>
          <w:b/>
          <w:bCs/>
        </w:rPr>
        <w:t xml:space="preserve"> (</w:t>
      </w:r>
      <w:hyperlink r:id="rId8" w:history="1">
        <w:r w:rsidR="005E6337" w:rsidRPr="0027182B">
          <w:rPr>
            <w:rStyle w:val="Hyperlink"/>
            <w:b/>
            <w:bCs/>
            <w:color w:val="auto"/>
            <w:u w:val="none"/>
          </w:rPr>
          <w:t xml:space="preserve">Chapter 175 </w:t>
        </w:r>
      </w:hyperlink>
      <w:r w:rsidR="005E6337" w:rsidRPr="005E6337">
        <w:rPr>
          <w:b/>
          <w:bCs/>
        </w:rPr>
        <w:t>Section 47MM</w:t>
      </w:r>
      <w:r w:rsidR="005E6337">
        <w:rPr>
          <w:b/>
          <w:bCs/>
        </w:rPr>
        <w:t>)</w:t>
      </w:r>
      <w:r w:rsidR="0065350D">
        <w:rPr>
          <w:b/>
          <w:bCs/>
        </w:rPr>
        <w:t xml:space="preserve">, </w:t>
      </w:r>
      <w:r w:rsidRPr="001654F9">
        <w:t>with a range of individuals, groups, couples</w:t>
      </w:r>
      <w:r>
        <w:t>…..</w:t>
      </w:r>
    </w:p>
    <w:p w14:paraId="003C140F" w14:textId="77777777" w:rsidR="00542CC1" w:rsidRDefault="00542CC1" w:rsidP="0091558A">
      <w:pPr>
        <w:pStyle w:val="BodyText"/>
        <w:spacing w:line="242" w:lineRule="auto"/>
        <w:ind w:right="115"/>
        <w:rPr>
          <w:b/>
          <w:bCs/>
        </w:rPr>
      </w:pPr>
    </w:p>
    <w:p w14:paraId="2496454F" w14:textId="60F05D67" w:rsidR="0091558A" w:rsidRPr="00542CC1" w:rsidRDefault="00542CC1" w:rsidP="0091558A">
      <w:pPr>
        <w:pStyle w:val="BodyText"/>
        <w:spacing w:line="242" w:lineRule="auto"/>
        <w:ind w:right="115"/>
        <w:rPr>
          <w:rFonts w:ascii="Candara" w:hAnsi="Candara"/>
          <w:sz w:val="26"/>
          <w:szCs w:val="26"/>
        </w:rPr>
      </w:pPr>
      <w:r w:rsidRPr="00542CC1">
        <w:rPr>
          <w:rFonts w:ascii="Candara" w:hAnsi="Candara"/>
          <w:sz w:val="26"/>
          <w:szCs w:val="26"/>
        </w:rPr>
        <w:t>We believe it is important to address directly the increased use of the telehealth modality, and the necessity of compliance with HIPAA</w:t>
      </w:r>
    </w:p>
    <w:p w14:paraId="14ED86BC" w14:textId="77777777" w:rsidR="00DE64DC" w:rsidRDefault="00DE64DC" w:rsidP="0091558A">
      <w:pPr>
        <w:pStyle w:val="BodyText"/>
        <w:spacing w:line="242" w:lineRule="auto"/>
        <w:ind w:right="115"/>
      </w:pPr>
    </w:p>
    <w:p w14:paraId="33EDAE82" w14:textId="2B5201CF" w:rsidR="0091558A" w:rsidRPr="00BC0500" w:rsidRDefault="0091558A" w:rsidP="00FD3372">
      <w:pPr>
        <w:pStyle w:val="BodyText"/>
        <w:spacing w:line="242" w:lineRule="auto"/>
        <w:ind w:right="115"/>
        <w:jc w:val="both"/>
      </w:pPr>
      <w:r w:rsidRPr="00BC0500">
        <w:rPr>
          <w:u w:val="single"/>
        </w:rPr>
        <w:t>Post-Master’s Degree Clinical Field Experience</w:t>
      </w:r>
      <w:r w:rsidRPr="00BC0500">
        <w:t>. Supervised work experience compliant with 262 CMR 2.07 and beginning after the candidate has earned all required education</w:t>
      </w:r>
    </w:p>
    <w:p w14:paraId="404C7DA7" w14:textId="3DF128C9" w:rsidR="0091558A" w:rsidRPr="00BC0500" w:rsidRDefault="0091558A" w:rsidP="0091558A">
      <w:pPr>
        <w:pStyle w:val="BodyText"/>
        <w:spacing w:line="242" w:lineRule="auto"/>
        <w:ind w:right="115"/>
        <w:jc w:val="both"/>
        <w:rPr>
          <w:b/>
          <w:bCs/>
        </w:rPr>
      </w:pPr>
      <w:r w:rsidRPr="00BC0500">
        <w:rPr>
          <w:b/>
          <w:bCs/>
        </w:rPr>
        <w:t xml:space="preserve">         ADD: And received their masters/doctoral diploma pursuant to 262 CMR 2.05. </w:t>
      </w:r>
    </w:p>
    <w:p w14:paraId="53589534" w14:textId="77777777" w:rsidR="00C24E39" w:rsidRPr="001654F9" w:rsidRDefault="00C24E39" w:rsidP="0091558A">
      <w:pPr>
        <w:pStyle w:val="BodyText"/>
        <w:spacing w:before="2"/>
        <w:rPr>
          <w:sz w:val="25"/>
        </w:rPr>
      </w:pPr>
    </w:p>
    <w:p w14:paraId="08BF4FC6" w14:textId="77777777" w:rsidR="0027182B" w:rsidRDefault="0027182B" w:rsidP="00FD3372">
      <w:pPr>
        <w:pStyle w:val="BodyText"/>
        <w:spacing w:line="242" w:lineRule="auto"/>
        <w:ind w:right="115"/>
        <w:rPr>
          <w:rFonts w:ascii="Candara" w:hAnsi="Candara"/>
          <w:sz w:val="26"/>
          <w:szCs w:val="26"/>
        </w:rPr>
      </w:pPr>
    </w:p>
    <w:p w14:paraId="3E4F452B" w14:textId="08CBAD2D" w:rsidR="00470D49" w:rsidRPr="00BF267D" w:rsidRDefault="00470D49" w:rsidP="00FD3372">
      <w:pPr>
        <w:pStyle w:val="BodyText"/>
        <w:spacing w:line="242" w:lineRule="auto"/>
        <w:ind w:right="115"/>
        <w:rPr>
          <w:sz w:val="26"/>
          <w:szCs w:val="26"/>
        </w:rPr>
      </w:pPr>
      <w:r w:rsidRPr="00BF267D">
        <w:rPr>
          <w:rFonts w:ascii="Candara" w:hAnsi="Candara"/>
          <w:sz w:val="26"/>
          <w:szCs w:val="26"/>
        </w:rPr>
        <w:t xml:space="preserve">Moving on to </w:t>
      </w:r>
      <w:r w:rsidRPr="00BF267D">
        <w:rPr>
          <w:rFonts w:ascii="Candara" w:hAnsi="Candara"/>
          <w:sz w:val="26"/>
          <w:szCs w:val="26"/>
          <w:u w:val="single"/>
        </w:rPr>
        <w:t>Section 2.0</w:t>
      </w:r>
      <w:r w:rsidR="00F12E51" w:rsidRPr="00BF267D">
        <w:rPr>
          <w:rFonts w:ascii="Candara" w:hAnsi="Candara"/>
          <w:sz w:val="26"/>
          <w:szCs w:val="26"/>
          <w:u w:val="single"/>
        </w:rPr>
        <w:t>3</w:t>
      </w:r>
      <w:r w:rsidRPr="00BF267D">
        <w:rPr>
          <w:rFonts w:ascii="Candara" w:hAnsi="Candara"/>
          <w:sz w:val="26"/>
          <w:szCs w:val="26"/>
          <w:u w:val="single"/>
        </w:rPr>
        <w:t xml:space="preserve"> </w:t>
      </w:r>
      <w:r w:rsidRPr="00BF267D">
        <w:rPr>
          <w:sz w:val="26"/>
          <w:szCs w:val="26"/>
          <w:u w:val="single"/>
        </w:rPr>
        <w:t>Licensure Application Requirements</w:t>
      </w:r>
      <w:r w:rsidRPr="00BF267D">
        <w:rPr>
          <w:sz w:val="26"/>
          <w:szCs w:val="26"/>
        </w:rPr>
        <w:t xml:space="preserve">:    </w:t>
      </w:r>
    </w:p>
    <w:p w14:paraId="39BEE011" w14:textId="77777777" w:rsidR="00470D49" w:rsidRPr="00BF267D" w:rsidRDefault="00470D49" w:rsidP="00470D49">
      <w:pPr>
        <w:pStyle w:val="BodyText"/>
        <w:spacing w:line="242" w:lineRule="auto"/>
        <w:ind w:left="540" w:right="115"/>
        <w:rPr>
          <w:sz w:val="26"/>
          <w:szCs w:val="26"/>
        </w:rPr>
      </w:pPr>
    </w:p>
    <w:p w14:paraId="785B805E" w14:textId="511FE8E6" w:rsidR="00470D49" w:rsidRPr="00BF267D" w:rsidRDefault="00470D49" w:rsidP="00FD3372">
      <w:pPr>
        <w:pStyle w:val="BodyText"/>
        <w:spacing w:line="242" w:lineRule="auto"/>
        <w:ind w:right="115"/>
        <w:rPr>
          <w:rFonts w:ascii="Candara" w:hAnsi="Candara"/>
          <w:sz w:val="26"/>
          <w:szCs w:val="26"/>
        </w:rPr>
      </w:pPr>
      <w:r w:rsidRPr="00BF267D">
        <w:rPr>
          <w:rFonts w:ascii="Candara" w:hAnsi="Candara"/>
          <w:sz w:val="26"/>
          <w:szCs w:val="26"/>
        </w:rPr>
        <w:t xml:space="preserve">MaMHCA believes several subsections 2.02 (1) and (2) (c) need Clarifications and in each </w:t>
      </w:r>
      <w:proofErr w:type="gramStart"/>
      <w:r w:rsidRPr="00BF267D">
        <w:rPr>
          <w:rFonts w:ascii="Candara" w:hAnsi="Candara"/>
          <w:sz w:val="26"/>
          <w:szCs w:val="26"/>
        </w:rPr>
        <w:t>case</w:t>
      </w:r>
      <w:proofErr w:type="gramEnd"/>
      <w:r w:rsidRPr="00BF267D">
        <w:rPr>
          <w:rFonts w:ascii="Candara" w:hAnsi="Candara"/>
          <w:sz w:val="26"/>
          <w:szCs w:val="26"/>
        </w:rPr>
        <w:t xml:space="preserve"> we offer a recommendation:</w:t>
      </w:r>
    </w:p>
    <w:p w14:paraId="03F437DC" w14:textId="76CFB638" w:rsidR="00370E59" w:rsidRDefault="00470D49" w:rsidP="00C24E39">
      <w:pPr>
        <w:pStyle w:val="ListParagraph"/>
        <w:widowControl w:val="0"/>
        <w:numPr>
          <w:ilvl w:val="4"/>
          <w:numId w:val="3"/>
        </w:numPr>
        <w:tabs>
          <w:tab w:val="left" w:pos="1800"/>
        </w:tabs>
        <w:autoSpaceDE w:val="0"/>
        <w:autoSpaceDN w:val="0"/>
        <w:spacing w:before="1" w:line="237" w:lineRule="auto"/>
        <w:ind w:left="1260" w:right="117"/>
        <w:contextualSpacing w:val="0"/>
        <w:rPr>
          <w:b/>
          <w:bCs/>
        </w:rPr>
      </w:pPr>
      <w:r w:rsidRPr="00BF267D">
        <w:rPr>
          <w:sz w:val="26"/>
          <w:szCs w:val="26"/>
        </w:rPr>
        <w:t>In applying to be an LMHC, we recommend that</w:t>
      </w:r>
      <w:r w:rsidR="00370E59">
        <w:t xml:space="preserve"> </w:t>
      </w:r>
      <w:r w:rsidR="00C24E39">
        <w:rPr>
          <w:b/>
          <w:bCs/>
        </w:rPr>
        <w:t>a</w:t>
      </w:r>
      <w:r w:rsidRPr="00470D49">
        <w:rPr>
          <w:b/>
          <w:bCs/>
        </w:rPr>
        <w:t xml:space="preserve"> valid LSMHC license can serve to replace transcripts, </w:t>
      </w:r>
      <w:proofErr w:type="spellStart"/>
      <w:r w:rsidRPr="00470D49">
        <w:rPr>
          <w:b/>
          <w:bCs/>
        </w:rPr>
        <w:t>etc</w:t>
      </w:r>
      <w:proofErr w:type="spellEnd"/>
      <w:r w:rsidRPr="00470D49">
        <w:rPr>
          <w:b/>
          <w:bCs/>
        </w:rPr>
        <w:t xml:space="preserve">; in the application for </w:t>
      </w:r>
      <w:r w:rsidR="00D05318">
        <w:rPr>
          <w:b/>
          <w:bCs/>
        </w:rPr>
        <w:t xml:space="preserve">the </w:t>
      </w:r>
      <w:r w:rsidRPr="00470D49">
        <w:rPr>
          <w:b/>
          <w:bCs/>
        </w:rPr>
        <w:t>LMHC</w:t>
      </w:r>
    </w:p>
    <w:p w14:paraId="77E8CEF6" w14:textId="25853FFB" w:rsidR="00470D49" w:rsidRDefault="00470D49" w:rsidP="00370E59">
      <w:pPr>
        <w:pStyle w:val="ListParagraph"/>
        <w:widowControl w:val="0"/>
        <w:tabs>
          <w:tab w:val="left" w:pos="1800"/>
        </w:tabs>
        <w:autoSpaceDE w:val="0"/>
        <w:autoSpaceDN w:val="0"/>
        <w:spacing w:before="1" w:line="237" w:lineRule="auto"/>
        <w:ind w:left="2300" w:right="117"/>
        <w:contextualSpacing w:val="0"/>
        <w:rPr>
          <w:b/>
          <w:bCs/>
        </w:rPr>
      </w:pPr>
      <w:r w:rsidRPr="00470D49">
        <w:rPr>
          <w:b/>
          <w:bCs/>
        </w:rPr>
        <w:t xml:space="preserve"> </w:t>
      </w:r>
    </w:p>
    <w:p w14:paraId="028F0196" w14:textId="6C1CE0C0" w:rsidR="00355EB3" w:rsidRPr="0012329E" w:rsidRDefault="00370E59" w:rsidP="0012329E">
      <w:pPr>
        <w:pStyle w:val="ListParagraph"/>
        <w:widowControl w:val="0"/>
        <w:numPr>
          <w:ilvl w:val="4"/>
          <w:numId w:val="3"/>
        </w:numPr>
        <w:tabs>
          <w:tab w:val="left" w:pos="1800"/>
        </w:tabs>
        <w:autoSpaceDE w:val="0"/>
        <w:autoSpaceDN w:val="0"/>
        <w:spacing w:before="1" w:line="237" w:lineRule="auto"/>
        <w:ind w:left="1260" w:right="117"/>
        <w:contextualSpacing w:val="0"/>
        <w:rPr>
          <w:b/>
          <w:bCs/>
        </w:rPr>
      </w:pPr>
      <w:r w:rsidRPr="00370E59">
        <w:rPr>
          <w:b/>
          <w:bCs/>
        </w:rPr>
        <w:t>The Board exam, if taken for the LSMHC, DOES NOT need to be re-taken for the LMHC; OR An Initial examination would be on Jurisprudence</w:t>
      </w:r>
      <w:r w:rsidR="00D05318">
        <w:rPr>
          <w:b/>
          <w:bCs/>
        </w:rPr>
        <w:t xml:space="preserve">; the second exam </w:t>
      </w:r>
    </w:p>
    <w:p w14:paraId="7B3B657C" w14:textId="488ACBA9" w:rsidR="00370E59" w:rsidRPr="00370E59" w:rsidRDefault="00D05318" w:rsidP="00355EB3">
      <w:pPr>
        <w:pStyle w:val="ListParagraph"/>
        <w:widowControl w:val="0"/>
        <w:tabs>
          <w:tab w:val="left" w:pos="1800"/>
        </w:tabs>
        <w:autoSpaceDE w:val="0"/>
        <w:autoSpaceDN w:val="0"/>
        <w:spacing w:before="1" w:line="237" w:lineRule="auto"/>
        <w:ind w:left="1260" w:right="117"/>
        <w:contextualSpacing w:val="0"/>
        <w:rPr>
          <w:b/>
          <w:bCs/>
        </w:rPr>
      </w:pPr>
      <w:r>
        <w:rPr>
          <w:b/>
          <w:bCs/>
        </w:rPr>
        <w:t>continue to be the NCMHCE.</w:t>
      </w:r>
    </w:p>
    <w:p w14:paraId="05AD74F5" w14:textId="77777777" w:rsidR="00370E59" w:rsidRDefault="00370E59" w:rsidP="00370E59">
      <w:pPr>
        <w:pStyle w:val="BodyText"/>
        <w:spacing w:line="242" w:lineRule="auto"/>
        <w:ind w:left="541" w:right="115"/>
        <w:rPr>
          <w:rFonts w:ascii="Candara" w:hAnsi="Candara"/>
        </w:rPr>
      </w:pPr>
    </w:p>
    <w:p w14:paraId="7BFEE8FB" w14:textId="77777777" w:rsidR="0012329E" w:rsidRDefault="0012329E" w:rsidP="00C24E39">
      <w:pPr>
        <w:pStyle w:val="BodyText"/>
        <w:spacing w:line="242" w:lineRule="auto"/>
        <w:ind w:right="115"/>
        <w:rPr>
          <w:rFonts w:ascii="Candara" w:hAnsi="Candara"/>
          <w:sz w:val="26"/>
          <w:szCs w:val="26"/>
        </w:rPr>
      </w:pPr>
    </w:p>
    <w:p w14:paraId="65C2931D" w14:textId="2AE706DC" w:rsidR="003B3F92" w:rsidRDefault="00370E59" w:rsidP="00C24E39">
      <w:pPr>
        <w:pStyle w:val="BodyText"/>
        <w:spacing w:line="242" w:lineRule="auto"/>
        <w:ind w:right="115"/>
        <w:rPr>
          <w:rFonts w:ascii="Candara" w:hAnsi="Candara"/>
          <w:sz w:val="26"/>
          <w:szCs w:val="26"/>
        </w:rPr>
      </w:pPr>
      <w:r w:rsidRPr="00BF267D">
        <w:rPr>
          <w:rFonts w:ascii="Candara" w:hAnsi="Candara"/>
          <w:sz w:val="26"/>
          <w:szCs w:val="26"/>
        </w:rPr>
        <w:t xml:space="preserve">There is no clearly defined timeline for the LSMHC to become a required credential.  As written, it appears this will always remain an option, not a requirement.  This was NOT the </w:t>
      </w:r>
    </w:p>
    <w:p w14:paraId="01445179" w14:textId="6636F785" w:rsidR="00370E59" w:rsidRPr="00BF267D" w:rsidRDefault="00370E59" w:rsidP="00C24E39">
      <w:pPr>
        <w:pStyle w:val="BodyText"/>
        <w:spacing w:line="242" w:lineRule="auto"/>
        <w:ind w:right="115"/>
        <w:rPr>
          <w:rFonts w:ascii="Candara" w:hAnsi="Candara"/>
          <w:sz w:val="26"/>
          <w:szCs w:val="26"/>
        </w:rPr>
      </w:pPr>
      <w:r w:rsidRPr="00BF267D">
        <w:rPr>
          <w:rFonts w:ascii="Candara" w:hAnsi="Candara"/>
          <w:sz w:val="26"/>
          <w:szCs w:val="26"/>
        </w:rPr>
        <w:t>intent of the law. (Chapter 177) Can this be clarified?</w:t>
      </w:r>
    </w:p>
    <w:p w14:paraId="12EF62A8" w14:textId="77777777" w:rsidR="00370E59" w:rsidRDefault="00370E59" w:rsidP="00370E59">
      <w:pPr>
        <w:pStyle w:val="BodyText"/>
        <w:spacing w:line="242" w:lineRule="auto"/>
        <w:ind w:right="115"/>
        <w:rPr>
          <w:rFonts w:ascii="Candara" w:hAnsi="Candara"/>
        </w:rPr>
      </w:pPr>
    </w:p>
    <w:p w14:paraId="4C9F64FF" w14:textId="77777777" w:rsidR="00370E59" w:rsidRPr="00370E59" w:rsidRDefault="00370E59" w:rsidP="00C24E39">
      <w:pPr>
        <w:pStyle w:val="ListParagraph"/>
        <w:widowControl w:val="0"/>
        <w:numPr>
          <w:ilvl w:val="4"/>
          <w:numId w:val="4"/>
        </w:numPr>
        <w:tabs>
          <w:tab w:val="left" w:pos="1800"/>
        </w:tabs>
        <w:autoSpaceDE w:val="0"/>
        <w:autoSpaceDN w:val="0"/>
        <w:spacing w:before="1" w:line="237" w:lineRule="auto"/>
        <w:ind w:left="990" w:right="117"/>
        <w:contextualSpacing w:val="0"/>
      </w:pPr>
      <w:r w:rsidRPr="00370E59">
        <w:rPr>
          <w:b/>
          <w:bCs/>
        </w:rPr>
        <w:t xml:space="preserve">When will the LSMHC become mandatory to initiate </w:t>
      </w:r>
      <w:proofErr w:type="gramStart"/>
      <w:r w:rsidRPr="00370E59">
        <w:rPr>
          <w:b/>
          <w:bCs/>
        </w:rPr>
        <w:t>Post-MA</w:t>
      </w:r>
      <w:proofErr w:type="gramEnd"/>
      <w:r w:rsidRPr="00370E59">
        <w:rPr>
          <w:b/>
          <w:bCs/>
        </w:rPr>
        <w:t xml:space="preserve"> work/ (in 2 years?)</w:t>
      </w:r>
    </w:p>
    <w:p w14:paraId="19F25904" w14:textId="77777777" w:rsidR="00370E59" w:rsidRPr="00370E59" w:rsidRDefault="00370E59" w:rsidP="00370E59">
      <w:pPr>
        <w:pStyle w:val="ListParagraph"/>
      </w:pPr>
    </w:p>
    <w:p w14:paraId="014DA1C8" w14:textId="77777777" w:rsidR="00370E59" w:rsidRPr="00370E59" w:rsidRDefault="00370E59" w:rsidP="00C24E39">
      <w:pPr>
        <w:pStyle w:val="ListParagraph"/>
        <w:widowControl w:val="0"/>
        <w:numPr>
          <w:ilvl w:val="4"/>
          <w:numId w:val="4"/>
        </w:numPr>
        <w:tabs>
          <w:tab w:val="left" w:pos="1800"/>
        </w:tabs>
        <w:autoSpaceDE w:val="0"/>
        <w:autoSpaceDN w:val="0"/>
        <w:spacing w:before="1" w:line="237" w:lineRule="auto"/>
        <w:ind w:left="990" w:right="117"/>
        <w:contextualSpacing w:val="0"/>
        <w:rPr>
          <w:b/>
          <w:bCs/>
        </w:rPr>
      </w:pPr>
      <w:r w:rsidRPr="00370E59">
        <w:rPr>
          <w:b/>
          <w:bCs/>
        </w:rPr>
        <w:t>How long can they hold the LSMHC until LMHC becomes mandatory? Is this the 2-8 years?</w:t>
      </w:r>
    </w:p>
    <w:p w14:paraId="682D2CD1" w14:textId="77777777" w:rsidR="00370E59" w:rsidRDefault="00370E59" w:rsidP="00370E59">
      <w:pPr>
        <w:pStyle w:val="BodyText"/>
        <w:spacing w:line="242" w:lineRule="auto"/>
        <w:ind w:right="115"/>
        <w:rPr>
          <w:rFonts w:ascii="Candara" w:hAnsi="Candara"/>
        </w:rPr>
      </w:pPr>
    </w:p>
    <w:p w14:paraId="3A48AA12" w14:textId="2E6409CA" w:rsidR="00DE64DC" w:rsidRPr="0027182B" w:rsidRDefault="00370E59" w:rsidP="00C24E39">
      <w:pPr>
        <w:pStyle w:val="BodyText"/>
        <w:spacing w:line="242" w:lineRule="auto"/>
        <w:ind w:right="115"/>
        <w:rPr>
          <w:rFonts w:ascii="Candara" w:hAnsi="Candara"/>
          <w:sz w:val="26"/>
          <w:szCs w:val="26"/>
        </w:rPr>
      </w:pPr>
      <w:r w:rsidRPr="00BF267D">
        <w:rPr>
          <w:rFonts w:ascii="Candara" w:hAnsi="Candara"/>
          <w:sz w:val="26"/>
          <w:szCs w:val="26"/>
        </w:rPr>
        <w:t>We suggest adding a definitive 2-year grandparenting period from date of implementation, to avoid confusion and conform to the law</w:t>
      </w:r>
      <w:r w:rsidR="00791FC0" w:rsidRPr="00BF267D">
        <w:rPr>
          <w:rFonts w:ascii="Candara" w:hAnsi="Candara"/>
          <w:sz w:val="26"/>
          <w:szCs w:val="26"/>
        </w:rPr>
        <w:t>.</w:t>
      </w:r>
    </w:p>
    <w:p w14:paraId="667B6A12" w14:textId="77777777" w:rsidR="00DE64DC" w:rsidRDefault="00DE64DC" w:rsidP="00C24E39">
      <w:pPr>
        <w:pStyle w:val="BodyText"/>
        <w:spacing w:line="242" w:lineRule="auto"/>
        <w:ind w:right="115"/>
        <w:rPr>
          <w:rFonts w:ascii="Candara" w:hAnsi="Candara"/>
        </w:rPr>
      </w:pPr>
    </w:p>
    <w:p w14:paraId="0A43E787" w14:textId="36188A38" w:rsidR="00281047" w:rsidRPr="00355EB3" w:rsidRDefault="00D3417F" w:rsidP="00C24E39">
      <w:pPr>
        <w:pStyle w:val="BodyText"/>
        <w:spacing w:line="242" w:lineRule="auto"/>
        <w:ind w:right="115"/>
        <w:rPr>
          <w:rFonts w:ascii="Candara" w:hAnsi="Candara"/>
          <w:sz w:val="26"/>
          <w:szCs w:val="26"/>
        </w:rPr>
      </w:pPr>
      <w:r w:rsidRPr="00355EB3">
        <w:rPr>
          <w:rFonts w:ascii="Candara" w:hAnsi="Candara"/>
          <w:sz w:val="26"/>
          <w:szCs w:val="26"/>
        </w:rPr>
        <w:t xml:space="preserve">For section 2.03 (3) on reciprocal recognition, please add a heading: </w:t>
      </w:r>
      <w:r w:rsidRPr="00355EB3">
        <w:rPr>
          <w:rFonts w:ascii="Candara" w:hAnsi="Candara"/>
          <w:b/>
          <w:bCs/>
          <w:sz w:val="26"/>
          <w:szCs w:val="26"/>
          <w:u w:val="single"/>
        </w:rPr>
        <w:t>Reciprocal Recognition</w:t>
      </w:r>
      <w:r w:rsidRPr="00355EB3">
        <w:rPr>
          <w:rFonts w:ascii="Candara" w:hAnsi="Candara"/>
          <w:sz w:val="26"/>
          <w:szCs w:val="26"/>
        </w:rPr>
        <w:t xml:space="preserve">. And </w:t>
      </w:r>
    </w:p>
    <w:p w14:paraId="7196B91F" w14:textId="6A15E98D" w:rsidR="00D3417F" w:rsidRPr="00355EB3" w:rsidRDefault="00D3417F" w:rsidP="00C24E39">
      <w:pPr>
        <w:pStyle w:val="BodyText"/>
        <w:spacing w:line="242" w:lineRule="auto"/>
        <w:ind w:right="115"/>
        <w:rPr>
          <w:rFonts w:ascii="Candara" w:hAnsi="Candara"/>
          <w:sz w:val="26"/>
          <w:szCs w:val="26"/>
        </w:rPr>
      </w:pPr>
      <w:r w:rsidRPr="00355EB3">
        <w:rPr>
          <w:rFonts w:ascii="Candara" w:hAnsi="Candara"/>
          <w:sz w:val="26"/>
          <w:szCs w:val="26"/>
        </w:rPr>
        <w:t>perhaps this would need to be added to the definition section as well.</w:t>
      </w:r>
    </w:p>
    <w:p w14:paraId="0B67DF30" w14:textId="77777777" w:rsidR="00D3417F" w:rsidRPr="00355EB3" w:rsidRDefault="00D3417F" w:rsidP="00370E59">
      <w:pPr>
        <w:pStyle w:val="BodyText"/>
        <w:spacing w:line="242" w:lineRule="auto"/>
        <w:ind w:left="541" w:right="115"/>
        <w:rPr>
          <w:rFonts w:ascii="Candara" w:hAnsi="Candara"/>
          <w:sz w:val="26"/>
          <w:szCs w:val="26"/>
        </w:rPr>
      </w:pPr>
    </w:p>
    <w:p w14:paraId="35F2FEA8" w14:textId="25B1CC66" w:rsidR="00D3417F" w:rsidRPr="00355EB3" w:rsidRDefault="00D3417F" w:rsidP="00C24E39">
      <w:pPr>
        <w:pStyle w:val="BodyText"/>
        <w:spacing w:line="242" w:lineRule="auto"/>
        <w:rPr>
          <w:rFonts w:ascii="Candara" w:hAnsi="Candara"/>
          <w:sz w:val="26"/>
          <w:szCs w:val="26"/>
        </w:rPr>
      </w:pPr>
      <w:r w:rsidRPr="00355EB3">
        <w:rPr>
          <w:rFonts w:ascii="Candara" w:hAnsi="Candara"/>
          <w:sz w:val="26"/>
          <w:szCs w:val="26"/>
        </w:rPr>
        <w:t xml:space="preserve">It does seem the numbering of sections need to be revised after section 2.03 through current 2.08, </w:t>
      </w:r>
      <w:r w:rsidR="0035679C" w:rsidRPr="00355EB3">
        <w:rPr>
          <w:sz w:val="26"/>
          <w:szCs w:val="26"/>
          <w:u w:val="single"/>
        </w:rPr>
        <w:t>Post-Master's Degree Clinical Field Experience Requirements</w:t>
      </w:r>
      <w:r w:rsidR="0035679C" w:rsidRPr="00355EB3">
        <w:rPr>
          <w:rFonts w:ascii="Candara" w:hAnsi="Candara"/>
          <w:sz w:val="26"/>
          <w:szCs w:val="26"/>
        </w:rPr>
        <w:t xml:space="preserve"> </w:t>
      </w:r>
      <w:r w:rsidRPr="00355EB3">
        <w:rPr>
          <w:rFonts w:ascii="Candara" w:hAnsi="Candara"/>
          <w:sz w:val="26"/>
          <w:szCs w:val="26"/>
        </w:rPr>
        <w:t>which would become 2.07</w:t>
      </w:r>
    </w:p>
    <w:p w14:paraId="5EA80A66" w14:textId="77777777" w:rsidR="00D3417F" w:rsidRPr="00355EB3" w:rsidRDefault="00D3417F" w:rsidP="00370E59">
      <w:pPr>
        <w:pStyle w:val="BodyText"/>
        <w:spacing w:line="242" w:lineRule="auto"/>
        <w:ind w:left="541" w:right="115"/>
        <w:rPr>
          <w:rFonts w:ascii="Candara" w:hAnsi="Candara"/>
          <w:sz w:val="26"/>
          <w:szCs w:val="26"/>
        </w:rPr>
      </w:pPr>
    </w:p>
    <w:p w14:paraId="49D79660" w14:textId="40F8C1F9" w:rsidR="0035679C" w:rsidRPr="00355EB3" w:rsidRDefault="00D3417F" w:rsidP="00C24E39">
      <w:pPr>
        <w:widowControl w:val="0"/>
        <w:tabs>
          <w:tab w:val="left" w:pos="1752"/>
        </w:tabs>
        <w:autoSpaceDE w:val="0"/>
        <w:autoSpaceDN w:val="0"/>
        <w:spacing w:line="242" w:lineRule="auto"/>
        <w:ind w:right="116"/>
        <w:jc w:val="both"/>
        <w:rPr>
          <w:sz w:val="26"/>
          <w:szCs w:val="26"/>
          <w:u w:val="single"/>
        </w:rPr>
      </w:pPr>
      <w:r w:rsidRPr="00355EB3">
        <w:rPr>
          <w:sz w:val="26"/>
          <w:szCs w:val="26"/>
        </w:rPr>
        <w:t>With the revised numbering, we stron</w:t>
      </w:r>
      <w:r w:rsidR="0035679C" w:rsidRPr="00355EB3">
        <w:rPr>
          <w:sz w:val="26"/>
          <w:szCs w:val="26"/>
        </w:rPr>
        <w:t>g</w:t>
      </w:r>
      <w:r w:rsidRPr="00355EB3">
        <w:rPr>
          <w:sz w:val="26"/>
          <w:szCs w:val="26"/>
        </w:rPr>
        <w:t>ly recommend adding to</w:t>
      </w:r>
      <w:r w:rsidR="007631CB">
        <w:rPr>
          <w:sz w:val="26"/>
          <w:szCs w:val="26"/>
        </w:rPr>
        <w:t xml:space="preserve"> the </w:t>
      </w:r>
      <w:r w:rsidRPr="00355EB3">
        <w:rPr>
          <w:sz w:val="26"/>
          <w:szCs w:val="26"/>
        </w:rPr>
        <w:t>new 2.06:</w:t>
      </w:r>
      <w:r w:rsidR="0035679C" w:rsidRPr="00355EB3">
        <w:rPr>
          <w:sz w:val="26"/>
          <w:szCs w:val="26"/>
        </w:rPr>
        <w:t xml:space="preserve"> </w:t>
      </w:r>
      <w:r w:rsidR="0035679C" w:rsidRPr="00355EB3">
        <w:rPr>
          <w:sz w:val="26"/>
          <w:szCs w:val="26"/>
          <w:u w:val="single"/>
        </w:rPr>
        <w:t>Post-Master's Degree Clinical Field Experience Requirements:</w:t>
      </w:r>
    </w:p>
    <w:p w14:paraId="062C4709" w14:textId="77777777" w:rsidR="0035679C" w:rsidRDefault="0035679C" w:rsidP="00D3417F">
      <w:pPr>
        <w:widowControl w:val="0"/>
        <w:tabs>
          <w:tab w:val="left" w:pos="1752"/>
        </w:tabs>
        <w:autoSpaceDE w:val="0"/>
        <w:autoSpaceDN w:val="0"/>
        <w:spacing w:line="242" w:lineRule="auto"/>
        <w:ind w:left="540" w:right="116"/>
        <w:jc w:val="both"/>
      </w:pPr>
    </w:p>
    <w:p w14:paraId="6AAC2BF3" w14:textId="273B9DA6" w:rsidR="00D3417F" w:rsidRPr="00D3417F" w:rsidRDefault="0035679C" w:rsidP="00C24E39">
      <w:pPr>
        <w:widowControl w:val="0"/>
        <w:autoSpaceDE w:val="0"/>
        <w:autoSpaceDN w:val="0"/>
        <w:spacing w:line="242" w:lineRule="auto"/>
        <w:ind w:left="810" w:right="116"/>
        <w:jc w:val="both"/>
        <w:rPr>
          <w:b/>
          <w:bCs/>
        </w:rPr>
      </w:pPr>
      <w:r>
        <w:t>5.</w:t>
      </w:r>
      <w:r w:rsidR="00D3417F">
        <w:t xml:space="preserve"> </w:t>
      </w:r>
      <w:r w:rsidR="00D3417F" w:rsidRPr="00D3417F">
        <w:rPr>
          <w:b/>
          <w:bCs/>
        </w:rPr>
        <w:t>Supervisors must conduct regular evaluations of the supervisee's performance throughout the experience including a formal evaluation upon completion of the experience. Such evaluations shall include but not be limited to direct observation and review of process notes.</w:t>
      </w:r>
    </w:p>
    <w:p w14:paraId="6A221E91" w14:textId="77777777" w:rsidR="00327B13" w:rsidRDefault="00327B13" w:rsidP="00327B13">
      <w:pPr>
        <w:pStyle w:val="BodyText"/>
        <w:spacing w:line="242" w:lineRule="auto"/>
        <w:ind w:right="115"/>
        <w:rPr>
          <w:rFonts w:ascii="Candara" w:hAnsi="Candara"/>
        </w:rPr>
      </w:pPr>
    </w:p>
    <w:p w14:paraId="3DC27350" w14:textId="644268E6" w:rsidR="00DF481F" w:rsidRDefault="00327B13" w:rsidP="00C24E39">
      <w:pPr>
        <w:pStyle w:val="BodyText"/>
        <w:spacing w:line="242" w:lineRule="auto"/>
        <w:ind w:right="115"/>
        <w:rPr>
          <w:rFonts w:ascii="Candara" w:hAnsi="Candara"/>
          <w:sz w:val="26"/>
          <w:szCs w:val="26"/>
        </w:rPr>
      </w:pPr>
      <w:r w:rsidRPr="0027182B">
        <w:rPr>
          <w:rFonts w:ascii="Candara" w:hAnsi="Candara"/>
          <w:sz w:val="26"/>
          <w:szCs w:val="26"/>
        </w:rPr>
        <w:t xml:space="preserve">Under Section 2.07, </w:t>
      </w:r>
      <w:r w:rsidRPr="0027182B">
        <w:rPr>
          <w:sz w:val="26"/>
          <w:szCs w:val="26"/>
          <w:u w:val="single"/>
        </w:rPr>
        <w:t xml:space="preserve">Supervision by Licensed Mental Health Counselors, </w:t>
      </w:r>
      <w:r w:rsidR="00E74232" w:rsidRPr="0027182B">
        <w:rPr>
          <w:rFonts w:ascii="Candara" w:hAnsi="Candara"/>
          <w:sz w:val="26"/>
          <w:szCs w:val="26"/>
        </w:rPr>
        <w:t>w</w:t>
      </w:r>
      <w:r w:rsidRPr="0027182B">
        <w:rPr>
          <w:rFonts w:ascii="Candara" w:hAnsi="Candara"/>
          <w:sz w:val="26"/>
          <w:szCs w:val="26"/>
        </w:rPr>
        <w:t xml:space="preserve">e strongly recommend that the number of supervision hours required by an LMHC be </w:t>
      </w:r>
      <w:r w:rsidR="007631CB">
        <w:rPr>
          <w:rFonts w:ascii="Candara" w:hAnsi="Candara"/>
          <w:sz w:val="26"/>
          <w:szCs w:val="26"/>
        </w:rPr>
        <w:t>increased</w:t>
      </w:r>
      <w:r w:rsidRPr="0027182B">
        <w:rPr>
          <w:rFonts w:ascii="Candara" w:hAnsi="Candara"/>
          <w:sz w:val="26"/>
          <w:szCs w:val="26"/>
        </w:rPr>
        <w:t xml:space="preserve"> from 75 hours to at least 100 hours</w:t>
      </w:r>
      <w:r w:rsidR="00332373">
        <w:rPr>
          <w:rFonts w:ascii="Candara" w:hAnsi="Candara"/>
          <w:sz w:val="26"/>
          <w:szCs w:val="26"/>
        </w:rPr>
        <w:t xml:space="preserve"> in the first year of implementation</w:t>
      </w:r>
      <w:r w:rsidR="00DF481F">
        <w:rPr>
          <w:rFonts w:ascii="Candara" w:hAnsi="Candara"/>
          <w:sz w:val="26"/>
          <w:szCs w:val="26"/>
        </w:rPr>
        <w:t xml:space="preserve"> of these regulations, and to</w:t>
      </w:r>
      <w:r w:rsidRPr="0027182B">
        <w:rPr>
          <w:rFonts w:ascii="Candara" w:hAnsi="Candara"/>
          <w:sz w:val="26"/>
          <w:szCs w:val="26"/>
        </w:rPr>
        <w:t xml:space="preserve"> the full 200 hours</w:t>
      </w:r>
      <w:r w:rsidR="00DF481F">
        <w:rPr>
          <w:rFonts w:ascii="Candara" w:hAnsi="Candara"/>
          <w:sz w:val="26"/>
          <w:szCs w:val="26"/>
        </w:rPr>
        <w:t xml:space="preserve"> at the end of the 2-year grandparenting/grace period. </w:t>
      </w:r>
    </w:p>
    <w:p w14:paraId="7EA8E046" w14:textId="77777777" w:rsidR="00DF481F" w:rsidRDefault="00DF481F" w:rsidP="00C24E39">
      <w:pPr>
        <w:pStyle w:val="BodyText"/>
        <w:spacing w:line="242" w:lineRule="auto"/>
        <w:ind w:right="115"/>
        <w:rPr>
          <w:rFonts w:ascii="Candara" w:hAnsi="Candara"/>
          <w:sz w:val="26"/>
          <w:szCs w:val="26"/>
        </w:rPr>
      </w:pPr>
    </w:p>
    <w:p w14:paraId="6344196D" w14:textId="72A423C9" w:rsidR="00327B13" w:rsidRPr="0027182B" w:rsidRDefault="00DF481F" w:rsidP="00C24E39">
      <w:pPr>
        <w:pStyle w:val="BodyText"/>
        <w:spacing w:line="242" w:lineRule="auto"/>
        <w:ind w:right="115"/>
        <w:rPr>
          <w:rFonts w:ascii="Candara" w:hAnsi="Candara"/>
          <w:sz w:val="26"/>
          <w:szCs w:val="26"/>
        </w:rPr>
      </w:pPr>
      <w:r>
        <w:rPr>
          <w:rFonts w:ascii="Candara" w:hAnsi="Candara"/>
          <w:sz w:val="26"/>
          <w:szCs w:val="26"/>
        </w:rPr>
        <w:t>T</w:t>
      </w:r>
      <w:r w:rsidR="00327B13" w:rsidRPr="0027182B">
        <w:rPr>
          <w:rFonts w:ascii="Candara" w:hAnsi="Candara"/>
          <w:sz w:val="26"/>
          <w:szCs w:val="26"/>
        </w:rPr>
        <w:t xml:space="preserve">here </w:t>
      </w:r>
      <w:r>
        <w:rPr>
          <w:rFonts w:ascii="Candara" w:hAnsi="Candara"/>
          <w:sz w:val="26"/>
          <w:szCs w:val="26"/>
        </w:rPr>
        <w:t xml:space="preserve">are </w:t>
      </w:r>
      <w:r w:rsidR="00327B13" w:rsidRPr="0027182B">
        <w:rPr>
          <w:rFonts w:ascii="Candara" w:hAnsi="Candara"/>
          <w:sz w:val="26"/>
          <w:szCs w:val="26"/>
        </w:rPr>
        <w:t>now at least 10,938 LMHCs in Massachusetts, who could be, or have a path to becoming Approved Supervisors</w:t>
      </w:r>
      <w:r>
        <w:rPr>
          <w:rFonts w:ascii="Candara" w:hAnsi="Candara"/>
          <w:sz w:val="26"/>
          <w:szCs w:val="26"/>
        </w:rPr>
        <w:t xml:space="preserve"> and could fulfill this requirement</w:t>
      </w:r>
      <w:r w:rsidR="00B2626C" w:rsidRPr="0027182B">
        <w:rPr>
          <w:rFonts w:ascii="Candara" w:hAnsi="Candara"/>
          <w:sz w:val="26"/>
          <w:szCs w:val="26"/>
        </w:rPr>
        <w:t>.</w:t>
      </w:r>
    </w:p>
    <w:p w14:paraId="4B6A78F4" w14:textId="77777777" w:rsidR="00A9736F" w:rsidRDefault="00A9736F" w:rsidP="00E74232">
      <w:pPr>
        <w:pStyle w:val="BodyText"/>
        <w:spacing w:line="242" w:lineRule="auto"/>
        <w:ind w:right="115"/>
        <w:rPr>
          <w:rFonts w:ascii="Candara" w:hAnsi="Candara"/>
        </w:rPr>
      </w:pPr>
    </w:p>
    <w:p w14:paraId="058E2956" w14:textId="59E7CE6C" w:rsidR="007631CB" w:rsidRDefault="00C17E2C" w:rsidP="00C24E39">
      <w:pPr>
        <w:pStyle w:val="BodyText"/>
        <w:spacing w:line="242" w:lineRule="auto"/>
        <w:ind w:right="115"/>
        <w:rPr>
          <w:rFonts w:ascii="Candara" w:hAnsi="Candara"/>
          <w:b/>
          <w:bCs/>
          <w:sz w:val="28"/>
          <w:szCs w:val="28"/>
        </w:rPr>
      </w:pPr>
      <w:r w:rsidRPr="00B25BC5">
        <w:rPr>
          <w:rFonts w:ascii="Candara" w:hAnsi="Candara"/>
          <w:b/>
          <w:bCs/>
          <w:sz w:val="28"/>
          <w:szCs w:val="28"/>
        </w:rPr>
        <w:t>Further Items Needing Attention</w:t>
      </w:r>
      <w:r w:rsidR="00A9736F" w:rsidRPr="00B25BC5">
        <w:rPr>
          <w:rFonts w:ascii="Candara" w:hAnsi="Candara"/>
          <w:b/>
          <w:bCs/>
          <w:sz w:val="28"/>
          <w:szCs w:val="28"/>
        </w:rPr>
        <w:t>:</w:t>
      </w:r>
    </w:p>
    <w:p w14:paraId="30422AFD" w14:textId="77777777" w:rsidR="00CC2AC7" w:rsidRPr="00CC2AC7" w:rsidRDefault="00CC2AC7" w:rsidP="00C24E39">
      <w:pPr>
        <w:pStyle w:val="BodyText"/>
        <w:spacing w:line="242" w:lineRule="auto"/>
        <w:ind w:right="115"/>
        <w:rPr>
          <w:rFonts w:ascii="Candara" w:hAnsi="Candara"/>
          <w:b/>
          <w:bCs/>
          <w:sz w:val="28"/>
          <w:szCs w:val="28"/>
        </w:rPr>
      </w:pPr>
    </w:p>
    <w:p w14:paraId="5BA93FE3" w14:textId="6C16C0D5" w:rsidR="00A6612C" w:rsidRDefault="00A6612C" w:rsidP="00C24E39">
      <w:pPr>
        <w:pStyle w:val="BodyText"/>
        <w:spacing w:line="242" w:lineRule="auto"/>
        <w:ind w:right="115"/>
        <w:rPr>
          <w:rFonts w:ascii="Candara" w:hAnsi="Candara"/>
          <w:sz w:val="26"/>
          <w:szCs w:val="26"/>
        </w:rPr>
      </w:pPr>
      <w:r w:rsidRPr="00FA6BFA">
        <w:rPr>
          <w:rFonts w:ascii="Candara" w:hAnsi="Candara"/>
          <w:sz w:val="26"/>
          <w:szCs w:val="26"/>
        </w:rPr>
        <w:t>These issues</w:t>
      </w:r>
      <w:r w:rsidR="007631CB">
        <w:rPr>
          <w:rFonts w:ascii="Candara" w:hAnsi="Candara"/>
          <w:sz w:val="26"/>
          <w:szCs w:val="26"/>
        </w:rPr>
        <w:t xml:space="preserve"> below</w:t>
      </w:r>
      <w:r w:rsidRPr="00FA6BFA">
        <w:rPr>
          <w:rFonts w:ascii="Candara" w:hAnsi="Candara"/>
          <w:sz w:val="26"/>
          <w:szCs w:val="26"/>
        </w:rPr>
        <w:t xml:space="preserve"> are not directly addressed in these</w:t>
      </w:r>
      <w:r w:rsidR="00FA6BFA">
        <w:rPr>
          <w:rFonts w:ascii="Candara" w:hAnsi="Candara"/>
          <w:sz w:val="26"/>
          <w:szCs w:val="26"/>
        </w:rPr>
        <w:t xml:space="preserve"> proposed</w:t>
      </w:r>
      <w:r w:rsidRPr="00FA6BFA">
        <w:rPr>
          <w:rFonts w:ascii="Candara" w:hAnsi="Candara"/>
          <w:sz w:val="26"/>
          <w:szCs w:val="26"/>
        </w:rPr>
        <w:t xml:space="preserve"> regulations. We are suggesting they do need to be addressed: They include:</w:t>
      </w:r>
    </w:p>
    <w:p w14:paraId="1795B308" w14:textId="77777777" w:rsidR="00CC2AC7" w:rsidRPr="00FA6BFA" w:rsidRDefault="00CC2AC7" w:rsidP="00C24E39">
      <w:pPr>
        <w:pStyle w:val="BodyText"/>
        <w:spacing w:line="242" w:lineRule="auto"/>
        <w:ind w:right="115"/>
        <w:rPr>
          <w:rFonts w:ascii="Candara" w:hAnsi="Candara"/>
          <w:sz w:val="26"/>
          <w:szCs w:val="26"/>
        </w:rPr>
      </w:pPr>
    </w:p>
    <w:p w14:paraId="0704DDC8" w14:textId="6F50A4FE" w:rsidR="00A6612C" w:rsidRPr="00A6612C" w:rsidRDefault="00A6612C" w:rsidP="00A6612C">
      <w:pPr>
        <w:numPr>
          <w:ilvl w:val="1"/>
          <w:numId w:val="6"/>
        </w:numPr>
        <w:rPr>
          <w:b/>
          <w:bCs/>
        </w:rPr>
      </w:pPr>
      <w:r w:rsidRPr="00A6612C">
        <w:rPr>
          <w:b/>
          <w:bCs/>
        </w:rPr>
        <w:t>Specify</w:t>
      </w:r>
      <w:r>
        <w:rPr>
          <w:b/>
          <w:bCs/>
        </w:rPr>
        <w:t>ing a</w:t>
      </w:r>
      <w:r w:rsidRPr="00A6612C">
        <w:rPr>
          <w:b/>
          <w:bCs/>
        </w:rPr>
        <w:t xml:space="preserve"> timetable for review of Board composition by license type</w:t>
      </w:r>
      <w:r>
        <w:rPr>
          <w:b/>
          <w:bCs/>
        </w:rPr>
        <w:t xml:space="preserve"> to have the appropriate board composition every 2 Years.</w:t>
      </w:r>
    </w:p>
    <w:p w14:paraId="60BCEDDD" w14:textId="77777777" w:rsidR="00A6612C" w:rsidRPr="00A6612C" w:rsidRDefault="00A6612C" w:rsidP="00A6612C">
      <w:pPr>
        <w:numPr>
          <w:ilvl w:val="1"/>
          <w:numId w:val="6"/>
        </w:numPr>
        <w:rPr>
          <w:b/>
          <w:bCs/>
        </w:rPr>
      </w:pPr>
      <w:r w:rsidRPr="00A6612C">
        <w:rPr>
          <w:b/>
          <w:bCs/>
        </w:rPr>
        <w:t>Specify Criteria/Qualifications for vetting prospective Board members </w:t>
      </w:r>
    </w:p>
    <w:p w14:paraId="39D029FE" w14:textId="10F985E3" w:rsidR="003B3F92" w:rsidRPr="007631CB" w:rsidRDefault="00A6612C" w:rsidP="007631CB">
      <w:pPr>
        <w:numPr>
          <w:ilvl w:val="1"/>
          <w:numId w:val="6"/>
        </w:numPr>
        <w:rPr>
          <w:b/>
          <w:bCs/>
        </w:rPr>
      </w:pPr>
      <w:r w:rsidRPr="00A6612C">
        <w:rPr>
          <w:b/>
          <w:bCs/>
        </w:rPr>
        <w:t>Set</w:t>
      </w:r>
      <w:r>
        <w:rPr>
          <w:b/>
          <w:bCs/>
        </w:rPr>
        <w:t>ting a</w:t>
      </w:r>
      <w:r w:rsidRPr="00A6612C">
        <w:rPr>
          <w:b/>
          <w:bCs/>
        </w:rPr>
        <w:t xml:space="preserve"> time limit for approval of Regs: both when initially submitted and Post Public Hearing</w:t>
      </w:r>
      <w:r>
        <w:rPr>
          <w:b/>
          <w:bCs/>
        </w:rPr>
        <w:t xml:space="preserve"> to avoid the </w:t>
      </w:r>
      <w:r w:rsidR="007631CB">
        <w:rPr>
          <w:b/>
          <w:bCs/>
        </w:rPr>
        <w:t xml:space="preserve">very </w:t>
      </w:r>
      <w:r>
        <w:rPr>
          <w:b/>
          <w:bCs/>
        </w:rPr>
        <w:t>serious delays that occurred with these regulations.</w:t>
      </w:r>
    </w:p>
    <w:p w14:paraId="7EBF182D" w14:textId="7492ABA7" w:rsidR="00E20009" w:rsidRDefault="00E20009" w:rsidP="00E20009">
      <w:pPr>
        <w:numPr>
          <w:ilvl w:val="1"/>
          <w:numId w:val="6"/>
        </w:numPr>
        <w:rPr>
          <w:b/>
          <w:bCs/>
        </w:rPr>
      </w:pPr>
      <w:r w:rsidRPr="00A6612C">
        <w:rPr>
          <w:b/>
          <w:bCs/>
        </w:rPr>
        <w:t>More suitable requirements</w:t>
      </w:r>
      <w:r>
        <w:rPr>
          <w:b/>
          <w:bCs/>
        </w:rPr>
        <w:t xml:space="preserve"> and </w:t>
      </w:r>
      <w:r w:rsidRPr="00A6612C">
        <w:rPr>
          <w:b/>
          <w:bCs/>
        </w:rPr>
        <w:t>applications for applicants with Foreign Education</w:t>
      </w:r>
      <w:r w:rsidR="00C4002D">
        <w:rPr>
          <w:b/>
          <w:bCs/>
        </w:rPr>
        <w:t xml:space="preserve"> and Training.</w:t>
      </w:r>
    </w:p>
    <w:p w14:paraId="724AA42E" w14:textId="77777777" w:rsidR="00E20009" w:rsidRDefault="00E20009" w:rsidP="003B3F92">
      <w:pPr>
        <w:rPr>
          <w:b/>
          <w:bCs/>
        </w:rPr>
      </w:pPr>
    </w:p>
    <w:p w14:paraId="034C9421" w14:textId="77777777" w:rsidR="00FA6BFA" w:rsidRDefault="00FA6BFA" w:rsidP="002E1C23">
      <w:pPr>
        <w:rPr>
          <w:b/>
          <w:bCs/>
          <w:sz w:val="28"/>
          <w:szCs w:val="28"/>
        </w:rPr>
      </w:pPr>
    </w:p>
    <w:p w14:paraId="40F70420" w14:textId="53EE9811" w:rsidR="002E1C23" w:rsidRPr="00FA6BFA" w:rsidRDefault="002E1C23" w:rsidP="002E1C23">
      <w:pPr>
        <w:rPr>
          <w:rFonts w:ascii="Times New Roman" w:hAnsi="Times New Roman" w:cs="Times New Roman"/>
          <w:sz w:val="26"/>
          <w:szCs w:val="26"/>
        </w:rPr>
      </w:pPr>
      <w:r w:rsidRPr="00FA6BFA">
        <w:rPr>
          <w:b/>
          <w:bCs/>
          <w:sz w:val="26"/>
          <w:szCs w:val="26"/>
        </w:rPr>
        <w:t xml:space="preserve">Regarding </w:t>
      </w:r>
      <w:r w:rsidRPr="00FA6BFA">
        <w:rPr>
          <w:rFonts w:ascii="Times New Roman" w:hAnsi="Times New Roman" w:cs="Times New Roman"/>
          <w:sz w:val="26"/>
          <w:szCs w:val="26"/>
        </w:rPr>
        <w:t>801 CMR: EXECUTIVE OFFICE FOR ADMINISTRATION AND FINANCE</w:t>
      </w:r>
    </w:p>
    <w:p w14:paraId="2CA3A5E6" w14:textId="77777777" w:rsidR="0027182B" w:rsidRPr="00FA6BFA" w:rsidRDefault="0027182B" w:rsidP="002E1C23">
      <w:pPr>
        <w:rPr>
          <w:rFonts w:ascii="Times New Roman" w:hAnsi="Times New Roman" w:cs="Times New Roman"/>
          <w:sz w:val="26"/>
          <w:szCs w:val="26"/>
        </w:rPr>
      </w:pPr>
    </w:p>
    <w:p w14:paraId="5F6615F1" w14:textId="2BDB6233" w:rsidR="002E1C23" w:rsidRPr="00FA6BFA" w:rsidRDefault="002E1C23" w:rsidP="002E1C23">
      <w:pPr>
        <w:rPr>
          <w:rFonts w:ascii="Times New Roman" w:hAnsi="Times New Roman" w:cs="Times New Roman"/>
          <w:sz w:val="26"/>
          <w:szCs w:val="26"/>
        </w:rPr>
      </w:pPr>
      <w:r w:rsidRPr="00FA6BFA">
        <w:rPr>
          <w:rFonts w:ascii="Times New Roman" w:hAnsi="Times New Roman" w:cs="Times New Roman"/>
          <w:sz w:val="26"/>
          <w:szCs w:val="26"/>
        </w:rPr>
        <w:t xml:space="preserve">801 CMR 4.00: RATES </w:t>
      </w:r>
    </w:p>
    <w:p w14:paraId="6A64A1FA" w14:textId="77777777" w:rsidR="002E1C23" w:rsidRPr="00FA6BFA" w:rsidRDefault="002E1C23" w:rsidP="002E1C23">
      <w:pPr>
        <w:rPr>
          <w:rFonts w:ascii="Times New Roman" w:hAnsi="Times New Roman" w:cs="Times New Roman"/>
          <w:sz w:val="26"/>
          <w:szCs w:val="26"/>
        </w:rPr>
      </w:pPr>
      <w:r w:rsidRPr="00FA6BFA">
        <w:rPr>
          <w:rFonts w:ascii="Times New Roman" w:hAnsi="Times New Roman" w:cs="Times New Roman"/>
          <w:sz w:val="26"/>
          <w:szCs w:val="26"/>
        </w:rPr>
        <w:t xml:space="preserve">Section </w:t>
      </w:r>
    </w:p>
    <w:p w14:paraId="31A6F573" w14:textId="77777777" w:rsidR="002E1C23" w:rsidRPr="00FA6BFA" w:rsidRDefault="002E1C23" w:rsidP="002E1C23">
      <w:pPr>
        <w:rPr>
          <w:rFonts w:ascii="Times New Roman" w:hAnsi="Times New Roman" w:cs="Times New Roman"/>
          <w:sz w:val="26"/>
          <w:szCs w:val="26"/>
        </w:rPr>
      </w:pPr>
      <w:r w:rsidRPr="00FA6BFA">
        <w:rPr>
          <w:rFonts w:ascii="Times New Roman" w:hAnsi="Times New Roman" w:cs="Times New Roman"/>
          <w:sz w:val="26"/>
          <w:szCs w:val="26"/>
        </w:rPr>
        <w:t xml:space="preserve">4.02: </w:t>
      </w:r>
      <w:r w:rsidRPr="00FA6BFA">
        <w:rPr>
          <w:rFonts w:ascii="Times New Roman" w:hAnsi="Times New Roman" w:cs="Times New Roman"/>
          <w:sz w:val="26"/>
          <w:szCs w:val="26"/>
        </w:rPr>
        <w:tab/>
        <w:t xml:space="preserve">Fees for Licenses, Permits, and Services to Be Charged by State Agencies </w:t>
      </w:r>
    </w:p>
    <w:p w14:paraId="2D045E08" w14:textId="77777777" w:rsidR="00DE64DC" w:rsidRDefault="00DE64DC" w:rsidP="002E1C23">
      <w:pPr>
        <w:pStyle w:val="BodyText"/>
        <w:spacing w:line="242" w:lineRule="auto"/>
        <w:ind w:right="115"/>
        <w:rPr>
          <w:u w:val="single"/>
        </w:rPr>
      </w:pPr>
    </w:p>
    <w:p w14:paraId="44A2A85B" w14:textId="3845BF13" w:rsidR="002E1C23" w:rsidRPr="0027182B" w:rsidRDefault="002E1C23" w:rsidP="002E1C23">
      <w:pPr>
        <w:pStyle w:val="BodyText"/>
        <w:spacing w:line="242" w:lineRule="auto"/>
        <w:ind w:right="115"/>
        <w:rPr>
          <w:rFonts w:ascii="Candara" w:hAnsi="Candara"/>
          <w:sz w:val="26"/>
          <w:szCs w:val="26"/>
        </w:rPr>
      </w:pPr>
      <w:r w:rsidRPr="0027182B">
        <w:rPr>
          <w:rFonts w:ascii="Candara" w:hAnsi="Candara"/>
          <w:sz w:val="26"/>
          <w:szCs w:val="26"/>
        </w:rPr>
        <w:t xml:space="preserve">With the proposed rates the cost to get fully licensed as an LMHC has doubled. </w:t>
      </w:r>
      <w:r w:rsidR="00CF3F8E" w:rsidRPr="0027182B">
        <w:rPr>
          <w:rFonts w:ascii="Candara" w:hAnsi="Candara"/>
          <w:sz w:val="26"/>
          <w:szCs w:val="26"/>
        </w:rPr>
        <w:t xml:space="preserve">These applicants have yet to earn any money as a mental health counseling clinician. </w:t>
      </w:r>
      <w:r w:rsidRPr="0027182B">
        <w:rPr>
          <w:rFonts w:ascii="Candara" w:hAnsi="Candara"/>
          <w:sz w:val="26"/>
          <w:szCs w:val="26"/>
        </w:rPr>
        <w:t>This</w:t>
      </w:r>
      <w:r w:rsidR="00CF3F8E" w:rsidRPr="0027182B">
        <w:rPr>
          <w:rFonts w:ascii="Candara" w:hAnsi="Candara"/>
          <w:sz w:val="26"/>
          <w:szCs w:val="26"/>
        </w:rPr>
        <w:t xml:space="preserve"> proposed rate</w:t>
      </w:r>
      <w:r w:rsidRPr="0027182B">
        <w:rPr>
          <w:rFonts w:ascii="Candara" w:hAnsi="Candara"/>
          <w:sz w:val="26"/>
          <w:szCs w:val="26"/>
        </w:rPr>
        <w:t xml:space="preserve"> is creating yet another barrier to bringing in more mental health counseling clinicians into the workforce, rather than facilitating workforce development.</w:t>
      </w:r>
    </w:p>
    <w:p w14:paraId="32C94AAD" w14:textId="77777777" w:rsidR="002E1C23" w:rsidRPr="0027182B" w:rsidRDefault="002E1C23" w:rsidP="002E1C23">
      <w:pPr>
        <w:pStyle w:val="BodyText"/>
        <w:spacing w:line="242" w:lineRule="auto"/>
        <w:ind w:right="115"/>
        <w:rPr>
          <w:sz w:val="26"/>
          <w:szCs w:val="26"/>
          <w:u w:val="single"/>
        </w:rPr>
      </w:pPr>
    </w:p>
    <w:p w14:paraId="55E6AF78" w14:textId="77777777" w:rsidR="0020619D" w:rsidRPr="0027182B" w:rsidRDefault="002E1C23" w:rsidP="002E1C23">
      <w:pPr>
        <w:pStyle w:val="BodyText"/>
        <w:spacing w:line="242" w:lineRule="auto"/>
        <w:ind w:right="115"/>
        <w:rPr>
          <w:rFonts w:ascii="Candara" w:eastAsiaTheme="minorHAnsi" w:hAnsi="Candara" w:cs="Arial"/>
          <w:color w:val="222222"/>
          <w:kern w:val="2"/>
          <w:sz w:val="26"/>
          <w:szCs w:val="26"/>
          <w:shd w:val="clear" w:color="auto" w:fill="FFFFFF"/>
          <w14:ligatures w14:val="standardContextual"/>
        </w:rPr>
      </w:pPr>
      <w:r w:rsidRPr="0027182B">
        <w:rPr>
          <w:rFonts w:ascii="Candara" w:hAnsi="Candara"/>
          <w:sz w:val="26"/>
          <w:szCs w:val="26"/>
        </w:rPr>
        <w:t>The LSMHC application is essentially completed by the graduate program, with the test score and CORI.  It should be simpler to review. Additionally, applicants for the LSMHC have had no appreciable income to date. The $117 + $155 [$272] cost of this license may be well out of reach for many.</w:t>
      </w:r>
      <w:r w:rsidRPr="0027182B">
        <w:rPr>
          <w:rFonts w:ascii="Candara" w:eastAsiaTheme="minorHAnsi" w:hAnsi="Candara" w:cs="Arial"/>
          <w:color w:val="222222"/>
          <w:kern w:val="2"/>
          <w:sz w:val="26"/>
          <w:szCs w:val="26"/>
          <w:shd w:val="clear" w:color="auto" w:fill="FFFFFF"/>
          <w14:ligatures w14:val="standardContextual"/>
        </w:rPr>
        <w:t xml:space="preserve"> </w:t>
      </w:r>
    </w:p>
    <w:p w14:paraId="5C3870DF" w14:textId="77777777" w:rsidR="0020619D" w:rsidRPr="0027182B" w:rsidRDefault="0020619D" w:rsidP="002E1C23">
      <w:pPr>
        <w:pStyle w:val="BodyText"/>
        <w:spacing w:line="242" w:lineRule="auto"/>
        <w:ind w:right="115"/>
        <w:rPr>
          <w:rFonts w:ascii="Candara" w:eastAsiaTheme="minorHAnsi" w:hAnsi="Candara" w:cs="Arial"/>
          <w:color w:val="222222"/>
          <w:kern w:val="2"/>
          <w:sz w:val="26"/>
          <w:szCs w:val="26"/>
          <w:shd w:val="clear" w:color="auto" w:fill="FFFFFF"/>
          <w14:ligatures w14:val="standardContextual"/>
        </w:rPr>
      </w:pPr>
    </w:p>
    <w:p w14:paraId="0CFA7789" w14:textId="77777777" w:rsidR="002E1C23" w:rsidRPr="0027182B" w:rsidRDefault="002E1C23" w:rsidP="002E1C23">
      <w:pPr>
        <w:pStyle w:val="BodyText"/>
        <w:spacing w:line="242" w:lineRule="auto"/>
        <w:ind w:right="115"/>
        <w:rPr>
          <w:sz w:val="26"/>
          <w:szCs w:val="26"/>
          <w:u w:val="single"/>
        </w:rPr>
      </w:pPr>
      <w:r w:rsidRPr="0027182B">
        <w:rPr>
          <w:rFonts w:ascii="Candara" w:hAnsi="Candara"/>
          <w:sz w:val="26"/>
          <w:szCs w:val="26"/>
        </w:rPr>
        <w:t>Once ready to apply to for the LMHC, the paperwork is more complex, and this is where the vast majority of the problems preventing immediate approval occur.  It makes sense for this portion of the process to cost more.  And after 2 years of paid work, it should be more affordable for many</w:t>
      </w:r>
      <w:r w:rsidRPr="0027182B">
        <w:rPr>
          <w:sz w:val="26"/>
          <w:szCs w:val="26"/>
          <w:u w:val="single"/>
        </w:rPr>
        <w:t>.</w:t>
      </w:r>
    </w:p>
    <w:p w14:paraId="472B2F0B" w14:textId="77777777" w:rsidR="007E5A3F" w:rsidRDefault="007E5A3F" w:rsidP="002E1C23">
      <w:pPr>
        <w:pStyle w:val="BodyText"/>
        <w:spacing w:line="242" w:lineRule="auto"/>
        <w:ind w:right="115"/>
        <w:rPr>
          <w:sz w:val="26"/>
          <w:szCs w:val="26"/>
          <w:u w:val="single"/>
        </w:rPr>
      </w:pPr>
    </w:p>
    <w:p w14:paraId="06662781" w14:textId="77777777" w:rsidR="00AB66FE" w:rsidRPr="0027182B" w:rsidRDefault="00AB66FE" w:rsidP="002E1C23">
      <w:pPr>
        <w:pStyle w:val="BodyText"/>
        <w:spacing w:line="242" w:lineRule="auto"/>
        <w:ind w:right="115"/>
        <w:rPr>
          <w:sz w:val="26"/>
          <w:szCs w:val="26"/>
          <w:u w:val="single"/>
        </w:rPr>
      </w:pPr>
    </w:p>
    <w:p w14:paraId="32D802D6" w14:textId="77777777" w:rsidR="007E5A3F" w:rsidRPr="0027182B" w:rsidRDefault="007E5A3F" w:rsidP="002E1C23">
      <w:pPr>
        <w:pStyle w:val="BodyText"/>
        <w:spacing w:line="242" w:lineRule="auto"/>
        <w:ind w:right="115"/>
        <w:rPr>
          <w:rFonts w:ascii="Candara" w:hAnsi="Candara"/>
          <w:sz w:val="26"/>
          <w:szCs w:val="26"/>
        </w:rPr>
      </w:pPr>
      <w:r w:rsidRPr="0027182B">
        <w:rPr>
          <w:rFonts w:ascii="Candara" w:hAnsi="Candara"/>
          <w:sz w:val="26"/>
          <w:szCs w:val="26"/>
        </w:rPr>
        <w:t>Respectfully submitted,</w:t>
      </w:r>
    </w:p>
    <w:p w14:paraId="69D77B40" w14:textId="5F952F37" w:rsidR="001F1F7E" w:rsidRPr="000F7F09" w:rsidRDefault="000F7F09" w:rsidP="002E1C23">
      <w:pPr>
        <w:pStyle w:val="BodyText"/>
        <w:spacing w:line="242" w:lineRule="auto"/>
        <w:ind w:right="115"/>
        <w:rPr>
          <w:rFonts w:ascii="Bradley Hand ITC" w:hAnsi="Bradley Hand ITC"/>
          <w:b/>
          <w:bCs/>
          <w:sz w:val="28"/>
          <w:szCs w:val="28"/>
        </w:rPr>
      </w:pPr>
      <w:r w:rsidRPr="000F7F09">
        <w:rPr>
          <w:rFonts w:ascii="Bradley Hand ITC" w:hAnsi="Bradley Hand ITC"/>
          <w:b/>
          <w:bCs/>
          <w:sz w:val="28"/>
          <w:szCs w:val="28"/>
        </w:rPr>
        <w:t>Midge Williams, LMHC, MACCS</w:t>
      </w:r>
    </w:p>
    <w:p w14:paraId="59914A91" w14:textId="7C625D3A" w:rsidR="007E5A3F" w:rsidRDefault="007E5A3F" w:rsidP="002E1C23">
      <w:pPr>
        <w:pStyle w:val="BodyText"/>
        <w:spacing w:line="242" w:lineRule="auto"/>
        <w:ind w:right="115"/>
        <w:rPr>
          <w:rFonts w:ascii="Candara" w:hAnsi="Candara"/>
          <w:sz w:val="26"/>
          <w:szCs w:val="26"/>
        </w:rPr>
      </w:pPr>
      <w:r w:rsidRPr="0027182B">
        <w:rPr>
          <w:rFonts w:ascii="Candara" w:hAnsi="Candara"/>
          <w:sz w:val="26"/>
          <w:szCs w:val="26"/>
        </w:rPr>
        <w:t>Midge Williams, LMHC, MACCS, MaMHCA Executive Director Emeritus</w:t>
      </w:r>
    </w:p>
    <w:p w14:paraId="55A3FB48" w14:textId="77777777" w:rsidR="00727EE8" w:rsidRDefault="00727EE8" w:rsidP="002E1C23">
      <w:pPr>
        <w:pStyle w:val="BodyText"/>
        <w:spacing w:line="242" w:lineRule="auto"/>
        <w:ind w:right="115"/>
        <w:rPr>
          <w:rFonts w:ascii="Candara" w:hAnsi="Candara"/>
          <w:sz w:val="26"/>
          <w:szCs w:val="26"/>
        </w:rPr>
      </w:pPr>
    </w:p>
    <w:p w14:paraId="2FAEFFB7" w14:textId="149C5110" w:rsidR="00727EE8" w:rsidRPr="00727EE8" w:rsidRDefault="00727EE8" w:rsidP="002E1C23">
      <w:pPr>
        <w:pStyle w:val="BodyText"/>
        <w:spacing w:line="242" w:lineRule="auto"/>
        <w:ind w:right="115"/>
        <w:rPr>
          <w:rFonts w:ascii="Bradley Hand ITC" w:hAnsi="Bradley Hand ITC"/>
          <w:b/>
          <w:bCs/>
          <w:sz w:val="28"/>
          <w:szCs w:val="28"/>
        </w:rPr>
      </w:pPr>
      <w:r>
        <w:rPr>
          <w:rFonts w:ascii="Bradley Hand ITC" w:hAnsi="Bradley Hand ITC"/>
          <w:b/>
          <w:bCs/>
          <w:sz w:val="28"/>
          <w:szCs w:val="28"/>
        </w:rPr>
        <w:t>Joseph Weeks</w:t>
      </w:r>
      <w:r w:rsidRPr="000F7F09">
        <w:rPr>
          <w:rFonts w:ascii="Bradley Hand ITC" w:hAnsi="Bradley Hand ITC"/>
          <w:b/>
          <w:bCs/>
          <w:sz w:val="28"/>
          <w:szCs w:val="28"/>
        </w:rPr>
        <w:t>, LMHC, MACCS</w:t>
      </w:r>
    </w:p>
    <w:p w14:paraId="08ED6818" w14:textId="15D53716" w:rsidR="00727EE8" w:rsidRPr="0027182B" w:rsidRDefault="00727EE8" w:rsidP="002E1C23">
      <w:pPr>
        <w:pStyle w:val="BodyText"/>
        <w:spacing w:line="242" w:lineRule="auto"/>
        <w:ind w:right="115"/>
        <w:rPr>
          <w:rFonts w:ascii="Candara" w:hAnsi="Candara"/>
          <w:sz w:val="26"/>
          <w:szCs w:val="26"/>
        </w:rPr>
      </w:pPr>
      <w:r>
        <w:rPr>
          <w:rFonts w:ascii="Candara" w:hAnsi="Candara"/>
          <w:sz w:val="26"/>
          <w:szCs w:val="26"/>
        </w:rPr>
        <w:t>Joseph Weeks, LMHC, MACCS, MaMHCA Executive Director</w:t>
      </w:r>
    </w:p>
    <w:p w14:paraId="35117CB1" w14:textId="77777777" w:rsidR="00727EE8" w:rsidRDefault="00727EE8" w:rsidP="002E1C23">
      <w:pPr>
        <w:pStyle w:val="BodyText"/>
        <w:spacing w:line="242" w:lineRule="auto"/>
        <w:ind w:right="115"/>
        <w:rPr>
          <w:rFonts w:ascii="Candara" w:hAnsi="Candara"/>
          <w:sz w:val="26"/>
          <w:szCs w:val="26"/>
        </w:rPr>
      </w:pPr>
    </w:p>
    <w:p w14:paraId="1D00EB22" w14:textId="4BDE9546" w:rsidR="00B23904" w:rsidRPr="0027182B" w:rsidRDefault="007E5A3F" w:rsidP="002E1C23">
      <w:pPr>
        <w:pStyle w:val="BodyText"/>
        <w:spacing w:line="242" w:lineRule="auto"/>
        <w:ind w:right="115"/>
        <w:rPr>
          <w:rFonts w:ascii="Candara" w:hAnsi="Candara"/>
          <w:sz w:val="26"/>
          <w:szCs w:val="26"/>
        </w:rPr>
        <w:sectPr w:rsidR="00B23904" w:rsidRPr="0027182B" w:rsidSect="00281047">
          <w:headerReference w:type="default" r:id="rId9"/>
          <w:footerReference w:type="default" r:id="rId10"/>
          <w:pgSz w:w="12240" w:h="15840" w:code="1"/>
          <w:pgMar w:top="1440" w:right="1080" w:bottom="1440" w:left="1080" w:header="576" w:footer="0" w:gutter="0"/>
          <w:pgNumType w:start="1"/>
          <w:cols w:space="720"/>
          <w:docGrid w:linePitch="326"/>
        </w:sectPr>
      </w:pPr>
      <w:r w:rsidRPr="0027182B">
        <w:rPr>
          <w:rFonts w:ascii="Candara" w:hAnsi="Candara"/>
          <w:sz w:val="26"/>
          <w:szCs w:val="26"/>
        </w:rPr>
        <w:t>For the Board of Directors of MaMHCA</w:t>
      </w:r>
    </w:p>
    <w:p w14:paraId="051413AE" w14:textId="0DBA1362" w:rsidR="00470D49" w:rsidRPr="00370E59" w:rsidRDefault="00470D49" w:rsidP="00E20009">
      <w:pPr>
        <w:pStyle w:val="BodyText"/>
        <w:spacing w:line="242" w:lineRule="auto"/>
        <w:ind w:right="115"/>
        <w:rPr>
          <w:rFonts w:ascii="Candara" w:hAnsi="Candara"/>
        </w:rPr>
        <w:sectPr w:rsidR="00470D49" w:rsidRPr="00370E59" w:rsidSect="00E20009">
          <w:headerReference w:type="default" r:id="rId11"/>
          <w:pgSz w:w="12240" w:h="15840" w:code="1"/>
          <w:pgMar w:top="1440" w:right="1080" w:bottom="1440" w:left="1080" w:header="752" w:footer="0" w:gutter="0"/>
          <w:pgNumType w:start="1"/>
          <w:cols w:space="720"/>
          <w:docGrid w:linePitch="326"/>
        </w:sectPr>
      </w:pPr>
    </w:p>
    <w:p w14:paraId="0508D0E5" w14:textId="77777777" w:rsidR="00704D72" w:rsidRDefault="00704D72"/>
    <w:sectPr w:rsidR="00704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9502" w14:textId="77777777" w:rsidR="00E9242A" w:rsidRDefault="00E9242A">
      <w:r>
        <w:separator/>
      </w:r>
    </w:p>
  </w:endnote>
  <w:endnote w:type="continuationSeparator" w:id="0">
    <w:p w14:paraId="3E1E59B7" w14:textId="77777777" w:rsidR="00E9242A" w:rsidRDefault="00E9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173274"/>
      <w:docPartObj>
        <w:docPartGallery w:val="Page Numbers (Bottom of Page)"/>
        <w:docPartUnique/>
      </w:docPartObj>
    </w:sdtPr>
    <w:sdtEndPr>
      <w:rPr>
        <w:noProof/>
      </w:rPr>
    </w:sdtEndPr>
    <w:sdtContent>
      <w:p w14:paraId="2C882CDB" w14:textId="7E7A5156" w:rsidR="00187F98" w:rsidRDefault="00187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A31D5" w14:textId="77777777" w:rsidR="00A904A1" w:rsidRDefault="00A90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4A00" w14:textId="77777777" w:rsidR="00E9242A" w:rsidRDefault="00E9242A">
      <w:r>
        <w:separator/>
      </w:r>
    </w:p>
  </w:footnote>
  <w:footnote w:type="continuationSeparator" w:id="0">
    <w:p w14:paraId="7288BDA2" w14:textId="77777777" w:rsidR="00E9242A" w:rsidRDefault="00E9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F6A1" w14:textId="263907E6" w:rsidR="00A904A1" w:rsidRPr="00DE64DC" w:rsidRDefault="00E05C35">
    <w:pPr>
      <w:pStyle w:val="Header"/>
      <w:rPr>
        <w:sz w:val="20"/>
        <w:szCs w:val="20"/>
      </w:rPr>
    </w:pPr>
    <w:r w:rsidRPr="00DE64DC">
      <w:rPr>
        <w:noProof/>
        <w:sz w:val="20"/>
        <w:szCs w:val="20"/>
      </w:rPr>
      <w:drawing>
        <wp:inline distT="0" distB="0" distL="0" distR="0" wp14:anchorId="661F35EA" wp14:editId="566440D3">
          <wp:extent cx="392850" cy="533400"/>
          <wp:effectExtent l="0" t="0" r="7620" b="0"/>
          <wp:docPr id="265417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415167" cy="563701"/>
                  </a:xfrm>
                  <a:prstGeom prst="rect">
                    <a:avLst/>
                  </a:prstGeom>
                  <a:noFill/>
                  <a:ln w="9525">
                    <a:noFill/>
                    <a:miter lim="800000"/>
                    <a:headEnd/>
                    <a:tailEnd/>
                  </a:ln>
                </pic:spPr>
              </pic:pic>
            </a:graphicData>
          </a:graphic>
        </wp:inline>
      </w:drawing>
    </w:r>
    <w:r w:rsidRPr="00DE64DC">
      <w:rPr>
        <w:sz w:val="20"/>
        <w:szCs w:val="20"/>
      </w:rPr>
      <w:t xml:space="preserve"> </w:t>
    </w:r>
    <w:r w:rsidR="00A904A1" w:rsidRPr="00DE64DC">
      <w:rPr>
        <w:sz w:val="20"/>
        <w:szCs w:val="20"/>
      </w:rPr>
      <w:t xml:space="preserve">Testimony </w:t>
    </w:r>
    <w:r w:rsidR="00AD11F0" w:rsidRPr="00DE64DC">
      <w:rPr>
        <w:sz w:val="20"/>
        <w:szCs w:val="20"/>
      </w:rPr>
      <w:t xml:space="preserve">from the </w:t>
    </w:r>
    <w:r w:rsidR="00A904A1" w:rsidRPr="00DE64DC">
      <w:rPr>
        <w:sz w:val="20"/>
        <w:szCs w:val="20"/>
      </w:rPr>
      <w:t>Massachusetts Mental Health Counselors Association on proposed 262 CMR changes</w:t>
    </w:r>
  </w:p>
  <w:p w14:paraId="47493E75" w14:textId="77777777" w:rsidR="00370E59" w:rsidRDefault="00370E5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EDC4" w14:textId="1FFDB2A2" w:rsidR="004C3C49" w:rsidRDefault="004C3C4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960"/>
    <w:multiLevelType w:val="multilevel"/>
    <w:tmpl w:val="381844FE"/>
    <w:lvl w:ilvl="0">
      <w:start w:val="2"/>
      <w:numFmt w:val="decimal"/>
      <w:lvlText w:val="%1"/>
      <w:lvlJc w:val="left"/>
      <w:pPr>
        <w:ind w:left="541" w:hanging="421"/>
      </w:pPr>
      <w:rPr>
        <w:rFonts w:hint="default"/>
      </w:rPr>
    </w:lvl>
    <w:lvl w:ilvl="1">
      <w:start w:val="3"/>
      <w:numFmt w:val="decimalZero"/>
      <w:lvlText w:val="%1.%2"/>
      <w:lvlJc w:val="left"/>
      <w:pPr>
        <w:ind w:left="541" w:hanging="421"/>
      </w:pPr>
      <w:rPr>
        <w:rFonts w:hint="default"/>
        <w:w w:val="100"/>
      </w:rPr>
    </w:lvl>
    <w:lvl w:ilvl="2">
      <w:start w:val="1"/>
      <w:numFmt w:val="decimal"/>
      <w:lvlText w:val="(%3)"/>
      <w:lvlJc w:val="left"/>
      <w:pPr>
        <w:ind w:left="1320" w:hanging="518"/>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2119" w:hanging="444"/>
      </w:pPr>
      <w:rPr>
        <w:rFonts w:ascii="Times New Roman" w:eastAsia="Times New Roman" w:hAnsi="Times New Roman" w:cs="Times New Roman" w:hint="default"/>
        <w:b/>
        <w:bCs/>
        <w:i w:val="0"/>
        <w:iCs w:val="0"/>
        <w:w w:val="100"/>
        <w:sz w:val="24"/>
        <w:szCs w:val="24"/>
      </w:rPr>
    </w:lvl>
    <w:lvl w:ilvl="4">
      <w:start w:val="1"/>
      <w:numFmt w:val="decimal"/>
      <w:lvlText w:val="%5."/>
      <w:lvlJc w:val="left"/>
      <w:pPr>
        <w:ind w:left="2300" w:hanging="320"/>
      </w:pPr>
      <w:rPr>
        <w:rFonts w:ascii="Times New Roman" w:eastAsia="Times New Roman" w:hAnsi="Times New Roman" w:cs="Times New Roman" w:hint="default"/>
        <w:b w:val="0"/>
        <w:bCs w:val="0"/>
        <w:i w:val="0"/>
        <w:iCs w:val="0"/>
        <w:w w:val="100"/>
        <w:sz w:val="24"/>
        <w:szCs w:val="24"/>
      </w:rPr>
    </w:lvl>
    <w:lvl w:ilvl="5">
      <w:numFmt w:val="bullet"/>
      <w:lvlText w:val="•"/>
      <w:lvlJc w:val="left"/>
      <w:pPr>
        <w:ind w:left="2400" w:hanging="320"/>
      </w:pPr>
      <w:rPr>
        <w:rFonts w:hint="default"/>
      </w:rPr>
    </w:lvl>
    <w:lvl w:ilvl="6">
      <w:numFmt w:val="bullet"/>
      <w:lvlText w:val="•"/>
      <w:lvlJc w:val="left"/>
      <w:pPr>
        <w:ind w:left="4008" w:hanging="320"/>
      </w:pPr>
      <w:rPr>
        <w:rFonts w:hint="default"/>
      </w:rPr>
    </w:lvl>
    <w:lvl w:ilvl="7">
      <w:numFmt w:val="bullet"/>
      <w:lvlText w:val="•"/>
      <w:lvlJc w:val="left"/>
      <w:pPr>
        <w:ind w:left="5616" w:hanging="320"/>
      </w:pPr>
      <w:rPr>
        <w:rFonts w:hint="default"/>
      </w:rPr>
    </w:lvl>
    <w:lvl w:ilvl="8">
      <w:numFmt w:val="bullet"/>
      <w:lvlText w:val="•"/>
      <w:lvlJc w:val="left"/>
      <w:pPr>
        <w:ind w:left="7224" w:hanging="320"/>
      </w:pPr>
      <w:rPr>
        <w:rFonts w:hint="default"/>
      </w:rPr>
    </w:lvl>
  </w:abstractNum>
  <w:abstractNum w:abstractNumId="1" w15:restartNumberingAfterBreak="0">
    <w:nsid w:val="077535D2"/>
    <w:multiLevelType w:val="multilevel"/>
    <w:tmpl w:val="64F478DE"/>
    <w:lvl w:ilvl="0">
      <w:start w:val="2"/>
      <w:numFmt w:val="decimal"/>
      <w:lvlText w:val="%1"/>
      <w:lvlJc w:val="left"/>
      <w:pPr>
        <w:ind w:left="541" w:hanging="421"/>
      </w:pPr>
      <w:rPr>
        <w:rFonts w:hint="default"/>
        <w:lang w:val="en-US" w:eastAsia="en-US" w:bidi="ar-SA"/>
      </w:rPr>
    </w:lvl>
    <w:lvl w:ilvl="1">
      <w:start w:val="5"/>
      <w:numFmt w:val="decimalZero"/>
      <w:lvlText w:val="%1.%2"/>
      <w:lvlJc w:val="left"/>
      <w:pPr>
        <w:ind w:left="601" w:hanging="421"/>
      </w:pPr>
      <w:rPr>
        <w:rFonts w:hint="default"/>
        <w:strike w:val="0"/>
        <w:w w:val="100"/>
        <w:lang w:val="en-US" w:eastAsia="en-US" w:bidi="ar-SA"/>
      </w:rPr>
    </w:lvl>
    <w:lvl w:ilvl="2">
      <w:start w:val="1"/>
      <w:numFmt w:val="decimal"/>
      <w:lvlText w:val="(%3)"/>
      <w:lvlJc w:val="left"/>
      <w:pPr>
        <w:ind w:left="1320" w:hanging="389"/>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lowerLetter"/>
      <w:lvlText w:val="(%4)"/>
      <w:lvlJc w:val="left"/>
      <w:pPr>
        <w:ind w:left="1675" w:hanging="387"/>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decimal"/>
      <w:lvlText w:val="%5."/>
      <w:lvlJc w:val="left"/>
      <w:pPr>
        <w:ind w:left="2395" w:hanging="360"/>
      </w:pPr>
      <w:rPr>
        <w:rFonts w:ascii="Times New Roman" w:eastAsia="Times New Roman" w:hAnsi="Times New Roman" w:cs="Times New Roman" w:hint="default"/>
        <w:b w:val="0"/>
        <w:bCs w:val="0"/>
        <w:i w:val="0"/>
        <w:iCs w:val="0"/>
        <w:w w:val="100"/>
        <w:sz w:val="24"/>
        <w:szCs w:val="24"/>
        <w:lang w:val="en-US" w:eastAsia="en-US" w:bidi="ar-SA"/>
      </w:rPr>
    </w:lvl>
    <w:lvl w:ilvl="5">
      <w:numFmt w:val="bullet"/>
      <w:lvlText w:val="•"/>
      <w:lvlJc w:val="left"/>
      <w:pPr>
        <w:ind w:left="3740" w:hanging="360"/>
      </w:pPr>
      <w:rPr>
        <w:rFonts w:hint="default"/>
        <w:lang w:val="en-US" w:eastAsia="en-US" w:bidi="ar-SA"/>
      </w:rPr>
    </w:lvl>
    <w:lvl w:ilvl="6">
      <w:numFmt w:val="bullet"/>
      <w:lvlText w:val="•"/>
      <w:lvlJc w:val="left"/>
      <w:pPr>
        <w:ind w:left="5080" w:hanging="360"/>
      </w:pPr>
      <w:rPr>
        <w:rFonts w:hint="default"/>
        <w:lang w:val="en-US" w:eastAsia="en-US" w:bidi="ar-SA"/>
      </w:rPr>
    </w:lvl>
    <w:lvl w:ilvl="7">
      <w:numFmt w:val="bullet"/>
      <w:lvlText w:val="•"/>
      <w:lvlJc w:val="left"/>
      <w:pPr>
        <w:ind w:left="642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2" w15:restartNumberingAfterBreak="0">
    <w:nsid w:val="1BE72721"/>
    <w:multiLevelType w:val="multilevel"/>
    <w:tmpl w:val="868C298C"/>
    <w:lvl w:ilvl="0">
      <w:start w:val="2"/>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ascii="Times New Roman" w:eastAsia="Times New Roman" w:hAnsi="Times New Roman" w:cs="Times New Roman" w:hint="default"/>
        <w:b w:val="0"/>
        <w:bCs w:val="0"/>
        <w:i w:val="0"/>
        <w:iCs w:val="0"/>
        <w:w w:val="100"/>
        <w:sz w:val="22"/>
        <w:szCs w:val="22"/>
        <w:u w:val="single" w:color="000000"/>
        <w:lang w:val="en-US" w:eastAsia="en-US" w:bidi="ar-SA"/>
      </w:rPr>
    </w:lvl>
    <w:lvl w:ilvl="2">
      <w:start w:val="1"/>
      <w:numFmt w:val="lowerLetter"/>
      <w:lvlText w:val="(%3)"/>
      <w:lvlJc w:val="left"/>
      <w:pPr>
        <w:ind w:left="2119" w:hanging="444"/>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68" w:hanging="444"/>
      </w:pPr>
      <w:rPr>
        <w:rFonts w:hint="default"/>
        <w:lang w:val="en-US" w:eastAsia="en-US" w:bidi="ar-SA"/>
      </w:rPr>
    </w:lvl>
    <w:lvl w:ilvl="4">
      <w:numFmt w:val="bullet"/>
      <w:lvlText w:val="•"/>
      <w:lvlJc w:val="left"/>
      <w:pPr>
        <w:ind w:left="4893" w:hanging="444"/>
      </w:pPr>
      <w:rPr>
        <w:rFonts w:hint="default"/>
        <w:lang w:val="en-US" w:eastAsia="en-US" w:bidi="ar-SA"/>
      </w:rPr>
    </w:lvl>
    <w:lvl w:ilvl="5">
      <w:numFmt w:val="bullet"/>
      <w:lvlText w:val="•"/>
      <w:lvlJc w:val="left"/>
      <w:pPr>
        <w:ind w:left="5817" w:hanging="444"/>
      </w:pPr>
      <w:rPr>
        <w:rFonts w:hint="default"/>
        <w:lang w:val="en-US" w:eastAsia="en-US" w:bidi="ar-SA"/>
      </w:rPr>
    </w:lvl>
    <w:lvl w:ilvl="6">
      <w:numFmt w:val="bullet"/>
      <w:lvlText w:val="•"/>
      <w:lvlJc w:val="left"/>
      <w:pPr>
        <w:ind w:left="6742" w:hanging="444"/>
      </w:pPr>
      <w:rPr>
        <w:rFonts w:hint="default"/>
        <w:lang w:val="en-US" w:eastAsia="en-US" w:bidi="ar-SA"/>
      </w:rPr>
    </w:lvl>
    <w:lvl w:ilvl="7">
      <w:numFmt w:val="bullet"/>
      <w:lvlText w:val="•"/>
      <w:lvlJc w:val="left"/>
      <w:pPr>
        <w:ind w:left="7666" w:hanging="444"/>
      </w:pPr>
      <w:rPr>
        <w:rFonts w:hint="default"/>
        <w:lang w:val="en-US" w:eastAsia="en-US" w:bidi="ar-SA"/>
      </w:rPr>
    </w:lvl>
    <w:lvl w:ilvl="8">
      <w:numFmt w:val="bullet"/>
      <w:lvlText w:val="•"/>
      <w:lvlJc w:val="left"/>
      <w:pPr>
        <w:ind w:left="8591" w:hanging="444"/>
      </w:pPr>
      <w:rPr>
        <w:rFonts w:hint="default"/>
        <w:lang w:val="en-US" w:eastAsia="en-US" w:bidi="ar-SA"/>
      </w:rPr>
    </w:lvl>
  </w:abstractNum>
  <w:abstractNum w:abstractNumId="3" w15:restartNumberingAfterBreak="0">
    <w:nsid w:val="1F424E97"/>
    <w:multiLevelType w:val="multilevel"/>
    <w:tmpl w:val="82E2BB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240192"/>
    <w:multiLevelType w:val="multilevel"/>
    <w:tmpl w:val="E764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45827"/>
    <w:multiLevelType w:val="hybridMultilevel"/>
    <w:tmpl w:val="04662102"/>
    <w:lvl w:ilvl="0" w:tplc="3D1E039E">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1D056AB"/>
    <w:multiLevelType w:val="multilevel"/>
    <w:tmpl w:val="8EA4997A"/>
    <w:lvl w:ilvl="0">
      <w:start w:val="2"/>
      <w:numFmt w:val="decimal"/>
      <w:lvlText w:val="%1"/>
      <w:lvlJc w:val="left"/>
      <w:pPr>
        <w:ind w:left="541" w:hanging="421"/>
      </w:pPr>
      <w:rPr>
        <w:rFonts w:hint="default"/>
        <w:lang w:val="en-US" w:eastAsia="en-US" w:bidi="ar-SA"/>
      </w:rPr>
    </w:lvl>
    <w:lvl w:ilvl="1">
      <w:start w:val="2"/>
      <w:numFmt w:val="decimalZero"/>
      <w:lvlText w:val="%1.%2"/>
      <w:lvlJc w:val="left"/>
      <w:pPr>
        <w:ind w:left="541" w:hanging="421"/>
      </w:pPr>
      <w:rPr>
        <w:rFonts w:hint="default"/>
        <w:w w:val="100"/>
        <w:lang w:val="en-US" w:eastAsia="en-US" w:bidi="ar-SA"/>
      </w:rPr>
    </w:lvl>
    <w:lvl w:ilvl="2">
      <w:start w:val="1"/>
      <w:numFmt w:val="decimal"/>
      <w:lvlText w:val="(%3)"/>
      <w:lvlJc w:val="left"/>
      <w:pPr>
        <w:ind w:left="1320" w:hanging="518"/>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lowerLetter"/>
      <w:lvlText w:val="(%4)"/>
      <w:lvlJc w:val="left"/>
      <w:pPr>
        <w:ind w:left="2119" w:hanging="444"/>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decimal"/>
      <w:lvlText w:val="%5."/>
      <w:lvlJc w:val="left"/>
      <w:pPr>
        <w:ind w:left="2035" w:hanging="320"/>
      </w:pPr>
      <w:rPr>
        <w:rFonts w:ascii="Times New Roman" w:eastAsia="Times New Roman" w:hAnsi="Times New Roman" w:cs="Times New Roman" w:hint="default"/>
        <w:b w:val="0"/>
        <w:bCs w:val="0"/>
        <w:i w:val="0"/>
        <w:iCs w:val="0"/>
        <w:w w:val="100"/>
        <w:sz w:val="24"/>
        <w:szCs w:val="24"/>
        <w:lang w:val="en-US" w:eastAsia="en-US" w:bidi="ar-SA"/>
      </w:rPr>
    </w:lvl>
    <w:lvl w:ilvl="5">
      <w:numFmt w:val="bullet"/>
      <w:lvlText w:val="•"/>
      <w:lvlJc w:val="left"/>
      <w:pPr>
        <w:ind w:left="2400" w:hanging="320"/>
      </w:pPr>
      <w:rPr>
        <w:rFonts w:hint="default"/>
        <w:lang w:val="en-US" w:eastAsia="en-US" w:bidi="ar-SA"/>
      </w:rPr>
    </w:lvl>
    <w:lvl w:ilvl="6">
      <w:numFmt w:val="bullet"/>
      <w:lvlText w:val="•"/>
      <w:lvlJc w:val="left"/>
      <w:pPr>
        <w:ind w:left="4008" w:hanging="320"/>
      </w:pPr>
      <w:rPr>
        <w:rFonts w:hint="default"/>
        <w:lang w:val="en-US" w:eastAsia="en-US" w:bidi="ar-SA"/>
      </w:rPr>
    </w:lvl>
    <w:lvl w:ilvl="7">
      <w:numFmt w:val="bullet"/>
      <w:lvlText w:val="•"/>
      <w:lvlJc w:val="left"/>
      <w:pPr>
        <w:ind w:left="5616" w:hanging="320"/>
      </w:pPr>
      <w:rPr>
        <w:rFonts w:hint="default"/>
        <w:lang w:val="en-US" w:eastAsia="en-US" w:bidi="ar-SA"/>
      </w:rPr>
    </w:lvl>
    <w:lvl w:ilvl="8">
      <w:numFmt w:val="bullet"/>
      <w:lvlText w:val="•"/>
      <w:lvlJc w:val="left"/>
      <w:pPr>
        <w:ind w:left="7224" w:hanging="320"/>
      </w:pPr>
      <w:rPr>
        <w:rFonts w:hint="default"/>
        <w:lang w:val="en-US" w:eastAsia="en-US" w:bidi="ar-SA"/>
      </w:rPr>
    </w:lvl>
  </w:abstractNum>
  <w:abstractNum w:abstractNumId="7" w15:restartNumberingAfterBreak="0">
    <w:nsid w:val="5C754BA3"/>
    <w:multiLevelType w:val="multilevel"/>
    <w:tmpl w:val="381844FE"/>
    <w:lvl w:ilvl="0">
      <w:start w:val="2"/>
      <w:numFmt w:val="decimal"/>
      <w:lvlText w:val="%1"/>
      <w:lvlJc w:val="left"/>
      <w:pPr>
        <w:ind w:left="541" w:hanging="421"/>
      </w:pPr>
      <w:rPr>
        <w:rFonts w:hint="default"/>
      </w:rPr>
    </w:lvl>
    <w:lvl w:ilvl="1">
      <w:start w:val="3"/>
      <w:numFmt w:val="decimalZero"/>
      <w:lvlText w:val="%1.%2"/>
      <w:lvlJc w:val="left"/>
      <w:pPr>
        <w:ind w:left="541" w:hanging="421"/>
      </w:pPr>
      <w:rPr>
        <w:rFonts w:hint="default"/>
        <w:w w:val="100"/>
      </w:rPr>
    </w:lvl>
    <w:lvl w:ilvl="2">
      <w:start w:val="1"/>
      <w:numFmt w:val="decimal"/>
      <w:lvlText w:val="(%3)"/>
      <w:lvlJc w:val="left"/>
      <w:pPr>
        <w:ind w:left="1320" w:hanging="518"/>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2119" w:hanging="444"/>
      </w:pPr>
      <w:rPr>
        <w:rFonts w:ascii="Times New Roman" w:eastAsia="Times New Roman" w:hAnsi="Times New Roman" w:cs="Times New Roman" w:hint="default"/>
        <w:b/>
        <w:bCs/>
        <w:i w:val="0"/>
        <w:iCs w:val="0"/>
        <w:w w:val="100"/>
        <w:sz w:val="24"/>
        <w:szCs w:val="24"/>
      </w:rPr>
    </w:lvl>
    <w:lvl w:ilvl="4">
      <w:start w:val="1"/>
      <w:numFmt w:val="decimal"/>
      <w:lvlText w:val="%5."/>
      <w:lvlJc w:val="left"/>
      <w:pPr>
        <w:ind w:left="2300" w:hanging="320"/>
      </w:pPr>
      <w:rPr>
        <w:rFonts w:ascii="Times New Roman" w:eastAsia="Times New Roman" w:hAnsi="Times New Roman" w:cs="Times New Roman" w:hint="default"/>
        <w:b w:val="0"/>
        <w:bCs w:val="0"/>
        <w:i w:val="0"/>
        <w:iCs w:val="0"/>
        <w:w w:val="100"/>
        <w:sz w:val="24"/>
        <w:szCs w:val="24"/>
      </w:rPr>
    </w:lvl>
    <w:lvl w:ilvl="5">
      <w:numFmt w:val="bullet"/>
      <w:lvlText w:val="•"/>
      <w:lvlJc w:val="left"/>
      <w:pPr>
        <w:ind w:left="2400" w:hanging="320"/>
      </w:pPr>
      <w:rPr>
        <w:rFonts w:hint="default"/>
      </w:rPr>
    </w:lvl>
    <w:lvl w:ilvl="6">
      <w:numFmt w:val="bullet"/>
      <w:lvlText w:val="•"/>
      <w:lvlJc w:val="left"/>
      <w:pPr>
        <w:ind w:left="4008" w:hanging="320"/>
      </w:pPr>
      <w:rPr>
        <w:rFonts w:hint="default"/>
      </w:rPr>
    </w:lvl>
    <w:lvl w:ilvl="7">
      <w:numFmt w:val="bullet"/>
      <w:lvlText w:val="•"/>
      <w:lvlJc w:val="left"/>
      <w:pPr>
        <w:ind w:left="5616" w:hanging="320"/>
      </w:pPr>
      <w:rPr>
        <w:rFonts w:hint="default"/>
      </w:rPr>
    </w:lvl>
    <w:lvl w:ilvl="8">
      <w:numFmt w:val="bullet"/>
      <w:lvlText w:val="•"/>
      <w:lvlJc w:val="left"/>
      <w:pPr>
        <w:ind w:left="7224" w:hanging="320"/>
      </w:pPr>
      <w:rPr>
        <w:rFonts w:hint="default"/>
      </w:rPr>
    </w:lvl>
  </w:abstractNum>
  <w:num w:numId="1" w16cid:durableId="1738285168">
    <w:abstractNumId w:val="2"/>
  </w:num>
  <w:num w:numId="2" w16cid:durableId="640426489">
    <w:abstractNumId w:val="6"/>
  </w:num>
  <w:num w:numId="3" w16cid:durableId="1960721030">
    <w:abstractNumId w:val="7"/>
  </w:num>
  <w:num w:numId="4" w16cid:durableId="158811770">
    <w:abstractNumId w:val="0"/>
  </w:num>
  <w:num w:numId="5" w16cid:durableId="528495225">
    <w:abstractNumId w:val="1"/>
  </w:num>
  <w:num w:numId="6" w16cid:durableId="212622237">
    <w:abstractNumId w:val="3"/>
  </w:num>
  <w:num w:numId="7" w16cid:durableId="34502477">
    <w:abstractNumId w:val="4"/>
  </w:num>
  <w:num w:numId="8" w16cid:durableId="849369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72"/>
    <w:rsid w:val="000B27C1"/>
    <w:rsid w:val="000F7F09"/>
    <w:rsid w:val="00102699"/>
    <w:rsid w:val="0012329E"/>
    <w:rsid w:val="00187F98"/>
    <w:rsid w:val="001A7A24"/>
    <w:rsid w:val="001B33E7"/>
    <w:rsid w:val="001D5F65"/>
    <w:rsid w:val="001D6FDE"/>
    <w:rsid w:val="001E6B93"/>
    <w:rsid w:val="001F1F7E"/>
    <w:rsid w:val="001F5C90"/>
    <w:rsid w:val="0020619D"/>
    <w:rsid w:val="0027182B"/>
    <w:rsid w:val="00281047"/>
    <w:rsid w:val="002D74E1"/>
    <w:rsid w:val="002E1C23"/>
    <w:rsid w:val="002E3798"/>
    <w:rsid w:val="00327B13"/>
    <w:rsid w:val="00332373"/>
    <w:rsid w:val="00342DA3"/>
    <w:rsid w:val="00355EB3"/>
    <w:rsid w:val="0035679C"/>
    <w:rsid w:val="00370E59"/>
    <w:rsid w:val="00384609"/>
    <w:rsid w:val="003B3F92"/>
    <w:rsid w:val="00404622"/>
    <w:rsid w:val="00455154"/>
    <w:rsid w:val="00470D49"/>
    <w:rsid w:val="00477126"/>
    <w:rsid w:val="004C3C49"/>
    <w:rsid w:val="004F0A41"/>
    <w:rsid w:val="00505C51"/>
    <w:rsid w:val="00517324"/>
    <w:rsid w:val="00542CC1"/>
    <w:rsid w:val="00546566"/>
    <w:rsid w:val="005E6337"/>
    <w:rsid w:val="00615ADE"/>
    <w:rsid w:val="00642F18"/>
    <w:rsid w:val="0065350D"/>
    <w:rsid w:val="00653533"/>
    <w:rsid w:val="006B35D7"/>
    <w:rsid w:val="00704D72"/>
    <w:rsid w:val="007052CC"/>
    <w:rsid w:val="00721192"/>
    <w:rsid w:val="00727EE8"/>
    <w:rsid w:val="007631CB"/>
    <w:rsid w:val="00782211"/>
    <w:rsid w:val="00791FC0"/>
    <w:rsid w:val="0079475F"/>
    <w:rsid w:val="007A2F0A"/>
    <w:rsid w:val="007E5A3F"/>
    <w:rsid w:val="007F4AA3"/>
    <w:rsid w:val="008044AD"/>
    <w:rsid w:val="00857A54"/>
    <w:rsid w:val="00903A71"/>
    <w:rsid w:val="0091558A"/>
    <w:rsid w:val="00954890"/>
    <w:rsid w:val="00964D61"/>
    <w:rsid w:val="00A6612C"/>
    <w:rsid w:val="00A676EA"/>
    <w:rsid w:val="00A904A1"/>
    <w:rsid w:val="00A9736F"/>
    <w:rsid w:val="00AB1857"/>
    <w:rsid w:val="00AB66FE"/>
    <w:rsid w:val="00AD11F0"/>
    <w:rsid w:val="00AF52DE"/>
    <w:rsid w:val="00B04ED1"/>
    <w:rsid w:val="00B23904"/>
    <w:rsid w:val="00B25BC5"/>
    <w:rsid w:val="00B2626C"/>
    <w:rsid w:val="00B3313B"/>
    <w:rsid w:val="00BA57C8"/>
    <w:rsid w:val="00BC0500"/>
    <w:rsid w:val="00BE276C"/>
    <w:rsid w:val="00BF267D"/>
    <w:rsid w:val="00C17E2C"/>
    <w:rsid w:val="00C24E39"/>
    <w:rsid w:val="00C4002D"/>
    <w:rsid w:val="00C60B67"/>
    <w:rsid w:val="00C62239"/>
    <w:rsid w:val="00C84F1B"/>
    <w:rsid w:val="00CB4A6A"/>
    <w:rsid w:val="00CC2AC7"/>
    <w:rsid w:val="00CF3F8E"/>
    <w:rsid w:val="00D05318"/>
    <w:rsid w:val="00D3417F"/>
    <w:rsid w:val="00D555C8"/>
    <w:rsid w:val="00D55D9B"/>
    <w:rsid w:val="00DE64DC"/>
    <w:rsid w:val="00DF481F"/>
    <w:rsid w:val="00E05C35"/>
    <w:rsid w:val="00E12259"/>
    <w:rsid w:val="00E20009"/>
    <w:rsid w:val="00E23A08"/>
    <w:rsid w:val="00E522A1"/>
    <w:rsid w:val="00E67024"/>
    <w:rsid w:val="00E67FB8"/>
    <w:rsid w:val="00E74232"/>
    <w:rsid w:val="00E9242A"/>
    <w:rsid w:val="00F12E51"/>
    <w:rsid w:val="00F31B80"/>
    <w:rsid w:val="00F966E4"/>
    <w:rsid w:val="00FA1D10"/>
    <w:rsid w:val="00FA29F9"/>
    <w:rsid w:val="00FA6BFA"/>
    <w:rsid w:val="00FD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4C18E"/>
  <w15:chartTrackingRefBased/>
  <w15:docId w15:val="{DF05186E-3152-414D-820D-DABB8F3B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D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D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4D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4D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4D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4D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4D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D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D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D7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D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4D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4D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4D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4D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4D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4D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D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D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4D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D72"/>
    <w:rPr>
      <w:i/>
      <w:iCs/>
      <w:color w:val="404040" w:themeColor="text1" w:themeTint="BF"/>
    </w:rPr>
  </w:style>
  <w:style w:type="paragraph" w:styleId="ListParagraph">
    <w:name w:val="List Paragraph"/>
    <w:basedOn w:val="Normal"/>
    <w:uiPriority w:val="1"/>
    <w:qFormat/>
    <w:rsid w:val="00704D72"/>
    <w:pPr>
      <w:ind w:left="720"/>
      <w:contextualSpacing/>
    </w:pPr>
  </w:style>
  <w:style w:type="character" w:styleId="IntenseEmphasis">
    <w:name w:val="Intense Emphasis"/>
    <w:basedOn w:val="DefaultParagraphFont"/>
    <w:uiPriority w:val="21"/>
    <w:qFormat/>
    <w:rsid w:val="00704D72"/>
    <w:rPr>
      <w:i/>
      <w:iCs/>
      <w:color w:val="2F5496" w:themeColor="accent1" w:themeShade="BF"/>
    </w:rPr>
  </w:style>
  <w:style w:type="paragraph" w:styleId="IntenseQuote">
    <w:name w:val="Intense Quote"/>
    <w:basedOn w:val="Normal"/>
    <w:next w:val="Normal"/>
    <w:link w:val="IntenseQuoteChar"/>
    <w:uiPriority w:val="30"/>
    <w:qFormat/>
    <w:rsid w:val="00704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D72"/>
    <w:rPr>
      <w:i/>
      <w:iCs/>
      <w:color w:val="2F5496" w:themeColor="accent1" w:themeShade="BF"/>
    </w:rPr>
  </w:style>
  <w:style w:type="character" w:styleId="IntenseReference">
    <w:name w:val="Intense Reference"/>
    <w:basedOn w:val="DefaultParagraphFont"/>
    <w:uiPriority w:val="32"/>
    <w:qFormat/>
    <w:rsid w:val="00704D72"/>
    <w:rPr>
      <w:b/>
      <w:bCs/>
      <w:smallCaps/>
      <w:color w:val="2F5496" w:themeColor="accent1" w:themeShade="BF"/>
      <w:spacing w:val="5"/>
    </w:rPr>
  </w:style>
  <w:style w:type="paragraph" w:styleId="BodyText">
    <w:name w:val="Body Text"/>
    <w:basedOn w:val="Normal"/>
    <w:link w:val="BodyTextChar"/>
    <w:uiPriority w:val="1"/>
    <w:qFormat/>
    <w:rsid w:val="00FA29F9"/>
    <w:pPr>
      <w:widowControl w:val="0"/>
      <w:autoSpaceDE w:val="0"/>
      <w:autoSpaceDN w:val="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A29F9"/>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904A1"/>
    <w:pPr>
      <w:tabs>
        <w:tab w:val="center" w:pos="4680"/>
        <w:tab w:val="right" w:pos="9360"/>
      </w:tabs>
    </w:pPr>
  </w:style>
  <w:style w:type="character" w:customStyle="1" w:styleId="HeaderChar">
    <w:name w:val="Header Char"/>
    <w:basedOn w:val="DefaultParagraphFont"/>
    <w:link w:val="Header"/>
    <w:uiPriority w:val="99"/>
    <w:rsid w:val="00A904A1"/>
  </w:style>
  <w:style w:type="paragraph" w:styleId="Footer">
    <w:name w:val="footer"/>
    <w:basedOn w:val="Normal"/>
    <w:link w:val="FooterChar"/>
    <w:uiPriority w:val="99"/>
    <w:unhideWhenUsed/>
    <w:rsid w:val="00A904A1"/>
    <w:pPr>
      <w:tabs>
        <w:tab w:val="center" w:pos="4680"/>
        <w:tab w:val="right" w:pos="9360"/>
      </w:tabs>
    </w:pPr>
  </w:style>
  <w:style w:type="character" w:customStyle="1" w:styleId="FooterChar">
    <w:name w:val="Footer Char"/>
    <w:basedOn w:val="DefaultParagraphFont"/>
    <w:link w:val="Footer"/>
    <w:uiPriority w:val="99"/>
    <w:rsid w:val="00A904A1"/>
  </w:style>
  <w:style w:type="character" w:styleId="Hyperlink">
    <w:name w:val="Hyperlink"/>
    <w:basedOn w:val="DefaultParagraphFont"/>
    <w:uiPriority w:val="99"/>
    <w:unhideWhenUsed/>
    <w:rsid w:val="005E6337"/>
    <w:rPr>
      <w:color w:val="0563C1" w:themeColor="hyperlink"/>
      <w:u w:val="single"/>
    </w:rPr>
  </w:style>
  <w:style w:type="character" w:styleId="UnresolvedMention">
    <w:name w:val="Unresolved Mention"/>
    <w:basedOn w:val="DefaultParagraphFont"/>
    <w:uiPriority w:val="99"/>
    <w:semiHidden/>
    <w:unhideWhenUsed/>
    <w:rsid w:val="005E6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XII/Chapter1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9A09C-9743-4602-A28C-E875D387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Pages>
  <Words>1267</Words>
  <Characters>7060</Characters>
  <Application>Microsoft Office Word</Application>
  <DocSecurity>0</DocSecurity>
  <Lines>172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Midge</dc:creator>
  <cp:keywords/>
  <dc:description/>
  <cp:lastModifiedBy>Midge</cp:lastModifiedBy>
  <cp:revision>40</cp:revision>
  <dcterms:created xsi:type="dcterms:W3CDTF">2025-09-10T23:32:00Z</dcterms:created>
  <dcterms:modified xsi:type="dcterms:W3CDTF">2025-09-16T13:58:00Z</dcterms:modified>
</cp:coreProperties>
</file>