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6263" w:rsidRDefault="0026787B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INDOOR AIR QUALITY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A55808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Massachusetts Rehabilitation Commission </w:t>
                            </w:r>
                          </w:p>
                          <w:p w:rsidR="00A44A38" w:rsidRPr="00986263" w:rsidRDefault="00A55808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110 Mulberry</w:t>
                            </w:r>
                            <w:r w:rsidR="00786267">
                              <w:rPr>
                                <w:b/>
                                <w:sz w:val="28"/>
                              </w:rPr>
                              <w:t xml:space="preserve"> Street</w:t>
                            </w:r>
                          </w:p>
                          <w:p w:rsidR="00986263" w:rsidRPr="00986263" w:rsidRDefault="00786267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Brockton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86267" w:rsidRDefault="00786267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26787B" w:rsidP="009862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0" cy="2865120"/>
                                  <wp:effectExtent l="0" t="0" r="0" b="0"/>
                                  <wp:docPr id="2" name="Picture 2" descr="110 Mulberry Street, Brockton, 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10 Mulberry Street, Brockton, 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2000"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286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0A5D" w:rsidRDefault="00480A5D" w:rsidP="00986263">
                            <w:pPr>
                              <w:jc w:val="center"/>
                            </w:pPr>
                          </w:p>
                          <w:p w:rsidR="0077298E" w:rsidRDefault="0077298E" w:rsidP="00986263">
                            <w:pPr>
                              <w:jc w:val="center"/>
                            </w:pPr>
                          </w:p>
                          <w:p w:rsidR="00586E50" w:rsidRDefault="00586E50" w:rsidP="00986263">
                            <w:pPr>
                              <w:jc w:val="center"/>
                            </w:pPr>
                          </w:p>
                          <w:p w:rsidR="00586E50" w:rsidRDefault="00586E50" w:rsidP="00986263">
                            <w:pPr>
                              <w:jc w:val="center"/>
                            </w:pPr>
                          </w:p>
                          <w:p w:rsidR="00786267" w:rsidRDefault="00786267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786267" w:rsidP="00986263">
                            <w:pPr>
                              <w:jc w:val="center"/>
                            </w:pPr>
                            <w:r>
                              <w:t>October</w:t>
                            </w:r>
                            <w:r w:rsidR="00986263"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INDOOR AIR QUALITY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A55808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Massachusetts Rehabilitation Commission </w:t>
                      </w:r>
                    </w:p>
                    <w:p w:rsidR="00A44A38" w:rsidRPr="00986263" w:rsidRDefault="00A55808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110 Mulberry</w:t>
                      </w:r>
                      <w:r w:rsidR="00786267">
                        <w:rPr>
                          <w:b/>
                          <w:sz w:val="28"/>
                        </w:rPr>
                        <w:t xml:space="preserve"> Street</w:t>
                      </w:r>
                    </w:p>
                    <w:p w:rsidR="00986263" w:rsidRPr="00986263" w:rsidRDefault="00786267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Brockton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786267" w:rsidRDefault="00786267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26787B" w:rsidP="009862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00" cy="2865120"/>
                            <wp:effectExtent l="0" t="0" r="0" b="0"/>
                            <wp:docPr id="2" name="Picture 2" descr="110 Mulberry Street, Brockton, 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10 Mulberry Street, Brockton, 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lum bright="2000"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286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0A5D" w:rsidRDefault="00480A5D" w:rsidP="00986263">
                      <w:pPr>
                        <w:jc w:val="center"/>
                      </w:pPr>
                    </w:p>
                    <w:p w:rsidR="0077298E" w:rsidRDefault="0077298E" w:rsidP="00986263">
                      <w:pPr>
                        <w:jc w:val="center"/>
                      </w:pPr>
                    </w:p>
                    <w:p w:rsidR="00586E50" w:rsidRDefault="00586E50" w:rsidP="00986263">
                      <w:pPr>
                        <w:jc w:val="center"/>
                      </w:pPr>
                    </w:p>
                    <w:p w:rsidR="00586E50" w:rsidRDefault="00586E50" w:rsidP="00986263">
                      <w:pPr>
                        <w:jc w:val="center"/>
                      </w:pPr>
                    </w:p>
                    <w:p w:rsidR="00786267" w:rsidRDefault="00786267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786267" w:rsidP="00986263">
                      <w:pPr>
                        <w:jc w:val="center"/>
                      </w:pPr>
                      <w:r>
                        <w:t>October</w:t>
                      </w:r>
                      <w:r w:rsidR="00986263"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2293" w:rsidRPr="00052ECB" w:rsidRDefault="00D72293" w:rsidP="00D72293">
      <w:pPr>
        <w:pStyle w:val="Heading1"/>
      </w:pPr>
      <w:r w:rsidRPr="00052ECB">
        <w:lastRenderedPageBreak/>
        <w:t>Executive Summary:</w:t>
      </w:r>
    </w:p>
    <w:p w:rsidR="00D72293" w:rsidRPr="00BB5EA6" w:rsidRDefault="00BB5EA6" w:rsidP="00D72293">
      <w:pPr>
        <w:pStyle w:val="BodyText"/>
        <w:rPr>
          <w:b/>
        </w:rPr>
      </w:pPr>
      <w:r w:rsidRPr="00E57C77">
        <w:rPr>
          <w:rStyle w:val="BackgroundBoldedDescriptors"/>
          <w:b w:val="0"/>
        </w:rPr>
        <w:t>At the time</w:t>
      </w:r>
      <w:r>
        <w:rPr>
          <w:rStyle w:val="BackgroundBoldedDescriptors"/>
          <w:b w:val="0"/>
        </w:rPr>
        <w:t xml:space="preserve"> of </w:t>
      </w:r>
      <w:r w:rsidR="003C61C4">
        <w:rPr>
          <w:rStyle w:val="BackgroundBoldedDescriptors"/>
          <w:b w:val="0"/>
        </w:rPr>
        <w:t xml:space="preserve">the </w:t>
      </w:r>
      <w:r>
        <w:rPr>
          <w:rStyle w:val="BackgroundBoldedDescriptors"/>
          <w:b w:val="0"/>
        </w:rPr>
        <w:t>assessment</w:t>
      </w:r>
      <w:r w:rsidR="00531457">
        <w:rPr>
          <w:rStyle w:val="BackgroundBoldedDescriptors"/>
          <w:b w:val="0"/>
        </w:rPr>
        <w:t>,</w:t>
      </w:r>
      <w:r>
        <w:rPr>
          <w:rStyle w:val="BackgroundBoldedDescriptors"/>
          <w:b w:val="0"/>
        </w:rPr>
        <w:t xml:space="preserve"> the mechanical </w:t>
      </w:r>
      <w:r w:rsidR="007D0977">
        <w:rPr>
          <w:rStyle w:val="BackgroundBoldedDescriptors"/>
          <w:b w:val="0"/>
        </w:rPr>
        <w:t xml:space="preserve">ventilation </w:t>
      </w:r>
      <w:r>
        <w:rPr>
          <w:rStyle w:val="BackgroundBoldedDescriptors"/>
          <w:b w:val="0"/>
        </w:rPr>
        <w:t>system was experienc</w:t>
      </w:r>
      <w:r w:rsidR="002952F0">
        <w:rPr>
          <w:rStyle w:val="BackgroundBoldedDescriptors"/>
          <w:b w:val="0"/>
        </w:rPr>
        <w:t>ing</w:t>
      </w:r>
      <w:r w:rsidR="00E57C77">
        <w:rPr>
          <w:rStyle w:val="BackgroundBoldedDescriptors"/>
          <w:b w:val="0"/>
        </w:rPr>
        <w:t xml:space="preserve"> operation issues and a lack of maintenance of the rooftop air handling units. These issues as well as a lack of carpet cleaning have</w:t>
      </w:r>
      <w:r>
        <w:rPr>
          <w:rStyle w:val="BackgroundBoldedDescriptors"/>
          <w:b w:val="0"/>
        </w:rPr>
        <w:t xml:space="preserve"> likely contribut</w:t>
      </w:r>
      <w:r w:rsidR="002952F0">
        <w:rPr>
          <w:rStyle w:val="BackgroundBoldedDescriptors"/>
          <w:b w:val="0"/>
        </w:rPr>
        <w:t>ed</w:t>
      </w:r>
      <w:r>
        <w:rPr>
          <w:rStyle w:val="BackgroundBoldedDescriptors"/>
          <w:b w:val="0"/>
        </w:rPr>
        <w:t xml:space="preserve"> to staff complaints/symptoms related to </w:t>
      </w:r>
      <w:r w:rsidR="005B103B">
        <w:rPr>
          <w:rStyle w:val="BackgroundBoldedDescriptors"/>
          <w:b w:val="0"/>
        </w:rPr>
        <w:t xml:space="preserve">indoor </w:t>
      </w:r>
      <w:r>
        <w:rPr>
          <w:rStyle w:val="BackgroundBoldedDescriptors"/>
          <w:b w:val="0"/>
        </w:rPr>
        <w:t>air quality.</w:t>
      </w:r>
    </w:p>
    <w:p w:rsidR="008F0C39" w:rsidRPr="005A56FD" w:rsidRDefault="005A56FD" w:rsidP="005A56FD">
      <w:pPr>
        <w:pStyle w:val="Heading1"/>
      </w:pPr>
      <w:r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4188"/>
      </w:tblGrid>
      <w:tr w:rsidR="008F0C3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188" w:type="dxa"/>
            <w:shd w:val="clear" w:color="auto" w:fill="auto"/>
          </w:tcPr>
          <w:p w:rsidR="008F0C39" w:rsidRPr="008261E3" w:rsidRDefault="00586E50" w:rsidP="00BF2A49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Massachusetts Rehabilitation Commission (MRC)</w:t>
            </w:r>
          </w:p>
        </w:tc>
      </w:tr>
      <w:tr w:rsidR="008F0C3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188" w:type="dxa"/>
            <w:shd w:val="clear" w:color="auto" w:fill="auto"/>
          </w:tcPr>
          <w:p w:rsidR="008F0C39" w:rsidRPr="001174D9" w:rsidRDefault="00586E50" w:rsidP="00F2117B">
            <w:pPr>
              <w:tabs>
                <w:tab w:val="left" w:pos="1485"/>
              </w:tabs>
              <w:rPr>
                <w:bCs/>
              </w:rPr>
            </w:pPr>
            <w:r>
              <w:t>110 Mulberry</w:t>
            </w:r>
            <w:r w:rsidR="00710494">
              <w:t xml:space="preserve"> Street, Brockton</w:t>
            </w:r>
          </w:p>
        </w:tc>
      </w:tr>
      <w:tr w:rsidR="008F0C3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188" w:type="dxa"/>
            <w:shd w:val="clear" w:color="auto" w:fill="auto"/>
          </w:tcPr>
          <w:p w:rsidR="00586E50" w:rsidRDefault="00586E50" w:rsidP="00586E50">
            <w:pPr>
              <w:rPr>
                <w:szCs w:val="24"/>
              </w:rPr>
            </w:pPr>
            <w:r>
              <w:t>Deborah Coleman, Facilities Director</w:t>
            </w:r>
          </w:p>
          <w:p w:rsidR="00586E50" w:rsidRPr="005A56FD" w:rsidRDefault="00586E50" w:rsidP="00586E50">
            <w:r>
              <w:t>Executive Office of Health and Human Services (EOHHS)</w:t>
            </w:r>
          </w:p>
          <w:p w:rsidR="008F0C39" w:rsidRPr="001174D9" w:rsidRDefault="008F0C39" w:rsidP="00F03044">
            <w:pPr>
              <w:pStyle w:val="StaffTitleHangingIndent"/>
              <w:rPr>
                <w:bCs/>
              </w:rPr>
            </w:pPr>
          </w:p>
        </w:tc>
      </w:tr>
      <w:tr w:rsidR="00FF101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188" w:type="dxa"/>
            <w:shd w:val="clear" w:color="auto" w:fill="auto"/>
          </w:tcPr>
          <w:p w:rsidR="00FF1019" w:rsidRPr="00EA6102" w:rsidRDefault="005B4330" w:rsidP="005B4330">
            <w:pPr>
              <w:tabs>
                <w:tab w:val="left" w:pos="1485"/>
              </w:tabs>
              <w:rPr>
                <w:bCs/>
              </w:rPr>
            </w:pPr>
            <w:r>
              <w:t>G</w:t>
            </w:r>
            <w:r w:rsidR="00575934">
              <w:t xml:space="preserve">eneral </w:t>
            </w:r>
            <w:r w:rsidR="00254A32">
              <w:t>indoor air quality (</w:t>
            </w:r>
            <w:r w:rsidR="00575934">
              <w:t>IAQ</w:t>
            </w:r>
            <w:r w:rsidR="00254A32">
              <w:t>)</w:t>
            </w:r>
            <w:r w:rsidR="00575934">
              <w:t xml:space="preserve"> </w:t>
            </w:r>
            <w:r>
              <w:t>assessment</w:t>
            </w:r>
            <w:r w:rsidR="00BB5EA6">
              <w:t xml:space="preserve"> in </w:t>
            </w:r>
            <w:r w:rsidR="00BB5EA6" w:rsidRPr="00BB5EA6">
              <w:t>response to symptoms reported by building occupants (e.g., respiratory/eye irritation, exacerbation of allergies, migraines and sinus issues</w:t>
            </w:r>
            <w:r w:rsidR="00BB5EA6">
              <w:t>.</w:t>
            </w:r>
          </w:p>
        </w:tc>
      </w:tr>
      <w:tr w:rsidR="00FF101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188" w:type="dxa"/>
            <w:shd w:val="clear" w:color="auto" w:fill="auto"/>
          </w:tcPr>
          <w:p w:rsidR="00FF1019" w:rsidRPr="001174D9" w:rsidRDefault="00BF2A49" w:rsidP="00586E50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September </w:t>
            </w:r>
            <w:r w:rsidR="00586E50">
              <w:rPr>
                <w:bCs/>
              </w:rPr>
              <w:t>30</w:t>
            </w:r>
            <w:r w:rsidR="00FF1019">
              <w:rPr>
                <w:bCs/>
              </w:rPr>
              <w:t>, 2016</w:t>
            </w:r>
          </w:p>
        </w:tc>
      </w:tr>
      <w:tr w:rsidR="00FF101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188" w:type="dxa"/>
            <w:shd w:val="clear" w:color="auto" w:fill="auto"/>
          </w:tcPr>
          <w:p w:rsidR="00FF1019" w:rsidRPr="008F0C39" w:rsidRDefault="00586E50" w:rsidP="00586E50">
            <w:pPr>
              <w:pStyle w:val="StaffTitleHangingIndent"/>
            </w:pPr>
            <w:r>
              <w:t xml:space="preserve">Mike Feeney, Director and </w:t>
            </w:r>
            <w:r w:rsidR="00FF1019">
              <w:t>Cory Holmes, Environmental Analyst/Inspector</w:t>
            </w:r>
            <w:r w:rsidR="00710494">
              <w:t>, IAQ Program</w:t>
            </w:r>
          </w:p>
        </w:tc>
      </w:tr>
      <w:tr w:rsidR="00FF1019" w:rsidRPr="00A72414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FF1019" w:rsidRPr="00A72414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188" w:type="dxa"/>
            <w:shd w:val="clear" w:color="auto" w:fill="auto"/>
          </w:tcPr>
          <w:p w:rsidR="00FF1019" w:rsidRPr="00A72414" w:rsidRDefault="000856D0" w:rsidP="00BD396B">
            <w:pPr>
              <w:tabs>
                <w:tab w:val="left" w:pos="1485"/>
              </w:tabs>
              <w:rPr>
                <w:bCs/>
              </w:rPr>
            </w:pPr>
            <w:r w:rsidRPr="00A72414">
              <w:t>19</w:t>
            </w:r>
            <w:r w:rsidR="00BD396B">
              <w:t>81</w:t>
            </w:r>
            <w:r w:rsidR="00710494">
              <w:t xml:space="preserve">, </w:t>
            </w:r>
            <w:r w:rsidR="00BD396B">
              <w:t xml:space="preserve">most recent </w:t>
            </w:r>
            <w:r w:rsidR="00710494">
              <w:t xml:space="preserve">renovations </w:t>
            </w:r>
            <w:r w:rsidR="00BD396B">
              <w:t>2013</w:t>
            </w:r>
          </w:p>
        </w:tc>
      </w:tr>
      <w:tr w:rsidR="00FF1019" w:rsidRPr="00A72414" w:rsidTr="00586E50">
        <w:trPr>
          <w:trHeight w:val="323"/>
          <w:jc w:val="center"/>
        </w:trPr>
        <w:tc>
          <w:tcPr>
            <w:tcW w:w="4909" w:type="dxa"/>
            <w:shd w:val="clear" w:color="auto" w:fill="auto"/>
          </w:tcPr>
          <w:p w:rsidR="00FF1019" w:rsidRPr="00A72414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>Building Description:</w:t>
            </w:r>
          </w:p>
        </w:tc>
        <w:tc>
          <w:tcPr>
            <w:tcW w:w="4188" w:type="dxa"/>
            <w:shd w:val="clear" w:color="auto" w:fill="auto"/>
          </w:tcPr>
          <w:p w:rsidR="00FF1019" w:rsidRPr="00A72414" w:rsidRDefault="00586E50" w:rsidP="002952F0">
            <w:pPr>
              <w:tabs>
                <w:tab w:val="left" w:pos="1485"/>
              </w:tabs>
              <w:rPr>
                <w:bCs/>
              </w:rPr>
            </w:pPr>
            <w:r w:rsidRPr="00586E50">
              <w:t>The building has two-stories with a flat rubber roof originally built as a telecom company. The current layout includes offices, open work areas (cubicles), conference and hearing rooms, storage, and kitchen/utility areas. The flooring in most areas of the building is covered with carpet tiles.</w:t>
            </w:r>
          </w:p>
        </w:tc>
      </w:tr>
      <w:tr w:rsidR="00FF101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FF1019" w:rsidRPr="00A72414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>Building Population:</w:t>
            </w:r>
          </w:p>
        </w:tc>
        <w:tc>
          <w:tcPr>
            <w:tcW w:w="4188" w:type="dxa"/>
            <w:shd w:val="clear" w:color="auto" w:fill="auto"/>
          </w:tcPr>
          <w:p w:rsidR="00FF1019" w:rsidRPr="000856D0" w:rsidRDefault="00710494" w:rsidP="00B53329">
            <w:pPr>
              <w:tabs>
                <w:tab w:val="left" w:pos="1485"/>
              </w:tabs>
              <w:rPr>
                <w:bCs/>
              </w:rPr>
            </w:pPr>
            <w:r>
              <w:t xml:space="preserve">The </w:t>
            </w:r>
            <w:r w:rsidR="00B53329">
              <w:t>MRC</w:t>
            </w:r>
            <w:r>
              <w:t xml:space="preserve"> </w:t>
            </w:r>
            <w:r w:rsidR="002952F0">
              <w:t xml:space="preserve">is located on the first floor and </w:t>
            </w:r>
            <w:r>
              <w:t xml:space="preserve">has approximately </w:t>
            </w:r>
            <w:r w:rsidR="00B53329">
              <w:t>10 to 15</w:t>
            </w:r>
            <w:r>
              <w:t xml:space="preserve"> employees with </w:t>
            </w:r>
            <w:r w:rsidR="00B53329">
              <w:t>clients</w:t>
            </w:r>
            <w:r>
              <w:t xml:space="preserve"> visiting on a daily basis</w:t>
            </w:r>
            <w:r w:rsidR="00CE7DC9">
              <w:rPr>
                <w:bCs/>
              </w:rPr>
              <w:t>.</w:t>
            </w:r>
          </w:p>
        </w:tc>
      </w:tr>
      <w:tr w:rsidR="00FF101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188" w:type="dxa"/>
            <w:shd w:val="clear" w:color="auto" w:fill="auto"/>
          </w:tcPr>
          <w:p w:rsidR="00FF1019" w:rsidRPr="003A3B7B" w:rsidRDefault="00586E50" w:rsidP="002952F0">
            <w:pPr>
              <w:tabs>
                <w:tab w:val="left" w:pos="1485"/>
              </w:tabs>
              <w:rPr>
                <w:bCs/>
              </w:rPr>
            </w:pPr>
            <w:r w:rsidRPr="00586E50">
              <w:t>Windows in the building have been rendered unopenable.</w:t>
            </w:r>
          </w:p>
        </w:tc>
      </w:tr>
    </w:tbl>
    <w:p w:rsidR="00986263" w:rsidRDefault="005A45DD" w:rsidP="00986263">
      <w:pPr>
        <w:pStyle w:val="Heading1"/>
      </w:pPr>
      <w:r>
        <w:lastRenderedPageBreak/>
        <w:t>Methods</w:t>
      </w:r>
    </w:p>
    <w:p w:rsidR="00986263" w:rsidRPr="00986263" w:rsidRDefault="00986263" w:rsidP="00986263">
      <w:pPr>
        <w:pStyle w:val="BodyText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8F0C39" w:rsidRDefault="005A45DD" w:rsidP="00986263">
      <w:pPr>
        <w:pStyle w:val="Heading1"/>
      </w:pPr>
      <w:r>
        <w:t>Results and Discussion</w:t>
      </w:r>
    </w:p>
    <w:p w:rsidR="00B63F9B" w:rsidRDefault="008F0C39" w:rsidP="0057647E">
      <w:pPr>
        <w:pStyle w:val="BodyText"/>
      </w:pPr>
      <w:r w:rsidRPr="008F0C39">
        <w:t>The following is a summary of indoor air testing result</w:t>
      </w:r>
      <w:r w:rsidR="003C7393">
        <w:t>s</w:t>
      </w:r>
      <w:r w:rsidRPr="008F0C39">
        <w:t xml:space="preserve"> (Table 1).</w:t>
      </w:r>
    </w:p>
    <w:p w:rsidR="0067562C" w:rsidRPr="00986263" w:rsidRDefault="0067562C" w:rsidP="00986263">
      <w:pPr>
        <w:pStyle w:val="BodyTextBulleted"/>
      </w:pPr>
      <w:r w:rsidRPr="009D5BEF">
        <w:rPr>
          <w:b/>
          <w:i/>
        </w:rPr>
        <w:t>Carbon dioxide</w:t>
      </w:r>
      <w:r w:rsidRPr="00986263">
        <w:t xml:space="preserve"> </w:t>
      </w:r>
      <w:r w:rsidR="00947EF8">
        <w:t>measurements</w:t>
      </w:r>
      <w:r w:rsidRPr="00986263">
        <w:t xml:space="preserve"> were </w:t>
      </w:r>
      <w:r w:rsidRPr="004E664F">
        <w:t>below</w:t>
      </w:r>
      <w:r w:rsidRPr="0005123A">
        <w:t xml:space="preserve"> the </w:t>
      </w:r>
      <w:r w:rsidR="00986263" w:rsidRPr="0005123A">
        <w:t>MDPH</w:t>
      </w:r>
      <w:r w:rsidRPr="0005123A">
        <w:t xml:space="preserve"> recommended level of 800 parts per million (ppm) in </w:t>
      </w:r>
      <w:r w:rsidR="00E2263B" w:rsidRPr="0005123A">
        <w:t>all</w:t>
      </w:r>
      <w:r w:rsidRPr="0005123A">
        <w:t xml:space="preserve"> </w:t>
      </w:r>
      <w:r w:rsidR="004E664F">
        <w:t xml:space="preserve">but one </w:t>
      </w:r>
      <w:r w:rsidR="001107EB" w:rsidRPr="0005123A">
        <w:t>area surveyed</w:t>
      </w:r>
      <w:r w:rsidR="00B63F9B" w:rsidRPr="00986263">
        <w:t>.</w:t>
      </w:r>
    </w:p>
    <w:p w:rsidR="003F425D" w:rsidRPr="00986263" w:rsidRDefault="0067562C" w:rsidP="00986263">
      <w:pPr>
        <w:pStyle w:val="BodyTextBulleted"/>
      </w:pPr>
      <w:r w:rsidRPr="009D5BEF">
        <w:rPr>
          <w:b/>
          <w:i/>
        </w:rPr>
        <w:t>Temperature</w:t>
      </w:r>
      <w:r w:rsidRPr="00986263">
        <w:t xml:space="preserve"> was </w:t>
      </w:r>
      <w:r w:rsidR="0005123A" w:rsidRPr="004E664F">
        <w:t>within</w:t>
      </w:r>
      <w:r w:rsidR="0005123A">
        <w:t xml:space="preserve"> </w:t>
      </w:r>
      <w:r w:rsidRPr="00986263">
        <w:t xml:space="preserve">the MDPH recommended range of </w:t>
      </w:r>
      <w:r w:rsidR="0005123A">
        <w:t>70</w:t>
      </w:r>
      <w:r w:rsidRPr="0005123A">
        <w:t>°F to 7</w:t>
      </w:r>
      <w:r w:rsidR="0005123A" w:rsidRPr="0005123A">
        <w:t>8</w:t>
      </w:r>
      <w:r w:rsidRPr="0005123A">
        <w:t>°F</w:t>
      </w:r>
      <w:r w:rsidRPr="00986263">
        <w:t xml:space="preserve"> </w:t>
      </w:r>
      <w:r w:rsidR="0005123A">
        <w:t>at the time of assessment</w:t>
      </w:r>
      <w:r w:rsidR="00421F00" w:rsidRPr="00986263">
        <w:t>.</w:t>
      </w:r>
    </w:p>
    <w:p w:rsidR="0067562C" w:rsidRPr="00986263" w:rsidRDefault="0067562C" w:rsidP="00986263">
      <w:pPr>
        <w:pStyle w:val="BodyTextBulleted"/>
      </w:pPr>
      <w:r w:rsidRPr="009D5BEF">
        <w:rPr>
          <w:b/>
          <w:i/>
        </w:rPr>
        <w:t>Relative humidity</w:t>
      </w:r>
      <w:r w:rsidRPr="00986263">
        <w:t xml:space="preserve"> was </w:t>
      </w:r>
      <w:r w:rsidR="004E664F">
        <w:t>within</w:t>
      </w:r>
      <w:r w:rsidRPr="00986263">
        <w:t xml:space="preserve"> the MDP</w:t>
      </w:r>
      <w:r w:rsidR="00503F0F" w:rsidRPr="00986263">
        <w:t>H recommended range of 40 to 60</w:t>
      </w:r>
      <w:r w:rsidRPr="00986263">
        <w:t xml:space="preserve">% in </w:t>
      </w:r>
      <w:r w:rsidR="006F60E7">
        <w:t>all</w:t>
      </w:r>
      <w:r w:rsidR="00406006">
        <w:t xml:space="preserve"> </w:t>
      </w:r>
      <w:r w:rsidRPr="00986263">
        <w:t>areas tested</w:t>
      </w:r>
      <w:r w:rsidR="00755B84">
        <w:t>.</w:t>
      </w:r>
    </w:p>
    <w:p w:rsidR="0067562C" w:rsidRPr="00986263" w:rsidRDefault="0067562C" w:rsidP="00986263">
      <w:pPr>
        <w:pStyle w:val="BodyTextBulleted"/>
      </w:pPr>
      <w:r w:rsidRPr="009D5BEF">
        <w:rPr>
          <w:b/>
          <w:i/>
        </w:rPr>
        <w:t>Carbon monoxide</w:t>
      </w:r>
      <w:r w:rsidRPr="00986263">
        <w:t xml:space="preserve"> levels were </w:t>
      </w:r>
      <w:r w:rsidRPr="004E664F">
        <w:t>non-detectable</w:t>
      </w:r>
      <w:r w:rsidRPr="00986263">
        <w:t xml:space="preserve"> in all areas tested.</w:t>
      </w:r>
    </w:p>
    <w:p w:rsidR="0067562C" w:rsidRDefault="005C2241" w:rsidP="00986263">
      <w:pPr>
        <w:pStyle w:val="BodyTextBulleted"/>
      </w:pPr>
      <w:r w:rsidRPr="009D5BEF">
        <w:rPr>
          <w:b/>
          <w:i/>
        </w:rPr>
        <w:t>Particulate m</w:t>
      </w:r>
      <w:r w:rsidR="005054AA" w:rsidRPr="009D5BEF">
        <w:rPr>
          <w:b/>
          <w:i/>
        </w:rPr>
        <w:t>atter (</w:t>
      </w:r>
      <w:r w:rsidR="0067562C" w:rsidRPr="009D5BEF">
        <w:rPr>
          <w:b/>
          <w:i/>
        </w:rPr>
        <w:t>PM2.5</w:t>
      </w:r>
      <w:r w:rsidR="005054AA" w:rsidRPr="009D5BEF">
        <w:rPr>
          <w:b/>
          <w:i/>
        </w:rPr>
        <w:t>)</w:t>
      </w:r>
      <w:r w:rsidR="005054AA" w:rsidRPr="00986263">
        <w:t xml:space="preserve"> </w:t>
      </w:r>
      <w:r w:rsidR="0067562C" w:rsidRPr="00986263">
        <w:t xml:space="preserve">concentrations measured </w:t>
      </w:r>
      <w:r w:rsidR="0067562C" w:rsidRPr="00406006">
        <w:t xml:space="preserve">were </w:t>
      </w:r>
      <w:r w:rsidR="0067562C" w:rsidRPr="004E664F">
        <w:t>below</w:t>
      </w:r>
      <w:r w:rsidR="0067562C" w:rsidRPr="00986263">
        <w:t xml:space="preserve"> the National Ambient Air Quality (NAAQS) l</w:t>
      </w:r>
      <w:r w:rsidR="00B43145">
        <w:t>evel</w:t>
      </w:r>
      <w:r w:rsidR="0067562C" w:rsidRPr="00986263">
        <w:t xml:space="preserve"> </w:t>
      </w:r>
      <w:proofErr w:type="gramStart"/>
      <w:r w:rsidR="0067562C" w:rsidRPr="00986263">
        <w:t>of 35 μg/</w:t>
      </w:r>
      <w:r w:rsidR="00BC6B69" w:rsidRPr="00986263">
        <w:t>m</w:t>
      </w:r>
      <w:r w:rsidR="00BC6B69" w:rsidRPr="009C7489">
        <w:rPr>
          <w:vertAlign w:val="superscript"/>
        </w:rPr>
        <w:t>3</w:t>
      </w:r>
      <w:r w:rsidR="0067562C" w:rsidRPr="00986263">
        <w:t xml:space="preserve"> in all areas</w:t>
      </w:r>
      <w:proofErr w:type="gramEnd"/>
      <w:r w:rsidR="0067562C" w:rsidRPr="00986263">
        <w:t xml:space="preserve"> tested.</w:t>
      </w:r>
    </w:p>
    <w:p w:rsidR="00D77E51" w:rsidRDefault="00D77E51" w:rsidP="00613713">
      <w:pPr>
        <w:pStyle w:val="Heading2"/>
      </w:pPr>
      <w:r w:rsidRPr="00613713">
        <w:t>Ventilation</w:t>
      </w:r>
    </w:p>
    <w:p w:rsidR="0044671B" w:rsidRDefault="003A4DB4" w:rsidP="00BB5EA6">
      <w:pPr>
        <w:pStyle w:val="BodyText1"/>
      </w:pPr>
      <w:r w:rsidRPr="005E2E28">
        <w:t xml:space="preserve">A heating, </w:t>
      </w:r>
      <w:r w:rsidR="00E362BA" w:rsidRPr="005E2E28">
        <w:t>ventilating,</w:t>
      </w:r>
      <w:r w:rsidRPr="005E2E28">
        <w:t xml:space="preserve"> and air conditioning (HVAC) system has several functions.</w:t>
      </w:r>
      <w:r>
        <w:t xml:space="preserve"> </w:t>
      </w:r>
      <w:r w:rsidRPr="005E2E28">
        <w:t>First it provides heating and, if equipped, cooling.</w:t>
      </w:r>
      <w:r>
        <w:t xml:space="preserve"> </w:t>
      </w:r>
      <w:r w:rsidRPr="005E2E28">
        <w:t>Second, it is a source of fresh air.</w:t>
      </w:r>
      <w:r>
        <w:t xml:space="preserve"> </w:t>
      </w:r>
      <w:r w:rsidRPr="005E2E28">
        <w:t>Finally, an HVAC system will dilute and remove normally occurring indoor environmental pollutants by not on</w:t>
      </w:r>
      <w:r w:rsidR="00755B84">
        <w:t>ly introducing fresh air, but also</w:t>
      </w:r>
      <w:r w:rsidRPr="005E2E28">
        <w:t xml:space="preserve"> filtering the airstream and ejecting stale air to the outdoors via exhaust ventilation.</w:t>
      </w:r>
      <w:r>
        <w:t xml:space="preserve"> </w:t>
      </w:r>
      <w:r w:rsidR="0044671B">
        <w:t xml:space="preserve">At the time of assessment, the digital thermostat </w:t>
      </w:r>
      <w:r w:rsidR="006F60E7">
        <w:t xml:space="preserve">displayed </w:t>
      </w:r>
      <w:r w:rsidR="0044671B">
        <w:t>an error reading</w:t>
      </w:r>
      <w:r w:rsidR="00B36D15">
        <w:t xml:space="preserve"> (Picture 1)</w:t>
      </w:r>
      <w:r w:rsidR="0044671B">
        <w:t>, which appeared to deactivate the system</w:t>
      </w:r>
      <w:r w:rsidR="006F60E7">
        <w:t xml:space="preserve"> (Picture 2)</w:t>
      </w:r>
      <w:r w:rsidR="0044671B">
        <w:t>. Without air circulation</w:t>
      </w:r>
      <w:r w:rsidR="00C545C7">
        <w:t xml:space="preserve"> </w:t>
      </w:r>
      <w:r w:rsidR="0044671B">
        <w:t xml:space="preserve">/filtration, this could likely </w:t>
      </w:r>
      <w:r w:rsidR="006F60E7">
        <w:t>contribute to</w:t>
      </w:r>
      <w:r w:rsidR="0044671B">
        <w:t xml:space="preserve"> thermal comfort and IAQ complaints experienced by MRC staff.</w:t>
      </w:r>
    </w:p>
    <w:p w:rsidR="00BB5EA6" w:rsidRDefault="008A1297" w:rsidP="0044671B">
      <w:pPr>
        <w:pStyle w:val="BodyText"/>
      </w:pPr>
      <w:r w:rsidRPr="00E57C77">
        <w:t>BEH/IAQ</w:t>
      </w:r>
      <w:r>
        <w:t xml:space="preserve"> staff examined rooftop air handling units (AHUs). </w:t>
      </w:r>
      <w:r w:rsidR="00BB5EA6">
        <w:t>At the time of assessment</w:t>
      </w:r>
      <w:r>
        <w:t>,</w:t>
      </w:r>
      <w:r w:rsidR="00BB5EA6">
        <w:t xml:space="preserve"> filters in </w:t>
      </w:r>
      <w:r>
        <w:t xml:space="preserve">AHUs </w:t>
      </w:r>
      <w:r w:rsidR="00BB5EA6">
        <w:t>had recently been changed</w:t>
      </w:r>
      <w:r>
        <w:t>. I</w:t>
      </w:r>
      <w:r w:rsidR="00BB5EA6">
        <w:t xml:space="preserve">t was also reported that filters were </w:t>
      </w:r>
      <w:r w:rsidR="00B36D15">
        <w:t>upgraded</w:t>
      </w:r>
      <w:r w:rsidR="00BB5EA6">
        <w:t xml:space="preserve"> from a low grade mesh-type filter to a more </w:t>
      </w:r>
      <w:r w:rsidR="00B36D15">
        <w:t>efficient</w:t>
      </w:r>
      <w:r w:rsidR="00BB5EA6">
        <w:t xml:space="preserve"> </w:t>
      </w:r>
      <w:r w:rsidR="00B36D15">
        <w:t>pleated filter (Picture 3).</w:t>
      </w:r>
      <w:r w:rsidR="00AA6DB0">
        <w:t xml:space="preserve"> The pleated filters currently installed </w:t>
      </w:r>
      <w:r w:rsidR="00AA6DB0">
        <w:rPr>
          <w:szCs w:val="24"/>
        </w:rPr>
        <w:t xml:space="preserve">were of a </w:t>
      </w:r>
      <w:r w:rsidR="00AA6DB0" w:rsidRPr="00406519">
        <w:rPr>
          <w:szCs w:val="24"/>
        </w:rPr>
        <w:t>Minimum</w:t>
      </w:r>
      <w:r w:rsidR="00AA6DB0">
        <w:rPr>
          <w:szCs w:val="24"/>
        </w:rPr>
        <w:t xml:space="preserve"> </w:t>
      </w:r>
      <w:r w:rsidR="00AA6DB0" w:rsidRPr="00406519">
        <w:rPr>
          <w:szCs w:val="24"/>
        </w:rPr>
        <w:t>Efficiency Reporting</w:t>
      </w:r>
      <w:r w:rsidR="00AA6DB0">
        <w:rPr>
          <w:szCs w:val="24"/>
        </w:rPr>
        <w:t xml:space="preserve"> </w:t>
      </w:r>
      <w:r w:rsidR="00AA6DB0" w:rsidRPr="00406519">
        <w:rPr>
          <w:szCs w:val="24"/>
        </w:rPr>
        <w:t>Value</w:t>
      </w:r>
      <w:r w:rsidR="00AA6DB0">
        <w:rPr>
          <w:szCs w:val="24"/>
        </w:rPr>
        <w:t xml:space="preserve"> (MERV) of 8, which should be adequate in filtering out pollen and mold spores.</w:t>
      </w:r>
    </w:p>
    <w:p w:rsidR="00FE42B3" w:rsidRPr="004834FB" w:rsidRDefault="00FE42B3" w:rsidP="004834FB">
      <w:pPr>
        <w:pStyle w:val="Heading2"/>
      </w:pPr>
      <w:r w:rsidRPr="004834FB">
        <w:lastRenderedPageBreak/>
        <w:t>Microbial/Moisture Concerns</w:t>
      </w:r>
    </w:p>
    <w:p w:rsidR="0056509A" w:rsidRDefault="0056509A" w:rsidP="0056509A">
      <w:pPr>
        <w:pStyle w:val="BodyText"/>
      </w:pPr>
      <w:r>
        <w:rPr>
          <w:szCs w:val="24"/>
        </w:rPr>
        <w:t xml:space="preserve">No evidence of water leaks or moisture to building materials in the MRC was noted during the assessment. A water dispenser was observed on the carpet (Picture </w:t>
      </w:r>
      <w:r w:rsidR="00083740">
        <w:rPr>
          <w:szCs w:val="24"/>
        </w:rPr>
        <w:t>4</w:t>
      </w:r>
      <w:r>
        <w:rPr>
          <w:szCs w:val="24"/>
        </w:rPr>
        <w:t>). Leaks or overflow can moisten the carpet and lead to microbial growth.</w:t>
      </w:r>
    </w:p>
    <w:p w:rsidR="00A52C16" w:rsidRDefault="008A1297" w:rsidP="00C06EB3">
      <w:pPr>
        <w:pStyle w:val="BodyText"/>
      </w:pPr>
      <w:r>
        <w:t>Upon examining r</w:t>
      </w:r>
      <w:r w:rsidR="00852065">
        <w:t>ooftop AHUs</w:t>
      </w:r>
      <w:r>
        <w:t>,</w:t>
      </w:r>
      <w:r w:rsidR="00852065">
        <w:t xml:space="preserve"> drip</w:t>
      </w:r>
      <w:r w:rsidR="0056509A">
        <w:t xml:space="preserve"> </w:t>
      </w:r>
      <w:r w:rsidR="00852065">
        <w:t>pans were found</w:t>
      </w:r>
      <w:r w:rsidR="00A52C16">
        <w:t xml:space="preserve"> </w:t>
      </w:r>
      <w:r w:rsidR="00083740">
        <w:t xml:space="preserve">rusted/corroded and </w:t>
      </w:r>
      <w:r w:rsidR="00852065">
        <w:t>to have dried</w:t>
      </w:r>
      <w:r w:rsidR="00083740">
        <w:t>-</w:t>
      </w:r>
      <w:r w:rsidR="00852065">
        <w:t xml:space="preserve">up accumulation of scale/debris (Pictures </w:t>
      </w:r>
      <w:r w:rsidR="00083740">
        <w:t>5</w:t>
      </w:r>
      <w:r w:rsidR="00852065">
        <w:t xml:space="preserve"> and </w:t>
      </w:r>
      <w:r w:rsidR="00083740">
        <w:t>6</w:t>
      </w:r>
      <w:r w:rsidR="00852065">
        <w:t>), which may indicate they do not drain properly. Drip pans should be regularly inspected/maintained (e.g., cleaned during filter changes or prior to AC season) for cleanliness and proper operation.</w:t>
      </w:r>
    </w:p>
    <w:p w:rsidR="00C63C32" w:rsidRPr="004834FB" w:rsidRDefault="00C63C32" w:rsidP="004834FB">
      <w:pPr>
        <w:pStyle w:val="Heading2"/>
      </w:pPr>
      <w:r w:rsidRPr="004834FB">
        <w:t>Other Conditions</w:t>
      </w:r>
    </w:p>
    <w:p w:rsidR="004868BE" w:rsidRDefault="00083740" w:rsidP="004868BE">
      <w:pPr>
        <w:pStyle w:val="BodyText"/>
      </w:pPr>
      <w:r>
        <w:rPr>
          <w:szCs w:val="24"/>
        </w:rPr>
        <w:t>The MRC is covered with carpet tiles, which have reportedly not been cleaned for several years</w:t>
      </w:r>
      <w:r w:rsidR="008A1297">
        <w:rPr>
          <w:szCs w:val="24"/>
        </w:rPr>
        <w:t>, but w</w:t>
      </w:r>
      <w:r w:rsidR="00C75A32">
        <w:rPr>
          <w:szCs w:val="24"/>
        </w:rPr>
        <w:t>ere</w:t>
      </w:r>
      <w:r w:rsidR="008A1297">
        <w:rPr>
          <w:szCs w:val="24"/>
        </w:rPr>
        <w:t xml:space="preserve"> in the process of being scheduled at the time of assessment</w:t>
      </w:r>
      <w:r w:rsidR="00D818C3" w:rsidRPr="00DF2249">
        <w:t xml:space="preserve">. </w:t>
      </w:r>
      <w:r w:rsidR="004868BE">
        <w:t>T</w:t>
      </w:r>
      <w:r w:rsidR="004868BE" w:rsidRPr="00C958D3">
        <w:t xml:space="preserve">he Institute of Inspection, </w:t>
      </w:r>
      <w:r w:rsidR="00DF2AF8" w:rsidRPr="00C958D3">
        <w:t>Cleaning,</w:t>
      </w:r>
      <w:r w:rsidR="004868BE" w:rsidRPr="00C958D3">
        <w:t xml:space="preserve"> and Restoration Certification (IICRC) recommends that carpeting be cleaned annually (or semi-annually in soiled high traffic areas) (IICRC, 2012)</w:t>
      </w:r>
      <w:r w:rsidR="00EC2FD3" w:rsidRPr="00C958D3">
        <w:t xml:space="preserve">. </w:t>
      </w:r>
      <w:r w:rsidR="004868BE" w:rsidRPr="00C958D3">
        <w:t>Regular cleaning with a high efficiency particulate air (HEPA) filtered vacuum in combination with an annual cleaning will help to reduce accumulation and potential aerosolization of materials from carpeting.</w:t>
      </w:r>
    </w:p>
    <w:p w:rsidR="00D77E51" w:rsidRPr="004834FB" w:rsidRDefault="000A7CF6" w:rsidP="004834FB">
      <w:pPr>
        <w:pStyle w:val="Heading1"/>
      </w:pPr>
      <w:r>
        <w:t>Conclusions and Recommendations</w:t>
      </w:r>
    </w:p>
    <w:p w:rsidR="002E4F9B" w:rsidRDefault="002E4F9B" w:rsidP="0057647E">
      <w:pPr>
        <w:pStyle w:val="BodyText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1622DD" w:rsidRDefault="0056509A" w:rsidP="00853B08">
      <w:pPr>
        <w:pStyle w:val="BodyTextNumberedConclusion"/>
      </w:pPr>
      <w:r>
        <w:t xml:space="preserve">Work with building management/HVAC </w:t>
      </w:r>
      <w:r w:rsidR="00D4023B">
        <w:t>engineer</w:t>
      </w:r>
      <w:r>
        <w:t xml:space="preserve"> to troubleshoot errors with digital the</w:t>
      </w:r>
      <w:r w:rsidR="00D4023B">
        <w:t>r</w:t>
      </w:r>
      <w:r>
        <w:t>mo</w:t>
      </w:r>
      <w:r w:rsidR="00D4023B">
        <w:t>stat</w:t>
      </w:r>
      <w:r w:rsidR="00E973CD">
        <w:t>s/HVAC system</w:t>
      </w:r>
      <w:r>
        <w:t xml:space="preserve">. Once </w:t>
      </w:r>
      <w:r w:rsidR="00E973CD">
        <w:t>corrected</w:t>
      </w:r>
      <w:r>
        <w:t xml:space="preserve">, operate the system in fan “on” mode to provide </w:t>
      </w:r>
      <w:r w:rsidRPr="00D4023B">
        <w:rPr>
          <w:i/>
        </w:rPr>
        <w:t xml:space="preserve">continuous </w:t>
      </w:r>
      <w:r>
        <w:t>air exchange and filtration during occupied hours.</w:t>
      </w:r>
    </w:p>
    <w:p w:rsidR="00C545C7" w:rsidRDefault="00C545C7" w:rsidP="00853B08">
      <w:pPr>
        <w:pStyle w:val="BodyTextNumberedConclusion"/>
      </w:pPr>
      <w:r>
        <w:t>Consider modifying HVAC system to have all MRC areas on the same thermostat.</w:t>
      </w:r>
    </w:p>
    <w:p w:rsidR="00830FFF" w:rsidRDefault="00D4023B" w:rsidP="00853B08">
      <w:pPr>
        <w:pStyle w:val="BodyTextNumberedConclusion"/>
      </w:pPr>
      <w:r>
        <w:t>Continue with plans for carpet cleaning. Carpeting should be cleaned</w:t>
      </w:r>
      <w:r w:rsidRPr="00AE42B5">
        <w:t xml:space="preserve"> annually or semi-annually in soiled</w:t>
      </w:r>
      <w:r>
        <w:t>/</w:t>
      </w:r>
      <w:r w:rsidRPr="00AE42B5">
        <w:t>high traffic areas as per the recommendations of the Institute of Inspection, Cleaning and Restoration Certification (IICRC, 2012).</w:t>
      </w:r>
    </w:p>
    <w:p w:rsidR="00853B08" w:rsidRDefault="00853B08" w:rsidP="00853B08">
      <w:pPr>
        <w:pStyle w:val="BodyTextNumberedConclusion"/>
      </w:pPr>
      <w:r>
        <w:t xml:space="preserve">Clean/disinfect </w:t>
      </w:r>
      <w:r w:rsidR="00D4023B">
        <w:t>AHU drip pans. Drip pans should be closely inspected for proper operation/draining and repaired/replaced as needed.</w:t>
      </w:r>
    </w:p>
    <w:p w:rsidR="002811B7" w:rsidRPr="002811B7" w:rsidRDefault="002811B7" w:rsidP="00853B08">
      <w:pPr>
        <w:pStyle w:val="BodyTextNumberedConclusion"/>
      </w:pPr>
      <w:r w:rsidRPr="002811B7">
        <w:lastRenderedPageBreak/>
        <w:t>Consider adopting a balancing schedule of every 5 years for all mechanical ventilation systems, as recommended by ventilation industrial standards (SMACNA, 1994).</w:t>
      </w:r>
    </w:p>
    <w:p w:rsidR="00B84020" w:rsidRDefault="00B84020" w:rsidP="00853B08">
      <w:pPr>
        <w:pStyle w:val="BodyTextNumberedConclusion"/>
      </w:pPr>
      <w:r w:rsidRPr="00E17BA3">
        <w:t>F</w:t>
      </w:r>
      <w:r>
        <w:t xml:space="preserve">or buildings in New England, periods of low </w:t>
      </w:r>
      <w:r w:rsidR="00D4023B">
        <w:t>relative humidity</w:t>
      </w:r>
      <w:r w:rsidR="00E3321D">
        <w:t xml:space="preserve"> </w:t>
      </w:r>
      <w:r>
        <w:t xml:space="preserve">during the winter are often unavoidable. Therefore, scrupulous cleaning practices should be adopted </w:t>
      </w:r>
      <w:r w:rsidR="00515C8A">
        <w:t>to minimize</w:t>
      </w:r>
      <w:r>
        <w:t xml:space="preserve"> common indoor air contaminants whose irritant effects can be enhanced when the </w:t>
      </w:r>
      <w:r w:rsidR="00D4023B">
        <w:t>relative humidity</w:t>
      </w:r>
      <w:r w:rsidR="00E3321D">
        <w:t xml:space="preserve"> </w:t>
      </w:r>
      <w:r>
        <w:t xml:space="preserve">is low. </w:t>
      </w:r>
      <w:r w:rsidRPr="005F5726">
        <w:t xml:space="preserve">To control for dusts, a HEPA filter equipped vacuum cleaner in conjunction with wet wiping of all surfaces is recommended. </w:t>
      </w:r>
      <w:r>
        <w:t>Avoid the use of feather dusters. Drinking water during the day can help</w:t>
      </w:r>
      <w:r w:rsidR="00515C8A">
        <w:t xml:space="preserve"> </w:t>
      </w:r>
      <w:r>
        <w:t xml:space="preserve">ease some symptoms associated with a dry environment </w:t>
      </w:r>
      <w:r w:rsidR="005F5726">
        <w:t>(throat and sinus irritation</w:t>
      </w:r>
      <w:r>
        <w:t>).</w:t>
      </w:r>
    </w:p>
    <w:p w:rsidR="004276C3" w:rsidRDefault="004276C3" w:rsidP="00853B08">
      <w:pPr>
        <w:pStyle w:val="BodyTextNumberedConclusion"/>
      </w:pPr>
      <w:r>
        <w:t xml:space="preserve">Ensure that procedures are in place </w:t>
      </w:r>
      <w:r w:rsidR="00853B08">
        <w:t xml:space="preserve">and encourage </w:t>
      </w:r>
      <w:r>
        <w:t xml:space="preserve">occupants to report </w:t>
      </w:r>
      <w:r w:rsidR="00195C45">
        <w:t>HVAC/</w:t>
      </w:r>
      <w:r>
        <w:t xml:space="preserve">maintenance </w:t>
      </w:r>
      <w:r w:rsidR="00195C45">
        <w:t>issues so</w:t>
      </w:r>
      <w:r>
        <w:t xml:space="preserve"> that they can be logged and repaired promptly.</w:t>
      </w:r>
    </w:p>
    <w:p w:rsidR="00916D97" w:rsidRDefault="00916D97" w:rsidP="00916D97">
      <w:pPr>
        <w:pStyle w:val="BodyTextNumberedConclusion"/>
      </w:pPr>
      <w:r>
        <w:t>Consider moving water dispensers to non-carpeted areas or install a waterproof mat underneath them.</w:t>
      </w:r>
    </w:p>
    <w:p w:rsidR="00916D97" w:rsidRDefault="00916D97" w:rsidP="00916D97">
      <w:pPr>
        <w:pStyle w:val="BodyTextNumberedConclusion"/>
      </w:pPr>
      <w:r>
        <w:t>Continue to change HVAC filters twice a year or more frequently if needed.</w:t>
      </w:r>
    </w:p>
    <w:p w:rsidR="001765DE" w:rsidRDefault="00836554" w:rsidP="00853B08">
      <w:pPr>
        <w:pStyle w:val="BodyTextNumberedConclusion"/>
      </w:pPr>
      <w:r>
        <w:t xml:space="preserve">Refer to resource manual and other related indoor air quality documents located on the MDPH’s website for further building-wide evaluations and advice on maintaining public buildings. These documents are available at </w:t>
      </w:r>
      <w:hyperlink r:id="rId11" w:history="1">
        <w:r w:rsidRPr="001765DE">
          <w:t>http://mass.gov/dph/iaq</w:t>
        </w:r>
      </w:hyperlink>
      <w:r>
        <w:t>.</w:t>
      </w:r>
    </w:p>
    <w:p w:rsidR="00D77E51" w:rsidRDefault="001765DE" w:rsidP="001765DE">
      <w:pPr>
        <w:pStyle w:val="Heading1"/>
      </w:pPr>
      <w:r>
        <w:br w:type="page"/>
      </w:r>
      <w:r w:rsidR="000A321D">
        <w:lastRenderedPageBreak/>
        <w:t>REFERENCES</w:t>
      </w:r>
    </w:p>
    <w:p w:rsidR="004868BE" w:rsidRPr="00D749B3" w:rsidRDefault="00F739C0" w:rsidP="00F739C0">
      <w:pPr>
        <w:pStyle w:val="References"/>
      </w:pPr>
      <w:proofErr w:type="gramStart"/>
      <w:r w:rsidRPr="00D749B3">
        <w:t xml:space="preserve">Institute of Inspection, Cleaning </w:t>
      </w:r>
      <w:r>
        <w:t>and Restoration Certification (</w:t>
      </w:r>
      <w:r w:rsidR="004868BE" w:rsidRPr="00D749B3">
        <w:t>IICRC</w:t>
      </w:r>
      <w:r>
        <w:t>)</w:t>
      </w:r>
      <w:r w:rsidR="004868BE" w:rsidRPr="00D749B3">
        <w:t>.</w:t>
      </w:r>
      <w:proofErr w:type="gramEnd"/>
      <w:r w:rsidR="004868BE" w:rsidRPr="00D749B3">
        <w:t xml:space="preserve"> 2012. Carpet Cleaning: FAQ. </w:t>
      </w:r>
      <w:proofErr w:type="gramStart"/>
      <w:r w:rsidR="004868BE" w:rsidRPr="00D749B3">
        <w:t xml:space="preserve">Retrieved from </w:t>
      </w:r>
      <w:hyperlink r:id="rId12" w:history="1">
        <w:r w:rsidR="00525097" w:rsidRPr="00CF5D1E">
          <w:rPr>
            <w:rStyle w:val="Hyperlink"/>
          </w:rPr>
          <w:t>http://www.iicrc.org/consumers/care/carpet-cleaning</w:t>
        </w:r>
      </w:hyperlink>
      <w:r w:rsidR="004868BE" w:rsidRPr="00D749B3">
        <w:t>.</w:t>
      </w:r>
      <w:proofErr w:type="gramEnd"/>
      <w:r w:rsidR="00525097">
        <w:t xml:space="preserve"> </w:t>
      </w:r>
    </w:p>
    <w:p w:rsidR="009035E5" w:rsidRPr="00D749B3" w:rsidRDefault="009035E5" w:rsidP="00F739C0">
      <w:pPr>
        <w:pStyle w:val="References"/>
      </w:pPr>
      <w:proofErr w:type="gramStart"/>
      <w:r w:rsidRPr="00D749B3">
        <w:t>Massachusetts Department of</w:t>
      </w:r>
      <w:r w:rsidR="00986263" w:rsidRPr="00D749B3">
        <w:t xml:space="preserve"> Public Health</w:t>
      </w:r>
      <w:r w:rsidR="00895BCD">
        <w:t xml:space="preserve"> (MDPH)</w:t>
      </w:r>
      <w:r w:rsidR="00BA40AB">
        <w:t>.</w:t>
      </w:r>
      <w:proofErr w:type="gramEnd"/>
      <w:r w:rsidR="00895BCD" w:rsidRPr="00D749B3">
        <w:t xml:space="preserve"> 2015.</w:t>
      </w:r>
      <w:r w:rsidR="00986263" w:rsidRPr="00D749B3">
        <w:t xml:space="preserve"> </w:t>
      </w:r>
      <w:r w:rsidRPr="00D749B3">
        <w:t>Indoor Air</w:t>
      </w:r>
      <w:r w:rsidR="00986263" w:rsidRPr="00D749B3">
        <w:t xml:space="preserve"> Quality Manual: Chapters I-III</w:t>
      </w:r>
      <w:r w:rsidRPr="00D749B3">
        <w:t>.</w:t>
      </w:r>
      <w:r w:rsidR="00986263" w:rsidRPr="00D749B3">
        <w:t xml:space="preserve"> </w:t>
      </w:r>
      <w:r w:rsidRPr="00D749B3">
        <w:t>Available at:</w:t>
      </w:r>
      <w:r w:rsidR="00820146">
        <w:t xml:space="preserve"> </w:t>
      </w:r>
      <w:hyperlink r:id="rId13" w:history="1">
        <w:r w:rsidRPr="00D749B3">
          <w:rPr>
            <w:rStyle w:val="Hyperlink"/>
          </w:rPr>
          <w:t>http://www.mass.gov/eohhs/gov/departments/dph/programs/environmental-health/exposure-topics/iaq/iaq-manual/</w:t>
        </w:r>
      </w:hyperlink>
      <w:r w:rsidRPr="00D749B3">
        <w:t>.</w:t>
      </w:r>
    </w:p>
    <w:p w:rsidR="00B27446" w:rsidRDefault="00895BCD" w:rsidP="00F739C0">
      <w:pPr>
        <w:pStyle w:val="References"/>
        <w:sectPr w:rsidR="00B27446" w:rsidSect="00EB04A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DC0ED3">
        <w:t>Sheet Metal and Air Conditioning Contrac</w:t>
      </w:r>
      <w:r>
        <w:t>tors’ National Association, Inc</w:t>
      </w:r>
      <w:r w:rsidR="00A27970">
        <w:t>.</w:t>
      </w:r>
      <w:r>
        <w:t xml:space="preserve"> (</w:t>
      </w:r>
      <w:r w:rsidR="00DC0ED3" w:rsidRPr="00DC0ED3">
        <w:t>SMACNA</w:t>
      </w:r>
      <w:r>
        <w:t>)</w:t>
      </w:r>
      <w:r w:rsidR="00DC0ED3" w:rsidRPr="00DC0ED3">
        <w:t>.</w:t>
      </w:r>
      <w:proofErr w:type="gramEnd"/>
      <w:r w:rsidR="00820146">
        <w:t xml:space="preserve"> </w:t>
      </w:r>
      <w:r w:rsidR="00DC0ED3" w:rsidRPr="00DC0ED3">
        <w:t>1994.</w:t>
      </w:r>
      <w:r w:rsidR="00820146">
        <w:t xml:space="preserve"> </w:t>
      </w:r>
      <w:r w:rsidR="00DC0ED3" w:rsidRPr="00DC0ED3">
        <w:t xml:space="preserve">HVAC Systems Commissioning Manual. </w:t>
      </w:r>
      <w:proofErr w:type="gramStart"/>
      <w:r w:rsidR="00DC0ED3" w:rsidRPr="00DC0ED3">
        <w:t>1st ed. Sheet Metal and Air Conditioning Contractors’ National Association, Inc., Chantilly, VA.</w:t>
      </w:r>
      <w:proofErr w:type="gramEnd"/>
    </w:p>
    <w:p w:rsidR="00B27446" w:rsidRPr="00B27446" w:rsidRDefault="00B27446" w:rsidP="00B27446">
      <w:pPr>
        <w:spacing w:after="200" w:line="276" w:lineRule="auto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lastRenderedPageBreak/>
        <w:t>Picture 1</w:t>
      </w:r>
    </w:p>
    <w:p w:rsidR="00B27446" w:rsidRPr="00B27446" w:rsidRDefault="0026787B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800222" cy="3291840"/>
            <wp:effectExtent l="0" t="0" r="0" b="0"/>
            <wp:docPr id="3" name="Picture 1" descr="Alert message on digital thermostat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ert message on digital thermostat" titl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998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446" w:rsidRPr="00B27446" w:rsidRDefault="00B27446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Alert message on digital thermostat</w:t>
      </w:r>
    </w:p>
    <w:p w:rsidR="00B27446" w:rsidRPr="00B27446" w:rsidRDefault="00B27446" w:rsidP="00B27446">
      <w:pPr>
        <w:spacing w:after="200" w:line="276" w:lineRule="auto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Picture 2</w:t>
      </w:r>
    </w:p>
    <w:p w:rsidR="00B27446" w:rsidRPr="00B27446" w:rsidRDefault="0026787B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40989" cy="3291840"/>
            <wp:effectExtent l="0" t="0" r="0" b="0"/>
            <wp:docPr id="4" name="Picture 2" descr="“No power” message on digital thermostat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“No power” message on digital thermostat" titl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408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446" w:rsidRPr="00B27446" w:rsidRDefault="00B27446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“No power” message on digital thermostat</w:t>
      </w:r>
    </w:p>
    <w:p w:rsidR="00B27446" w:rsidRPr="00B27446" w:rsidRDefault="00B27446" w:rsidP="00B27446">
      <w:pPr>
        <w:spacing w:after="200" w:line="276" w:lineRule="auto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lastRenderedPageBreak/>
        <w:t>Picture 3</w:t>
      </w:r>
    </w:p>
    <w:p w:rsidR="00B27446" w:rsidRPr="00B27446" w:rsidRDefault="0026787B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488180" cy="3291840"/>
            <wp:effectExtent l="0" t="0" r="0" b="0"/>
            <wp:docPr id="5" name="Picture 3" descr="Title: Picture 3 - Description: Low grade mesh filters on left, higher efficiency pleated filters on righ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: Picture 3 - Description: Low grade mesh filters on left, higher efficiency pleated filters on right 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46" w:rsidRPr="00B27446" w:rsidRDefault="00B27446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 xml:space="preserve">Low grade mesh filters on left, higher efficiency pleated filters on right </w:t>
      </w:r>
    </w:p>
    <w:p w:rsidR="00B27446" w:rsidRPr="00B27446" w:rsidRDefault="00B27446" w:rsidP="00B27446">
      <w:pPr>
        <w:spacing w:after="200" w:line="276" w:lineRule="auto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Picture 4</w:t>
      </w:r>
    </w:p>
    <w:p w:rsidR="00B27446" w:rsidRPr="00B27446" w:rsidRDefault="0026787B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6" name="Picture 4" descr="Water dispenser on carpet" titl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ater dispenser on carpet" titl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46" w:rsidRPr="00B27446" w:rsidRDefault="00B27446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Water dispenser on carpet</w:t>
      </w:r>
    </w:p>
    <w:p w:rsidR="00B27446" w:rsidRPr="00B27446" w:rsidRDefault="00B27446" w:rsidP="00B27446">
      <w:pPr>
        <w:spacing w:after="200" w:line="276" w:lineRule="auto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lastRenderedPageBreak/>
        <w:t>Picture 5</w:t>
      </w:r>
    </w:p>
    <w:p w:rsidR="00B27446" w:rsidRPr="00B27446" w:rsidRDefault="0026787B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7" name="Picture 5" descr="Rust/corrosion and debris in rooftop AHU drip pan" titl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ust/corrosion and debris in rooftop AHU drip pan" titl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46" w:rsidRPr="00B27446" w:rsidRDefault="00B27446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Rust/corrosion and debris in rooftop AHU drip pan</w:t>
      </w:r>
    </w:p>
    <w:p w:rsidR="00B27446" w:rsidRPr="00B27446" w:rsidRDefault="00B27446" w:rsidP="00B27446">
      <w:pPr>
        <w:spacing w:after="200" w:line="276" w:lineRule="auto"/>
        <w:rPr>
          <w:rFonts w:eastAsia="Calibri"/>
          <w:b/>
          <w:szCs w:val="24"/>
        </w:rPr>
      </w:pPr>
      <w:r w:rsidRPr="00B27446">
        <w:rPr>
          <w:rFonts w:eastAsia="Calibri"/>
          <w:b/>
          <w:szCs w:val="24"/>
        </w:rPr>
        <w:t>Picture 6</w:t>
      </w:r>
    </w:p>
    <w:p w:rsidR="00B27446" w:rsidRPr="00B27446" w:rsidRDefault="0026787B" w:rsidP="00B2744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8" name="Picture 6" descr="Title: Picture 6 - Description: Accumulated scale and debris in rooftop AHU drip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tle: Picture 6 - Description: Accumulated scale and debris in rooftop AHU drip pan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46" w:rsidRDefault="00B27446" w:rsidP="00B27446">
      <w:pPr>
        <w:spacing w:after="200" w:line="276" w:lineRule="auto"/>
        <w:jc w:val="center"/>
        <w:rPr>
          <w:rFonts w:eastAsia="Calibri"/>
          <w:b/>
          <w:szCs w:val="24"/>
        </w:rPr>
        <w:sectPr w:rsidR="00B27446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7446">
        <w:rPr>
          <w:rFonts w:eastAsia="Calibri"/>
          <w:b/>
          <w:szCs w:val="24"/>
        </w:rPr>
        <w:t>Accumulated scale and debris in rooftop AHU drip pan</w:t>
      </w:r>
    </w:p>
    <w:tbl>
      <w:tblPr>
        <w:tblpPr w:leftFromText="180" w:rightFromText="180" w:vertAnchor="text" w:tblpY="1"/>
        <w:tblOverlap w:val="never"/>
        <w:tblW w:w="465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840"/>
        <w:gridCol w:w="821"/>
        <w:gridCol w:w="666"/>
        <w:gridCol w:w="957"/>
        <w:gridCol w:w="987"/>
        <w:gridCol w:w="862"/>
        <w:gridCol w:w="1039"/>
        <w:gridCol w:w="957"/>
        <w:gridCol w:w="658"/>
        <w:gridCol w:w="704"/>
        <w:gridCol w:w="3105"/>
      </w:tblGrid>
      <w:tr w:rsidR="00B27446" w:rsidRPr="00B27446" w:rsidTr="00C77A9C">
        <w:trPr>
          <w:cantSplit/>
          <w:trHeight w:val="240"/>
          <w:tblHeader/>
        </w:trPr>
        <w:tc>
          <w:tcPr>
            <w:tcW w:w="1044" w:type="pct"/>
            <w:vAlign w:val="bottom"/>
          </w:tcPr>
          <w:p w:rsidR="00B27446" w:rsidRPr="00B27446" w:rsidRDefault="00B27446" w:rsidP="00B27446">
            <w:pPr>
              <w:keepNext/>
              <w:jc w:val="center"/>
              <w:outlineLvl w:val="0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lastRenderedPageBreak/>
              <w:t>Location</w:t>
            </w:r>
          </w:p>
        </w:tc>
        <w:tc>
          <w:tcPr>
            <w:tcW w:w="302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Carbon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Dioxide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(ppm)</w:t>
            </w:r>
          </w:p>
        </w:tc>
        <w:tc>
          <w:tcPr>
            <w:tcW w:w="245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Temp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</w:rPr>
              <w:t>(°F)</w:t>
            </w:r>
          </w:p>
        </w:tc>
        <w:tc>
          <w:tcPr>
            <w:tcW w:w="352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Relative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Humidity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</w:rPr>
              <w:t>(%)</w:t>
            </w:r>
          </w:p>
        </w:tc>
        <w:tc>
          <w:tcPr>
            <w:tcW w:w="363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Carbon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Monoxide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  <w:lang w:val="fr-FR"/>
              </w:rPr>
            </w:pPr>
            <w:r w:rsidRPr="00B27446">
              <w:rPr>
                <w:b/>
                <w:sz w:val="18"/>
                <w:lang w:val="fr-FR"/>
              </w:rPr>
              <w:t>(ppm)</w:t>
            </w:r>
          </w:p>
        </w:tc>
        <w:tc>
          <w:tcPr>
            <w:tcW w:w="317" w:type="pct"/>
          </w:tcPr>
          <w:p w:rsidR="00B27446" w:rsidRPr="00B27446" w:rsidRDefault="00B27446" w:rsidP="00B27446">
            <w:pPr>
              <w:jc w:val="center"/>
              <w:rPr>
                <w:b/>
                <w:sz w:val="18"/>
                <w:szCs w:val="18"/>
              </w:rPr>
            </w:pPr>
            <w:r w:rsidRPr="00B27446">
              <w:rPr>
                <w:b/>
                <w:sz w:val="18"/>
                <w:szCs w:val="18"/>
              </w:rPr>
              <w:t>PM2.5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  <w:szCs w:val="18"/>
              </w:rPr>
              <w:t>(µg/m</w:t>
            </w:r>
            <w:r w:rsidRPr="00B27446">
              <w:rPr>
                <w:b/>
                <w:sz w:val="18"/>
                <w:szCs w:val="18"/>
                <w:vertAlign w:val="superscript"/>
              </w:rPr>
              <w:t>3</w:t>
            </w:r>
            <w:r w:rsidRPr="00B2744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2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Occupants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in Room</w:t>
            </w:r>
          </w:p>
        </w:tc>
        <w:tc>
          <w:tcPr>
            <w:tcW w:w="352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Windows</w:t>
            </w:r>
          </w:p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Openable</w:t>
            </w:r>
          </w:p>
        </w:tc>
        <w:tc>
          <w:tcPr>
            <w:tcW w:w="501" w:type="pct"/>
            <w:gridSpan w:val="2"/>
            <w:tcBorders>
              <w:left w:val="nil"/>
              <w:bottom w:val="nil"/>
            </w:tcBorders>
            <w:vAlign w:val="bottom"/>
          </w:tcPr>
          <w:p w:rsidR="00B27446" w:rsidRPr="00B27446" w:rsidRDefault="00B27446" w:rsidP="00B27446">
            <w:pPr>
              <w:ind w:left="-105"/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Ventilation</w:t>
            </w:r>
          </w:p>
          <w:p w:rsidR="00B27446" w:rsidRPr="00B27446" w:rsidRDefault="00B27446" w:rsidP="00B27446">
            <w:pPr>
              <w:ind w:left="-105"/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Supply  exhaust</w:t>
            </w:r>
          </w:p>
        </w:tc>
        <w:tc>
          <w:tcPr>
            <w:tcW w:w="1142" w:type="pct"/>
            <w:vAlign w:val="bottom"/>
          </w:tcPr>
          <w:p w:rsidR="00B27446" w:rsidRPr="00B27446" w:rsidRDefault="00B27446" w:rsidP="00B27446">
            <w:pPr>
              <w:jc w:val="center"/>
              <w:rPr>
                <w:b/>
                <w:sz w:val="18"/>
              </w:rPr>
            </w:pPr>
            <w:r w:rsidRPr="00B27446">
              <w:rPr>
                <w:b/>
                <w:sz w:val="18"/>
              </w:rPr>
              <w:t>Comments</w:t>
            </w: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Background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355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66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59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3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 xml:space="preserve">Cloudy, windy </w:t>
            </w: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Lobby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700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73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56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2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1021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640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74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48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1022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666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74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49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1024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665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74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49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2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Water cooler on carpet</w:t>
            </w: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1026/1038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780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74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51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2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1029/1035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771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73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51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2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2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1032/1033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815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73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53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2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1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1040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683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73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50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1041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678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73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49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  <w:tr w:rsidR="00B27446" w:rsidRPr="00B27446" w:rsidTr="00C77A9C">
        <w:trPr>
          <w:trHeight w:val="560"/>
        </w:trPr>
        <w:tc>
          <w:tcPr>
            <w:tcW w:w="1044" w:type="pct"/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  <w:r w:rsidRPr="00B27446">
              <w:rPr>
                <w:sz w:val="20"/>
              </w:rPr>
              <w:t>1042</w:t>
            </w:r>
          </w:p>
        </w:tc>
        <w:tc>
          <w:tcPr>
            <w:tcW w:w="30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667</w:t>
            </w:r>
          </w:p>
        </w:tc>
        <w:tc>
          <w:tcPr>
            <w:tcW w:w="245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73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49</w:t>
            </w:r>
          </w:p>
        </w:tc>
        <w:tc>
          <w:tcPr>
            <w:tcW w:w="363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17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0"/>
              </w:rPr>
            </w:pPr>
            <w:r w:rsidRPr="00B27446">
              <w:rPr>
                <w:sz w:val="20"/>
              </w:rPr>
              <w:t>ND</w:t>
            </w:r>
          </w:p>
        </w:tc>
        <w:tc>
          <w:tcPr>
            <w:tcW w:w="38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N</w:t>
            </w:r>
          </w:p>
        </w:tc>
        <w:tc>
          <w:tcPr>
            <w:tcW w:w="242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259" w:type="pct"/>
            <w:vAlign w:val="center"/>
          </w:tcPr>
          <w:p w:rsidR="00B27446" w:rsidRPr="00B27446" w:rsidRDefault="00B27446" w:rsidP="00B27446">
            <w:pPr>
              <w:jc w:val="center"/>
              <w:rPr>
                <w:sz w:val="22"/>
                <w:szCs w:val="22"/>
              </w:rPr>
            </w:pPr>
            <w:r w:rsidRPr="00B27446">
              <w:rPr>
                <w:sz w:val="22"/>
                <w:szCs w:val="22"/>
              </w:rPr>
              <w:t>Y</w:t>
            </w:r>
          </w:p>
        </w:tc>
        <w:tc>
          <w:tcPr>
            <w:tcW w:w="1142" w:type="pct"/>
            <w:tcBorders>
              <w:left w:val="nil"/>
            </w:tcBorders>
            <w:vAlign w:val="center"/>
          </w:tcPr>
          <w:p w:rsidR="00B27446" w:rsidRPr="00B27446" w:rsidRDefault="00B27446" w:rsidP="00B27446">
            <w:pPr>
              <w:rPr>
                <w:sz w:val="20"/>
              </w:rPr>
            </w:pPr>
          </w:p>
        </w:tc>
      </w:tr>
    </w:tbl>
    <w:p w:rsidR="00B27446" w:rsidRPr="00B27446" w:rsidRDefault="00B27446" w:rsidP="00B27446"/>
    <w:p w:rsidR="00DC0ED3" w:rsidRPr="00B27446" w:rsidRDefault="00DC0ED3" w:rsidP="00B27446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sectPr w:rsidR="00DC0ED3" w:rsidRPr="00B27446" w:rsidSect="00B27446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5840" w:h="12240" w:orient="landscape" w:code="1"/>
      <w:pgMar w:top="446" w:right="720" w:bottom="806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CB" w:rsidRDefault="00483DCB">
      <w:r>
        <w:separator/>
      </w:r>
    </w:p>
  </w:endnote>
  <w:endnote w:type="continuationSeparator" w:id="0">
    <w:p w:rsidR="00483DCB" w:rsidRDefault="0048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8EF">
      <w:rPr>
        <w:rStyle w:val="PageNumber"/>
        <w:noProof/>
      </w:rPr>
      <w:t>6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46" w:rsidRDefault="00B2744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46" w:rsidRDefault="00B2744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9C" w:rsidRDefault="00C77A9C"/>
  <w:tbl>
    <w:tblPr>
      <w:tblW w:w="0" w:type="auto"/>
      <w:tblLook w:val="01E0" w:firstRow="1" w:lastRow="1" w:firstColumn="1" w:lastColumn="1" w:noHBand="0" w:noVBand="0"/>
    </w:tblPr>
    <w:tblGrid>
      <w:gridCol w:w="3078"/>
      <w:gridCol w:w="4230"/>
      <w:gridCol w:w="3654"/>
    </w:tblGrid>
    <w:tr w:rsidR="00C77A9C" w:rsidRPr="00006C0B" w:rsidTr="00C77A9C">
      <w:tc>
        <w:tcPr>
          <w:tcW w:w="3078" w:type="dxa"/>
          <w:shd w:val="clear" w:color="auto" w:fill="auto"/>
        </w:tcPr>
        <w:p w:rsidR="00C77A9C" w:rsidRPr="00006C0B" w:rsidRDefault="00C77A9C" w:rsidP="00C77A9C">
          <w:pPr>
            <w:pStyle w:val="Footer"/>
            <w:rPr>
              <w:rFonts w:ascii="Times" w:hAnsi="Times" w:cs="Times"/>
              <w:sz w:val="20"/>
            </w:rPr>
          </w:pPr>
          <w:r w:rsidRPr="00006C0B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4230" w:type="dxa"/>
          <w:shd w:val="clear" w:color="auto" w:fill="auto"/>
        </w:tcPr>
        <w:p w:rsidR="00C77A9C" w:rsidRPr="00006C0B" w:rsidRDefault="00C77A9C" w:rsidP="00C77A9C">
          <w:pPr>
            <w:pStyle w:val="Footer"/>
            <w:rPr>
              <w:rFonts w:ascii="Times" w:hAnsi="Times" w:cs="Times"/>
              <w:sz w:val="20"/>
            </w:rPr>
          </w:pPr>
          <w:r w:rsidRPr="00006C0B">
            <w:rPr>
              <w:rFonts w:ascii="Times" w:hAnsi="Times" w:cs="Times"/>
              <w:sz w:val="20"/>
            </w:rPr>
            <w:t>µg/m</w:t>
          </w:r>
          <w:r w:rsidRPr="00006C0B">
            <w:rPr>
              <w:rFonts w:ascii="Times" w:hAnsi="Times" w:cs="Times"/>
              <w:sz w:val="20"/>
              <w:vertAlign w:val="superscript"/>
            </w:rPr>
            <w:t>3</w:t>
          </w:r>
          <w:r w:rsidRPr="00006C0B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3654" w:type="dxa"/>
          <w:shd w:val="clear" w:color="auto" w:fill="auto"/>
        </w:tcPr>
        <w:p w:rsidR="00C77A9C" w:rsidRPr="00006C0B" w:rsidRDefault="00C77A9C" w:rsidP="00C77A9C">
          <w:pPr>
            <w:pStyle w:val="Footer"/>
            <w:rPr>
              <w:rFonts w:ascii="Times" w:hAnsi="Times" w:cs="Times"/>
              <w:sz w:val="20"/>
            </w:rPr>
          </w:pPr>
          <w:r w:rsidRPr="001B2924">
            <w:rPr>
              <w:rFonts w:ascii="Times" w:hAnsi="Times" w:cs="Times"/>
              <w:sz w:val="20"/>
            </w:rPr>
            <w:t>ND = non detect</w:t>
          </w:r>
        </w:p>
      </w:tc>
    </w:tr>
  </w:tbl>
  <w:p w:rsidR="00C77A9C" w:rsidRDefault="00C77A9C" w:rsidP="00C77A9C">
    <w:pPr>
      <w:pStyle w:val="Footer"/>
      <w:rPr>
        <w:rFonts w:ascii="Times" w:hAnsi="Times" w:cs="Times"/>
        <w:sz w:val="20"/>
      </w:rPr>
    </w:pPr>
  </w:p>
  <w:p w:rsidR="00C77A9C" w:rsidRDefault="00C77A9C" w:rsidP="00C77A9C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C77A9C" w:rsidTr="00C77A9C">
      <w:tc>
        <w:tcPr>
          <w:tcW w:w="2718" w:type="dxa"/>
        </w:tcPr>
        <w:p w:rsidR="00C77A9C" w:rsidRDefault="00C77A9C" w:rsidP="00C77A9C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Carbon Dioxide:</w:t>
          </w:r>
        </w:p>
      </w:tc>
      <w:tc>
        <w:tcPr>
          <w:tcW w:w="4860" w:type="dxa"/>
        </w:tcPr>
        <w:p w:rsidR="00C77A9C" w:rsidRDefault="00C77A9C" w:rsidP="00C77A9C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</w:tcPr>
        <w:p w:rsidR="00C77A9C" w:rsidRDefault="00C77A9C" w:rsidP="00C77A9C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C77A9C" w:rsidRDefault="00C77A9C" w:rsidP="00C77A9C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C77A9C" w:rsidTr="00C77A9C">
      <w:tc>
        <w:tcPr>
          <w:tcW w:w="2718" w:type="dxa"/>
        </w:tcPr>
        <w:p w:rsidR="00C77A9C" w:rsidRDefault="00C77A9C" w:rsidP="00C77A9C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C77A9C" w:rsidRDefault="00C77A9C" w:rsidP="00C77A9C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C77A9C" w:rsidRDefault="00C77A9C" w:rsidP="00C77A9C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C77A9C" w:rsidRDefault="00C77A9C" w:rsidP="00C77A9C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C77A9C" w:rsidRDefault="00C77A9C" w:rsidP="00C77A9C">
    <w:pPr>
      <w:pStyle w:val="Footer"/>
      <w:jc w:val="center"/>
    </w:pPr>
  </w:p>
  <w:p w:rsidR="00C77A9C" w:rsidRDefault="00C77A9C" w:rsidP="00C77A9C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7A9C" w:rsidRPr="00EC38EA" w:rsidRDefault="00C77A9C" w:rsidP="00C77A9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9C" w:rsidRDefault="00C77A9C"/>
  <w:tbl>
    <w:tblPr>
      <w:tblW w:w="0" w:type="auto"/>
      <w:tblLook w:val="01E0" w:firstRow="1" w:lastRow="1" w:firstColumn="1" w:lastColumn="1" w:noHBand="0" w:noVBand="0"/>
    </w:tblPr>
    <w:tblGrid>
      <w:gridCol w:w="3078"/>
      <w:gridCol w:w="4230"/>
      <w:gridCol w:w="3654"/>
    </w:tblGrid>
    <w:tr w:rsidR="00C77A9C" w:rsidRPr="00006C0B" w:rsidTr="00C77A9C">
      <w:tc>
        <w:tcPr>
          <w:tcW w:w="3078" w:type="dxa"/>
          <w:shd w:val="clear" w:color="auto" w:fill="auto"/>
        </w:tcPr>
        <w:p w:rsidR="00C77A9C" w:rsidRPr="00006C0B" w:rsidRDefault="00C77A9C" w:rsidP="00C77A9C">
          <w:pPr>
            <w:pStyle w:val="Footer"/>
            <w:rPr>
              <w:rFonts w:ascii="Times" w:hAnsi="Times" w:cs="Times"/>
              <w:sz w:val="20"/>
            </w:rPr>
          </w:pPr>
          <w:r w:rsidRPr="00006C0B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4230" w:type="dxa"/>
          <w:shd w:val="clear" w:color="auto" w:fill="auto"/>
        </w:tcPr>
        <w:p w:rsidR="00C77A9C" w:rsidRPr="00006C0B" w:rsidRDefault="00C77A9C" w:rsidP="00C77A9C">
          <w:pPr>
            <w:pStyle w:val="Footer"/>
            <w:rPr>
              <w:rFonts w:ascii="Times" w:hAnsi="Times" w:cs="Times"/>
              <w:sz w:val="20"/>
            </w:rPr>
          </w:pPr>
          <w:r w:rsidRPr="00006C0B">
            <w:rPr>
              <w:rFonts w:ascii="Times" w:hAnsi="Times" w:cs="Times"/>
              <w:sz w:val="20"/>
            </w:rPr>
            <w:t>µg/m</w:t>
          </w:r>
          <w:r w:rsidRPr="00006C0B">
            <w:rPr>
              <w:rFonts w:ascii="Times" w:hAnsi="Times" w:cs="Times"/>
              <w:sz w:val="20"/>
              <w:vertAlign w:val="superscript"/>
            </w:rPr>
            <w:t>3</w:t>
          </w:r>
          <w:r w:rsidRPr="00006C0B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3654" w:type="dxa"/>
          <w:shd w:val="clear" w:color="auto" w:fill="auto"/>
        </w:tcPr>
        <w:p w:rsidR="00C77A9C" w:rsidRPr="00006C0B" w:rsidRDefault="00C77A9C" w:rsidP="00C77A9C">
          <w:pPr>
            <w:pStyle w:val="Footer"/>
            <w:rPr>
              <w:rFonts w:ascii="Times" w:hAnsi="Times" w:cs="Times"/>
              <w:sz w:val="20"/>
            </w:rPr>
          </w:pPr>
          <w:r w:rsidRPr="001B2924">
            <w:rPr>
              <w:rFonts w:ascii="Times" w:hAnsi="Times" w:cs="Times"/>
              <w:sz w:val="20"/>
            </w:rPr>
            <w:t>ND = non detect</w:t>
          </w:r>
        </w:p>
      </w:tc>
    </w:tr>
  </w:tbl>
  <w:p w:rsidR="00C77A9C" w:rsidRDefault="00C77A9C" w:rsidP="00C77A9C">
    <w:pPr>
      <w:tabs>
        <w:tab w:val="left" w:pos="9180"/>
      </w:tabs>
      <w:rPr>
        <w:b/>
        <w:sz w:val="20"/>
      </w:rPr>
    </w:pPr>
  </w:p>
  <w:p w:rsidR="00C77A9C" w:rsidRDefault="00C77A9C" w:rsidP="00C77A9C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C77A9C" w:rsidTr="00C77A9C">
      <w:tc>
        <w:tcPr>
          <w:tcW w:w="2718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Carbon Dioxide:</w:t>
          </w:r>
        </w:p>
      </w:tc>
      <w:tc>
        <w:tcPr>
          <w:tcW w:w="4860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&lt; 800 ppm = preferred</w:t>
          </w:r>
        </w:p>
      </w:tc>
      <w:tc>
        <w:tcPr>
          <w:tcW w:w="3600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Temperature:</w:t>
          </w:r>
        </w:p>
      </w:tc>
      <w:tc>
        <w:tcPr>
          <w:tcW w:w="3420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70 - 78 °F</w:t>
          </w:r>
        </w:p>
      </w:tc>
    </w:tr>
    <w:tr w:rsidR="00C77A9C" w:rsidTr="00C77A9C">
      <w:tc>
        <w:tcPr>
          <w:tcW w:w="2718" w:type="dxa"/>
        </w:tcPr>
        <w:p w:rsidR="00C77A9C" w:rsidRPr="001B2924" w:rsidRDefault="00C77A9C" w:rsidP="00C77A9C">
          <w:pPr>
            <w:rPr>
              <w:sz w:val="20"/>
            </w:rPr>
          </w:pPr>
        </w:p>
      </w:tc>
      <w:tc>
        <w:tcPr>
          <w:tcW w:w="4860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Relative Humidity:</w:t>
          </w:r>
        </w:p>
      </w:tc>
      <w:tc>
        <w:tcPr>
          <w:tcW w:w="3420" w:type="dxa"/>
        </w:tcPr>
        <w:p w:rsidR="00C77A9C" w:rsidRPr="001B2924" w:rsidRDefault="00C77A9C" w:rsidP="00C77A9C">
          <w:pPr>
            <w:rPr>
              <w:sz w:val="20"/>
            </w:rPr>
          </w:pPr>
          <w:r w:rsidRPr="001B2924">
            <w:rPr>
              <w:sz w:val="20"/>
            </w:rPr>
            <w:t>40 - 60%</w:t>
          </w:r>
        </w:p>
      </w:tc>
    </w:tr>
  </w:tbl>
  <w:p w:rsidR="00C77A9C" w:rsidRDefault="00C77A9C" w:rsidP="00C77A9C">
    <w:pPr>
      <w:pStyle w:val="Footer"/>
      <w:jc w:val="center"/>
    </w:pPr>
  </w:p>
  <w:p w:rsidR="00C77A9C" w:rsidRDefault="00C77A9C" w:rsidP="00C77A9C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68E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CB" w:rsidRDefault="00483DCB">
      <w:r>
        <w:separator/>
      </w:r>
    </w:p>
  </w:footnote>
  <w:footnote w:type="continuationSeparator" w:id="0">
    <w:p w:rsidR="00483DCB" w:rsidRDefault="00483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46" w:rsidRDefault="00B27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46" w:rsidRDefault="00B27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46" w:rsidRDefault="00B2744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9C" w:rsidRDefault="00C77A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A9C" w:rsidRDefault="00C77A9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98"/>
      <w:gridCol w:w="4146"/>
      <w:gridCol w:w="2514"/>
      <w:gridCol w:w="2358"/>
    </w:tblGrid>
    <w:tr w:rsidR="00C77A9C" w:rsidTr="00C77A9C">
      <w:trPr>
        <w:cantSplit/>
      </w:trPr>
      <w:tc>
        <w:tcPr>
          <w:tcW w:w="12258" w:type="dxa"/>
          <w:gridSpan w:val="3"/>
        </w:tcPr>
        <w:p w:rsidR="00C77A9C" w:rsidRPr="00677AC6" w:rsidRDefault="00C77A9C" w:rsidP="00C77A9C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Location: </w:t>
          </w:r>
          <w:r w:rsidRPr="001B2924">
            <w:rPr>
              <w:b/>
            </w:rPr>
            <w:t>Massachusetts Rehabilitation Commission</w:t>
          </w:r>
        </w:p>
      </w:tc>
      <w:tc>
        <w:tcPr>
          <w:tcW w:w="2358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C77A9C" w:rsidTr="00C77A9C">
      <w:trPr>
        <w:cantSplit/>
      </w:trPr>
      <w:tc>
        <w:tcPr>
          <w:tcW w:w="5598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ind w:left="990" w:hanging="990"/>
            <w:rPr>
              <w:b/>
            </w:rPr>
          </w:pPr>
          <w:r>
            <w:rPr>
              <w:b/>
            </w:rPr>
            <w:t>Address: 110 Mulberry Street</w:t>
          </w:r>
        </w:p>
      </w:tc>
      <w:tc>
        <w:tcPr>
          <w:tcW w:w="4146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 (continued)</w:t>
          </w:r>
        </w:p>
      </w:tc>
      <w:tc>
        <w:tcPr>
          <w:tcW w:w="2514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</w:rPr>
          </w:pPr>
          <w:r w:rsidRPr="00677AC6">
            <w:rPr>
              <w:b/>
            </w:rPr>
            <w:t xml:space="preserve">Date: </w:t>
          </w:r>
          <w:r>
            <w:rPr>
              <w:b/>
            </w:rPr>
            <w:t>9/30/2016</w:t>
          </w:r>
        </w:p>
      </w:tc>
    </w:tr>
  </w:tbl>
  <w:p w:rsidR="00C77A9C" w:rsidRPr="00EC38EA" w:rsidRDefault="00C77A9C" w:rsidP="00C77A9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98"/>
      <w:gridCol w:w="4146"/>
      <w:gridCol w:w="2514"/>
      <w:gridCol w:w="2358"/>
    </w:tblGrid>
    <w:tr w:rsidR="00C77A9C" w:rsidTr="00C77A9C">
      <w:trPr>
        <w:cantSplit/>
      </w:trPr>
      <w:tc>
        <w:tcPr>
          <w:tcW w:w="12258" w:type="dxa"/>
          <w:gridSpan w:val="3"/>
        </w:tcPr>
        <w:p w:rsidR="00C77A9C" w:rsidRPr="00677AC6" w:rsidRDefault="00C77A9C" w:rsidP="00C77A9C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Location: </w:t>
          </w:r>
          <w:r w:rsidRPr="001B2924">
            <w:rPr>
              <w:b/>
            </w:rPr>
            <w:t>Massachusetts Rehabilitation Commission</w:t>
          </w:r>
        </w:p>
      </w:tc>
      <w:tc>
        <w:tcPr>
          <w:tcW w:w="2358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C77A9C" w:rsidTr="00C77A9C">
      <w:trPr>
        <w:cantSplit/>
      </w:trPr>
      <w:tc>
        <w:tcPr>
          <w:tcW w:w="5598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ind w:left="990" w:hanging="990"/>
            <w:rPr>
              <w:b/>
            </w:rPr>
          </w:pPr>
          <w:r>
            <w:rPr>
              <w:b/>
            </w:rPr>
            <w:t>Address: 110 Mulberry Street Brockton, MA</w:t>
          </w:r>
        </w:p>
      </w:tc>
      <w:tc>
        <w:tcPr>
          <w:tcW w:w="4146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2514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C77A9C" w:rsidRDefault="00C77A9C" w:rsidP="00C77A9C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</w:rPr>
          </w:pPr>
          <w:r w:rsidRPr="00677AC6">
            <w:rPr>
              <w:b/>
            </w:rPr>
            <w:t xml:space="preserve">Date: </w:t>
          </w:r>
          <w:r>
            <w:rPr>
              <w:b/>
            </w:rPr>
            <w:t>9/30/2016</w:t>
          </w:r>
        </w:p>
      </w:tc>
    </w:tr>
  </w:tbl>
  <w:p w:rsidR="00C77A9C" w:rsidRDefault="00C77A9C" w:rsidP="00C77A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">
    <w:nsid w:val="13AC67B8"/>
    <w:multiLevelType w:val="hybridMultilevel"/>
    <w:tmpl w:val="F89E7C58"/>
    <w:lvl w:ilvl="0" w:tplc="C97425FE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2D277BD7"/>
    <w:multiLevelType w:val="hybridMultilevel"/>
    <w:tmpl w:val="5BC04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D99063A"/>
    <w:multiLevelType w:val="multilevel"/>
    <w:tmpl w:val="3AA88FB8"/>
    <w:styleLink w:val="StyleNumberedLeft055Hanging025"/>
    <w:lvl w:ilvl="0">
      <w:start w:val="1"/>
      <w:numFmt w:val="decimal"/>
      <w:lvlText w:val="%1."/>
      <w:lvlJc w:val="left"/>
      <w:pPr>
        <w:ind w:left="720" w:hanging="576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</w:rPr>
    </w:lvl>
  </w:abstractNum>
  <w:abstractNum w:abstractNumId="6">
    <w:nsid w:val="30B24EFB"/>
    <w:multiLevelType w:val="multilevel"/>
    <w:tmpl w:val="28FCADD2"/>
    <w:numStyleLink w:val="StyleBulletedSymbolsymbolLeft025Hanging025"/>
  </w:abstractNum>
  <w:abstractNum w:abstractNumId="7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5337"/>
    <w:rsid w:val="0000734F"/>
    <w:rsid w:val="000075C0"/>
    <w:rsid w:val="00010455"/>
    <w:rsid w:val="00010DCC"/>
    <w:rsid w:val="0001365E"/>
    <w:rsid w:val="000144B1"/>
    <w:rsid w:val="000150C0"/>
    <w:rsid w:val="00016BF0"/>
    <w:rsid w:val="0002128B"/>
    <w:rsid w:val="0002373A"/>
    <w:rsid w:val="00023900"/>
    <w:rsid w:val="0002415F"/>
    <w:rsid w:val="000242DD"/>
    <w:rsid w:val="00025A79"/>
    <w:rsid w:val="00032F04"/>
    <w:rsid w:val="000354FC"/>
    <w:rsid w:val="00035523"/>
    <w:rsid w:val="00035787"/>
    <w:rsid w:val="000403EA"/>
    <w:rsid w:val="000405A6"/>
    <w:rsid w:val="000405BD"/>
    <w:rsid w:val="0004287B"/>
    <w:rsid w:val="00042C13"/>
    <w:rsid w:val="00043F41"/>
    <w:rsid w:val="000445B9"/>
    <w:rsid w:val="00046C24"/>
    <w:rsid w:val="0005123A"/>
    <w:rsid w:val="00051744"/>
    <w:rsid w:val="00051D0C"/>
    <w:rsid w:val="00051E3A"/>
    <w:rsid w:val="00052401"/>
    <w:rsid w:val="00052ECB"/>
    <w:rsid w:val="00052EE1"/>
    <w:rsid w:val="00053856"/>
    <w:rsid w:val="00053C23"/>
    <w:rsid w:val="000547B6"/>
    <w:rsid w:val="00056442"/>
    <w:rsid w:val="00056C07"/>
    <w:rsid w:val="00062766"/>
    <w:rsid w:val="0006325F"/>
    <w:rsid w:val="00063E8C"/>
    <w:rsid w:val="00064569"/>
    <w:rsid w:val="0006535D"/>
    <w:rsid w:val="0007042A"/>
    <w:rsid w:val="000709B0"/>
    <w:rsid w:val="0007424D"/>
    <w:rsid w:val="00076423"/>
    <w:rsid w:val="00077895"/>
    <w:rsid w:val="00083740"/>
    <w:rsid w:val="0008406E"/>
    <w:rsid w:val="000844A0"/>
    <w:rsid w:val="00084E04"/>
    <w:rsid w:val="000856D0"/>
    <w:rsid w:val="000864B5"/>
    <w:rsid w:val="00086814"/>
    <w:rsid w:val="00090E91"/>
    <w:rsid w:val="00091572"/>
    <w:rsid w:val="00092FF9"/>
    <w:rsid w:val="0009646E"/>
    <w:rsid w:val="000A2E16"/>
    <w:rsid w:val="000A321D"/>
    <w:rsid w:val="000A36E2"/>
    <w:rsid w:val="000A7CF6"/>
    <w:rsid w:val="000B1F2C"/>
    <w:rsid w:val="000B1F52"/>
    <w:rsid w:val="000B3211"/>
    <w:rsid w:val="000B34F7"/>
    <w:rsid w:val="000B3761"/>
    <w:rsid w:val="000B6CF5"/>
    <w:rsid w:val="000B7600"/>
    <w:rsid w:val="000C09CF"/>
    <w:rsid w:val="000C6745"/>
    <w:rsid w:val="000C6C7E"/>
    <w:rsid w:val="000C7FDD"/>
    <w:rsid w:val="000D0C39"/>
    <w:rsid w:val="000D0E8E"/>
    <w:rsid w:val="000D3183"/>
    <w:rsid w:val="000D334D"/>
    <w:rsid w:val="000D72D9"/>
    <w:rsid w:val="000E1B2C"/>
    <w:rsid w:val="000E3087"/>
    <w:rsid w:val="000E3506"/>
    <w:rsid w:val="000E4F07"/>
    <w:rsid w:val="000E5F7A"/>
    <w:rsid w:val="000F0731"/>
    <w:rsid w:val="000F1119"/>
    <w:rsid w:val="000F176E"/>
    <w:rsid w:val="000F1DF7"/>
    <w:rsid w:val="000F2B18"/>
    <w:rsid w:val="000F3010"/>
    <w:rsid w:val="000F329A"/>
    <w:rsid w:val="000F5EE5"/>
    <w:rsid w:val="000F758F"/>
    <w:rsid w:val="00105AB5"/>
    <w:rsid w:val="001060C3"/>
    <w:rsid w:val="001071C8"/>
    <w:rsid w:val="001076B7"/>
    <w:rsid w:val="001107EB"/>
    <w:rsid w:val="001129C4"/>
    <w:rsid w:val="0011710B"/>
    <w:rsid w:val="001171F3"/>
    <w:rsid w:val="00120993"/>
    <w:rsid w:val="00123760"/>
    <w:rsid w:val="00124C2C"/>
    <w:rsid w:val="0012500A"/>
    <w:rsid w:val="001265B5"/>
    <w:rsid w:val="00127778"/>
    <w:rsid w:val="00133709"/>
    <w:rsid w:val="001348DA"/>
    <w:rsid w:val="00135446"/>
    <w:rsid w:val="001356AF"/>
    <w:rsid w:val="001371F0"/>
    <w:rsid w:val="0013759A"/>
    <w:rsid w:val="00137B1C"/>
    <w:rsid w:val="00140548"/>
    <w:rsid w:val="001432B8"/>
    <w:rsid w:val="001472BB"/>
    <w:rsid w:val="00147E1F"/>
    <w:rsid w:val="00150E37"/>
    <w:rsid w:val="001521C9"/>
    <w:rsid w:val="001528B2"/>
    <w:rsid w:val="00152C96"/>
    <w:rsid w:val="001622DD"/>
    <w:rsid w:val="00162CB3"/>
    <w:rsid w:val="0016312E"/>
    <w:rsid w:val="001637AD"/>
    <w:rsid w:val="0016428F"/>
    <w:rsid w:val="00164B16"/>
    <w:rsid w:val="00164BDA"/>
    <w:rsid w:val="00164C73"/>
    <w:rsid w:val="00167118"/>
    <w:rsid w:val="0016728E"/>
    <w:rsid w:val="0016782B"/>
    <w:rsid w:val="0017365D"/>
    <w:rsid w:val="00174240"/>
    <w:rsid w:val="00174D39"/>
    <w:rsid w:val="001765DE"/>
    <w:rsid w:val="00176C1C"/>
    <w:rsid w:val="00177886"/>
    <w:rsid w:val="00177B12"/>
    <w:rsid w:val="00177D9C"/>
    <w:rsid w:val="0018111C"/>
    <w:rsid w:val="0018543F"/>
    <w:rsid w:val="0018703F"/>
    <w:rsid w:val="001872FA"/>
    <w:rsid w:val="001907CF"/>
    <w:rsid w:val="00192CE6"/>
    <w:rsid w:val="00193A41"/>
    <w:rsid w:val="001945E0"/>
    <w:rsid w:val="00194BA2"/>
    <w:rsid w:val="00194E3F"/>
    <w:rsid w:val="00195C45"/>
    <w:rsid w:val="00195E43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136C"/>
    <w:rsid w:val="001B1CF7"/>
    <w:rsid w:val="001B313D"/>
    <w:rsid w:val="001B3E82"/>
    <w:rsid w:val="001B6516"/>
    <w:rsid w:val="001C13AC"/>
    <w:rsid w:val="001C6237"/>
    <w:rsid w:val="001C71A7"/>
    <w:rsid w:val="001D0228"/>
    <w:rsid w:val="001D44B2"/>
    <w:rsid w:val="001D4B00"/>
    <w:rsid w:val="001D4EEE"/>
    <w:rsid w:val="001D6CAA"/>
    <w:rsid w:val="001E0ABF"/>
    <w:rsid w:val="001E310F"/>
    <w:rsid w:val="001E4E6D"/>
    <w:rsid w:val="001E60BF"/>
    <w:rsid w:val="001E68B0"/>
    <w:rsid w:val="001F3D81"/>
    <w:rsid w:val="001F4798"/>
    <w:rsid w:val="001F5CED"/>
    <w:rsid w:val="001F65C7"/>
    <w:rsid w:val="001F7516"/>
    <w:rsid w:val="002010EE"/>
    <w:rsid w:val="00202766"/>
    <w:rsid w:val="00205DA2"/>
    <w:rsid w:val="002063D6"/>
    <w:rsid w:val="00207358"/>
    <w:rsid w:val="00207376"/>
    <w:rsid w:val="00207CEB"/>
    <w:rsid w:val="002115C8"/>
    <w:rsid w:val="00212A1E"/>
    <w:rsid w:val="00212AAE"/>
    <w:rsid w:val="00213500"/>
    <w:rsid w:val="00215063"/>
    <w:rsid w:val="00215947"/>
    <w:rsid w:val="00215AE7"/>
    <w:rsid w:val="002178CC"/>
    <w:rsid w:val="00220324"/>
    <w:rsid w:val="00221368"/>
    <w:rsid w:val="0022493D"/>
    <w:rsid w:val="0022723C"/>
    <w:rsid w:val="002272B3"/>
    <w:rsid w:val="002276F1"/>
    <w:rsid w:val="00227E29"/>
    <w:rsid w:val="002319F9"/>
    <w:rsid w:val="00232629"/>
    <w:rsid w:val="0023384C"/>
    <w:rsid w:val="0023419C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4A32"/>
    <w:rsid w:val="00255F41"/>
    <w:rsid w:val="00256008"/>
    <w:rsid w:val="002579A6"/>
    <w:rsid w:val="00261918"/>
    <w:rsid w:val="00263055"/>
    <w:rsid w:val="002642B9"/>
    <w:rsid w:val="00265AEE"/>
    <w:rsid w:val="00266F67"/>
    <w:rsid w:val="0026787B"/>
    <w:rsid w:val="00273E22"/>
    <w:rsid w:val="00275987"/>
    <w:rsid w:val="002766B4"/>
    <w:rsid w:val="002811B7"/>
    <w:rsid w:val="00283B4F"/>
    <w:rsid w:val="00283F58"/>
    <w:rsid w:val="002850AA"/>
    <w:rsid w:val="00291371"/>
    <w:rsid w:val="00292CEA"/>
    <w:rsid w:val="00293A6F"/>
    <w:rsid w:val="00295164"/>
    <w:rsid w:val="00295293"/>
    <w:rsid w:val="002952F0"/>
    <w:rsid w:val="002971FC"/>
    <w:rsid w:val="00297B7B"/>
    <w:rsid w:val="002A02EB"/>
    <w:rsid w:val="002A03AD"/>
    <w:rsid w:val="002A1611"/>
    <w:rsid w:val="002A17A9"/>
    <w:rsid w:val="002A27C6"/>
    <w:rsid w:val="002A3278"/>
    <w:rsid w:val="002A540E"/>
    <w:rsid w:val="002B45FC"/>
    <w:rsid w:val="002B4A40"/>
    <w:rsid w:val="002B4A84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E7BB6"/>
    <w:rsid w:val="002F1142"/>
    <w:rsid w:val="002F2E55"/>
    <w:rsid w:val="002F46E2"/>
    <w:rsid w:val="002F537F"/>
    <w:rsid w:val="003007C3"/>
    <w:rsid w:val="00300A22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23DA"/>
    <w:rsid w:val="003266A6"/>
    <w:rsid w:val="00334C1B"/>
    <w:rsid w:val="00335550"/>
    <w:rsid w:val="00336A4F"/>
    <w:rsid w:val="003425EF"/>
    <w:rsid w:val="003455FE"/>
    <w:rsid w:val="00346B22"/>
    <w:rsid w:val="003502EB"/>
    <w:rsid w:val="0035424E"/>
    <w:rsid w:val="00357888"/>
    <w:rsid w:val="0036046C"/>
    <w:rsid w:val="00361783"/>
    <w:rsid w:val="003617F8"/>
    <w:rsid w:val="00361D0A"/>
    <w:rsid w:val="00363F43"/>
    <w:rsid w:val="0036445C"/>
    <w:rsid w:val="00364D2E"/>
    <w:rsid w:val="00366847"/>
    <w:rsid w:val="003703E6"/>
    <w:rsid w:val="00371C91"/>
    <w:rsid w:val="003726F5"/>
    <w:rsid w:val="00372A31"/>
    <w:rsid w:val="00372FAD"/>
    <w:rsid w:val="00383750"/>
    <w:rsid w:val="00386EDB"/>
    <w:rsid w:val="00391158"/>
    <w:rsid w:val="00391501"/>
    <w:rsid w:val="00391DE9"/>
    <w:rsid w:val="00392614"/>
    <w:rsid w:val="00393194"/>
    <w:rsid w:val="00394A4F"/>
    <w:rsid w:val="00396AC0"/>
    <w:rsid w:val="003A3995"/>
    <w:rsid w:val="003A426C"/>
    <w:rsid w:val="003A4DB4"/>
    <w:rsid w:val="003A52E0"/>
    <w:rsid w:val="003A5D67"/>
    <w:rsid w:val="003B2312"/>
    <w:rsid w:val="003B23A6"/>
    <w:rsid w:val="003B2D2C"/>
    <w:rsid w:val="003B34FA"/>
    <w:rsid w:val="003B42D7"/>
    <w:rsid w:val="003B50DC"/>
    <w:rsid w:val="003B5F6F"/>
    <w:rsid w:val="003B6373"/>
    <w:rsid w:val="003B652D"/>
    <w:rsid w:val="003B78BB"/>
    <w:rsid w:val="003C0877"/>
    <w:rsid w:val="003C3911"/>
    <w:rsid w:val="003C4677"/>
    <w:rsid w:val="003C5A1F"/>
    <w:rsid w:val="003C61C4"/>
    <w:rsid w:val="003C6DD8"/>
    <w:rsid w:val="003C7393"/>
    <w:rsid w:val="003D458D"/>
    <w:rsid w:val="003D54B4"/>
    <w:rsid w:val="003D72F0"/>
    <w:rsid w:val="003E18C8"/>
    <w:rsid w:val="003E1B1B"/>
    <w:rsid w:val="003E6478"/>
    <w:rsid w:val="003E67AA"/>
    <w:rsid w:val="003E7999"/>
    <w:rsid w:val="003E7A81"/>
    <w:rsid w:val="003E7B4B"/>
    <w:rsid w:val="003F02DF"/>
    <w:rsid w:val="003F3495"/>
    <w:rsid w:val="003F397B"/>
    <w:rsid w:val="003F425D"/>
    <w:rsid w:val="003F5643"/>
    <w:rsid w:val="003F706A"/>
    <w:rsid w:val="003F7C96"/>
    <w:rsid w:val="00400531"/>
    <w:rsid w:val="0040073D"/>
    <w:rsid w:val="00400893"/>
    <w:rsid w:val="00401E3A"/>
    <w:rsid w:val="00401EFF"/>
    <w:rsid w:val="00406006"/>
    <w:rsid w:val="004062BA"/>
    <w:rsid w:val="00410CDC"/>
    <w:rsid w:val="00411B8E"/>
    <w:rsid w:val="00411FE7"/>
    <w:rsid w:val="00413A2D"/>
    <w:rsid w:val="0041591F"/>
    <w:rsid w:val="004162A2"/>
    <w:rsid w:val="00416A5D"/>
    <w:rsid w:val="00416DD6"/>
    <w:rsid w:val="00420D5E"/>
    <w:rsid w:val="004216BD"/>
    <w:rsid w:val="00421F00"/>
    <w:rsid w:val="004237CB"/>
    <w:rsid w:val="00423E34"/>
    <w:rsid w:val="00424F2F"/>
    <w:rsid w:val="004276C3"/>
    <w:rsid w:val="00427937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71B"/>
    <w:rsid w:val="00446C84"/>
    <w:rsid w:val="00450157"/>
    <w:rsid w:val="0045054F"/>
    <w:rsid w:val="00451025"/>
    <w:rsid w:val="0045129A"/>
    <w:rsid w:val="00453ABB"/>
    <w:rsid w:val="00454D0B"/>
    <w:rsid w:val="00460D79"/>
    <w:rsid w:val="0046365B"/>
    <w:rsid w:val="00466293"/>
    <w:rsid w:val="00467204"/>
    <w:rsid w:val="004701D8"/>
    <w:rsid w:val="00470826"/>
    <w:rsid w:val="00470895"/>
    <w:rsid w:val="004726D8"/>
    <w:rsid w:val="004735CF"/>
    <w:rsid w:val="00474094"/>
    <w:rsid w:val="00477385"/>
    <w:rsid w:val="004805C2"/>
    <w:rsid w:val="00480A5D"/>
    <w:rsid w:val="00480D4F"/>
    <w:rsid w:val="00482646"/>
    <w:rsid w:val="0048285D"/>
    <w:rsid w:val="004832ED"/>
    <w:rsid w:val="004834FB"/>
    <w:rsid w:val="0048365C"/>
    <w:rsid w:val="00483DCB"/>
    <w:rsid w:val="004859E9"/>
    <w:rsid w:val="004868BE"/>
    <w:rsid w:val="00486E62"/>
    <w:rsid w:val="00490697"/>
    <w:rsid w:val="0049216E"/>
    <w:rsid w:val="004926C6"/>
    <w:rsid w:val="00493D80"/>
    <w:rsid w:val="0049402D"/>
    <w:rsid w:val="004A6A5C"/>
    <w:rsid w:val="004A764A"/>
    <w:rsid w:val="004A7A36"/>
    <w:rsid w:val="004A7A80"/>
    <w:rsid w:val="004B2FB7"/>
    <w:rsid w:val="004B3051"/>
    <w:rsid w:val="004B3F41"/>
    <w:rsid w:val="004C0B74"/>
    <w:rsid w:val="004C5C81"/>
    <w:rsid w:val="004D528F"/>
    <w:rsid w:val="004D6CCA"/>
    <w:rsid w:val="004E11AB"/>
    <w:rsid w:val="004E1BA1"/>
    <w:rsid w:val="004E2F22"/>
    <w:rsid w:val="004E5880"/>
    <w:rsid w:val="004E664F"/>
    <w:rsid w:val="004E73D6"/>
    <w:rsid w:val="004F2108"/>
    <w:rsid w:val="004F265E"/>
    <w:rsid w:val="004F4BC1"/>
    <w:rsid w:val="004F4CE8"/>
    <w:rsid w:val="004F6CF2"/>
    <w:rsid w:val="004F70F6"/>
    <w:rsid w:val="00503C45"/>
    <w:rsid w:val="00503F0F"/>
    <w:rsid w:val="005054AA"/>
    <w:rsid w:val="005069DF"/>
    <w:rsid w:val="005104A6"/>
    <w:rsid w:val="0051410F"/>
    <w:rsid w:val="00514986"/>
    <w:rsid w:val="005151C0"/>
    <w:rsid w:val="0051576A"/>
    <w:rsid w:val="00515C8A"/>
    <w:rsid w:val="00516B13"/>
    <w:rsid w:val="005179E2"/>
    <w:rsid w:val="00520881"/>
    <w:rsid w:val="00521397"/>
    <w:rsid w:val="00523649"/>
    <w:rsid w:val="00524009"/>
    <w:rsid w:val="00524869"/>
    <w:rsid w:val="00524BCD"/>
    <w:rsid w:val="00525097"/>
    <w:rsid w:val="00526F0C"/>
    <w:rsid w:val="00527551"/>
    <w:rsid w:val="00530219"/>
    <w:rsid w:val="00531457"/>
    <w:rsid w:val="00533659"/>
    <w:rsid w:val="00533F01"/>
    <w:rsid w:val="00534F1B"/>
    <w:rsid w:val="005375CA"/>
    <w:rsid w:val="0054276A"/>
    <w:rsid w:val="00544132"/>
    <w:rsid w:val="0054494D"/>
    <w:rsid w:val="00546C65"/>
    <w:rsid w:val="00547A29"/>
    <w:rsid w:val="00551179"/>
    <w:rsid w:val="005516C2"/>
    <w:rsid w:val="00553DC6"/>
    <w:rsid w:val="00554E62"/>
    <w:rsid w:val="00557F93"/>
    <w:rsid w:val="00561032"/>
    <w:rsid w:val="005647E1"/>
    <w:rsid w:val="0056509A"/>
    <w:rsid w:val="00571BB4"/>
    <w:rsid w:val="00571D2D"/>
    <w:rsid w:val="00573B99"/>
    <w:rsid w:val="00575934"/>
    <w:rsid w:val="00575D38"/>
    <w:rsid w:val="00576005"/>
    <w:rsid w:val="0057647E"/>
    <w:rsid w:val="00576CED"/>
    <w:rsid w:val="00576F10"/>
    <w:rsid w:val="0058059E"/>
    <w:rsid w:val="00582D5D"/>
    <w:rsid w:val="00583C64"/>
    <w:rsid w:val="00584965"/>
    <w:rsid w:val="005869A2"/>
    <w:rsid w:val="00586E50"/>
    <w:rsid w:val="00591826"/>
    <w:rsid w:val="00592A63"/>
    <w:rsid w:val="005946A2"/>
    <w:rsid w:val="00594E25"/>
    <w:rsid w:val="00596645"/>
    <w:rsid w:val="00597824"/>
    <w:rsid w:val="005A16A2"/>
    <w:rsid w:val="005A17B0"/>
    <w:rsid w:val="005A2836"/>
    <w:rsid w:val="005A2E76"/>
    <w:rsid w:val="005A45DD"/>
    <w:rsid w:val="005A4CB5"/>
    <w:rsid w:val="005A56FD"/>
    <w:rsid w:val="005B103B"/>
    <w:rsid w:val="005B1CBC"/>
    <w:rsid w:val="005B23D8"/>
    <w:rsid w:val="005B24AA"/>
    <w:rsid w:val="005B2F0D"/>
    <w:rsid w:val="005B3BDB"/>
    <w:rsid w:val="005B4065"/>
    <w:rsid w:val="005B42C3"/>
    <w:rsid w:val="005B4330"/>
    <w:rsid w:val="005B48E0"/>
    <w:rsid w:val="005C0987"/>
    <w:rsid w:val="005C2241"/>
    <w:rsid w:val="005D0364"/>
    <w:rsid w:val="005D21CE"/>
    <w:rsid w:val="005D401F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5F763F"/>
    <w:rsid w:val="005F7C43"/>
    <w:rsid w:val="00606617"/>
    <w:rsid w:val="00606D69"/>
    <w:rsid w:val="00606E9D"/>
    <w:rsid w:val="00610F14"/>
    <w:rsid w:val="00611D1F"/>
    <w:rsid w:val="00611FB5"/>
    <w:rsid w:val="00612898"/>
    <w:rsid w:val="00612A37"/>
    <w:rsid w:val="00613014"/>
    <w:rsid w:val="00613713"/>
    <w:rsid w:val="006179C3"/>
    <w:rsid w:val="00624FF4"/>
    <w:rsid w:val="006319DF"/>
    <w:rsid w:val="0063526C"/>
    <w:rsid w:val="006404DE"/>
    <w:rsid w:val="00640505"/>
    <w:rsid w:val="00642274"/>
    <w:rsid w:val="00643166"/>
    <w:rsid w:val="006435E3"/>
    <w:rsid w:val="006453C6"/>
    <w:rsid w:val="00646928"/>
    <w:rsid w:val="006501A6"/>
    <w:rsid w:val="006550A5"/>
    <w:rsid w:val="00655DAD"/>
    <w:rsid w:val="00656DA6"/>
    <w:rsid w:val="006570C8"/>
    <w:rsid w:val="00657CBE"/>
    <w:rsid w:val="00661333"/>
    <w:rsid w:val="00662176"/>
    <w:rsid w:val="006652E8"/>
    <w:rsid w:val="00665423"/>
    <w:rsid w:val="0067067B"/>
    <w:rsid w:val="006733EA"/>
    <w:rsid w:val="00673419"/>
    <w:rsid w:val="0067562C"/>
    <w:rsid w:val="00676F3D"/>
    <w:rsid w:val="00677A33"/>
    <w:rsid w:val="0068094D"/>
    <w:rsid w:val="0068132D"/>
    <w:rsid w:val="0068489A"/>
    <w:rsid w:val="0068499E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B455F"/>
    <w:rsid w:val="006C3609"/>
    <w:rsid w:val="006C628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E65"/>
    <w:rsid w:val="006F3279"/>
    <w:rsid w:val="006F5808"/>
    <w:rsid w:val="006F60E7"/>
    <w:rsid w:val="007010B3"/>
    <w:rsid w:val="007044A3"/>
    <w:rsid w:val="00704FA5"/>
    <w:rsid w:val="00705DDB"/>
    <w:rsid w:val="00707702"/>
    <w:rsid w:val="00710343"/>
    <w:rsid w:val="00710494"/>
    <w:rsid w:val="007110EB"/>
    <w:rsid w:val="0071374A"/>
    <w:rsid w:val="007172DC"/>
    <w:rsid w:val="00721418"/>
    <w:rsid w:val="00721479"/>
    <w:rsid w:val="00722191"/>
    <w:rsid w:val="00722DF6"/>
    <w:rsid w:val="007417B4"/>
    <w:rsid w:val="00743EB2"/>
    <w:rsid w:val="007442B7"/>
    <w:rsid w:val="007470EE"/>
    <w:rsid w:val="00747132"/>
    <w:rsid w:val="007471FA"/>
    <w:rsid w:val="007542B6"/>
    <w:rsid w:val="00754608"/>
    <w:rsid w:val="00755B84"/>
    <w:rsid w:val="00756365"/>
    <w:rsid w:val="007565CD"/>
    <w:rsid w:val="007567B0"/>
    <w:rsid w:val="00756973"/>
    <w:rsid w:val="00756E8A"/>
    <w:rsid w:val="007612B2"/>
    <w:rsid w:val="007648FE"/>
    <w:rsid w:val="00770CB5"/>
    <w:rsid w:val="0077298E"/>
    <w:rsid w:val="00772A8F"/>
    <w:rsid w:val="00775C1E"/>
    <w:rsid w:val="00776ABF"/>
    <w:rsid w:val="00777C44"/>
    <w:rsid w:val="007808FD"/>
    <w:rsid w:val="007815A6"/>
    <w:rsid w:val="007820E8"/>
    <w:rsid w:val="0078314D"/>
    <w:rsid w:val="00783660"/>
    <w:rsid w:val="00786267"/>
    <w:rsid w:val="00786B34"/>
    <w:rsid w:val="00787628"/>
    <w:rsid w:val="00787FA1"/>
    <w:rsid w:val="0079100D"/>
    <w:rsid w:val="007912B3"/>
    <w:rsid w:val="00791336"/>
    <w:rsid w:val="00791B5A"/>
    <w:rsid w:val="00792FD4"/>
    <w:rsid w:val="007933C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03AC"/>
    <w:rsid w:val="007D0977"/>
    <w:rsid w:val="007D167E"/>
    <w:rsid w:val="007D4875"/>
    <w:rsid w:val="007D7971"/>
    <w:rsid w:val="007E026F"/>
    <w:rsid w:val="007E090F"/>
    <w:rsid w:val="007E2686"/>
    <w:rsid w:val="007E4F7F"/>
    <w:rsid w:val="007E5E23"/>
    <w:rsid w:val="007F006A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37E"/>
    <w:rsid w:val="0081443E"/>
    <w:rsid w:val="008154DB"/>
    <w:rsid w:val="0081627C"/>
    <w:rsid w:val="00816B32"/>
    <w:rsid w:val="00817909"/>
    <w:rsid w:val="00820146"/>
    <w:rsid w:val="00821692"/>
    <w:rsid w:val="008226D3"/>
    <w:rsid w:val="00822823"/>
    <w:rsid w:val="00822DA0"/>
    <w:rsid w:val="0082347F"/>
    <w:rsid w:val="00823584"/>
    <w:rsid w:val="008236D7"/>
    <w:rsid w:val="00823A38"/>
    <w:rsid w:val="00823B7A"/>
    <w:rsid w:val="008259FE"/>
    <w:rsid w:val="00825CD1"/>
    <w:rsid w:val="008301AA"/>
    <w:rsid w:val="00830375"/>
    <w:rsid w:val="00830FFF"/>
    <w:rsid w:val="00831F35"/>
    <w:rsid w:val="00836554"/>
    <w:rsid w:val="00837D7C"/>
    <w:rsid w:val="008426D7"/>
    <w:rsid w:val="0084294D"/>
    <w:rsid w:val="0084327F"/>
    <w:rsid w:val="00843A7F"/>
    <w:rsid w:val="00843AE7"/>
    <w:rsid w:val="00843CF6"/>
    <w:rsid w:val="00844AF3"/>
    <w:rsid w:val="00845B74"/>
    <w:rsid w:val="008509CD"/>
    <w:rsid w:val="008514E4"/>
    <w:rsid w:val="00852065"/>
    <w:rsid w:val="0085292A"/>
    <w:rsid w:val="00853B08"/>
    <w:rsid w:val="00853CEB"/>
    <w:rsid w:val="00857435"/>
    <w:rsid w:val="00857F59"/>
    <w:rsid w:val="00860D5C"/>
    <w:rsid w:val="00861A5C"/>
    <w:rsid w:val="00862417"/>
    <w:rsid w:val="008636C2"/>
    <w:rsid w:val="00866CC8"/>
    <w:rsid w:val="00867F7B"/>
    <w:rsid w:val="008712C0"/>
    <w:rsid w:val="00876275"/>
    <w:rsid w:val="00883D01"/>
    <w:rsid w:val="0088411C"/>
    <w:rsid w:val="00884DDF"/>
    <w:rsid w:val="00886675"/>
    <w:rsid w:val="008870D0"/>
    <w:rsid w:val="00890B64"/>
    <w:rsid w:val="00890D2F"/>
    <w:rsid w:val="00891528"/>
    <w:rsid w:val="008916CF"/>
    <w:rsid w:val="0089292F"/>
    <w:rsid w:val="00893E48"/>
    <w:rsid w:val="00895BCD"/>
    <w:rsid w:val="00896454"/>
    <w:rsid w:val="008A074F"/>
    <w:rsid w:val="008A07BE"/>
    <w:rsid w:val="008A1297"/>
    <w:rsid w:val="008A2103"/>
    <w:rsid w:val="008A2DC6"/>
    <w:rsid w:val="008A2EF6"/>
    <w:rsid w:val="008A48EC"/>
    <w:rsid w:val="008A5641"/>
    <w:rsid w:val="008A7247"/>
    <w:rsid w:val="008B0119"/>
    <w:rsid w:val="008B05EB"/>
    <w:rsid w:val="008B1407"/>
    <w:rsid w:val="008B1D4D"/>
    <w:rsid w:val="008B2311"/>
    <w:rsid w:val="008B3100"/>
    <w:rsid w:val="008B6C01"/>
    <w:rsid w:val="008B77B2"/>
    <w:rsid w:val="008C07B5"/>
    <w:rsid w:val="008C0C38"/>
    <w:rsid w:val="008C0EA3"/>
    <w:rsid w:val="008C1972"/>
    <w:rsid w:val="008C2DAB"/>
    <w:rsid w:val="008C32D3"/>
    <w:rsid w:val="008C3F52"/>
    <w:rsid w:val="008C4FBE"/>
    <w:rsid w:val="008C6E7D"/>
    <w:rsid w:val="008D0C93"/>
    <w:rsid w:val="008D37F1"/>
    <w:rsid w:val="008D3EB4"/>
    <w:rsid w:val="008D3FF1"/>
    <w:rsid w:val="008D4B6A"/>
    <w:rsid w:val="008D505E"/>
    <w:rsid w:val="008D5D70"/>
    <w:rsid w:val="008D79DC"/>
    <w:rsid w:val="008E0D1B"/>
    <w:rsid w:val="008E3D17"/>
    <w:rsid w:val="008E4939"/>
    <w:rsid w:val="008E6733"/>
    <w:rsid w:val="008F0606"/>
    <w:rsid w:val="008F0635"/>
    <w:rsid w:val="008F0A5E"/>
    <w:rsid w:val="008F0C39"/>
    <w:rsid w:val="008F521F"/>
    <w:rsid w:val="008F5913"/>
    <w:rsid w:val="008F60F4"/>
    <w:rsid w:val="008F6AFB"/>
    <w:rsid w:val="008F6C06"/>
    <w:rsid w:val="008F79BC"/>
    <w:rsid w:val="009002AC"/>
    <w:rsid w:val="009008FD"/>
    <w:rsid w:val="00901846"/>
    <w:rsid w:val="00902ACF"/>
    <w:rsid w:val="009035E5"/>
    <w:rsid w:val="00904B1C"/>
    <w:rsid w:val="00904BE2"/>
    <w:rsid w:val="00910CA2"/>
    <w:rsid w:val="0091136E"/>
    <w:rsid w:val="00912326"/>
    <w:rsid w:val="00912A4F"/>
    <w:rsid w:val="00914FFB"/>
    <w:rsid w:val="00916430"/>
    <w:rsid w:val="00916D97"/>
    <w:rsid w:val="009172FE"/>
    <w:rsid w:val="0091786F"/>
    <w:rsid w:val="009219E4"/>
    <w:rsid w:val="00921C96"/>
    <w:rsid w:val="0092378C"/>
    <w:rsid w:val="00924072"/>
    <w:rsid w:val="00924875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44F63"/>
    <w:rsid w:val="00946FC9"/>
    <w:rsid w:val="0094780E"/>
    <w:rsid w:val="00947EF8"/>
    <w:rsid w:val="009520AC"/>
    <w:rsid w:val="00952D38"/>
    <w:rsid w:val="009561CD"/>
    <w:rsid w:val="00962CCB"/>
    <w:rsid w:val="00962F39"/>
    <w:rsid w:val="009633DD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63C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02E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38A0"/>
    <w:rsid w:val="009C5751"/>
    <w:rsid w:val="009C7041"/>
    <w:rsid w:val="009C729D"/>
    <w:rsid w:val="009C7489"/>
    <w:rsid w:val="009C7A31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092C"/>
    <w:rsid w:val="00A018F8"/>
    <w:rsid w:val="00A0261A"/>
    <w:rsid w:val="00A03770"/>
    <w:rsid w:val="00A0442B"/>
    <w:rsid w:val="00A04BAF"/>
    <w:rsid w:val="00A05867"/>
    <w:rsid w:val="00A05C81"/>
    <w:rsid w:val="00A074C3"/>
    <w:rsid w:val="00A07910"/>
    <w:rsid w:val="00A134FB"/>
    <w:rsid w:val="00A13781"/>
    <w:rsid w:val="00A13BA0"/>
    <w:rsid w:val="00A21C42"/>
    <w:rsid w:val="00A2265C"/>
    <w:rsid w:val="00A2591D"/>
    <w:rsid w:val="00A26210"/>
    <w:rsid w:val="00A26F86"/>
    <w:rsid w:val="00A27970"/>
    <w:rsid w:val="00A31A5C"/>
    <w:rsid w:val="00A33B11"/>
    <w:rsid w:val="00A37ECB"/>
    <w:rsid w:val="00A43B7D"/>
    <w:rsid w:val="00A44A38"/>
    <w:rsid w:val="00A456C2"/>
    <w:rsid w:val="00A50003"/>
    <w:rsid w:val="00A52C16"/>
    <w:rsid w:val="00A532C6"/>
    <w:rsid w:val="00A533A7"/>
    <w:rsid w:val="00A53733"/>
    <w:rsid w:val="00A53B3D"/>
    <w:rsid w:val="00A54DB1"/>
    <w:rsid w:val="00A55808"/>
    <w:rsid w:val="00A5712B"/>
    <w:rsid w:val="00A600D6"/>
    <w:rsid w:val="00A60322"/>
    <w:rsid w:val="00A6138C"/>
    <w:rsid w:val="00A61DC9"/>
    <w:rsid w:val="00A62208"/>
    <w:rsid w:val="00A6280F"/>
    <w:rsid w:val="00A62969"/>
    <w:rsid w:val="00A66D78"/>
    <w:rsid w:val="00A72414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9754F"/>
    <w:rsid w:val="00AA09D8"/>
    <w:rsid w:val="00AA5833"/>
    <w:rsid w:val="00AA6CC0"/>
    <w:rsid w:val="00AA6DB0"/>
    <w:rsid w:val="00AB0BAA"/>
    <w:rsid w:val="00AB1A30"/>
    <w:rsid w:val="00AB2D7B"/>
    <w:rsid w:val="00AB52CC"/>
    <w:rsid w:val="00AB59D2"/>
    <w:rsid w:val="00AC1DA4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62A8"/>
    <w:rsid w:val="00AE7E46"/>
    <w:rsid w:val="00AF095C"/>
    <w:rsid w:val="00AF1F6C"/>
    <w:rsid w:val="00AF22CC"/>
    <w:rsid w:val="00AF4353"/>
    <w:rsid w:val="00AF4D92"/>
    <w:rsid w:val="00B00003"/>
    <w:rsid w:val="00B01716"/>
    <w:rsid w:val="00B01EAE"/>
    <w:rsid w:val="00B03A65"/>
    <w:rsid w:val="00B05DA7"/>
    <w:rsid w:val="00B11E4C"/>
    <w:rsid w:val="00B12F4C"/>
    <w:rsid w:val="00B14854"/>
    <w:rsid w:val="00B16A46"/>
    <w:rsid w:val="00B20823"/>
    <w:rsid w:val="00B214F4"/>
    <w:rsid w:val="00B22BFD"/>
    <w:rsid w:val="00B2308F"/>
    <w:rsid w:val="00B23E18"/>
    <w:rsid w:val="00B2575C"/>
    <w:rsid w:val="00B27446"/>
    <w:rsid w:val="00B32DF0"/>
    <w:rsid w:val="00B365DE"/>
    <w:rsid w:val="00B36641"/>
    <w:rsid w:val="00B36D15"/>
    <w:rsid w:val="00B3751C"/>
    <w:rsid w:val="00B37D63"/>
    <w:rsid w:val="00B43145"/>
    <w:rsid w:val="00B43160"/>
    <w:rsid w:val="00B453F1"/>
    <w:rsid w:val="00B456BF"/>
    <w:rsid w:val="00B472FB"/>
    <w:rsid w:val="00B50E8C"/>
    <w:rsid w:val="00B513DB"/>
    <w:rsid w:val="00B524FD"/>
    <w:rsid w:val="00B53329"/>
    <w:rsid w:val="00B54B68"/>
    <w:rsid w:val="00B57436"/>
    <w:rsid w:val="00B63F9B"/>
    <w:rsid w:val="00B676B5"/>
    <w:rsid w:val="00B70D9A"/>
    <w:rsid w:val="00B70FC9"/>
    <w:rsid w:val="00B738E0"/>
    <w:rsid w:val="00B762E4"/>
    <w:rsid w:val="00B77291"/>
    <w:rsid w:val="00B83245"/>
    <w:rsid w:val="00B84020"/>
    <w:rsid w:val="00B849DE"/>
    <w:rsid w:val="00B86E27"/>
    <w:rsid w:val="00B94D8D"/>
    <w:rsid w:val="00B94EBC"/>
    <w:rsid w:val="00B95384"/>
    <w:rsid w:val="00B96927"/>
    <w:rsid w:val="00B97498"/>
    <w:rsid w:val="00B975AD"/>
    <w:rsid w:val="00BA0BA6"/>
    <w:rsid w:val="00BA20AB"/>
    <w:rsid w:val="00BA299D"/>
    <w:rsid w:val="00BA40AB"/>
    <w:rsid w:val="00BA48EC"/>
    <w:rsid w:val="00BA55D8"/>
    <w:rsid w:val="00BA5C28"/>
    <w:rsid w:val="00BA642E"/>
    <w:rsid w:val="00BB19F3"/>
    <w:rsid w:val="00BB407E"/>
    <w:rsid w:val="00BB46FD"/>
    <w:rsid w:val="00BB53C6"/>
    <w:rsid w:val="00BB5EA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96B"/>
    <w:rsid w:val="00BD3C43"/>
    <w:rsid w:val="00BD7FBD"/>
    <w:rsid w:val="00BE24F4"/>
    <w:rsid w:val="00BE2761"/>
    <w:rsid w:val="00BE7170"/>
    <w:rsid w:val="00BF06FD"/>
    <w:rsid w:val="00BF2A49"/>
    <w:rsid w:val="00BF3245"/>
    <w:rsid w:val="00BF4935"/>
    <w:rsid w:val="00C00492"/>
    <w:rsid w:val="00C01B29"/>
    <w:rsid w:val="00C0254F"/>
    <w:rsid w:val="00C0275A"/>
    <w:rsid w:val="00C03210"/>
    <w:rsid w:val="00C06EB3"/>
    <w:rsid w:val="00C079B8"/>
    <w:rsid w:val="00C10E10"/>
    <w:rsid w:val="00C12A97"/>
    <w:rsid w:val="00C14F2B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37F"/>
    <w:rsid w:val="00C31DEC"/>
    <w:rsid w:val="00C333BE"/>
    <w:rsid w:val="00C37EF2"/>
    <w:rsid w:val="00C40CFF"/>
    <w:rsid w:val="00C41213"/>
    <w:rsid w:val="00C415AC"/>
    <w:rsid w:val="00C42106"/>
    <w:rsid w:val="00C42BB7"/>
    <w:rsid w:val="00C46FD6"/>
    <w:rsid w:val="00C47DF1"/>
    <w:rsid w:val="00C50CD7"/>
    <w:rsid w:val="00C50DD2"/>
    <w:rsid w:val="00C51A68"/>
    <w:rsid w:val="00C51FD8"/>
    <w:rsid w:val="00C52935"/>
    <w:rsid w:val="00C545C7"/>
    <w:rsid w:val="00C54E0E"/>
    <w:rsid w:val="00C56293"/>
    <w:rsid w:val="00C63C32"/>
    <w:rsid w:val="00C653D5"/>
    <w:rsid w:val="00C658EA"/>
    <w:rsid w:val="00C662F9"/>
    <w:rsid w:val="00C7042B"/>
    <w:rsid w:val="00C70D79"/>
    <w:rsid w:val="00C742B8"/>
    <w:rsid w:val="00C75A32"/>
    <w:rsid w:val="00C75DF6"/>
    <w:rsid w:val="00C75EE8"/>
    <w:rsid w:val="00C760F7"/>
    <w:rsid w:val="00C77A9C"/>
    <w:rsid w:val="00C822C7"/>
    <w:rsid w:val="00C8335E"/>
    <w:rsid w:val="00C86ACE"/>
    <w:rsid w:val="00C9152F"/>
    <w:rsid w:val="00C91F8C"/>
    <w:rsid w:val="00C925E1"/>
    <w:rsid w:val="00C92D8A"/>
    <w:rsid w:val="00C94344"/>
    <w:rsid w:val="00C97462"/>
    <w:rsid w:val="00CA0CD4"/>
    <w:rsid w:val="00CA15F9"/>
    <w:rsid w:val="00CA1ED0"/>
    <w:rsid w:val="00CA2BEB"/>
    <w:rsid w:val="00CA3EBB"/>
    <w:rsid w:val="00CA4CC8"/>
    <w:rsid w:val="00CB15D8"/>
    <w:rsid w:val="00CB4377"/>
    <w:rsid w:val="00CC08EC"/>
    <w:rsid w:val="00CC1303"/>
    <w:rsid w:val="00CC4463"/>
    <w:rsid w:val="00CC5061"/>
    <w:rsid w:val="00CD0533"/>
    <w:rsid w:val="00CD056B"/>
    <w:rsid w:val="00CD1863"/>
    <w:rsid w:val="00CD46C5"/>
    <w:rsid w:val="00CD4A0E"/>
    <w:rsid w:val="00CE2182"/>
    <w:rsid w:val="00CE6B86"/>
    <w:rsid w:val="00CE7DC9"/>
    <w:rsid w:val="00CF0714"/>
    <w:rsid w:val="00CF3A54"/>
    <w:rsid w:val="00CF41F1"/>
    <w:rsid w:val="00CF6707"/>
    <w:rsid w:val="00D00E5F"/>
    <w:rsid w:val="00D024A5"/>
    <w:rsid w:val="00D033B9"/>
    <w:rsid w:val="00D035A7"/>
    <w:rsid w:val="00D03F11"/>
    <w:rsid w:val="00D055AE"/>
    <w:rsid w:val="00D108F8"/>
    <w:rsid w:val="00D1221E"/>
    <w:rsid w:val="00D12756"/>
    <w:rsid w:val="00D14907"/>
    <w:rsid w:val="00D14E25"/>
    <w:rsid w:val="00D165AA"/>
    <w:rsid w:val="00D16838"/>
    <w:rsid w:val="00D170FF"/>
    <w:rsid w:val="00D206EB"/>
    <w:rsid w:val="00D255B0"/>
    <w:rsid w:val="00D256BE"/>
    <w:rsid w:val="00D25E6E"/>
    <w:rsid w:val="00D26325"/>
    <w:rsid w:val="00D27466"/>
    <w:rsid w:val="00D2789F"/>
    <w:rsid w:val="00D3056D"/>
    <w:rsid w:val="00D4023B"/>
    <w:rsid w:val="00D404DF"/>
    <w:rsid w:val="00D42CFE"/>
    <w:rsid w:val="00D431EA"/>
    <w:rsid w:val="00D4364F"/>
    <w:rsid w:val="00D460D3"/>
    <w:rsid w:val="00D5056B"/>
    <w:rsid w:val="00D52547"/>
    <w:rsid w:val="00D53A14"/>
    <w:rsid w:val="00D5401B"/>
    <w:rsid w:val="00D5462E"/>
    <w:rsid w:val="00D54EE5"/>
    <w:rsid w:val="00D564AA"/>
    <w:rsid w:val="00D6756D"/>
    <w:rsid w:val="00D67E1D"/>
    <w:rsid w:val="00D72293"/>
    <w:rsid w:val="00D749B3"/>
    <w:rsid w:val="00D751BF"/>
    <w:rsid w:val="00D77E51"/>
    <w:rsid w:val="00D818C3"/>
    <w:rsid w:val="00D83F06"/>
    <w:rsid w:val="00D84996"/>
    <w:rsid w:val="00D85418"/>
    <w:rsid w:val="00D87B2D"/>
    <w:rsid w:val="00D90B58"/>
    <w:rsid w:val="00D91811"/>
    <w:rsid w:val="00D9368F"/>
    <w:rsid w:val="00D96686"/>
    <w:rsid w:val="00D96D5D"/>
    <w:rsid w:val="00D974B4"/>
    <w:rsid w:val="00D976F6"/>
    <w:rsid w:val="00DA17E5"/>
    <w:rsid w:val="00DA2EC6"/>
    <w:rsid w:val="00DA2ED6"/>
    <w:rsid w:val="00DA41EF"/>
    <w:rsid w:val="00DA4E1A"/>
    <w:rsid w:val="00DA582D"/>
    <w:rsid w:val="00DA5E0A"/>
    <w:rsid w:val="00DB2136"/>
    <w:rsid w:val="00DB30A1"/>
    <w:rsid w:val="00DB3871"/>
    <w:rsid w:val="00DB46BE"/>
    <w:rsid w:val="00DB6AA0"/>
    <w:rsid w:val="00DC0ED3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D7618"/>
    <w:rsid w:val="00DE19FF"/>
    <w:rsid w:val="00DE3A85"/>
    <w:rsid w:val="00DE5A0F"/>
    <w:rsid w:val="00DE658C"/>
    <w:rsid w:val="00DE6CA2"/>
    <w:rsid w:val="00DF1388"/>
    <w:rsid w:val="00DF2249"/>
    <w:rsid w:val="00DF2AF8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263B"/>
    <w:rsid w:val="00E23E90"/>
    <w:rsid w:val="00E2577B"/>
    <w:rsid w:val="00E268B6"/>
    <w:rsid w:val="00E26C1E"/>
    <w:rsid w:val="00E2724C"/>
    <w:rsid w:val="00E2761B"/>
    <w:rsid w:val="00E27C91"/>
    <w:rsid w:val="00E3321D"/>
    <w:rsid w:val="00E33A0F"/>
    <w:rsid w:val="00E33BDC"/>
    <w:rsid w:val="00E362BA"/>
    <w:rsid w:val="00E40E64"/>
    <w:rsid w:val="00E42EF1"/>
    <w:rsid w:val="00E44399"/>
    <w:rsid w:val="00E44EB9"/>
    <w:rsid w:val="00E56D1A"/>
    <w:rsid w:val="00E56EA5"/>
    <w:rsid w:val="00E57C77"/>
    <w:rsid w:val="00E615E1"/>
    <w:rsid w:val="00E618BD"/>
    <w:rsid w:val="00E62A86"/>
    <w:rsid w:val="00E633E9"/>
    <w:rsid w:val="00E63B1F"/>
    <w:rsid w:val="00E63DB1"/>
    <w:rsid w:val="00E64586"/>
    <w:rsid w:val="00E65DDB"/>
    <w:rsid w:val="00E65E3B"/>
    <w:rsid w:val="00E6716A"/>
    <w:rsid w:val="00E70084"/>
    <w:rsid w:val="00E7338B"/>
    <w:rsid w:val="00E7607E"/>
    <w:rsid w:val="00E762E0"/>
    <w:rsid w:val="00E76777"/>
    <w:rsid w:val="00E778F7"/>
    <w:rsid w:val="00E814F7"/>
    <w:rsid w:val="00E81541"/>
    <w:rsid w:val="00E81B50"/>
    <w:rsid w:val="00E8330C"/>
    <w:rsid w:val="00E836A0"/>
    <w:rsid w:val="00E836CF"/>
    <w:rsid w:val="00E8600B"/>
    <w:rsid w:val="00E87974"/>
    <w:rsid w:val="00E913E3"/>
    <w:rsid w:val="00E92BAD"/>
    <w:rsid w:val="00E939C6"/>
    <w:rsid w:val="00E96CFA"/>
    <w:rsid w:val="00E973CD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32F4"/>
    <w:rsid w:val="00EB42E3"/>
    <w:rsid w:val="00EB6472"/>
    <w:rsid w:val="00EC0411"/>
    <w:rsid w:val="00EC0BBB"/>
    <w:rsid w:val="00EC152D"/>
    <w:rsid w:val="00EC2E26"/>
    <w:rsid w:val="00EC2FD3"/>
    <w:rsid w:val="00EC327B"/>
    <w:rsid w:val="00EC3628"/>
    <w:rsid w:val="00EC455C"/>
    <w:rsid w:val="00EC4E90"/>
    <w:rsid w:val="00EC5EB5"/>
    <w:rsid w:val="00EC70AC"/>
    <w:rsid w:val="00ED04CB"/>
    <w:rsid w:val="00ED167E"/>
    <w:rsid w:val="00ED5109"/>
    <w:rsid w:val="00EE002A"/>
    <w:rsid w:val="00EE4059"/>
    <w:rsid w:val="00EE4171"/>
    <w:rsid w:val="00EE470C"/>
    <w:rsid w:val="00EE6C21"/>
    <w:rsid w:val="00EE6EFB"/>
    <w:rsid w:val="00EF033E"/>
    <w:rsid w:val="00EF2489"/>
    <w:rsid w:val="00EF2680"/>
    <w:rsid w:val="00EF2FA4"/>
    <w:rsid w:val="00EF395E"/>
    <w:rsid w:val="00EF7533"/>
    <w:rsid w:val="00F004FA"/>
    <w:rsid w:val="00F01B1F"/>
    <w:rsid w:val="00F0234D"/>
    <w:rsid w:val="00F0261E"/>
    <w:rsid w:val="00F028BB"/>
    <w:rsid w:val="00F03044"/>
    <w:rsid w:val="00F046AB"/>
    <w:rsid w:val="00F056C1"/>
    <w:rsid w:val="00F06566"/>
    <w:rsid w:val="00F1013D"/>
    <w:rsid w:val="00F12CA0"/>
    <w:rsid w:val="00F1357E"/>
    <w:rsid w:val="00F15467"/>
    <w:rsid w:val="00F16250"/>
    <w:rsid w:val="00F168EF"/>
    <w:rsid w:val="00F2117B"/>
    <w:rsid w:val="00F23E66"/>
    <w:rsid w:val="00F23F23"/>
    <w:rsid w:val="00F3003F"/>
    <w:rsid w:val="00F3022C"/>
    <w:rsid w:val="00F307C1"/>
    <w:rsid w:val="00F32245"/>
    <w:rsid w:val="00F364AD"/>
    <w:rsid w:val="00F40AF5"/>
    <w:rsid w:val="00F40BB7"/>
    <w:rsid w:val="00F40DEE"/>
    <w:rsid w:val="00F44DC2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39C0"/>
    <w:rsid w:val="00F74787"/>
    <w:rsid w:val="00F74A54"/>
    <w:rsid w:val="00F74FE3"/>
    <w:rsid w:val="00F81ACE"/>
    <w:rsid w:val="00F81CA7"/>
    <w:rsid w:val="00F82DC3"/>
    <w:rsid w:val="00F85477"/>
    <w:rsid w:val="00F87018"/>
    <w:rsid w:val="00F90CC3"/>
    <w:rsid w:val="00F93CB6"/>
    <w:rsid w:val="00F94ACF"/>
    <w:rsid w:val="00F979ED"/>
    <w:rsid w:val="00FA06F4"/>
    <w:rsid w:val="00FA2213"/>
    <w:rsid w:val="00FA458E"/>
    <w:rsid w:val="00FA5C03"/>
    <w:rsid w:val="00FA777D"/>
    <w:rsid w:val="00FA7B2F"/>
    <w:rsid w:val="00FB0F9F"/>
    <w:rsid w:val="00FB10F9"/>
    <w:rsid w:val="00FB1955"/>
    <w:rsid w:val="00FB295A"/>
    <w:rsid w:val="00FB3782"/>
    <w:rsid w:val="00FB4A73"/>
    <w:rsid w:val="00FB54D8"/>
    <w:rsid w:val="00FB5FE1"/>
    <w:rsid w:val="00FB7724"/>
    <w:rsid w:val="00FC27C5"/>
    <w:rsid w:val="00FC3D0B"/>
    <w:rsid w:val="00FC5561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link w:val="FootnoteTextChar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853B08"/>
    <w:pPr>
      <w:numPr>
        <w:numId w:val="7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853B08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5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6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2Char">
    <w:name w:val="Heading 2 Char"/>
    <w:link w:val="Heading2"/>
    <w:rsid w:val="0051576A"/>
    <w:rPr>
      <w:b/>
      <w:sz w:val="24"/>
    </w:rPr>
  </w:style>
  <w:style w:type="character" w:customStyle="1" w:styleId="FootnoteTextChar">
    <w:name w:val="Footnote Text Char"/>
    <w:link w:val="FootnoteText"/>
    <w:semiHidden/>
    <w:locked/>
    <w:rsid w:val="000A36E2"/>
  </w:style>
  <w:style w:type="paragraph" w:customStyle="1" w:styleId="BodyText1">
    <w:name w:val="Body Text1"/>
    <w:basedOn w:val="BodyText"/>
    <w:link w:val="bodytextChar0"/>
    <w:qFormat/>
    <w:rsid w:val="00D90B58"/>
  </w:style>
  <w:style w:type="character" w:customStyle="1" w:styleId="bodytextChar0">
    <w:name w:val="body text Char"/>
    <w:link w:val="BodyText1"/>
    <w:rsid w:val="00D90B58"/>
    <w:rPr>
      <w:sz w:val="24"/>
    </w:rPr>
  </w:style>
  <w:style w:type="numbering" w:customStyle="1" w:styleId="StyleNumberedLeft055Hanging025">
    <w:name w:val="Style Numbered Left:  0.55&quot; Hanging:  0.25&quot;"/>
    <w:basedOn w:val="NoList"/>
    <w:rsid w:val="00C3137F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link w:val="FootnoteTextChar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853B08"/>
    <w:pPr>
      <w:numPr>
        <w:numId w:val="7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853B08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5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6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2Char">
    <w:name w:val="Heading 2 Char"/>
    <w:link w:val="Heading2"/>
    <w:rsid w:val="0051576A"/>
    <w:rPr>
      <w:b/>
      <w:sz w:val="24"/>
    </w:rPr>
  </w:style>
  <w:style w:type="character" w:customStyle="1" w:styleId="FootnoteTextChar">
    <w:name w:val="Footnote Text Char"/>
    <w:link w:val="FootnoteText"/>
    <w:semiHidden/>
    <w:locked/>
    <w:rsid w:val="000A36E2"/>
  </w:style>
  <w:style w:type="paragraph" w:customStyle="1" w:styleId="BodyText1">
    <w:name w:val="Body Text1"/>
    <w:basedOn w:val="BodyText"/>
    <w:link w:val="bodytextChar0"/>
    <w:qFormat/>
    <w:rsid w:val="00D90B58"/>
  </w:style>
  <w:style w:type="character" w:customStyle="1" w:styleId="bodytextChar0">
    <w:name w:val="body text Char"/>
    <w:link w:val="BodyText1"/>
    <w:rsid w:val="00D90B58"/>
    <w:rPr>
      <w:sz w:val="24"/>
    </w:rPr>
  </w:style>
  <w:style w:type="numbering" w:customStyle="1" w:styleId="StyleNumberedLeft055Hanging025">
    <w:name w:val="Style Numbered Left:  0.55&quot; Hanging:  0.25&quot;"/>
    <w:basedOn w:val="NoList"/>
    <w:rsid w:val="00C3137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0.jpeg"/>
  <Relationship Id="rId11" Type="http://schemas.openxmlformats.org/officeDocument/2006/relationships/hyperlink" TargetMode="External" Target="http://mass.gov/dph/iaq"/>
  <Relationship Id="rId12" Type="http://schemas.openxmlformats.org/officeDocument/2006/relationships/hyperlink" TargetMode="External" Target="http://www.iicrc.org/consumers/care/carpet-cleaning"/>
  <Relationship Id="rId13" Type="http://schemas.openxmlformats.org/officeDocument/2006/relationships/hyperlink" TargetMode="External" Target="http://www.mass.gov/eohhs/gov/departments/dph/programs/environmental-health/exposure-topics/iaq/iaq-manual/"/>
  <Relationship Id="rId14" Type="http://schemas.openxmlformats.org/officeDocument/2006/relationships/header" Target="header1.xml"/>
  <Relationship Id="rId15" Type="http://schemas.openxmlformats.org/officeDocument/2006/relationships/header" Target="header2.xml"/>
  <Relationship Id="rId16" Type="http://schemas.openxmlformats.org/officeDocument/2006/relationships/footer" Target="footer1.xml"/>
  <Relationship Id="rId17" Type="http://schemas.openxmlformats.org/officeDocument/2006/relationships/footer" Target="footer2.xml"/>
  <Relationship Id="rId18" Type="http://schemas.openxmlformats.org/officeDocument/2006/relationships/header" Target="header3.xml"/>
  <Relationship Id="rId19" Type="http://schemas.openxmlformats.org/officeDocument/2006/relationships/footer" Target="footer3.xml"/>
  <Relationship Id="rId2" Type="http://schemas.openxmlformats.org/officeDocument/2006/relationships/numbering" Target="numbering.xml"/>
  <Relationship Id="rId20" Type="http://schemas.openxmlformats.org/officeDocument/2006/relationships/image" Target="media/image2.jpeg"/>
  <Relationship Id="rId21" Type="http://schemas.openxmlformats.org/officeDocument/2006/relationships/image" Target="media/image3.jpeg"/>
  <Relationship Id="rId22" Type="http://schemas.openxmlformats.org/officeDocument/2006/relationships/image" Target="media/image4.png"/>
  <Relationship Id="rId23" Type="http://schemas.openxmlformats.org/officeDocument/2006/relationships/image" Target="media/image5.jpeg"/>
  <Relationship Id="rId24" Type="http://schemas.openxmlformats.org/officeDocument/2006/relationships/image" Target="media/image6.jpeg"/>
  <Relationship Id="rId25" Type="http://schemas.openxmlformats.org/officeDocument/2006/relationships/image" Target="media/image7.png"/>
  <Relationship Id="rId26" Type="http://schemas.openxmlformats.org/officeDocument/2006/relationships/footer" Target="footer4.xml"/>
  <Relationship Id="rId27" Type="http://schemas.openxmlformats.org/officeDocument/2006/relationships/header" Target="header4.xml"/>
  <Relationship Id="rId28" Type="http://schemas.openxmlformats.org/officeDocument/2006/relationships/header" Target="header5.xml"/>
  <Relationship Id="rId29" Type="http://schemas.openxmlformats.org/officeDocument/2006/relationships/footer" Target="footer5.xml"/>
  <Relationship Id="rId3" Type="http://schemas.openxmlformats.org/officeDocument/2006/relationships/styles" Target="styles.xml"/>
  <Relationship Id="rId30" Type="http://schemas.openxmlformats.org/officeDocument/2006/relationships/header" Target="header6.xml"/>
  <Relationship Id="rId31" Type="http://schemas.openxmlformats.org/officeDocument/2006/relationships/footer" Target="footer6.xml"/>
  <Relationship Id="rId32" Type="http://schemas.openxmlformats.org/officeDocument/2006/relationships/fontTable" Target="fontTable.xml"/>
  <Relationship Id="rId33" Type="http://schemas.openxmlformats.org/officeDocument/2006/relationships/theme" Target="theme/theme1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F633-FB5C-48C2-A380-B585EDD2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 - Massachusetts Rehabilitation Commission, 110 Mulberry StreetBrockton, Massachusetts - October 2016</vt:lpstr>
    </vt:vector>
  </TitlesOfParts>
  <Company>MDPH</Company>
  <LinksUpToDate>false</LinksUpToDate>
  <CharactersWithSpaces>8440</CharactersWithSpaces>
  <SharedDoc>false</SharedDoc>
  <HLinks>
    <vt:vector size="18" baseType="variant"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http://www.iicrc.org/consumers/care/carpet-cleaning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2016-12-06T14:19:00Z</dcterms:created>
  <dc:creator>MDPH - Indoor Air Quality Program</dc:creator>
  <keywords>respiratory/eye irritation; exacerbation of allergies; migraines; sinus; Massachusetts Rehabilitation Commission, 110 Mulberry Street, Brockton; MRC</keywords>
  <lastModifiedBy>AutoBVT</lastModifiedBy>
  <lastPrinted>2016-10-11T18:34:00Z</lastPrinted>
  <dcterms:modified xsi:type="dcterms:W3CDTF">2016-12-06T14:20:00Z</dcterms:modified>
  <revision>3</revision>
  <dc:subject>September 30, 2016; in response to symptoms reported by building occupants (e.g., respiratory/eye irritation, exacerbation of allergies, migraines and sinus issues the MDPH conducted a general indoor air quality assessment at the Massachusetts Rehabilitation Commission, 110 Mulberry Street, Brockton.</dc:subject>
  <dc:title>Indoor Air Quality Assessment - Massachusetts Rehabilitation Commission, 110 Mulberry StreetBrockton, Massachusetts - October 2016</dc:title>
</coreProperties>
</file>