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960DC" w14:textId="77777777" w:rsidR="00A4032B" w:rsidRPr="002F0056" w:rsidRDefault="00A4032B" w:rsidP="009C1E1F">
      <w:pPr>
        <w:pStyle w:val="Default"/>
        <w:jc w:val="center"/>
        <w:rPr>
          <w:rFonts w:ascii="Gill Sans MT" w:hAnsi="Gill Sans MT" w:cstheme="minorHAnsi"/>
          <w:b/>
          <w:bCs/>
        </w:rPr>
      </w:pPr>
    </w:p>
    <w:p w14:paraId="55F4DF04" w14:textId="4DADE424" w:rsidR="00861502" w:rsidRDefault="00561AC8" w:rsidP="009C1E1F">
      <w:pPr>
        <w:pStyle w:val="Default"/>
        <w:jc w:val="center"/>
        <w:rPr>
          <w:rFonts w:ascii="Gill Sans MT" w:hAnsi="Gill Sans MT" w:cstheme="minorHAnsi"/>
          <w:b/>
          <w:bCs/>
        </w:rPr>
      </w:pPr>
      <w:r>
        <w:rPr>
          <w:rFonts w:ascii="Gill Sans MT" w:hAnsi="Gill Sans MT" w:cstheme="minorHAnsi"/>
          <w:b/>
          <w:bCs/>
        </w:rPr>
        <w:t xml:space="preserve">105 CMR 150.000 Standards for Long-Term Care Facilities and 105 CMR 153.000 </w:t>
      </w:r>
      <w:r w:rsidR="00A65338" w:rsidRPr="00A65338">
        <w:rPr>
          <w:rFonts w:ascii="Gill Sans MT" w:hAnsi="Gill Sans MT" w:cstheme="minorHAnsi"/>
          <w:b/>
          <w:bCs/>
        </w:rPr>
        <w:t>Licensure Procedure and Suitability Requirements for Long-Term Care Facilities</w:t>
      </w:r>
    </w:p>
    <w:p w14:paraId="5512B6C4" w14:textId="51DE254F" w:rsidR="00155D6A" w:rsidRPr="0078018E" w:rsidRDefault="00155D6A" w:rsidP="00155D6A">
      <w:pPr>
        <w:pStyle w:val="font-claude-response-body"/>
        <w:jc w:val="both"/>
        <w:rPr>
          <w:rFonts w:asciiTheme="minorHAnsi" w:hAnsiTheme="minorHAnsi"/>
          <w:color w:val="000000"/>
        </w:rPr>
      </w:pPr>
      <w:r w:rsidRPr="0078018E">
        <w:rPr>
          <w:rFonts w:asciiTheme="minorHAnsi" w:hAnsiTheme="minorHAnsi"/>
          <w:color w:val="000000"/>
        </w:rPr>
        <w:t>On behalf of the Massachusetts Senior Care Association (Mass Senior Care), representing approximately 350 long-term care facilities, we appreciate the opportunity to present testimony on the Department of Public Health's proposed amendments to 105 CMR 150.000, Standards for Long Term Care Facilities, and 105 CMR 153.000, Licensure Procedure and Suitability Requirements for Long-Term Care Facilities. Many of the proposed amendments seek to implement the provisions of Chapter 197 of the Acts of 2024, the long-term care reform law. Mass Senior Care was proud and grateful to work with the Administration, Legislature, and stakeholders on the development and enactment of this historic law, and we look forward to continuing that partnership as we implement the proposed regulations.</w:t>
      </w:r>
    </w:p>
    <w:p w14:paraId="49FA5F5C" w14:textId="7E88E667" w:rsidR="00155D6A" w:rsidRPr="0078018E" w:rsidRDefault="00155D6A" w:rsidP="00155D6A">
      <w:pPr>
        <w:pStyle w:val="font-claude-response-body"/>
        <w:jc w:val="both"/>
        <w:rPr>
          <w:rFonts w:asciiTheme="minorHAnsi" w:hAnsiTheme="minorHAnsi"/>
          <w:color w:val="000000"/>
        </w:rPr>
      </w:pPr>
      <w:r w:rsidRPr="0078018E">
        <w:rPr>
          <w:rFonts w:asciiTheme="minorHAnsi" w:hAnsiTheme="minorHAnsi"/>
          <w:color w:val="000000"/>
        </w:rPr>
        <w:t>Chapter 197 of the Acts of 2024 set out a comprehensive set of reforms that seek to strengthen transparency in nursing facility care while addressing longstanding funding, workforce, and access challenges across the Commonwealth. Specifically, the law reforms licensure and suitability standards</w:t>
      </w:r>
      <w:r w:rsidR="00186B5D">
        <w:rPr>
          <w:rFonts w:asciiTheme="minorHAnsi" w:hAnsiTheme="minorHAnsi"/>
          <w:color w:val="000000"/>
        </w:rPr>
        <w:t xml:space="preserve"> for nursing facilities</w:t>
      </w:r>
      <w:r w:rsidRPr="0078018E">
        <w:rPr>
          <w:rFonts w:asciiTheme="minorHAnsi" w:hAnsiTheme="minorHAnsi"/>
          <w:color w:val="000000"/>
        </w:rPr>
        <w:t xml:space="preserve">, authorizes </w:t>
      </w:r>
      <w:r w:rsidR="00186B5D">
        <w:rPr>
          <w:rFonts w:asciiTheme="minorHAnsi" w:hAnsiTheme="minorHAnsi"/>
          <w:color w:val="000000"/>
        </w:rPr>
        <w:t xml:space="preserve">certified </w:t>
      </w:r>
      <w:r w:rsidRPr="0078018E">
        <w:rPr>
          <w:rFonts w:asciiTheme="minorHAnsi" w:hAnsiTheme="minorHAnsi"/>
          <w:color w:val="000000"/>
        </w:rPr>
        <w:t>medication aides, modernizes the Medicaid rate system to better reflect current resident care costs, and establishes a Long-Term Care Workforce and Capital Fund to support and expand the caregiving workforce. Taken together, these measures reinforce the Commonwealth's commitment to resident care, safety, and well-being for our more than 34,000 nursing facility residents, most of whom rely on state funding.</w:t>
      </w:r>
    </w:p>
    <w:p w14:paraId="25292451" w14:textId="77777777" w:rsidR="00155D6A" w:rsidRPr="0078018E" w:rsidRDefault="00155D6A" w:rsidP="00155D6A">
      <w:pPr>
        <w:pStyle w:val="font-claude-response-body"/>
        <w:jc w:val="both"/>
        <w:rPr>
          <w:rFonts w:asciiTheme="minorHAnsi" w:hAnsiTheme="minorHAnsi"/>
          <w:color w:val="000000"/>
        </w:rPr>
      </w:pPr>
      <w:r w:rsidRPr="0078018E">
        <w:rPr>
          <w:rFonts w:asciiTheme="minorHAnsi" w:hAnsiTheme="minorHAnsi"/>
          <w:color w:val="000000"/>
        </w:rPr>
        <w:t>The proposed regulations require nursing facilities to develop, maintain, and annually review a comprehensive outbreak response plan that outlines how infectious disease outbreaks are identified, reported, investigated, and controlled. These proposed regulations strengthen infection control practices, protect resident health and safety, and promote transparency and continuity of care during infectious disease outbreaks.</w:t>
      </w:r>
    </w:p>
    <w:p w14:paraId="3662ED60" w14:textId="77777777" w:rsidR="00155D6A" w:rsidRPr="0078018E" w:rsidRDefault="00155D6A" w:rsidP="00155D6A">
      <w:pPr>
        <w:pStyle w:val="font-claude-response-body"/>
        <w:jc w:val="both"/>
        <w:rPr>
          <w:rFonts w:asciiTheme="minorHAnsi" w:hAnsiTheme="minorHAnsi"/>
          <w:color w:val="000000"/>
        </w:rPr>
      </w:pPr>
      <w:r w:rsidRPr="0078018E">
        <w:rPr>
          <w:rFonts w:asciiTheme="minorHAnsi" w:hAnsiTheme="minorHAnsi"/>
          <w:color w:val="000000"/>
        </w:rPr>
        <w:t>The LGBTQI sections establish an important LGBTQI Bill of Rights, reinforcing nondiscrimination protections and ensuring residents are treated with dignity and respect regardless of sexual orientation, gender identity or expression, intersex status, or HIV status. Staff will be trained on culturally competent care that will promote an inclusive, affirming environment and safeguard the rights, safety, and well-being of LGBTQI residents.</w:t>
      </w:r>
    </w:p>
    <w:p w14:paraId="0C394D53" w14:textId="77777777" w:rsidR="00155D6A" w:rsidRPr="0078018E" w:rsidRDefault="00155D6A" w:rsidP="00155D6A">
      <w:pPr>
        <w:pStyle w:val="font-claude-response-body"/>
        <w:jc w:val="both"/>
        <w:rPr>
          <w:rFonts w:asciiTheme="minorHAnsi" w:hAnsiTheme="minorHAnsi"/>
          <w:color w:val="000000"/>
        </w:rPr>
      </w:pPr>
      <w:r w:rsidRPr="0078018E">
        <w:rPr>
          <w:rFonts w:asciiTheme="minorHAnsi" w:hAnsiTheme="minorHAnsi"/>
          <w:color w:val="000000"/>
        </w:rPr>
        <w:t>The establishment of the regulatory framework for small house nursing home care is an exciting, innovative opportunity to promote and support more personalized, resident-centered care in a homelike setting while ensuring facilities continue to meet regulatory and safety requirements. We look forward to continuing to work with the Department, MassHealth, and our members to expand the development of small house nursing homes in the Commonwealth.</w:t>
      </w:r>
    </w:p>
    <w:p w14:paraId="5E48C324" w14:textId="77777777" w:rsidR="00232A60" w:rsidRDefault="00232A60" w:rsidP="00155D6A">
      <w:pPr>
        <w:pStyle w:val="font-claude-response-body"/>
        <w:jc w:val="both"/>
        <w:rPr>
          <w:rFonts w:asciiTheme="minorHAnsi" w:hAnsiTheme="minorHAnsi"/>
          <w:color w:val="000000"/>
        </w:rPr>
      </w:pPr>
    </w:p>
    <w:p w14:paraId="0D582DA4" w14:textId="184D086C" w:rsidR="00155D6A" w:rsidRPr="0078018E" w:rsidRDefault="00155D6A" w:rsidP="00155D6A">
      <w:pPr>
        <w:pStyle w:val="font-claude-response-body"/>
        <w:jc w:val="both"/>
        <w:rPr>
          <w:rFonts w:asciiTheme="minorHAnsi" w:hAnsiTheme="minorHAnsi"/>
          <w:color w:val="000000"/>
        </w:rPr>
      </w:pPr>
      <w:r w:rsidRPr="0078018E">
        <w:rPr>
          <w:rFonts w:asciiTheme="minorHAnsi" w:hAnsiTheme="minorHAnsi"/>
          <w:color w:val="000000"/>
        </w:rPr>
        <w:t xml:space="preserve">The provision to ensure nursing facilities adopt and implement policies to provide technology that promotes meaningful social connection, communication, and access to religious and recreational activities for our residents will further strengthen quality of life, reduce isolation, and promote engagement regardless of cognitive or sensory limitations. We are excited to implement this technology </w:t>
      </w:r>
      <w:proofErr w:type="gramStart"/>
      <w:r w:rsidRPr="0078018E">
        <w:rPr>
          <w:rFonts w:asciiTheme="minorHAnsi" w:hAnsiTheme="minorHAnsi"/>
          <w:color w:val="000000"/>
        </w:rPr>
        <w:t>and,</w:t>
      </w:r>
      <w:proofErr w:type="gramEnd"/>
      <w:r w:rsidRPr="0078018E">
        <w:rPr>
          <w:rFonts w:asciiTheme="minorHAnsi" w:hAnsiTheme="minorHAnsi"/>
          <w:color w:val="000000"/>
        </w:rPr>
        <w:t xml:space="preserve"> consistent with Chapter 197, we look forward to working with the Department on establishing a process for nursing homes to access CMP funds to support the purchase of these technologies.</w:t>
      </w:r>
    </w:p>
    <w:p w14:paraId="0ADBA0CF" w14:textId="7AB045E5" w:rsidR="00155D6A" w:rsidRPr="0078018E" w:rsidRDefault="00155D6A" w:rsidP="00155D6A">
      <w:pPr>
        <w:pStyle w:val="font-claude-response-body"/>
        <w:jc w:val="both"/>
        <w:rPr>
          <w:rFonts w:asciiTheme="minorHAnsi" w:hAnsiTheme="minorHAnsi"/>
          <w:color w:val="000000"/>
        </w:rPr>
      </w:pPr>
      <w:r w:rsidRPr="0078018E">
        <w:rPr>
          <w:rFonts w:asciiTheme="minorHAnsi" w:hAnsiTheme="minorHAnsi"/>
          <w:color w:val="000000"/>
        </w:rPr>
        <w:t xml:space="preserve">However, we are concerned that the Department has added new public policy regulations that do not appear in statute or in Chapter 197. We are also respectfully concerned that the Department appears to have bypassed the Legislature's </w:t>
      </w:r>
      <w:r w:rsidR="00C4445E">
        <w:rPr>
          <w:rFonts w:asciiTheme="minorHAnsi" w:hAnsiTheme="minorHAnsi"/>
          <w:color w:val="000000"/>
        </w:rPr>
        <w:t>intent</w:t>
      </w:r>
      <w:r w:rsidRPr="0078018E">
        <w:rPr>
          <w:rFonts w:asciiTheme="minorHAnsi" w:hAnsiTheme="minorHAnsi"/>
          <w:color w:val="000000"/>
        </w:rPr>
        <w:t xml:space="preserve"> in Section 72DD(c) of Chapter 111, which calls for the Department to engage with and work with stakeholders prior to issuing or promulgating regulations. We believe that this engagement would have been helpful in better understanding and implementing the Department's proposed new requirements for CPR/AED certification, elimination of the longstanding policy of allowing "responsible persons" in rest homes to administer medications, and the discharge of certain pediatric nursing home residents to adult-geriatric nursing homes. We appreciate the Department's willingness to consider and address concerns raised during this public hearing process.</w:t>
      </w:r>
    </w:p>
    <w:p w14:paraId="26B4C977" w14:textId="5E908184" w:rsidR="00155D6A" w:rsidRPr="0078018E" w:rsidRDefault="00155D6A" w:rsidP="00155D6A">
      <w:pPr>
        <w:pStyle w:val="font-claude-response-body"/>
        <w:jc w:val="both"/>
        <w:rPr>
          <w:rFonts w:asciiTheme="minorHAnsi" w:hAnsiTheme="minorHAnsi"/>
          <w:color w:val="000000"/>
        </w:rPr>
      </w:pPr>
      <w:r w:rsidRPr="0078018E">
        <w:rPr>
          <w:rFonts w:asciiTheme="minorHAnsi" w:hAnsiTheme="minorHAnsi"/>
          <w:color w:val="000000"/>
        </w:rPr>
        <w:t>The proposed new requirement on CPR/AED certification for CNAs would have benefitted from stakeholder engagement so that providers could better understand the Department's intent and plan to operationalize and pay for the certification and recertification of this important training. Mass Senior Care estimates that initial training costs will be close to $5 million, which to our knowledge is not funded in the Governor's proposed FY 2027 budget, and we would be interested in learning from any feasibility review that the Department has conducted to identify CPR/AED training providers in all regions of the state</w:t>
      </w:r>
      <w:r w:rsidR="00186B5D">
        <w:rPr>
          <w:rFonts w:asciiTheme="minorHAnsi" w:hAnsiTheme="minorHAnsi"/>
          <w:color w:val="000000"/>
        </w:rPr>
        <w:t xml:space="preserve"> so</w:t>
      </w:r>
      <w:r w:rsidRPr="0078018E">
        <w:rPr>
          <w:rFonts w:asciiTheme="minorHAnsi" w:hAnsiTheme="minorHAnsi"/>
          <w:color w:val="000000"/>
        </w:rPr>
        <w:t xml:space="preserve"> that</w:t>
      </w:r>
      <w:r w:rsidR="00186B5D">
        <w:rPr>
          <w:rFonts w:asciiTheme="minorHAnsi" w:hAnsiTheme="minorHAnsi"/>
          <w:color w:val="000000"/>
        </w:rPr>
        <w:t xml:space="preserve"> together we</w:t>
      </w:r>
      <w:r w:rsidRPr="0078018E">
        <w:rPr>
          <w:rFonts w:asciiTheme="minorHAnsi" w:hAnsiTheme="minorHAnsi"/>
          <w:color w:val="000000"/>
        </w:rPr>
        <w:t xml:space="preserve"> can ensure the Department's proposed timeline is met.</w:t>
      </w:r>
    </w:p>
    <w:p w14:paraId="00A1B0C7" w14:textId="6C5A9E6F" w:rsidR="00155D6A" w:rsidRPr="0078018E" w:rsidRDefault="00155D6A" w:rsidP="00155D6A">
      <w:pPr>
        <w:pStyle w:val="font-claude-response-body"/>
        <w:jc w:val="both"/>
        <w:rPr>
          <w:rFonts w:asciiTheme="minorHAnsi" w:hAnsiTheme="minorHAnsi"/>
          <w:color w:val="000000"/>
        </w:rPr>
      </w:pPr>
      <w:r w:rsidRPr="0078018E">
        <w:rPr>
          <w:rFonts w:asciiTheme="minorHAnsi" w:hAnsiTheme="minorHAnsi"/>
          <w:color w:val="000000"/>
        </w:rPr>
        <w:t xml:space="preserve">We </w:t>
      </w:r>
      <w:r w:rsidR="00186B5D">
        <w:rPr>
          <w:rFonts w:asciiTheme="minorHAnsi" w:hAnsiTheme="minorHAnsi"/>
          <w:color w:val="000000"/>
        </w:rPr>
        <w:t>also have</w:t>
      </w:r>
      <w:r w:rsidRPr="0078018E">
        <w:rPr>
          <w:rFonts w:asciiTheme="minorHAnsi" w:hAnsiTheme="minorHAnsi"/>
          <w:color w:val="000000"/>
        </w:rPr>
        <w:t xml:space="preserve"> questions related to the new naloxone requirement. While the regulation is clear that CNAs should be trained on the administration of naloxone, it is unclear how nursing homes will operationalize the intent of the regulation, since naloxone is typically stored in either a nursing facility's medication cart, medication room, code cart, or emergency kit (Ekit), which can only be accessed by a licensed nurse. Is the expectation that all CNAs will now have access to these storage areas to access and administer naloxone? Does the requirement for CNAs to be trained and competent in naloxone administration go beyond their scope of practice, since it may involve conducting a clinical assessment as to whether a person is experiencing an opioid overdose versus another type of medical emergency? We support these new training requirements and look forward to working with and learning more from the Department as we work together on implementation.</w:t>
      </w:r>
    </w:p>
    <w:p w14:paraId="14E7EAB7" w14:textId="77777777" w:rsidR="00A65338" w:rsidRDefault="00A65338" w:rsidP="00155D6A">
      <w:pPr>
        <w:pStyle w:val="font-claude-response-body"/>
        <w:jc w:val="both"/>
        <w:rPr>
          <w:rFonts w:asciiTheme="minorHAnsi" w:hAnsiTheme="minorHAnsi"/>
          <w:color w:val="000000"/>
        </w:rPr>
      </w:pPr>
    </w:p>
    <w:p w14:paraId="56076DE6" w14:textId="56C1D0F6" w:rsidR="00155D6A" w:rsidRPr="0078018E" w:rsidRDefault="00155D6A" w:rsidP="00155D6A">
      <w:pPr>
        <w:pStyle w:val="font-claude-response-body"/>
        <w:jc w:val="both"/>
        <w:rPr>
          <w:rFonts w:asciiTheme="minorHAnsi" w:hAnsiTheme="minorHAnsi"/>
          <w:color w:val="000000"/>
        </w:rPr>
      </w:pPr>
      <w:r w:rsidRPr="0078018E">
        <w:rPr>
          <w:rFonts w:asciiTheme="minorHAnsi" w:hAnsiTheme="minorHAnsi"/>
          <w:color w:val="000000"/>
        </w:rPr>
        <w:t xml:space="preserve">We are extremely concerned by the Department's proposed changes to the discharge requirements for Skilled Nursing Care Facilities for Children, which are perceived by many to be the Department's effort to force the discharge of approximately 100 residents who are over age 22 from the only home and caregivers they have ever known. Many of these impacted residents were admitted to the Commonwealth's two pediatric nursing facilities as fragile, medically complex </w:t>
      </w:r>
      <w:r w:rsidR="0029068D">
        <w:rPr>
          <w:rFonts w:asciiTheme="minorHAnsi" w:hAnsiTheme="minorHAnsi"/>
          <w:color w:val="000000"/>
        </w:rPr>
        <w:t>infants</w:t>
      </w:r>
      <w:r w:rsidRPr="0078018E">
        <w:rPr>
          <w:rFonts w:asciiTheme="minorHAnsi" w:hAnsiTheme="minorHAnsi"/>
          <w:color w:val="000000"/>
        </w:rPr>
        <w:t xml:space="preserve"> and have remained for years due to the highly specialized care and DDS-supported programming these facilities provide. These residents have complex neurological and medical conditions, are often fully dependent on staff, and require a level of care not typically available in non-pediatric specialty nursing homes. Specifically, the proposed regulation calls for a discharge and transfer review process for pediatric nursing facilities to occur every six months </w:t>
      </w:r>
      <w:r w:rsidRPr="0029068D">
        <w:rPr>
          <w:rFonts w:asciiTheme="minorHAnsi" w:hAnsiTheme="minorHAnsi"/>
          <w:b/>
          <w:bCs/>
          <w:color w:val="000000"/>
        </w:rPr>
        <w:t>with the objective of discharge or transfer to an alternative adult facility at or before the age of 22 years</w:t>
      </w:r>
      <w:r w:rsidRPr="0078018E">
        <w:rPr>
          <w:rFonts w:asciiTheme="minorHAnsi" w:hAnsiTheme="minorHAnsi"/>
          <w:color w:val="000000"/>
        </w:rPr>
        <w:t xml:space="preserve">. Together with pediatric nursing home residents, their families, and caregivers, we oppose the intent of the proposed language </w:t>
      </w:r>
      <w:r w:rsidR="00186B5D">
        <w:rPr>
          <w:rFonts w:asciiTheme="minorHAnsi" w:hAnsiTheme="minorHAnsi"/>
          <w:color w:val="000000"/>
        </w:rPr>
        <w:t xml:space="preserve">discharge </w:t>
      </w:r>
      <w:r w:rsidRPr="0078018E">
        <w:rPr>
          <w:rFonts w:asciiTheme="minorHAnsi" w:hAnsiTheme="minorHAnsi"/>
          <w:color w:val="000000"/>
        </w:rPr>
        <w:t xml:space="preserve">assessments and reviews are already occurring with families, the Department of Developmental Services (DDS), and the Medical Review Team (MRT). The Department's </w:t>
      </w:r>
      <w:r w:rsidR="00186B5D">
        <w:rPr>
          <w:rFonts w:asciiTheme="minorHAnsi" w:hAnsiTheme="minorHAnsi"/>
          <w:color w:val="000000"/>
        </w:rPr>
        <w:t xml:space="preserve">perceived </w:t>
      </w:r>
      <w:r w:rsidRPr="0078018E">
        <w:rPr>
          <w:rFonts w:asciiTheme="minorHAnsi" w:hAnsiTheme="minorHAnsi"/>
          <w:color w:val="000000"/>
        </w:rPr>
        <w:t xml:space="preserve">forced transfer policy would be profoundly disruptive and would have </w:t>
      </w:r>
      <w:r w:rsidR="00186B5D">
        <w:rPr>
          <w:rFonts w:asciiTheme="minorHAnsi" w:hAnsiTheme="minorHAnsi"/>
          <w:color w:val="000000"/>
        </w:rPr>
        <w:t xml:space="preserve">a </w:t>
      </w:r>
      <w:r w:rsidRPr="0078018E">
        <w:rPr>
          <w:rFonts w:asciiTheme="minorHAnsi" w:hAnsiTheme="minorHAnsi"/>
          <w:color w:val="000000"/>
        </w:rPr>
        <w:t>significant emotional and medical impact on residents and families. Families rely on the stability, continuity, and specialized expertise of Skilled Nursing Care Facilities for Children and requiring repeated reconsideration of placement or transfer to less appropriate settings would be deeply distressing.</w:t>
      </w:r>
    </w:p>
    <w:p w14:paraId="761005D1" w14:textId="72BC5BA4" w:rsidR="00155D6A" w:rsidRPr="0078018E" w:rsidRDefault="00155D6A" w:rsidP="00155D6A">
      <w:pPr>
        <w:pStyle w:val="font-claude-response-body"/>
        <w:jc w:val="both"/>
        <w:rPr>
          <w:rFonts w:asciiTheme="minorHAnsi" w:hAnsiTheme="minorHAnsi"/>
          <w:color w:val="000000"/>
        </w:rPr>
      </w:pPr>
      <w:r w:rsidRPr="0078018E">
        <w:rPr>
          <w:rFonts w:asciiTheme="minorHAnsi" w:hAnsiTheme="minorHAnsi"/>
          <w:color w:val="000000"/>
        </w:rPr>
        <w:t>Mass Senior Care is also concerned about restricting so-called responsible persons in rest homes from administering medications. Rest homes provide a critical service in the long-term care continuum by serving individuals who can no longer live independently but do not require the intensity of skilled nursing facility care. Allowing trained responsible persons to administer medications to stable residents ensures medication compliance and continued resident independence. By removing this regulation, we are concerned that the Department is creating unintended and unnecessary barriers to care, increasing the risk of missed or delayed medications, and may force residents to transition to higher-acuity settings</w:t>
      </w:r>
      <w:r w:rsidR="0029068D">
        <w:rPr>
          <w:rFonts w:asciiTheme="minorHAnsi" w:hAnsiTheme="minorHAnsi"/>
          <w:color w:val="000000"/>
        </w:rPr>
        <w:t>.</w:t>
      </w:r>
    </w:p>
    <w:p w14:paraId="5FBC127E" w14:textId="77777777" w:rsidR="00155D6A" w:rsidRPr="0078018E" w:rsidRDefault="00155D6A" w:rsidP="00155D6A">
      <w:pPr>
        <w:pStyle w:val="font-claude-response-body"/>
        <w:jc w:val="both"/>
        <w:rPr>
          <w:rFonts w:asciiTheme="minorHAnsi" w:hAnsiTheme="minorHAnsi"/>
          <w:color w:val="000000"/>
        </w:rPr>
      </w:pPr>
      <w:r w:rsidRPr="0078018E">
        <w:rPr>
          <w:rFonts w:asciiTheme="minorHAnsi" w:hAnsiTheme="minorHAnsi"/>
          <w:color w:val="000000"/>
        </w:rPr>
        <w:t>Finally, we respectfully ask that the Department please consider making a technical amendment to 150.007 to align with MassHealth's HPPD bulletin and policy.</w:t>
      </w:r>
    </w:p>
    <w:p w14:paraId="4D1E5772" w14:textId="77777777" w:rsidR="00155D6A" w:rsidRPr="0078018E" w:rsidRDefault="00155D6A" w:rsidP="00155D6A">
      <w:pPr>
        <w:pStyle w:val="font-claude-response-body"/>
        <w:jc w:val="both"/>
        <w:rPr>
          <w:rFonts w:asciiTheme="minorHAnsi" w:hAnsiTheme="minorHAnsi"/>
          <w:color w:val="000000"/>
        </w:rPr>
      </w:pPr>
      <w:r w:rsidRPr="0078018E">
        <w:rPr>
          <w:rStyle w:val="Strong"/>
          <w:rFonts w:asciiTheme="minorHAnsi" w:eastAsiaTheme="majorEastAsia" w:hAnsiTheme="minorHAnsi"/>
          <w:color w:val="000000"/>
        </w:rPr>
        <w:t>105 CMR 153.000 Licensure Procedure and Suitability Requirements for Long-Term Care Facilities:</w:t>
      </w:r>
    </w:p>
    <w:p w14:paraId="339A9D73" w14:textId="77777777" w:rsidR="00155D6A" w:rsidRDefault="00155D6A" w:rsidP="00155D6A">
      <w:pPr>
        <w:pStyle w:val="font-claude-response-body"/>
        <w:jc w:val="both"/>
        <w:rPr>
          <w:rFonts w:asciiTheme="minorHAnsi" w:hAnsiTheme="minorHAnsi"/>
          <w:color w:val="000000"/>
        </w:rPr>
      </w:pPr>
      <w:r w:rsidRPr="0078018E">
        <w:rPr>
          <w:rFonts w:asciiTheme="minorHAnsi" w:hAnsiTheme="minorHAnsi"/>
          <w:color w:val="000000"/>
        </w:rPr>
        <w:t xml:space="preserve">Mass Senior Care fully supports modernization of the state's suitability and licensure process and recognizes the critical importance of ensuring that nursing homes in the Commonwealth are </w:t>
      </w:r>
    </w:p>
    <w:p w14:paraId="358D7277" w14:textId="77777777" w:rsidR="00155D6A" w:rsidRDefault="00155D6A" w:rsidP="00155D6A">
      <w:pPr>
        <w:pStyle w:val="font-claude-response-body"/>
        <w:jc w:val="both"/>
        <w:rPr>
          <w:rFonts w:asciiTheme="minorHAnsi" w:hAnsiTheme="minorHAnsi"/>
          <w:color w:val="000000"/>
        </w:rPr>
      </w:pPr>
    </w:p>
    <w:p w14:paraId="200D8AEE" w14:textId="07711FCF" w:rsidR="00155D6A" w:rsidRDefault="00155D6A" w:rsidP="00155D6A">
      <w:pPr>
        <w:pStyle w:val="font-claude-response-body"/>
        <w:jc w:val="both"/>
        <w:rPr>
          <w:rFonts w:asciiTheme="minorHAnsi" w:hAnsiTheme="minorHAnsi"/>
          <w:color w:val="000000"/>
        </w:rPr>
      </w:pPr>
      <w:r w:rsidRPr="0078018E">
        <w:rPr>
          <w:rFonts w:asciiTheme="minorHAnsi" w:hAnsiTheme="minorHAnsi"/>
          <w:color w:val="000000"/>
        </w:rPr>
        <w:lastRenderedPageBreak/>
        <w:t>operated and managed by capable</w:t>
      </w:r>
      <w:r w:rsidR="00AC33D5">
        <w:rPr>
          <w:rFonts w:asciiTheme="minorHAnsi" w:hAnsiTheme="minorHAnsi"/>
          <w:color w:val="000000"/>
        </w:rPr>
        <w:t xml:space="preserve">, competent and experienced </w:t>
      </w:r>
      <w:r w:rsidRPr="0078018E">
        <w:rPr>
          <w:rFonts w:asciiTheme="minorHAnsi" w:hAnsiTheme="minorHAnsi"/>
          <w:color w:val="000000"/>
        </w:rPr>
        <w:t>licensees and management companies. To that end, Mass Senior Care worked closely with the Legislature, Executive Office of Health and Human Services, and other stakeholders in drafting</w:t>
      </w:r>
      <w:r w:rsidR="00AC33D5">
        <w:rPr>
          <w:rFonts w:asciiTheme="minorHAnsi" w:hAnsiTheme="minorHAnsi"/>
          <w:color w:val="000000"/>
        </w:rPr>
        <w:t xml:space="preserve"> the licensure and suitability sections contained in</w:t>
      </w:r>
      <w:r w:rsidRPr="0078018E">
        <w:rPr>
          <w:rFonts w:asciiTheme="minorHAnsi" w:hAnsiTheme="minorHAnsi"/>
          <w:color w:val="000000"/>
        </w:rPr>
        <w:t xml:space="preserve"> Chapter 197 to meet these important goals while striking a careful balance between robust oversight and preserving access to care. In an environment where there are already significant challenges in nursing home placement</w:t>
      </w:r>
      <w:r w:rsidR="00751A61">
        <w:rPr>
          <w:rFonts w:asciiTheme="minorHAnsi" w:hAnsiTheme="minorHAnsi"/>
          <w:color w:val="000000"/>
        </w:rPr>
        <w:t>s</w:t>
      </w:r>
      <w:r w:rsidRPr="0078018E">
        <w:rPr>
          <w:rFonts w:asciiTheme="minorHAnsi" w:hAnsiTheme="minorHAnsi"/>
          <w:color w:val="000000"/>
        </w:rPr>
        <w:t>, maintaining such balance remains crucial.</w:t>
      </w:r>
    </w:p>
    <w:p w14:paraId="3E427171" w14:textId="5E19B706" w:rsidR="00751A61" w:rsidRDefault="00AC33D5" w:rsidP="00155D6A">
      <w:pPr>
        <w:pStyle w:val="font-claude-response-body"/>
        <w:jc w:val="both"/>
        <w:rPr>
          <w:rFonts w:asciiTheme="minorHAnsi" w:hAnsiTheme="minorHAnsi"/>
          <w:color w:val="000000"/>
        </w:rPr>
      </w:pPr>
      <w:r w:rsidRPr="0078018E">
        <w:rPr>
          <w:rFonts w:asciiTheme="minorHAnsi" w:hAnsiTheme="minorHAnsi"/>
          <w:color w:val="000000"/>
        </w:rPr>
        <w:t xml:space="preserve">We are </w:t>
      </w:r>
      <w:r w:rsidR="00751A61">
        <w:rPr>
          <w:rFonts w:asciiTheme="minorHAnsi" w:hAnsiTheme="minorHAnsi"/>
          <w:color w:val="000000"/>
        </w:rPr>
        <w:t xml:space="preserve">therefore </w:t>
      </w:r>
      <w:r w:rsidRPr="0078018E">
        <w:rPr>
          <w:rFonts w:asciiTheme="minorHAnsi" w:hAnsiTheme="minorHAnsi"/>
          <w:color w:val="000000"/>
        </w:rPr>
        <w:t>concerned that the proposed regulations</w:t>
      </w:r>
      <w:r w:rsidR="00751A61">
        <w:rPr>
          <w:rFonts w:asciiTheme="minorHAnsi" w:hAnsiTheme="minorHAnsi"/>
          <w:color w:val="000000"/>
        </w:rPr>
        <w:t xml:space="preserve"> are in some instances </w:t>
      </w:r>
      <w:r w:rsidRPr="0078018E">
        <w:rPr>
          <w:rFonts w:asciiTheme="minorHAnsi" w:hAnsiTheme="minorHAnsi"/>
          <w:color w:val="000000"/>
        </w:rPr>
        <w:t xml:space="preserve">inconsistent with Chapter </w:t>
      </w:r>
      <w:r w:rsidR="00751A61" w:rsidRPr="0078018E">
        <w:rPr>
          <w:rFonts w:asciiTheme="minorHAnsi" w:hAnsiTheme="minorHAnsi"/>
          <w:color w:val="000000"/>
        </w:rPr>
        <w:t>197 and</w:t>
      </w:r>
      <w:r w:rsidR="00751A61">
        <w:rPr>
          <w:rFonts w:asciiTheme="minorHAnsi" w:hAnsiTheme="minorHAnsi"/>
          <w:color w:val="000000"/>
        </w:rPr>
        <w:t xml:space="preserve"> </w:t>
      </w:r>
      <w:r w:rsidRPr="0078018E">
        <w:rPr>
          <w:rFonts w:asciiTheme="minorHAnsi" w:hAnsiTheme="minorHAnsi"/>
          <w:color w:val="000000"/>
        </w:rPr>
        <w:t>may create unintended consequences that could further challenge timely transitions from hospitals to nursing facilities. Mass Senior Care has been actively engaged with the Department and our hospital partners on improving hospital throughput and remain committed to this work</w:t>
      </w:r>
      <w:r w:rsidR="0029068D">
        <w:rPr>
          <w:rFonts w:asciiTheme="minorHAnsi" w:hAnsiTheme="minorHAnsi"/>
          <w:color w:val="000000"/>
        </w:rPr>
        <w:t xml:space="preserve"> and</w:t>
      </w:r>
      <w:r w:rsidR="00751A61">
        <w:rPr>
          <w:rFonts w:asciiTheme="minorHAnsi" w:hAnsiTheme="minorHAnsi"/>
          <w:color w:val="000000"/>
        </w:rPr>
        <w:t xml:space="preserve"> </w:t>
      </w:r>
      <w:r w:rsidR="0029068D">
        <w:rPr>
          <w:rFonts w:asciiTheme="minorHAnsi" w:hAnsiTheme="minorHAnsi"/>
          <w:color w:val="000000"/>
        </w:rPr>
        <w:t>w</w:t>
      </w:r>
      <w:r w:rsidR="00751A61" w:rsidRPr="00751A61">
        <w:rPr>
          <w:rFonts w:asciiTheme="minorHAnsi" w:hAnsiTheme="minorHAnsi"/>
          <w:color w:val="000000"/>
        </w:rPr>
        <w:t xml:space="preserve">e believe that </w:t>
      </w:r>
      <w:r w:rsidR="0029068D">
        <w:rPr>
          <w:rFonts w:asciiTheme="minorHAnsi" w:hAnsiTheme="minorHAnsi"/>
          <w:color w:val="000000"/>
        </w:rPr>
        <w:t>our</w:t>
      </w:r>
      <w:r w:rsidR="00751A61" w:rsidRPr="00751A61">
        <w:rPr>
          <w:rFonts w:asciiTheme="minorHAnsi" w:hAnsiTheme="minorHAnsi"/>
          <w:color w:val="000000"/>
        </w:rPr>
        <w:t xml:space="preserve"> concerns </w:t>
      </w:r>
      <w:r w:rsidR="0029068D">
        <w:rPr>
          <w:rFonts w:asciiTheme="minorHAnsi" w:hAnsiTheme="minorHAnsi"/>
          <w:color w:val="000000"/>
        </w:rPr>
        <w:t xml:space="preserve">with the proposed regulations </w:t>
      </w:r>
      <w:r w:rsidR="00751A61" w:rsidRPr="00751A61">
        <w:rPr>
          <w:rFonts w:asciiTheme="minorHAnsi" w:hAnsiTheme="minorHAnsi"/>
          <w:color w:val="000000"/>
        </w:rPr>
        <w:t xml:space="preserve">can be addressed by </w:t>
      </w:r>
      <w:r w:rsidR="00751A61">
        <w:rPr>
          <w:rFonts w:asciiTheme="minorHAnsi" w:hAnsiTheme="minorHAnsi"/>
          <w:color w:val="000000"/>
        </w:rPr>
        <w:t xml:space="preserve">better </w:t>
      </w:r>
      <w:r w:rsidR="00751A61" w:rsidRPr="00751A61">
        <w:rPr>
          <w:rFonts w:asciiTheme="minorHAnsi" w:hAnsiTheme="minorHAnsi"/>
          <w:color w:val="000000"/>
        </w:rPr>
        <w:t>aligning</w:t>
      </w:r>
      <w:r w:rsidR="00751A61">
        <w:rPr>
          <w:rFonts w:asciiTheme="minorHAnsi" w:hAnsiTheme="minorHAnsi"/>
          <w:color w:val="000000"/>
        </w:rPr>
        <w:t xml:space="preserve"> the regulations </w:t>
      </w:r>
      <w:r w:rsidR="00751A61" w:rsidRPr="00751A61">
        <w:rPr>
          <w:rFonts w:asciiTheme="minorHAnsi" w:hAnsiTheme="minorHAnsi"/>
          <w:color w:val="000000"/>
        </w:rPr>
        <w:t>with Chapter 197's statutory language</w:t>
      </w:r>
      <w:r w:rsidR="0029068D">
        <w:rPr>
          <w:rFonts w:asciiTheme="minorHAnsi" w:hAnsiTheme="minorHAnsi"/>
          <w:color w:val="000000"/>
        </w:rPr>
        <w:t xml:space="preserve">.  </w:t>
      </w:r>
    </w:p>
    <w:p w14:paraId="00330958" w14:textId="33CA763E" w:rsidR="00155D6A" w:rsidRPr="0078018E" w:rsidRDefault="00155D6A" w:rsidP="00155D6A">
      <w:pPr>
        <w:pStyle w:val="font-claude-response-body"/>
        <w:jc w:val="both"/>
        <w:rPr>
          <w:rFonts w:asciiTheme="minorHAnsi" w:hAnsiTheme="minorHAnsi"/>
          <w:color w:val="000000"/>
        </w:rPr>
      </w:pPr>
      <w:r w:rsidRPr="0078018E">
        <w:rPr>
          <w:rFonts w:asciiTheme="minorHAnsi" w:hAnsiTheme="minorHAnsi"/>
          <w:color w:val="000000"/>
        </w:rPr>
        <w:t>Thank you for your consideration</w:t>
      </w:r>
      <w:r w:rsidR="00751A61">
        <w:rPr>
          <w:rFonts w:asciiTheme="minorHAnsi" w:hAnsiTheme="minorHAnsi"/>
          <w:color w:val="000000"/>
        </w:rPr>
        <w:t xml:space="preserve"> and w</w:t>
      </w:r>
      <w:r w:rsidRPr="0078018E">
        <w:rPr>
          <w:rFonts w:asciiTheme="minorHAnsi" w:hAnsiTheme="minorHAnsi"/>
          <w:color w:val="000000"/>
        </w:rPr>
        <w:t>e welcome the opportunity to work with the Department on implementation and clarification of these regulations.</w:t>
      </w:r>
    </w:p>
    <w:p w14:paraId="4691D58E" w14:textId="77777777" w:rsidR="00F4553E" w:rsidRDefault="00F4553E" w:rsidP="0002539C"/>
    <w:p w14:paraId="320BC33D" w14:textId="1F86F02A" w:rsidR="00F4553E" w:rsidRDefault="00F4553E" w:rsidP="005A7365">
      <w:pPr>
        <w:spacing w:after="200" w:line="276" w:lineRule="auto"/>
      </w:pPr>
    </w:p>
    <w:sectPr w:rsidR="00F4553E" w:rsidSect="00BA74D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046E7" w14:textId="77777777" w:rsidR="00E33602" w:rsidRDefault="00E33602" w:rsidP="002B565A">
      <w:r>
        <w:separator/>
      </w:r>
    </w:p>
  </w:endnote>
  <w:endnote w:type="continuationSeparator" w:id="0">
    <w:p w14:paraId="113EE15D" w14:textId="77777777" w:rsidR="00E33602" w:rsidRDefault="00E33602" w:rsidP="002B5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132D" w14:textId="77777777" w:rsidR="002F0056" w:rsidRDefault="002F0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B5E5" w14:textId="14469E20" w:rsidR="002B565A" w:rsidRPr="00BA74D5" w:rsidRDefault="0096782D" w:rsidP="0012417B">
    <w:pPr>
      <w:pStyle w:val="Footer"/>
      <w:jc w:val="center"/>
      <w:rPr>
        <w:rFonts w:ascii="Gill Sans MT" w:hAnsi="Gill Sans MT"/>
        <w:sz w:val="17"/>
        <w:szCs w:val="17"/>
      </w:rPr>
    </w:pPr>
    <w:r>
      <w:rPr>
        <w:rFonts w:ascii="Gill Sans MT" w:hAnsi="Gill Sans MT"/>
        <w:color w:val="1F497D" w:themeColor="text2"/>
        <w:sz w:val="17"/>
        <w:szCs w:val="17"/>
      </w:rPr>
      <w:t xml:space="preserve">PO Box 1657, Easton, MA 02334     </w:t>
    </w:r>
    <w:r w:rsidR="00BA74D5" w:rsidRPr="00BA74D5">
      <w:rPr>
        <w:rFonts w:ascii="Gill Sans MT" w:hAnsi="Gill Sans MT"/>
        <w:color w:val="1F497D" w:themeColor="text2"/>
        <w:sz w:val="17"/>
        <w:szCs w:val="17"/>
      </w:rPr>
      <w:t xml:space="preserve">Tel: 617.558.0202 </w:t>
    </w:r>
    <w:r w:rsidR="00BA74D5">
      <w:rPr>
        <w:rFonts w:ascii="Gill Sans MT" w:hAnsi="Gill Sans MT"/>
        <w:color w:val="1F497D" w:themeColor="text2"/>
        <w:sz w:val="17"/>
        <w:szCs w:val="17"/>
      </w:rPr>
      <w:t xml:space="preserve">  </w:t>
    </w:r>
    <w:r w:rsidR="00BA74D5" w:rsidRPr="00BA74D5">
      <w:rPr>
        <w:rFonts w:ascii="Gill Sans MT" w:hAnsi="Gill Sans MT"/>
        <w:color w:val="1F497D" w:themeColor="text2"/>
        <w:sz w:val="17"/>
        <w:szCs w:val="17"/>
      </w:rPr>
      <w:t xml:space="preserve"> </w:t>
    </w:r>
    <w:r w:rsidR="002B565A" w:rsidRPr="00BA74D5">
      <w:rPr>
        <w:rFonts w:ascii="Gill Sans MT" w:hAnsi="Gill Sans MT"/>
        <w:color w:val="1F497D" w:themeColor="text2"/>
        <w:sz w:val="17"/>
        <w:szCs w:val="17"/>
      </w:rPr>
      <w:t>Fax: 617.558.3546</w:t>
    </w:r>
    <w:r w:rsidR="00BA74D5" w:rsidRPr="00BA74D5">
      <w:rPr>
        <w:rFonts w:ascii="Gill Sans MT" w:hAnsi="Gill Sans MT"/>
        <w:color w:val="1F497D" w:themeColor="text2"/>
        <w:sz w:val="17"/>
        <w:szCs w:val="17"/>
      </w:rPr>
      <w:t xml:space="preserve"> </w:t>
    </w:r>
    <w:r w:rsidR="00BA74D5">
      <w:rPr>
        <w:rFonts w:ascii="Gill Sans MT" w:hAnsi="Gill Sans MT"/>
        <w:color w:val="1F497D" w:themeColor="text2"/>
        <w:sz w:val="17"/>
        <w:szCs w:val="17"/>
      </w:rPr>
      <w:t xml:space="preserve">   </w:t>
    </w:r>
    <w:r w:rsidR="00BA74D5" w:rsidRPr="00BA74D5">
      <w:rPr>
        <w:rFonts w:ascii="Gill Sans MT" w:hAnsi="Gill Sans MT"/>
        <w:color w:val="1F497D" w:themeColor="text2"/>
        <w:sz w:val="17"/>
        <w:szCs w:val="17"/>
      </w:rPr>
      <w:t>w</w:t>
    </w:r>
    <w:r w:rsidR="002B565A" w:rsidRPr="00BA74D5">
      <w:rPr>
        <w:rFonts w:ascii="Gill Sans MT" w:hAnsi="Gill Sans MT"/>
        <w:color w:val="1F497D" w:themeColor="text2"/>
        <w:sz w:val="17"/>
        <w:szCs w:val="17"/>
      </w:rPr>
      <w:t>ww.maseniorcare.org</w:t>
    </w:r>
  </w:p>
  <w:p w14:paraId="6B47C896" w14:textId="77777777" w:rsidR="002B565A" w:rsidRPr="002B565A" w:rsidRDefault="00BA74D5">
    <w:pPr>
      <w:pStyle w:val="Footer"/>
      <w:rPr>
        <w:rFonts w:ascii="Gill Sans MT" w:hAnsi="Gill Sans MT"/>
      </w:rPr>
    </w:pPr>
    <w:r w:rsidRPr="00BA74D5">
      <w:rPr>
        <w:rFonts w:ascii="Gill Sans MT" w:hAnsi="Gill Sans MT"/>
        <w:noProof/>
        <w:sz w:val="17"/>
        <w:szCs w:val="17"/>
      </w:rPr>
      <mc:AlternateContent>
        <mc:Choice Requires="wps">
          <w:drawing>
            <wp:anchor distT="0" distB="0" distL="114300" distR="114300" simplePos="0" relativeHeight="251657216" behindDoc="0" locked="0" layoutInCell="1" allowOverlap="1" wp14:anchorId="341209F1" wp14:editId="33144336">
              <wp:simplePos x="0" y="0"/>
              <wp:positionH relativeFrom="column">
                <wp:posOffset>-927100</wp:posOffset>
              </wp:positionH>
              <wp:positionV relativeFrom="paragraph">
                <wp:posOffset>83820</wp:posOffset>
              </wp:positionV>
              <wp:extent cx="7893050" cy="286385"/>
              <wp:effectExtent l="0" t="0" r="0" b="0"/>
              <wp:wrapNone/>
              <wp:docPr id="2" name="Text Box 2"/>
              <wp:cNvGraphicFramePr/>
              <a:graphic xmlns:a="http://schemas.openxmlformats.org/drawingml/2006/main">
                <a:graphicData uri="http://schemas.microsoft.com/office/word/2010/wordprocessingShape">
                  <wps:wsp>
                    <wps:cNvSpPr txBox="1"/>
                    <wps:spPr>
                      <a:xfrm>
                        <a:off x="0" y="0"/>
                        <a:ext cx="7893050" cy="286385"/>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632E3C" w14:textId="77777777" w:rsidR="002B565A" w:rsidRPr="006D7367" w:rsidRDefault="002B565A" w:rsidP="006D7367">
                          <w:pPr>
                            <w:jc w:val="center"/>
                            <w:rPr>
                              <w:rFonts w:ascii="Gill Sans MT" w:hAnsi="Gill Sans MT"/>
                              <w:i/>
                              <w:color w:val="FFFFFF" w:themeColor="background1"/>
                              <w:sz w:val="18"/>
                              <w:szCs w:val="18"/>
                            </w:rPr>
                          </w:pPr>
                          <w:r w:rsidRPr="006D7367">
                            <w:rPr>
                              <w:rFonts w:ascii="Gill Sans MT" w:hAnsi="Gill Sans MT"/>
                              <w:i/>
                              <w:color w:val="FFFFFF" w:themeColor="background1"/>
                              <w:sz w:val="18"/>
                              <w:szCs w:val="18"/>
                            </w:rPr>
                            <w:t xml:space="preserve">Representing </w:t>
                          </w:r>
                          <w:r w:rsidR="00BA74D5" w:rsidRPr="006D7367">
                            <w:rPr>
                              <w:rFonts w:ascii="Gill Sans MT" w:hAnsi="Gill Sans MT"/>
                              <w:i/>
                              <w:color w:val="FFFFFF" w:themeColor="background1"/>
                              <w:sz w:val="18"/>
                              <w:szCs w:val="18"/>
                            </w:rPr>
                            <w:t>Massachusetts’s</w:t>
                          </w:r>
                          <w:r w:rsidRPr="006D7367">
                            <w:rPr>
                              <w:rFonts w:ascii="Gill Sans MT" w:hAnsi="Gill Sans MT"/>
                              <w:i/>
                              <w:color w:val="FFFFFF" w:themeColor="background1"/>
                              <w:sz w:val="18"/>
                              <w:szCs w:val="18"/>
                            </w:rPr>
                            <w:t xml:space="preserve"> nursing facilities and other organizations </w:t>
                          </w:r>
                          <w:r w:rsidR="00BB63F5">
                            <w:rPr>
                              <w:rFonts w:ascii="Gill Sans MT" w:hAnsi="Gill Sans MT"/>
                              <w:i/>
                              <w:color w:val="FFFFFF" w:themeColor="background1"/>
                              <w:sz w:val="18"/>
                              <w:szCs w:val="18"/>
                            </w:rPr>
                            <w:t>that</w:t>
                          </w:r>
                          <w:r w:rsidRPr="006D7367">
                            <w:rPr>
                              <w:rFonts w:ascii="Gill Sans MT" w:hAnsi="Gill Sans MT"/>
                              <w:i/>
                              <w:color w:val="FFFFFF" w:themeColor="background1"/>
                              <w:sz w:val="18"/>
                              <w:szCs w:val="18"/>
                            </w:rPr>
                            <w:t xml:space="preserve"> provide health care and community for older adults and people with disabilities.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1209F1" id="_x0000_t202" coordsize="21600,21600" o:spt="202" path="m,l,21600r21600,l21600,xe">
              <v:stroke joinstyle="miter"/>
              <v:path gradientshapeok="t" o:connecttype="rect"/>
            </v:shapetype>
            <v:shape id="Text Box 2" o:spid="_x0000_s1026" type="#_x0000_t202" style="position:absolute;margin-left:-73pt;margin-top:6.6pt;width:621.5pt;height:22.5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" fillcolor="#1f497d [3215]" stroked="f" strokeweight=".5pt">
              <v:textbox>
                <w:txbxContent>
                  <w:p w14:paraId="2B632E3C" w14:textId="77777777" w:rsidR="002B565A" w:rsidRPr="006D7367" w:rsidRDefault="002B565A" w:rsidP="006D7367">
                    <w:pPr>
                      <w:jc w:val="center"/>
                      <w:rPr>
                        <w:rFonts w:ascii="Gill Sans MT" w:hAnsi="Gill Sans MT"/>
                        <w:i/>
                        <w:color w:val="FFFFFF" w:themeColor="background1"/>
                        <w:sz w:val="18"/>
                        <w:szCs w:val="18"/>
                      </w:rPr>
                    </w:pPr>
                    <w:r w:rsidRPr="006D7367">
                      <w:rPr>
                        <w:rFonts w:ascii="Gill Sans MT" w:hAnsi="Gill Sans MT"/>
                        <w:i/>
                        <w:color w:val="FFFFFF" w:themeColor="background1"/>
                        <w:sz w:val="18"/>
                        <w:szCs w:val="18"/>
                      </w:rPr>
                      <w:t xml:space="preserve">Representing </w:t>
                    </w:r>
                    <w:r w:rsidR="00BA74D5" w:rsidRPr="006D7367">
                      <w:rPr>
                        <w:rFonts w:ascii="Gill Sans MT" w:hAnsi="Gill Sans MT"/>
                        <w:i/>
                        <w:color w:val="FFFFFF" w:themeColor="background1"/>
                        <w:sz w:val="18"/>
                        <w:szCs w:val="18"/>
                      </w:rPr>
                      <w:t>Massachusetts’s</w:t>
                    </w:r>
                    <w:r w:rsidRPr="006D7367">
                      <w:rPr>
                        <w:rFonts w:ascii="Gill Sans MT" w:hAnsi="Gill Sans MT"/>
                        <w:i/>
                        <w:color w:val="FFFFFF" w:themeColor="background1"/>
                        <w:sz w:val="18"/>
                        <w:szCs w:val="18"/>
                      </w:rPr>
                      <w:t xml:space="preserve"> nursing facilities and other organizations </w:t>
                    </w:r>
                    <w:r w:rsidR="00BB63F5">
                      <w:rPr>
                        <w:rFonts w:ascii="Gill Sans MT" w:hAnsi="Gill Sans MT"/>
                        <w:i/>
                        <w:color w:val="FFFFFF" w:themeColor="background1"/>
                        <w:sz w:val="18"/>
                        <w:szCs w:val="18"/>
                      </w:rPr>
                      <w:t>that</w:t>
                    </w:r>
                    <w:r w:rsidRPr="006D7367">
                      <w:rPr>
                        <w:rFonts w:ascii="Gill Sans MT" w:hAnsi="Gill Sans MT"/>
                        <w:i/>
                        <w:color w:val="FFFFFF" w:themeColor="background1"/>
                        <w:sz w:val="18"/>
                        <w:szCs w:val="18"/>
                      </w:rPr>
                      <w:t xml:space="preserve"> provide health care and community for older adults and people with disabilities.</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280B" w14:textId="77777777" w:rsidR="002F0056" w:rsidRDefault="002F0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05AB" w14:textId="77777777" w:rsidR="00E33602" w:rsidRDefault="00E33602" w:rsidP="002B565A">
      <w:r>
        <w:separator/>
      </w:r>
    </w:p>
  </w:footnote>
  <w:footnote w:type="continuationSeparator" w:id="0">
    <w:p w14:paraId="6E0BA2A0" w14:textId="77777777" w:rsidR="00E33602" w:rsidRDefault="00E33602" w:rsidP="002B5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33DC" w14:textId="77777777" w:rsidR="002F0056" w:rsidRDefault="002F0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467D" w14:textId="15D1EA8A" w:rsidR="002B565A" w:rsidRDefault="002B565A" w:rsidP="002B565A">
    <w:pPr>
      <w:pStyle w:val="Header"/>
      <w:jc w:val="center"/>
    </w:pPr>
    <w:r>
      <w:rPr>
        <w:noProof/>
      </w:rPr>
      <w:drawing>
        <wp:inline distT="0" distB="0" distL="0" distR="0" wp14:anchorId="7195C7B7" wp14:editId="79A4AA22">
          <wp:extent cx="890954" cy="1038297"/>
          <wp:effectExtent l="0" t="0" r="444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sSeniorAssociation-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1266" cy="10503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0802" w14:textId="77777777" w:rsidR="002F0056" w:rsidRDefault="002F0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E0874"/>
    <w:multiLevelType w:val="hybridMultilevel"/>
    <w:tmpl w:val="1B0A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899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2D"/>
    <w:rsid w:val="0002539C"/>
    <w:rsid w:val="00041391"/>
    <w:rsid w:val="0005407D"/>
    <w:rsid w:val="0008329A"/>
    <w:rsid w:val="0008768C"/>
    <w:rsid w:val="000B0233"/>
    <w:rsid w:val="000B5811"/>
    <w:rsid w:val="000B592B"/>
    <w:rsid w:val="00107B51"/>
    <w:rsid w:val="0012417B"/>
    <w:rsid w:val="00155D6A"/>
    <w:rsid w:val="00186B5D"/>
    <w:rsid w:val="001C51B5"/>
    <w:rsid w:val="001D3B9F"/>
    <w:rsid w:val="00214407"/>
    <w:rsid w:val="00227CEA"/>
    <w:rsid w:val="00230033"/>
    <w:rsid w:val="00232A60"/>
    <w:rsid w:val="00232A6F"/>
    <w:rsid w:val="0029068D"/>
    <w:rsid w:val="002A09E9"/>
    <w:rsid w:val="002B06AE"/>
    <w:rsid w:val="002B565A"/>
    <w:rsid w:val="002B66BD"/>
    <w:rsid w:val="002F0056"/>
    <w:rsid w:val="002F16DD"/>
    <w:rsid w:val="0030487C"/>
    <w:rsid w:val="00337988"/>
    <w:rsid w:val="00342C9A"/>
    <w:rsid w:val="00346197"/>
    <w:rsid w:val="0035650D"/>
    <w:rsid w:val="00394E22"/>
    <w:rsid w:val="003E17DB"/>
    <w:rsid w:val="003E5653"/>
    <w:rsid w:val="0041781A"/>
    <w:rsid w:val="00445599"/>
    <w:rsid w:val="004559AD"/>
    <w:rsid w:val="00457424"/>
    <w:rsid w:val="00460B7B"/>
    <w:rsid w:val="00473E7D"/>
    <w:rsid w:val="004D5DF2"/>
    <w:rsid w:val="00530801"/>
    <w:rsid w:val="005518FB"/>
    <w:rsid w:val="00561AC8"/>
    <w:rsid w:val="00562803"/>
    <w:rsid w:val="00562FAB"/>
    <w:rsid w:val="00595F94"/>
    <w:rsid w:val="005A7365"/>
    <w:rsid w:val="005E1141"/>
    <w:rsid w:val="005F4D85"/>
    <w:rsid w:val="006020A1"/>
    <w:rsid w:val="00610719"/>
    <w:rsid w:val="00610B4E"/>
    <w:rsid w:val="00621524"/>
    <w:rsid w:val="006537DB"/>
    <w:rsid w:val="006C3F81"/>
    <w:rsid w:val="006D7367"/>
    <w:rsid w:val="007023B8"/>
    <w:rsid w:val="00747382"/>
    <w:rsid w:val="00751A61"/>
    <w:rsid w:val="00761261"/>
    <w:rsid w:val="00794F55"/>
    <w:rsid w:val="007A2D55"/>
    <w:rsid w:val="007B142F"/>
    <w:rsid w:val="007C60F1"/>
    <w:rsid w:val="007E3C0B"/>
    <w:rsid w:val="008445AA"/>
    <w:rsid w:val="00861502"/>
    <w:rsid w:val="00892C67"/>
    <w:rsid w:val="00896150"/>
    <w:rsid w:val="008B2FA7"/>
    <w:rsid w:val="008B55BC"/>
    <w:rsid w:val="008C5058"/>
    <w:rsid w:val="00913B9F"/>
    <w:rsid w:val="0096782D"/>
    <w:rsid w:val="009A3FA1"/>
    <w:rsid w:val="009A749B"/>
    <w:rsid w:val="009C1E1F"/>
    <w:rsid w:val="009C59FD"/>
    <w:rsid w:val="009F7DEF"/>
    <w:rsid w:val="00A4032B"/>
    <w:rsid w:val="00A44D47"/>
    <w:rsid w:val="00A65338"/>
    <w:rsid w:val="00A86829"/>
    <w:rsid w:val="00A871E7"/>
    <w:rsid w:val="00AA5B96"/>
    <w:rsid w:val="00AC33D5"/>
    <w:rsid w:val="00B10F91"/>
    <w:rsid w:val="00B46F42"/>
    <w:rsid w:val="00B745B4"/>
    <w:rsid w:val="00B83C14"/>
    <w:rsid w:val="00B92850"/>
    <w:rsid w:val="00BA535D"/>
    <w:rsid w:val="00BA74D5"/>
    <w:rsid w:val="00BA7EA4"/>
    <w:rsid w:val="00BB63F5"/>
    <w:rsid w:val="00BC6699"/>
    <w:rsid w:val="00BD3E47"/>
    <w:rsid w:val="00C06435"/>
    <w:rsid w:val="00C21183"/>
    <w:rsid w:val="00C22F38"/>
    <w:rsid w:val="00C33D24"/>
    <w:rsid w:val="00C4445E"/>
    <w:rsid w:val="00C54DF8"/>
    <w:rsid w:val="00C67322"/>
    <w:rsid w:val="00C73462"/>
    <w:rsid w:val="00CD081B"/>
    <w:rsid w:val="00CD7EA9"/>
    <w:rsid w:val="00CE5211"/>
    <w:rsid w:val="00CE6E3F"/>
    <w:rsid w:val="00D40DA2"/>
    <w:rsid w:val="00D46A07"/>
    <w:rsid w:val="00D511C4"/>
    <w:rsid w:val="00D57631"/>
    <w:rsid w:val="00DC5B98"/>
    <w:rsid w:val="00DD0865"/>
    <w:rsid w:val="00E04C70"/>
    <w:rsid w:val="00E32B23"/>
    <w:rsid w:val="00E33602"/>
    <w:rsid w:val="00E34E1A"/>
    <w:rsid w:val="00E53195"/>
    <w:rsid w:val="00E74475"/>
    <w:rsid w:val="00EA090D"/>
    <w:rsid w:val="00EF2B6A"/>
    <w:rsid w:val="00F1136A"/>
    <w:rsid w:val="00F4553E"/>
    <w:rsid w:val="00FA1138"/>
    <w:rsid w:val="00FB0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31612"/>
  <w15:docId w15:val="{3832B0B6-E7C0-44FE-8FCB-81F4CF65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E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65A"/>
    <w:pPr>
      <w:tabs>
        <w:tab w:val="center" w:pos="4680"/>
        <w:tab w:val="right" w:pos="9360"/>
      </w:tabs>
    </w:pPr>
  </w:style>
  <w:style w:type="character" w:customStyle="1" w:styleId="HeaderChar">
    <w:name w:val="Header Char"/>
    <w:basedOn w:val="DefaultParagraphFont"/>
    <w:link w:val="Header"/>
    <w:uiPriority w:val="99"/>
    <w:rsid w:val="002B565A"/>
  </w:style>
  <w:style w:type="paragraph" w:styleId="Footer">
    <w:name w:val="footer"/>
    <w:basedOn w:val="Normal"/>
    <w:link w:val="FooterChar"/>
    <w:uiPriority w:val="99"/>
    <w:unhideWhenUsed/>
    <w:rsid w:val="002B565A"/>
    <w:pPr>
      <w:tabs>
        <w:tab w:val="center" w:pos="4680"/>
        <w:tab w:val="right" w:pos="9360"/>
      </w:tabs>
    </w:pPr>
  </w:style>
  <w:style w:type="character" w:customStyle="1" w:styleId="FooterChar">
    <w:name w:val="Footer Char"/>
    <w:basedOn w:val="DefaultParagraphFont"/>
    <w:link w:val="Footer"/>
    <w:uiPriority w:val="99"/>
    <w:rsid w:val="002B565A"/>
  </w:style>
  <w:style w:type="character" w:styleId="Hyperlink">
    <w:name w:val="Hyperlink"/>
    <w:basedOn w:val="DefaultParagraphFont"/>
    <w:uiPriority w:val="99"/>
    <w:unhideWhenUsed/>
    <w:rsid w:val="002B565A"/>
    <w:rPr>
      <w:color w:val="0000FF" w:themeColor="hyperlink"/>
      <w:u w:val="single"/>
    </w:rPr>
  </w:style>
  <w:style w:type="paragraph" w:styleId="BalloonText">
    <w:name w:val="Balloon Text"/>
    <w:basedOn w:val="Normal"/>
    <w:link w:val="BalloonTextChar"/>
    <w:uiPriority w:val="99"/>
    <w:semiHidden/>
    <w:unhideWhenUsed/>
    <w:rsid w:val="00E04C70"/>
    <w:rPr>
      <w:rFonts w:ascii="Tahoma" w:hAnsi="Tahoma" w:cs="Tahoma"/>
      <w:sz w:val="16"/>
      <w:szCs w:val="16"/>
    </w:rPr>
  </w:style>
  <w:style w:type="character" w:customStyle="1" w:styleId="BalloonTextChar">
    <w:name w:val="Balloon Text Char"/>
    <w:basedOn w:val="DefaultParagraphFont"/>
    <w:link w:val="BalloonText"/>
    <w:uiPriority w:val="99"/>
    <w:semiHidden/>
    <w:rsid w:val="00E04C70"/>
    <w:rPr>
      <w:rFonts w:ascii="Tahoma" w:hAnsi="Tahoma" w:cs="Tahoma"/>
      <w:sz w:val="16"/>
      <w:szCs w:val="16"/>
    </w:rPr>
  </w:style>
  <w:style w:type="paragraph" w:customStyle="1" w:styleId="Default">
    <w:name w:val="Default"/>
    <w:rsid w:val="009C1E1F"/>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rhed">
    <w:name w:val="pr_hed"/>
    <w:basedOn w:val="Normal"/>
    <w:rsid w:val="009C1E1F"/>
    <w:pPr>
      <w:spacing w:before="100" w:beforeAutospacing="1" w:after="100" w:afterAutospacing="1"/>
    </w:pPr>
  </w:style>
  <w:style w:type="paragraph" w:customStyle="1" w:styleId="Body1">
    <w:name w:val="Body 1"/>
    <w:rsid w:val="00BD3E47"/>
    <w:pPr>
      <w:spacing w:after="0" w:line="240" w:lineRule="auto"/>
      <w:outlineLvl w:val="0"/>
    </w:pPr>
    <w:rPr>
      <w:rFonts w:ascii="Times New Roman" w:eastAsia="Arial Unicode MS" w:hAnsi="Times New Roman" w:cs="Times New Roman"/>
      <w:color w:val="000000"/>
      <w:sz w:val="24"/>
      <w:szCs w:val="20"/>
      <w:u w:color="000000"/>
    </w:rPr>
  </w:style>
  <w:style w:type="paragraph" w:customStyle="1" w:styleId="font-claude-response-body">
    <w:name w:val="font-claude-response-body"/>
    <w:basedOn w:val="Normal"/>
    <w:rsid w:val="00155D6A"/>
    <w:pPr>
      <w:spacing w:before="100" w:beforeAutospacing="1" w:after="100" w:afterAutospacing="1"/>
    </w:pPr>
  </w:style>
  <w:style w:type="character" w:styleId="Strong">
    <w:name w:val="Strong"/>
    <w:basedOn w:val="DefaultParagraphFont"/>
    <w:uiPriority w:val="22"/>
    <w:qFormat/>
    <w:rsid w:val="00155D6A"/>
    <w:rPr>
      <w:b/>
      <w:bCs/>
    </w:rPr>
  </w:style>
  <w:style w:type="paragraph" w:styleId="NoSpacing">
    <w:name w:val="No Spacing"/>
    <w:uiPriority w:val="1"/>
    <w:qFormat/>
    <w:rsid w:val="0002539C"/>
    <w:pPr>
      <w:spacing w:after="0" w:line="240" w:lineRule="auto"/>
    </w:pPr>
    <w:rPr>
      <w:rFonts w:ascii="Gill Sans MT" w:hAnsi="Gill Sans MT"/>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869933">
      <w:bodyDiv w:val="1"/>
      <w:marLeft w:val="0"/>
      <w:marRight w:val="0"/>
      <w:marTop w:val="0"/>
      <w:marBottom w:val="0"/>
      <w:divBdr>
        <w:top w:val="none" w:sz="0" w:space="0" w:color="auto"/>
        <w:left w:val="none" w:sz="0" w:space="0" w:color="auto"/>
        <w:bottom w:val="none" w:sz="0" w:space="0" w:color="auto"/>
        <w:right w:val="none" w:sz="0" w:space="0" w:color="auto"/>
      </w:divBdr>
    </w:div>
    <w:div w:id="200863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ntolini\Massachusetts%20Senior%20Care%20Association\MSCA%20-%20Company%20Documents\Logos\Logos%20MSCA\MSCA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1e590e-eb4f-4c7d-9458-74c699249641" xsi:nil="true"/>
    <lcf76f155ced4ddcb4097134ff3c332f xmlns="d6dac6ae-e22b-4a29-9d05-aeacb1f369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3A6F1AF92D364F94599F7D9F6F2AEE" ma:contentTypeVersion="19" ma:contentTypeDescription="Create a new document." ma:contentTypeScope="" ma:versionID="d1f4e77721d6da576c03b9d1d7d093ae">
  <xsd:schema xmlns:xsd="http://www.w3.org/2001/XMLSchema" xmlns:xs="http://www.w3.org/2001/XMLSchema" xmlns:p="http://schemas.microsoft.com/office/2006/metadata/properties" xmlns:ns2="d6dac6ae-e22b-4a29-9d05-aeacb1f369db" xmlns:ns3="291e590e-eb4f-4c7d-9458-74c699249641" targetNamespace="http://schemas.microsoft.com/office/2006/metadata/properties" ma:root="true" ma:fieldsID="e9b2a6de612437f92fc2bcdf180f51a9" ns2:_="" ns3:_="">
    <xsd:import namespace="d6dac6ae-e22b-4a29-9d05-aeacb1f369db"/>
    <xsd:import namespace="291e590e-eb4f-4c7d-9458-74c6992496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ac6ae-e22b-4a29-9d05-aeacb1f36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9b1c70-a969-4c55-8bfb-e98d2ac339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e590e-eb4f-4c7d-9458-74c6992496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84d744-7b08-43cc-a023-e863870cb1e9}" ma:internalName="TaxCatchAll" ma:showField="CatchAllData" ma:web="291e590e-eb4f-4c7d-9458-74c699249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EE0086-B2CA-4B7F-8AEB-3C6872404356}">
  <ds:schemaRefs>
    <ds:schemaRef ds:uri="http://schemas.microsoft.com/office/2006/metadata/properties"/>
    <ds:schemaRef ds:uri="http://schemas.microsoft.com/office/infopath/2007/PartnerControls"/>
    <ds:schemaRef ds:uri="291e590e-eb4f-4c7d-9458-74c699249641"/>
    <ds:schemaRef ds:uri="d6dac6ae-e22b-4a29-9d05-aeacb1f369db"/>
  </ds:schemaRefs>
</ds:datastoreItem>
</file>

<file path=customXml/itemProps2.xml><?xml version="1.0" encoding="utf-8"?>
<ds:datastoreItem xmlns:ds="http://schemas.openxmlformats.org/officeDocument/2006/customXml" ds:itemID="{74122265-56C1-4BA0-B39F-E8FFEA80A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ac6ae-e22b-4a29-9d05-aeacb1f369db"/>
    <ds:schemaRef ds:uri="291e590e-eb4f-4c7d-9458-74c699249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60D61-D69C-4C3C-AB02-C63E28D8BEE6}">
  <ds:schemaRefs>
    <ds:schemaRef ds:uri="http://schemas.openxmlformats.org/officeDocument/2006/bibliography"/>
  </ds:schemaRefs>
</ds:datastoreItem>
</file>

<file path=customXml/itemProps4.xml><?xml version="1.0" encoding="utf-8"?>
<ds:datastoreItem xmlns:ds="http://schemas.openxmlformats.org/officeDocument/2006/customXml" ds:itemID="{2A7F08FF-B1D4-478C-898D-FB33DE6A0F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C:\Users\aantolini\Massachusetts Senior Care Association\MSCA - Company Documents\Logos\Logos MSCA\MSCA_Letterhead.dotx</Template>
  <TotalTime>14</TotalTime>
  <Pages>4</Pages>
  <Words>1489</Words>
  <Characters>8803</Characters>
  <Application>Microsoft Office Word</Application>
  <DocSecurity>0</DocSecurity>
  <Lines>123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Marie Antolini</dc:creator>
  <cp:lastModifiedBy>Tara Gregorio</cp:lastModifiedBy>
  <cp:revision>4</cp:revision>
  <cp:lastPrinted>2015-01-05T19:09:00Z</cp:lastPrinted>
  <dcterms:created xsi:type="dcterms:W3CDTF">2026-02-13T16:07:00Z</dcterms:created>
  <dcterms:modified xsi:type="dcterms:W3CDTF">2026-02-13T17:53:00Z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0x0101002E3A6F1AF92D364F94599F7D9F6F2AEE</vt:lpwstr>
  </property>
  <property fmtid="{D5CDD505-2E9C-101B-9397-08002B2CF9AE}" pid="3" name="Order">
    <vt:r8>4566200</vt:r8>
  </property>
  <property fmtid="{D5CDD505-2E9C-101B-9397-08002B2CF9AE}" pid="4" name="MediaServiceImageTags">
    <vt:lpwstr/>
  </property>
</Properties>
</file>