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273BB" w14:textId="724FA27B" w:rsidR="005D7AB7" w:rsidRPr="00AE4839" w:rsidRDefault="00AE4839" w:rsidP="00AE4839">
      <w:pPr>
        <w:pStyle w:val="BodyText"/>
        <w:ind w:left="90"/>
        <w:jc w:val="center"/>
      </w:pPr>
      <w:r>
        <w:rPr>
          <w:noProof/>
        </w:rPr>
        <w:drawing>
          <wp:inline distT="0" distB="0" distL="0" distR="0" wp14:anchorId="11536766" wp14:editId="74DDCFA9">
            <wp:extent cx="3448050" cy="131253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8050" cy="1312530"/>
                    </a:xfrm>
                    <a:prstGeom prst="rect">
                      <a:avLst/>
                    </a:prstGeom>
                  </pic:spPr>
                </pic:pic>
              </a:graphicData>
            </a:graphic>
          </wp:inline>
        </w:drawing>
      </w:r>
    </w:p>
    <w:p w14:paraId="524273BD" w14:textId="038C9055" w:rsidR="005D7AB7" w:rsidRPr="00AE4839" w:rsidRDefault="00AE4839" w:rsidP="00AE4839">
      <w:pPr>
        <w:pStyle w:val="BodyText"/>
        <w:spacing w:before="92"/>
      </w:pPr>
      <w:r w:rsidRPr="00AE4839">
        <w:t>October 29</w:t>
      </w:r>
      <w:r w:rsidR="00D62129" w:rsidRPr="00AE4839">
        <w:t>, 2020</w:t>
      </w:r>
    </w:p>
    <w:p w14:paraId="524273BE" w14:textId="77777777" w:rsidR="005D7AB7" w:rsidRPr="00AE4839" w:rsidRDefault="005D7AB7" w:rsidP="00AE4839">
      <w:pPr>
        <w:pStyle w:val="BodyText"/>
        <w:spacing w:before="9"/>
        <w:ind w:left="0"/>
      </w:pPr>
    </w:p>
    <w:p w14:paraId="524273BF" w14:textId="738024A8" w:rsidR="005D7AB7" w:rsidRPr="00AE4839" w:rsidRDefault="00D62129" w:rsidP="00AE4839">
      <w:pPr>
        <w:pStyle w:val="BodyText"/>
        <w:ind w:right="6055"/>
      </w:pPr>
      <w:r w:rsidRPr="00AE4839">
        <w:t>Massachusetts Board of Registration in Nursing</w:t>
      </w:r>
      <w:r w:rsidR="00AE4839" w:rsidRPr="00AE4839">
        <w:br/>
      </w:r>
      <w:r w:rsidRPr="00AE4839">
        <w:rPr>
          <w:color w:val="131313"/>
        </w:rPr>
        <w:t>239 Causeway St., Suite 500</w:t>
      </w:r>
    </w:p>
    <w:p w14:paraId="524273C0" w14:textId="77777777" w:rsidR="005D7AB7" w:rsidRPr="00AE4839" w:rsidRDefault="00D62129" w:rsidP="00AE4839">
      <w:pPr>
        <w:pStyle w:val="BodyText"/>
        <w:spacing w:before="1"/>
      </w:pPr>
      <w:r w:rsidRPr="00AE4839">
        <w:rPr>
          <w:color w:val="131313"/>
        </w:rPr>
        <w:t>Boston, MA 02114</w:t>
      </w:r>
    </w:p>
    <w:p w14:paraId="524273C1" w14:textId="77777777" w:rsidR="005D7AB7" w:rsidRPr="00AE4839" w:rsidRDefault="005D7AB7" w:rsidP="00AE4839">
      <w:pPr>
        <w:pStyle w:val="BodyText"/>
        <w:ind w:left="0"/>
      </w:pPr>
    </w:p>
    <w:p w14:paraId="524273C2" w14:textId="160B346D" w:rsidR="005D7AB7" w:rsidRPr="00AE4839" w:rsidRDefault="00D62129" w:rsidP="00AE4839">
      <w:pPr>
        <w:pStyle w:val="BodyText"/>
        <w:spacing w:line="253" w:lineRule="exact"/>
      </w:pPr>
      <w:r w:rsidRPr="00AE4839">
        <w:t>Dear Board Members,</w:t>
      </w:r>
      <w:r w:rsidR="00AE4839" w:rsidRPr="00AE4839">
        <w:br/>
      </w:r>
    </w:p>
    <w:p w14:paraId="524273C3" w14:textId="48E927F4" w:rsidR="005D7AB7" w:rsidRPr="00AE4839" w:rsidRDefault="00D62129" w:rsidP="00AE4839">
      <w:pPr>
        <w:pStyle w:val="BodyText"/>
        <w:ind w:right="116"/>
      </w:pPr>
      <w:r w:rsidRPr="00AE4839">
        <w:t xml:space="preserve">I write this letter on behalf of the presidents of the 15 community colleges in Massachusetts to request removing the proposed regulation revision for 244 CMR 6.04 2 (b)4. c. (iii) (a)-Faculty Qualifications. </w:t>
      </w:r>
      <w:r w:rsidRPr="00AE4839">
        <w:rPr>
          <w:spacing w:val="-3"/>
        </w:rPr>
        <w:t xml:space="preserve">This </w:t>
      </w:r>
      <w:r w:rsidRPr="00AE4839">
        <w:rPr>
          <w:spacing w:val="-4"/>
        </w:rPr>
        <w:t xml:space="preserve">change, </w:t>
      </w:r>
      <w:r w:rsidRPr="00AE4839">
        <w:rPr>
          <w:spacing w:val="-3"/>
        </w:rPr>
        <w:t xml:space="preserve">being considered at the </w:t>
      </w:r>
      <w:r w:rsidR="473CB0F4" w:rsidRPr="00AE4839">
        <w:rPr>
          <w:spacing w:val="-3"/>
        </w:rPr>
        <w:t>October 29</w:t>
      </w:r>
      <w:r w:rsidR="473CB0F4" w:rsidRPr="74DDCFA9">
        <w:rPr>
          <w:spacing w:val="-3"/>
          <w:vertAlign w:val="superscript"/>
        </w:rPr>
        <w:t>th</w:t>
      </w:r>
      <w:r w:rsidR="473CB0F4" w:rsidRPr="00AE4839">
        <w:rPr>
          <w:spacing w:val="-3"/>
        </w:rPr>
        <w:t xml:space="preserve"> hearing</w:t>
      </w:r>
      <w:r w:rsidRPr="00AE4839">
        <w:rPr>
          <w:spacing w:val="-3"/>
        </w:rPr>
        <w:t xml:space="preserve">, </w:t>
      </w:r>
      <w:r w:rsidRPr="00AE4839">
        <w:rPr>
          <w:spacing w:val="-4"/>
        </w:rPr>
        <w:t xml:space="preserve">would </w:t>
      </w:r>
      <w:r w:rsidR="004442A8">
        <w:rPr>
          <w:spacing w:val="-4"/>
        </w:rPr>
        <w:t xml:space="preserve">significantly </w:t>
      </w:r>
      <w:r w:rsidRPr="00AE4839">
        <w:rPr>
          <w:spacing w:val="-3"/>
        </w:rPr>
        <w:t xml:space="preserve">limit the </w:t>
      </w:r>
      <w:r w:rsidRPr="00AE4839">
        <w:rPr>
          <w:spacing w:val="-4"/>
        </w:rPr>
        <w:t xml:space="preserve">option </w:t>
      </w:r>
      <w:r w:rsidRPr="00AE4839">
        <w:t xml:space="preserve">to </w:t>
      </w:r>
      <w:r w:rsidRPr="00AE4839">
        <w:rPr>
          <w:spacing w:val="-3"/>
        </w:rPr>
        <w:t xml:space="preserve">utilize BSN </w:t>
      </w:r>
      <w:r w:rsidRPr="00AE4839">
        <w:rPr>
          <w:spacing w:val="-4"/>
        </w:rPr>
        <w:t xml:space="preserve">prepared part-time faculty. </w:t>
      </w:r>
      <w:r w:rsidRPr="00AE4839">
        <w:rPr>
          <w:spacing w:val="-3"/>
        </w:rPr>
        <w:t>We request that</w:t>
      </w:r>
      <w:r w:rsidRPr="00AE4839">
        <w:rPr>
          <w:spacing w:val="-14"/>
        </w:rPr>
        <w:t xml:space="preserve"> </w:t>
      </w:r>
      <w:r w:rsidRPr="00AE4839">
        <w:rPr>
          <w:spacing w:val="-3"/>
        </w:rPr>
        <w:t>the</w:t>
      </w:r>
      <w:r w:rsidRPr="00AE4839">
        <w:rPr>
          <w:spacing w:val="-15"/>
        </w:rPr>
        <w:t xml:space="preserve"> </w:t>
      </w:r>
      <w:r w:rsidRPr="00AE4839">
        <w:rPr>
          <w:spacing w:val="-4"/>
        </w:rPr>
        <w:t>language</w:t>
      </w:r>
      <w:r w:rsidRPr="00AE4839">
        <w:rPr>
          <w:spacing w:val="-12"/>
        </w:rPr>
        <w:t xml:space="preserve"> </w:t>
      </w:r>
      <w:r w:rsidRPr="00AE4839">
        <w:rPr>
          <w:spacing w:val="-3"/>
        </w:rPr>
        <w:t>on</w:t>
      </w:r>
      <w:r w:rsidRPr="00AE4839">
        <w:rPr>
          <w:spacing w:val="-15"/>
        </w:rPr>
        <w:t xml:space="preserve"> </w:t>
      </w:r>
      <w:r w:rsidRPr="00AE4839">
        <w:rPr>
          <w:spacing w:val="-3"/>
        </w:rPr>
        <w:t>page</w:t>
      </w:r>
      <w:r w:rsidRPr="00AE4839">
        <w:rPr>
          <w:spacing w:val="-16"/>
        </w:rPr>
        <w:t xml:space="preserve"> </w:t>
      </w:r>
      <w:r w:rsidRPr="00AE4839">
        <w:rPr>
          <w:spacing w:val="-3"/>
        </w:rPr>
        <w:t>seven</w:t>
      </w:r>
      <w:r w:rsidRPr="00AE4839">
        <w:rPr>
          <w:spacing w:val="-15"/>
        </w:rPr>
        <w:t xml:space="preserve"> </w:t>
      </w:r>
      <w:r w:rsidRPr="00AE4839">
        <w:rPr>
          <w:spacing w:val="-3"/>
        </w:rPr>
        <w:t>that</w:t>
      </w:r>
      <w:r w:rsidRPr="00AE4839">
        <w:rPr>
          <w:spacing w:val="-14"/>
        </w:rPr>
        <w:t xml:space="preserve"> </w:t>
      </w:r>
      <w:r w:rsidRPr="00AE4839">
        <w:rPr>
          <w:spacing w:val="-4"/>
        </w:rPr>
        <w:t>would</w:t>
      </w:r>
      <w:r w:rsidRPr="00AE4839">
        <w:rPr>
          <w:spacing w:val="-14"/>
        </w:rPr>
        <w:t xml:space="preserve"> </w:t>
      </w:r>
      <w:r w:rsidRPr="00AE4839">
        <w:rPr>
          <w:spacing w:val="-3"/>
        </w:rPr>
        <w:t>require</w:t>
      </w:r>
      <w:r w:rsidRPr="00AE4839">
        <w:rPr>
          <w:spacing w:val="-17"/>
        </w:rPr>
        <w:t xml:space="preserve"> </w:t>
      </w:r>
      <w:r w:rsidRPr="00AE4839">
        <w:t>a</w:t>
      </w:r>
      <w:r w:rsidRPr="00AE4839">
        <w:rPr>
          <w:spacing w:val="-12"/>
        </w:rPr>
        <w:t xml:space="preserve"> </w:t>
      </w:r>
      <w:r w:rsidRPr="00AE4839">
        <w:rPr>
          <w:spacing w:val="-4"/>
        </w:rPr>
        <w:t>graduate</w:t>
      </w:r>
      <w:r w:rsidRPr="00AE4839">
        <w:rPr>
          <w:spacing w:val="-15"/>
        </w:rPr>
        <w:t xml:space="preserve"> </w:t>
      </w:r>
      <w:r w:rsidRPr="00AE4839">
        <w:rPr>
          <w:spacing w:val="-4"/>
        </w:rPr>
        <w:t>degree</w:t>
      </w:r>
      <w:r w:rsidRPr="00AE4839">
        <w:rPr>
          <w:spacing w:val="-15"/>
        </w:rPr>
        <w:t xml:space="preserve"> </w:t>
      </w:r>
      <w:r w:rsidRPr="00AE4839">
        <w:t>be</w:t>
      </w:r>
      <w:r w:rsidRPr="00AE4839">
        <w:rPr>
          <w:spacing w:val="-17"/>
        </w:rPr>
        <w:t xml:space="preserve"> </w:t>
      </w:r>
      <w:r w:rsidRPr="00AE4839">
        <w:rPr>
          <w:spacing w:val="-3"/>
        </w:rPr>
        <w:t>removed</w:t>
      </w:r>
      <w:r w:rsidRPr="00AE4839">
        <w:rPr>
          <w:spacing w:val="-14"/>
        </w:rPr>
        <w:t xml:space="preserve"> </w:t>
      </w:r>
      <w:r w:rsidRPr="00AE4839">
        <w:rPr>
          <w:spacing w:val="-3"/>
        </w:rPr>
        <w:t>from</w:t>
      </w:r>
      <w:r w:rsidRPr="00AE4839">
        <w:rPr>
          <w:spacing w:val="-18"/>
        </w:rPr>
        <w:t xml:space="preserve"> </w:t>
      </w:r>
      <w:r w:rsidRPr="00AE4839">
        <w:rPr>
          <w:spacing w:val="-3"/>
        </w:rPr>
        <w:t>the</w:t>
      </w:r>
      <w:r w:rsidRPr="00AE4839">
        <w:rPr>
          <w:spacing w:val="-15"/>
        </w:rPr>
        <w:t xml:space="preserve"> </w:t>
      </w:r>
      <w:r w:rsidRPr="00AE4839">
        <w:rPr>
          <w:spacing w:val="-4"/>
        </w:rPr>
        <w:t>proposed</w:t>
      </w:r>
      <w:r w:rsidRPr="00AE4839">
        <w:rPr>
          <w:spacing w:val="-18"/>
        </w:rPr>
        <w:t xml:space="preserve"> </w:t>
      </w:r>
      <w:r w:rsidRPr="00AE4839">
        <w:rPr>
          <w:spacing w:val="-4"/>
        </w:rPr>
        <w:t>regulations.</w:t>
      </w:r>
      <w:r w:rsidRPr="00AE4839">
        <w:rPr>
          <w:spacing w:val="-12"/>
        </w:rPr>
        <w:t xml:space="preserve"> </w:t>
      </w:r>
      <w:r w:rsidRPr="00AE4839">
        <w:rPr>
          <w:spacing w:val="-4"/>
        </w:rPr>
        <w:t xml:space="preserve">Although </w:t>
      </w:r>
      <w:r w:rsidRPr="00AE4839">
        <w:rPr>
          <w:spacing w:val="-3"/>
        </w:rPr>
        <w:t xml:space="preserve">our </w:t>
      </w:r>
      <w:r w:rsidRPr="00AE4839">
        <w:rPr>
          <w:spacing w:val="-4"/>
        </w:rPr>
        <w:t xml:space="preserve">understanding </w:t>
      </w:r>
      <w:r w:rsidRPr="00AE4839">
        <w:t xml:space="preserve">is </w:t>
      </w:r>
      <w:r w:rsidRPr="00AE4839">
        <w:rPr>
          <w:spacing w:val="-3"/>
        </w:rPr>
        <w:t xml:space="preserve">that </w:t>
      </w:r>
      <w:r w:rsidRPr="00AE4839">
        <w:rPr>
          <w:spacing w:val="-4"/>
        </w:rPr>
        <w:t xml:space="preserve">current part-time </w:t>
      </w:r>
      <w:r w:rsidRPr="00AE4839">
        <w:rPr>
          <w:spacing w:val="-3"/>
        </w:rPr>
        <w:t xml:space="preserve">faculty under this </w:t>
      </w:r>
      <w:r w:rsidRPr="00AE4839">
        <w:rPr>
          <w:spacing w:val="-4"/>
        </w:rPr>
        <w:t xml:space="preserve">waiver </w:t>
      </w:r>
      <w:r w:rsidRPr="00AE4839">
        <w:rPr>
          <w:spacing w:val="-3"/>
        </w:rPr>
        <w:t xml:space="preserve">are </w:t>
      </w:r>
      <w:r w:rsidRPr="00AE4839">
        <w:rPr>
          <w:spacing w:val="-4"/>
        </w:rPr>
        <w:t xml:space="preserve">grandfathered </w:t>
      </w:r>
      <w:r w:rsidRPr="00AE4839">
        <w:rPr>
          <w:spacing w:val="-3"/>
        </w:rPr>
        <w:t xml:space="preserve">in, </w:t>
      </w:r>
      <w:r w:rsidRPr="00AE4839">
        <w:t xml:space="preserve">the </w:t>
      </w:r>
      <w:r w:rsidRPr="00AE4839">
        <w:rPr>
          <w:spacing w:val="-4"/>
        </w:rPr>
        <w:t xml:space="preserve">proposed change </w:t>
      </w:r>
      <w:r w:rsidRPr="00AE4839">
        <w:rPr>
          <w:spacing w:val="-3"/>
        </w:rPr>
        <w:t xml:space="preserve">will </w:t>
      </w:r>
      <w:r w:rsidRPr="00AE4839">
        <w:rPr>
          <w:spacing w:val="-4"/>
        </w:rPr>
        <w:t xml:space="preserve">eliminate </w:t>
      </w:r>
      <w:r w:rsidRPr="00AE4839">
        <w:rPr>
          <w:spacing w:val="-3"/>
        </w:rPr>
        <w:t xml:space="preserve">the </w:t>
      </w:r>
      <w:r w:rsidRPr="00AE4839">
        <w:rPr>
          <w:spacing w:val="-4"/>
        </w:rPr>
        <w:t xml:space="preserve">option </w:t>
      </w:r>
      <w:r w:rsidRPr="00AE4839">
        <w:t xml:space="preserve">to </w:t>
      </w:r>
      <w:r w:rsidRPr="00AE4839">
        <w:rPr>
          <w:spacing w:val="-3"/>
        </w:rPr>
        <w:t xml:space="preserve">hire </w:t>
      </w:r>
      <w:r w:rsidRPr="00AE4839">
        <w:t xml:space="preserve">new </w:t>
      </w:r>
      <w:r w:rsidRPr="00AE4839">
        <w:rPr>
          <w:spacing w:val="-4"/>
        </w:rPr>
        <w:t xml:space="preserve">experienced </w:t>
      </w:r>
      <w:r w:rsidRPr="00AE4839">
        <w:rPr>
          <w:spacing w:val="-3"/>
        </w:rPr>
        <w:t xml:space="preserve">BSN prepared faculty for clinical and </w:t>
      </w:r>
      <w:r w:rsidRPr="00AE4839">
        <w:rPr>
          <w:spacing w:val="-4"/>
        </w:rPr>
        <w:t xml:space="preserve">laboratory </w:t>
      </w:r>
      <w:r w:rsidRPr="00AE4839">
        <w:rPr>
          <w:spacing w:val="-3"/>
        </w:rPr>
        <w:t xml:space="preserve">teaching. </w:t>
      </w:r>
      <w:r w:rsidRPr="00AE4839">
        <w:rPr>
          <w:spacing w:val="-4"/>
        </w:rPr>
        <w:t xml:space="preserve">Programs </w:t>
      </w:r>
      <w:r w:rsidRPr="00AE4839">
        <w:rPr>
          <w:spacing w:val="-3"/>
        </w:rPr>
        <w:t xml:space="preserve">will lose the ability </w:t>
      </w:r>
      <w:r w:rsidRPr="00AE4839">
        <w:t xml:space="preserve">to </w:t>
      </w:r>
      <w:r w:rsidRPr="00AE4839">
        <w:rPr>
          <w:spacing w:val="-3"/>
        </w:rPr>
        <w:t xml:space="preserve">share faculty who teach </w:t>
      </w:r>
      <w:r w:rsidRPr="00AE4839">
        <w:t xml:space="preserve">in </w:t>
      </w:r>
      <w:r w:rsidRPr="00AE4839">
        <w:rPr>
          <w:spacing w:val="-4"/>
        </w:rPr>
        <w:t xml:space="preserve">specialized </w:t>
      </w:r>
      <w:r w:rsidRPr="00AE4839">
        <w:rPr>
          <w:spacing w:val="-3"/>
        </w:rPr>
        <w:t xml:space="preserve">areas such as </w:t>
      </w:r>
      <w:r w:rsidRPr="00AE4839">
        <w:rPr>
          <w:spacing w:val="-4"/>
        </w:rPr>
        <w:t xml:space="preserve">pediatrics, </w:t>
      </w:r>
      <w:r w:rsidR="00E13D75" w:rsidRPr="00AE4839">
        <w:rPr>
          <w:spacing w:val="-4"/>
        </w:rPr>
        <w:t>maternity,</w:t>
      </w:r>
      <w:r w:rsidRPr="00AE4839">
        <w:rPr>
          <w:spacing w:val="-4"/>
        </w:rPr>
        <w:t xml:space="preserve"> </w:t>
      </w:r>
      <w:r w:rsidRPr="00AE4839">
        <w:rPr>
          <w:spacing w:val="-3"/>
        </w:rPr>
        <w:t xml:space="preserve">and </w:t>
      </w:r>
      <w:r w:rsidRPr="00AE4839">
        <w:rPr>
          <w:spacing w:val="-4"/>
        </w:rPr>
        <w:t xml:space="preserve">mental </w:t>
      </w:r>
      <w:r w:rsidRPr="00AE4839">
        <w:rPr>
          <w:spacing w:val="-3"/>
        </w:rPr>
        <w:t xml:space="preserve">health. </w:t>
      </w:r>
      <w:r w:rsidRPr="00AE4839">
        <w:rPr>
          <w:spacing w:val="-4"/>
        </w:rPr>
        <w:t xml:space="preserve">Currently, </w:t>
      </w:r>
      <w:r w:rsidRPr="00AE4839">
        <w:rPr>
          <w:spacing w:val="-3"/>
        </w:rPr>
        <w:t xml:space="preserve">the BSN </w:t>
      </w:r>
      <w:r w:rsidRPr="00AE4839">
        <w:rPr>
          <w:spacing w:val="-4"/>
        </w:rPr>
        <w:t xml:space="preserve">clinical </w:t>
      </w:r>
      <w:r w:rsidRPr="00AE4839">
        <w:rPr>
          <w:spacing w:val="-3"/>
        </w:rPr>
        <w:t xml:space="preserve">faculty are drawn from </w:t>
      </w:r>
      <w:proofErr w:type="gramStart"/>
      <w:r w:rsidRPr="00AE4839">
        <w:rPr>
          <w:spacing w:val="-3"/>
        </w:rPr>
        <w:t xml:space="preserve">the </w:t>
      </w:r>
      <w:r w:rsidRPr="00AE4839">
        <w:rPr>
          <w:spacing w:val="-4"/>
        </w:rPr>
        <w:t xml:space="preserve">majority </w:t>
      </w:r>
      <w:r w:rsidRPr="00AE4839">
        <w:rPr>
          <w:spacing w:val="-3"/>
        </w:rPr>
        <w:t>of</w:t>
      </w:r>
      <w:proofErr w:type="gramEnd"/>
      <w:r w:rsidRPr="00AE4839">
        <w:rPr>
          <w:spacing w:val="-3"/>
        </w:rPr>
        <w:t xml:space="preserve"> BSN </w:t>
      </w:r>
      <w:r w:rsidRPr="00AE4839">
        <w:rPr>
          <w:spacing w:val="-4"/>
        </w:rPr>
        <w:t xml:space="preserve">prepared </w:t>
      </w:r>
      <w:r w:rsidRPr="00AE4839">
        <w:rPr>
          <w:spacing w:val="-3"/>
        </w:rPr>
        <w:t xml:space="preserve">nurses </w:t>
      </w:r>
      <w:r w:rsidRPr="00AE4839">
        <w:t xml:space="preserve">in </w:t>
      </w:r>
      <w:r w:rsidRPr="00AE4839">
        <w:rPr>
          <w:spacing w:val="-4"/>
        </w:rPr>
        <w:t xml:space="preserve">Massachusetts </w:t>
      </w:r>
      <w:r w:rsidRPr="00AE4839">
        <w:rPr>
          <w:spacing w:val="-3"/>
        </w:rPr>
        <w:t xml:space="preserve">who work </w:t>
      </w:r>
      <w:r w:rsidRPr="00AE4839">
        <w:rPr>
          <w:spacing w:val="-4"/>
        </w:rPr>
        <w:t xml:space="preserve">primarily in inpatient academic </w:t>
      </w:r>
      <w:r w:rsidRPr="00AE4839">
        <w:t xml:space="preserve">and </w:t>
      </w:r>
      <w:r w:rsidRPr="00AE4839">
        <w:rPr>
          <w:spacing w:val="-4"/>
        </w:rPr>
        <w:t>community</w:t>
      </w:r>
      <w:r w:rsidRPr="00AE4839">
        <w:rPr>
          <w:spacing w:val="-21"/>
        </w:rPr>
        <w:t xml:space="preserve"> </w:t>
      </w:r>
      <w:r w:rsidRPr="00AE4839">
        <w:rPr>
          <w:spacing w:val="-4"/>
        </w:rPr>
        <w:t>hospitals.</w:t>
      </w:r>
    </w:p>
    <w:p w14:paraId="524273C4" w14:textId="100F22A5" w:rsidR="005D7AB7" w:rsidRPr="00AE4839" w:rsidRDefault="00D62129" w:rsidP="00AE4839">
      <w:pPr>
        <w:pStyle w:val="BodyText"/>
        <w:spacing w:before="195"/>
        <w:ind w:right="121"/>
      </w:pPr>
      <w:r w:rsidRPr="00AE4839">
        <w:t xml:space="preserve">Removal of this proposed change is necessary </w:t>
      </w:r>
      <w:r w:rsidR="00A208D3">
        <w:t>for</w:t>
      </w:r>
      <w:r w:rsidRPr="00AE4839">
        <w:t xml:space="preserve"> our programs to continue to educate professional nurses and meet workforce needs locally and throughout the state. Without any action, many Massachusetts nursing programs, including our community college programs, will likely face decreasing enrollments of students due to the lack of available faculty for clinical and lab experiences. For our vulnerable programs that are geographically isolated, this presents a dire situation due to the lack of master</w:t>
      </w:r>
      <w:r w:rsidR="00002C60">
        <w:t>’</w:t>
      </w:r>
      <w:r w:rsidRPr="00AE4839">
        <w:t>s</w:t>
      </w:r>
      <w:r w:rsidR="00002C60">
        <w:t>-</w:t>
      </w:r>
      <w:r w:rsidRPr="00AE4839">
        <w:t xml:space="preserve">prepared educators. Currently, nursing programs are </w:t>
      </w:r>
      <w:r w:rsidR="00937F63">
        <w:t xml:space="preserve">already </w:t>
      </w:r>
      <w:r w:rsidRPr="00AE4839">
        <w:t>facing a significant nursing faculty shortage. This is well documented in research and publications, specifically done by the Massachusetts</w:t>
      </w:r>
      <w:r w:rsidRPr="00AE4839">
        <w:rPr>
          <w:spacing w:val="-8"/>
        </w:rPr>
        <w:t xml:space="preserve"> </w:t>
      </w:r>
      <w:r w:rsidRPr="00AE4839">
        <w:t>Action</w:t>
      </w:r>
      <w:r w:rsidRPr="00AE4839">
        <w:rPr>
          <w:spacing w:val="-9"/>
        </w:rPr>
        <w:t xml:space="preserve"> </w:t>
      </w:r>
      <w:r w:rsidRPr="00AE4839">
        <w:t>Coalition</w:t>
      </w:r>
      <w:r w:rsidR="002208CD">
        <w:rPr>
          <w:rStyle w:val="EndnoteReference"/>
        </w:rPr>
        <w:endnoteReference w:id="2"/>
      </w:r>
      <w:r w:rsidRPr="00AE4839">
        <w:rPr>
          <w:spacing w:val="-25"/>
        </w:rPr>
        <w:t xml:space="preserve"> </w:t>
      </w:r>
      <w:r w:rsidRPr="00AE4839">
        <w:t>(see</w:t>
      </w:r>
      <w:r w:rsidRPr="00AE4839">
        <w:rPr>
          <w:spacing w:val="-8"/>
        </w:rPr>
        <w:t xml:space="preserve"> </w:t>
      </w:r>
      <w:r w:rsidRPr="00AE4839">
        <w:t>footnote).</w:t>
      </w:r>
      <w:r w:rsidRPr="00AE4839">
        <w:rPr>
          <w:spacing w:val="-9"/>
        </w:rPr>
        <w:t xml:space="preserve"> </w:t>
      </w:r>
      <w:r w:rsidRPr="00AE4839">
        <w:t>Barriers</w:t>
      </w:r>
      <w:r w:rsidRPr="00AE4839">
        <w:rPr>
          <w:spacing w:val="-10"/>
        </w:rPr>
        <w:t xml:space="preserve"> </w:t>
      </w:r>
      <w:r w:rsidRPr="00AE4839">
        <w:t>to</w:t>
      </w:r>
      <w:r w:rsidRPr="00AE4839">
        <w:rPr>
          <w:spacing w:val="-9"/>
        </w:rPr>
        <w:t xml:space="preserve"> </w:t>
      </w:r>
      <w:r w:rsidRPr="00AE4839">
        <w:t>nurses</w:t>
      </w:r>
      <w:r w:rsidRPr="00AE4839">
        <w:rPr>
          <w:spacing w:val="-8"/>
        </w:rPr>
        <w:t xml:space="preserve"> </w:t>
      </w:r>
      <w:r w:rsidRPr="00AE4839">
        <w:t>becoming</w:t>
      </w:r>
      <w:r w:rsidRPr="00AE4839">
        <w:rPr>
          <w:spacing w:val="-11"/>
        </w:rPr>
        <w:t xml:space="preserve"> </w:t>
      </w:r>
      <w:r w:rsidRPr="00AE4839">
        <w:t>nurse</w:t>
      </w:r>
      <w:r w:rsidRPr="00AE4839">
        <w:rPr>
          <w:spacing w:val="-8"/>
        </w:rPr>
        <w:t xml:space="preserve"> </w:t>
      </w:r>
      <w:r w:rsidRPr="00AE4839">
        <w:t>faculty</w:t>
      </w:r>
      <w:r w:rsidRPr="00AE4839">
        <w:rPr>
          <w:spacing w:val="-11"/>
        </w:rPr>
        <w:t xml:space="preserve"> </w:t>
      </w:r>
      <w:r w:rsidRPr="00AE4839">
        <w:t>include</w:t>
      </w:r>
      <w:r w:rsidRPr="00AE4839">
        <w:rPr>
          <w:spacing w:val="-8"/>
        </w:rPr>
        <w:t xml:space="preserve"> </w:t>
      </w:r>
      <w:r w:rsidRPr="00AE4839">
        <w:t>pay</w:t>
      </w:r>
      <w:r w:rsidRPr="00AE4839">
        <w:rPr>
          <w:spacing w:val="-11"/>
        </w:rPr>
        <w:t xml:space="preserve"> </w:t>
      </w:r>
      <w:r w:rsidRPr="00AE4839">
        <w:t>inequities</w:t>
      </w:r>
      <w:r w:rsidRPr="00AE4839">
        <w:rPr>
          <w:spacing w:val="-8"/>
        </w:rPr>
        <w:t xml:space="preserve"> </w:t>
      </w:r>
      <w:r w:rsidRPr="00AE4839">
        <w:t>with practice, need for advanced education, and scholarship requirements. The burden of eliminating the use of BSN</w:t>
      </w:r>
      <w:r w:rsidR="00F26E65">
        <w:t>-</w:t>
      </w:r>
      <w:r w:rsidRPr="00AE4839">
        <w:t>prepared faculty in the clinical areas may result in some programs being forced to</w:t>
      </w:r>
      <w:r w:rsidRPr="00AE4839">
        <w:rPr>
          <w:spacing w:val="-14"/>
        </w:rPr>
        <w:t xml:space="preserve"> </w:t>
      </w:r>
      <w:r w:rsidRPr="00AE4839">
        <w:t>close.</w:t>
      </w:r>
    </w:p>
    <w:p w14:paraId="524273C5" w14:textId="1C8E356D" w:rsidR="005D7AB7" w:rsidRDefault="005D7AB7" w:rsidP="00AE4839">
      <w:pPr>
        <w:pStyle w:val="BodyText"/>
        <w:ind w:left="0"/>
      </w:pPr>
    </w:p>
    <w:p w14:paraId="524273C6" w14:textId="333CAE6A" w:rsidR="005D7AB7" w:rsidRPr="00AE4839" w:rsidRDefault="00D62129" w:rsidP="00AE4839">
      <w:pPr>
        <w:pStyle w:val="BodyText"/>
        <w:ind w:right="122"/>
      </w:pPr>
      <w:r w:rsidRPr="00AE4839">
        <w:t>Our community college programs currently enroll more than 1,700 students in every region of the Commonwealth, and</w:t>
      </w:r>
      <w:r w:rsidRPr="00AE4839">
        <w:rPr>
          <w:spacing w:val="-3"/>
        </w:rPr>
        <w:t xml:space="preserve"> </w:t>
      </w:r>
      <w:r w:rsidRPr="00AE4839">
        <w:t>we</w:t>
      </w:r>
      <w:r w:rsidRPr="00AE4839">
        <w:rPr>
          <w:spacing w:val="-3"/>
        </w:rPr>
        <w:t xml:space="preserve"> </w:t>
      </w:r>
      <w:r w:rsidRPr="00AE4839">
        <w:t>graduated</w:t>
      </w:r>
      <w:r w:rsidRPr="00AE4839">
        <w:rPr>
          <w:spacing w:val="-3"/>
        </w:rPr>
        <w:t xml:space="preserve"> </w:t>
      </w:r>
      <w:r w:rsidRPr="00AE4839">
        <w:t>more</w:t>
      </w:r>
      <w:r w:rsidRPr="00AE4839">
        <w:rPr>
          <w:spacing w:val="-2"/>
        </w:rPr>
        <w:t xml:space="preserve"> </w:t>
      </w:r>
      <w:r w:rsidRPr="00AE4839">
        <w:t>than</w:t>
      </w:r>
      <w:r w:rsidRPr="00AE4839">
        <w:rPr>
          <w:spacing w:val="-2"/>
        </w:rPr>
        <w:t xml:space="preserve"> </w:t>
      </w:r>
      <w:r w:rsidRPr="00AE4839">
        <w:t>2,200</w:t>
      </w:r>
      <w:r w:rsidRPr="00AE4839">
        <w:rPr>
          <w:spacing w:val="-4"/>
        </w:rPr>
        <w:t xml:space="preserve"> </w:t>
      </w:r>
      <w:r w:rsidRPr="00AE4839">
        <w:t>over</w:t>
      </w:r>
      <w:r w:rsidRPr="00AE4839">
        <w:rPr>
          <w:spacing w:val="-2"/>
        </w:rPr>
        <w:t xml:space="preserve"> </w:t>
      </w:r>
      <w:r w:rsidRPr="00AE4839">
        <w:t>the</w:t>
      </w:r>
      <w:r w:rsidRPr="00AE4839">
        <w:rPr>
          <w:spacing w:val="-3"/>
        </w:rPr>
        <w:t xml:space="preserve"> </w:t>
      </w:r>
      <w:r w:rsidRPr="00AE4839">
        <w:t>last</w:t>
      </w:r>
      <w:r w:rsidRPr="00AE4839">
        <w:rPr>
          <w:spacing w:val="-3"/>
        </w:rPr>
        <w:t xml:space="preserve"> </w:t>
      </w:r>
      <w:r w:rsidRPr="00AE4839">
        <w:t>three</w:t>
      </w:r>
      <w:r w:rsidRPr="00AE4839">
        <w:rPr>
          <w:spacing w:val="-2"/>
        </w:rPr>
        <w:t xml:space="preserve"> </w:t>
      </w:r>
      <w:r w:rsidRPr="00AE4839">
        <w:t>years.</w:t>
      </w:r>
      <w:r w:rsidRPr="00AE4839">
        <w:rPr>
          <w:spacing w:val="-3"/>
        </w:rPr>
        <w:t xml:space="preserve"> </w:t>
      </w:r>
      <w:r w:rsidRPr="00AE4839">
        <w:t>According</w:t>
      </w:r>
      <w:r w:rsidRPr="00AE4839">
        <w:rPr>
          <w:spacing w:val="-6"/>
        </w:rPr>
        <w:t xml:space="preserve"> </w:t>
      </w:r>
      <w:r w:rsidRPr="00AE4839">
        <w:t>to</w:t>
      </w:r>
      <w:r w:rsidRPr="00AE4839">
        <w:rPr>
          <w:spacing w:val="-3"/>
        </w:rPr>
        <w:t xml:space="preserve"> </w:t>
      </w:r>
      <w:r w:rsidRPr="00AE4839">
        <w:t>the</w:t>
      </w:r>
      <w:r w:rsidRPr="00AE4839">
        <w:rPr>
          <w:spacing w:val="-6"/>
        </w:rPr>
        <w:t xml:space="preserve"> </w:t>
      </w:r>
      <w:r w:rsidRPr="00AE4839">
        <w:t>Massachusetts</w:t>
      </w:r>
      <w:r w:rsidRPr="00AE4839">
        <w:rPr>
          <w:spacing w:val="-3"/>
        </w:rPr>
        <w:t xml:space="preserve"> </w:t>
      </w:r>
      <w:r w:rsidRPr="00AE4839">
        <w:t>&amp;</w:t>
      </w:r>
      <w:r w:rsidRPr="00AE4839">
        <w:rPr>
          <w:spacing w:val="-4"/>
        </w:rPr>
        <w:t xml:space="preserve"> </w:t>
      </w:r>
      <w:r w:rsidRPr="00AE4839">
        <w:t>Rhode</w:t>
      </w:r>
      <w:r w:rsidRPr="00AE4839">
        <w:rPr>
          <w:spacing w:val="-3"/>
        </w:rPr>
        <w:t xml:space="preserve"> </w:t>
      </w:r>
      <w:r w:rsidRPr="00AE4839">
        <w:t>Island</w:t>
      </w:r>
      <w:r w:rsidRPr="00AE4839">
        <w:rPr>
          <w:spacing w:val="-3"/>
        </w:rPr>
        <w:t xml:space="preserve"> </w:t>
      </w:r>
      <w:r w:rsidRPr="00AE4839">
        <w:t>League of</w:t>
      </w:r>
      <w:r w:rsidRPr="00AE4839">
        <w:rPr>
          <w:spacing w:val="-11"/>
        </w:rPr>
        <w:t xml:space="preserve"> </w:t>
      </w:r>
      <w:r w:rsidRPr="00AE4839">
        <w:t>Nurses,</w:t>
      </w:r>
      <w:r w:rsidRPr="00AE4839">
        <w:rPr>
          <w:spacing w:val="-13"/>
        </w:rPr>
        <w:t xml:space="preserve"> </w:t>
      </w:r>
      <w:r w:rsidRPr="00AE4839">
        <w:t>Massachusetts</w:t>
      </w:r>
      <w:r w:rsidRPr="00AE4839">
        <w:rPr>
          <w:spacing w:val="-10"/>
        </w:rPr>
        <w:t xml:space="preserve"> </w:t>
      </w:r>
      <w:r w:rsidRPr="00AE4839">
        <w:t>programs</w:t>
      </w:r>
      <w:r w:rsidRPr="00AE4839">
        <w:rPr>
          <w:spacing w:val="-10"/>
        </w:rPr>
        <w:t xml:space="preserve"> </w:t>
      </w:r>
      <w:r w:rsidRPr="00AE4839">
        <w:t>currently</w:t>
      </w:r>
      <w:r w:rsidRPr="00AE4839">
        <w:rPr>
          <w:spacing w:val="-13"/>
        </w:rPr>
        <w:t xml:space="preserve"> </w:t>
      </w:r>
      <w:r w:rsidRPr="00AE4839">
        <w:t>employ</w:t>
      </w:r>
      <w:r w:rsidRPr="00AE4839">
        <w:rPr>
          <w:spacing w:val="-14"/>
        </w:rPr>
        <w:t xml:space="preserve"> </w:t>
      </w:r>
      <w:r w:rsidRPr="00AE4839">
        <w:t>over</w:t>
      </w:r>
      <w:r w:rsidRPr="00AE4839">
        <w:rPr>
          <w:spacing w:val="-11"/>
        </w:rPr>
        <w:t xml:space="preserve"> </w:t>
      </w:r>
      <w:r w:rsidRPr="00AE4839">
        <w:t>110</w:t>
      </w:r>
      <w:r w:rsidRPr="00AE4839">
        <w:rPr>
          <w:spacing w:val="-11"/>
        </w:rPr>
        <w:t xml:space="preserve"> </w:t>
      </w:r>
      <w:r w:rsidRPr="00AE4839">
        <w:t>BSN</w:t>
      </w:r>
      <w:r w:rsidRPr="00AE4839">
        <w:rPr>
          <w:spacing w:val="-13"/>
        </w:rPr>
        <w:t xml:space="preserve"> </w:t>
      </w:r>
      <w:r w:rsidRPr="00AE4839">
        <w:t>prepared</w:t>
      </w:r>
      <w:r w:rsidRPr="00AE4839">
        <w:rPr>
          <w:spacing w:val="-13"/>
        </w:rPr>
        <w:t xml:space="preserve"> </w:t>
      </w:r>
      <w:r w:rsidRPr="00AE4839">
        <w:t>nurses</w:t>
      </w:r>
      <w:r w:rsidRPr="00AE4839">
        <w:rPr>
          <w:spacing w:val="-11"/>
        </w:rPr>
        <w:t xml:space="preserve"> </w:t>
      </w:r>
      <w:r w:rsidRPr="00AE4839">
        <w:t>as</w:t>
      </w:r>
      <w:r w:rsidRPr="00AE4839">
        <w:rPr>
          <w:spacing w:val="-10"/>
        </w:rPr>
        <w:t xml:space="preserve"> </w:t>
      </w:r>
      <w:r w:rsidRPr="00AE4839">
        <w:t>clinical</w:t>
      </w:r>
      <w:r w:rsidRPr="00AE4839">
        <w:rPr>
          <w:spacing w:val="-13"/>
        </w:rPr>
        <w:t xml:space="preserve"> </w:t>
      </w:r>
      <w:r w:rsidRPr="00AE4839">
        <w:t>and</w:t>
      </w:r>
      <w:r w:rsidRPr="00AE4839">
        <w:rPr>
          <w:spacing w:val="-13"/>
        </w:rPr>
        <w:t xml:space="preserve"> </w:t>
      </w:r>
      <w:r w:rsidRPr="00AE4839">
        <w:t>laboratory</w:t>
      </w:r>
      <w:r w:rsidRPr="00AE4839">
        <w:rPr>
          <w:spacing w:val="-14"/>
        </w:rPr>
        <w:t xml:space="preserve"> </w:t>
      </w:r>
      <w:r w:rsidRPr="00AE4839">
        <w:t xml:space="preserve">faculty based on a 2020 spring semester survey of the Associate Degree and Diploma Programs in Massachusetts. </w:t>
      </w:r>
      <w:r w:rsidR="00F26E65">
        <w:t>Even before the challenges of COVID-19, w</w:t>
      </w:r>
      <w:r w:rsidRPr="00AE4839">
        <w:t>e live in</w:t>
      </w:r>
      <w:r w:rsidRPr="00AE4839">
        <w:rPr>
          <w:spacing w:val="-10"/>
        </w:rPr>
        <w:t xml:space="preserve"> </w:t>
      </w:r>
      <w:r w:rsidRPr="00AE4839">
        <w:t>a</w:t>
      </w:r>
      <w:r w:rsidRPr="00AE4839">
        <w:rPr>
          <w:spacing w:val="-7"/>
        </w:rPr>
        <w:t xml:space="preserve"> </w:t>
      </w:r>
      <w:r w:rsidRPr="00AE4839">
        <w:t>healthcare</w:t>
      </w:r>
      <w:r w:rsidRPr="00AE4839">
        <w:rPr>
          <w:spacing w:val="-9"/>
        </w:rPr>
        <w:t xml:space="preserve"> </w:t>
      </w:r>
      <w:r w:rsidRPr="00AE4839">
        <w:t>environment</w:t>
      </w:r>
      <w:r w:rsidRPr="00AE4839">
        <w:rPr>
          <w:spacing w:val="-5"/>
        </w:rPr>
        <w:t xml:space="preserve"> </w:t>
      </w:r>
      <w:r w:rsidRPr="00AE4839">
        <w:t>where</w:t>
      </w:r>
      <w:r w:rsidRPr="00AE4839">
        <w:rPr>
          <w:spacing w:val="-9"/>
        </w:rPr>
        <w:t xml:space="preserve"> </w:t>
      </w:r>
      <w:r w:rsidRPr="00AE4839">
        <w:t>the</w:t>
      </w:r>
      <w:r w:rsidRPr="00AE4839">
        <w:rPr>
          <w:spacing w:val="-6"/>
        </w:rPr>
        <w:t xml:space="preserve"> </w:t>
      </w:r>
      <w:r w:rsidRPr="00AE4839">
        <w:t>need</w:t>
      </w:r>
      <w:r w:rsidRPr="00AE4839">
        <w:rPr>
          <w:spacing w:val="-10"/>
        </w:rPr>
        <w:t xml:space="preserve"> </w:t>
      </w:r>
      <w:r w:rsidRPr="00AE4839">
        <w:t>for</w:t>
      </w:r>
      <w:r w:rsidRPr="00AE4839">
        <w:rPr>
          <w:spacing w:val="-5"/>
        </w:rPr>
        <w:t xml:space="preserve"> </w:t>
      </w:r>
      <w:r w:rsidRPr="00AE4839">
        <w:t>nurses</w:t>
      </w:r>
      <w:r w:rsidRPr="00AE4839">
        <w:rPr>
          <w:spacing w:val="-11"/>
        </w:rPr>
        <w:t xml:space="preserve"> </w:t>
      </w:r>
      <w:r w:rsidRPr="00AE4839">
        <w:t>continues</w:t>
      </w:r>
      <w:r w:rsidRPr="00AE4839">
        <w:rPr>
          <w:spacing w:val="-4"/>
        </w:rPr>
        <w:t xml:space="preserve"> </w:t>
      </w:r>
      <w:r w:rsidRPr="00AE4839">
        <w:t>to</w:t>
      </w:r>
      <w:r w:rsidRPr="00AE4839">
        <w:rPr>
          <w:spacing w:val="-6"/>
        </w:rPr>
        <w:t xml:space="preserve"> </w:t>
      </w:r>
      <w:r w:rsidRPr="00AE4839">
        <w:t>grow.</w:t>
      </w:r>
      <w:r w:rsidRPr="00AE4839">
        <w:rPr>
          <w:spacing w:val="-9"/>
        </w:rPr>
        <w:t xml:space="preserve"> </w:t>
      </w:r>
      <w:r w:rsidR="00192014">
        <w:rPr>
          <w:spacing w:val="-9"/>
        </w:rPr>
        <w:t>Now</w:t>
      </w:r>
      <w:r w:rsidR="00A77D1D">
        <w:rPr>
          <w:spacing w:val="-9"/>
        </w:rPr>
        <w:t xml:space="preserve">, </w:t>
      </w:r>
      <w:r w:rsidR="00981ED2">
        <w:rPr>
          <w:spacing w:val="-9"/>
        </w:rPr>
        <w:t>it is</w:t>
      </w:r>
      <w:r w:rsidR="00FA5659">
        <w:rPr>
          <w:spacing w:val="-9"/>
        </w:rPr>
        <w:t xml:space="preserve"> even more </w:t>
      </w:r>
      <w:r w:rsidR="00981ED2">
        <w:rPr>
          <w:spacing w:val="-9"/>
        </w:rPr>
        <w:t>important</w:t>
      </w:r>
      <w:r w:rsidR="00FA5659">
        <w:rPr>
          <w:spacing w:val="-9"/>
        </w:rPr>
        <w:t xml:space="preserve"> to avoid </w:t>
      </w:r>
      <w:r w:rsidR="00192014">
        <w:rPr>
          <w:spacing w:val="-9"/>
        </w:rPr>
        <w:t>creat</w:t>
      </w:r>
      <w:r w:rsidR="00FA5659">
        <w:rPr>
          <w:spacing w:val="-9"/>
        </w:rPr>
        <w:t>ing</w:t>
      </w:r>
      <w:r w:rsidR="00192014">
        <w:rPr>
          <w:spacing w:val="-9"/>
        </w:rPr>
        <w:t xml:space="preserve"> additional </w:t>
      </w:r>
      <w:r w:rsidR="00756FA9">
        <w:rPr>
          <w:spacing w:val="-9"/>
        </w:rPr>
        <w:t xml:space="preserve">barriers. </w:t>
      </w:r>
      <w:r w:rsidRPr="00AE4839">
        <w:t>We</w:t>
      </w:r>
      <w:r w:rsidRPr="00AE4839">
        <w:rPr>
          <w:spacing w:val="-8"/>
        </w:rPr>
        <w:t xml:space="preserve"> </w:t>
      </w:r>
      <w:r w:rsidRPr="00AE4839">
        <w:t>appreciate</w:t>
      </w:r>
      <w:r w:rsidRPr="00AE4839">
        <w:rPr>
          <w:spacing w:val="-9"/>
        </w:rPr>
        <w:t xml:space="preserve"> </w:t>
      </w:r>
      <w:r w:rsidRPr="00AE4839">
        <w:t>your</w:t>
      </w:r>
      <w:r w:rsidRPr="00AE4839">
        <w:rPr>
          <w:spacing w:val="-8"/>
        </w:rPr>
        <w:t xml:space="preserve"> </w:t>
      </w:r>
      <w:r w:rsidR="00756FA9">
        <w:t>consideration</w:t>
      </w:r>
      <w:r w:rsidR="00903AE0">
        <w:t xml:space="preserve"> of</w:t>
      </w:r>
      <w:r w:rsidRPr="00AE4839">
        <w:t xml:space="preserve"> this</w:t>
      </w:r>
      <w:r w:rsidRPr="00AE4839">
        <w:rPr>
          <w:spacing w:val="-9"/>
        </w:rPr>
        <w:t xml:space="preserve"> </w:t>
      </w:r>
      <w:r w:rsidRPr="00AE4839">
        <w:t>evidenced-based</w:t>
      </w:r>
      <w:r w:rsidRPr="00AE4839">
        <w:rPr>
          <w:spacing w:val="-8"/>
        </w:rPr>
        <w:t xml:space="preserve"> </w:t>
      </w:r>
      <w:r w:rsidRPr="00AE4839">
        <w:t>testimony</w:t>
      </w:r>
      <w:r w:rsidRPr="00AE4839">
        <w:rPr>
          <w:spacing w:val="-11"/>
        </w:rPr>
        <w:t xml:space="preserve"> </w:t>
      </w:r>
      <w:r w:rsidRPr="00AE4839">
        <w:t>so</w:t>
      </w:r>
      <w:r w:rsidRPr="00AE4839">
        <w:rPr>
          <w:spacing w:val="-8"/>
        </w:rPr>
        <w:t xml:space="preserve"> </w:t>
      </w:r>
      <w:r w:rsidRPr="00AE4839">
        <w:t>that</w:t>
      </w:r>
      <w:r w:rsidRPr="00AE4839">
        <w:rPr>
          <w:spacing w:val="-7"/>
        </w:rPr>
        <w:t xml:space="preserve"> </w:t>
      </w:r>
      <w:r w:rsidRPr="00AE4839">
        <w:t>our</w:t>
      </w:r>
      <w:r w:rsidRPr="00AE4839">
        <w:rPr>
          <w:spacing w:val="-8"/>
        </w:rPr>
        <w:t xml:space="preserve"> </w:t>
      </w:r>
      <w:r w:rsidRPr="00AE4839">
        <w:t>programs</w:t>
      </w:r>
      <w:r w:rsidRPr="00AE4839">
        <w:rPr>
          <w:spacing w:val="-8"/>
        </w:rPr>
        <w:t xml:space="preserve"> </w:t>
      </w:r>
      <w:r w:rsidRPr="00AE4839">
        <w:t>can</w:t>
      </w:r>
      <w:r w:rsidRPr="00AE4839">
        <w:rPr>
          <w:spacing w:val="-9"/>
        </w:rPr>
        <w:t xml:space="preserve"> </w:t>
      </w:r>
      <w:r w:rsidRPr="00AE4839">
        <w:t>continue</w:t>
      </w:r>
      <w:r w:rsidRPr="00AE4839">
        <w:rPr>
          <w:spacing w:val="-12"/>
        </w:rPr>
        <w:t xml:space="preserve"> </w:t>
      </w:r>
      <w:r w:rsidRPr="00AE4839">
        <w:t>to</w:t>
      </w:r>
      <w:r w:rsidRPr="00AE4839">
        <w:rPr>
          <w:spacing w:val="-9"/>
        </w:rPr>
        <w:t xml:space="preserve"> </w:t>
      </w:r>
      <w:r w:rsidRPr="00AE4839">
        <w:t>provide</w:t>
      </w:r>
      <w:r w:rsidR="00903AE0">
        <w:t xml:space="preserve"> high-</w:t>
      </w:r>
      <w:r w:rsidRPr="00AE4839">
        <w:t>quality</w:t>
      </w:r>
      <w:r w:rsidR="00903AE0">
        <w:t xml:space="preserve"> and</w:t>
      </w:r>
      <w:r w:rsidRPr="00AE4839">
        <w:rPr>
          <w:spacing w:val="-9"/>
        </w:rPr>
        <w:t xml:space="preserve"> </w:t>
      </w:r>
      <w:r w:rsidRPr="00AE4839">
        <w:t>affordable</w:t>
      </w:r>
      <w:r w:rsidRPr="00AE4839">
        <w:rPr>
          <w:spacing w:val="-11"/>
        </w:rPr>
        <w:t xml:space="preserve"> </w:t>
      </w:r>
      <w:r w:rsidRPr="00AE4839">
        <w:t>education</w:t>
      </w:r>
      <w:r w:rsidRPr="00AE4839">
        <w:rPr>
          <w:spacing w:val="-9"/>
        </w:rPr>
        <w:t xml:space="preserve"> </w:t>
      </w:r>
      <w:r w:rsidRPr="00AE4839">
        <w:t>to</w:t>
      </w:r>
      <w:r w:rsidRPr="00AE4839">
        <w:rPr>
          <w:spacing w:val="-9"/>
        </w:rPr>
        <w:t xml:space="preserve"> </w:t>
      </w:r>
      <w:r w:rsidRPr="00AE4839">
        <w:t>the</w:t>
      </w:r>
      <w:r w:rsidRPr="00AE4839">
        <w:rPr>
          <w:spacing w:val="-8"/>
        </w:rPr>
        <w:t xml:space="preserve"> </w:t>
      </w:r>
      <w:r w:rsidRPr="00AE4839">
        <w:t>next generation of</w:t>
      </w:r>
      <w:r w:rsidRPr="00AE4839">
        <w:rPr>
          <w:spacing w:val="-1"/>
        </w:rPr>
        <w:t xml:space="preserve"> </w:t>
      </w:r>
      <w:r w:rsidRPr="00AE4839">
        <w:t>nurses.</w:t>
      </w:r>
    </w:p>
    <w:p w14:paraId="524273C7" w14:textId="56C6CD80" w:rsidR="00B80C3A" w:rsidRPr="00B80C3A" w:rsidRDefault="00B80C3A" w:rsidP="00B80C3A">
      <w:pPr>
        <w:pStyle w:val="BodyText"/>
        <w:spacing w:before="2"/>
        <w:ind w:left="0"/>
      </w:pPr>
    </w:p>
    <w:p w14:paraId="03F48109" w14:textId="61B9BC01" w:rsidR="006849AF" w:rsidRPr="006849AF" w:rsidRDefault="00D62129" w:rsidP="006849AF">
      <w:pPr>
        <w:pStyle w:val="BodyText"/>
      </w:pPr>
      <w:r w:rsidRPr="00AE4839">
        <w:t>Sincerely,</w:t>
      </w:r>
    </w:p>
    <w:p w14:paraId="524273CA" w14:textId="00A1BA7F" w:rsidR="002208CD" w:rsidRDefault="004337F1" w:rsidP="4EBE3D13">
      <w:pPr>
        <w:pStyle w:val="BodyText"/>
        <w:spacing w:before="11"/>
      </w:pPr>
      <w:r>
        <w:rPr>
          <w:noProof/>
          <w:lang w:bidi="ar-SA"/>
        </w:rPr>
        <w:drawing>
          <wp:anchor distT="0" distB="0" distL="0" distR="0" simplePos="0" relativeHeight="251658240" behindDoc="1" locked="0" layoutInCell="1" allowOverlap="1" wp14:anchorId="7EA04974" wp14:editId="66B40CEE">
            <wp:simplePos x="0" y="0"/>
            <wp:positionH relativeFrom="page">
              <wp:posOffset>571500</wp:posOffset>
            </wp:positionH>
            <wp:positionV relativeFrom="page">
              <wp:posOffset>8239125</wp:posOffset>
            </wp:positionV>
            <wp:extent cx="2000250" cy="45786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041222" cy="467242"/>
                    </a:xfrm>
                    <a:prstGeom prst="rect">
                      <a:avLst/>
                    </a:prstGeom>
                  </pic:spPr>
                </pic:pic>
              </a:graphicData>
            </a:graphic>
            <wp14:sizeRelH relativeFrom="margin">
              <wp14:pctWidth>0</wp14:pctWidth>
            </wp14:sizeRelH>
            <wp14:sizeRelV relativeFrom="margin">
              <wp14:pctHeight>0</wp14:pctHeight>
            </wp14:sizeRelV>
          </wp:anchor>
        </w:drawing>
      </w:r>
    </w:p>
    <w:p w14:paraId="08231482" w14:textId="714F0C8F" w:rsidR="004337F1" w:rsidRDefault="004337F1" w:rsidP="4EBE3D13">
      <w:pPr>
        <w:pStyle w:val="BodyText"/>
        <w:spacing w:before="11"/>
      </w:pPr>
    </w:p>
    <w:p w14:paraId="71DB967B" w14:textId="77777777" w:rsidR="004337F1" w:rsidRDefault="004337F1" w:rsidP="4EBE3D13">
      <w:pPr>
        <w:pStyle w:val="BodyText"/>
        <w:spacing w:before="11"/>
      </w:pPr>
    </w:p>
    <w:p w14:paraId="0E0EA70A" w14:textId="77777777" w:rsidR="004337F1" w:rsidRDefault="004337F1" w:rsidP="4EBE3D13">
      <w:pPr>
        <w:pStyle w:val="BodyText"/>
        <w:spacing w:before="11"/>
      </w:pPr>
    </w:p>
    <w:p w14:paraId="2445F51B" w14:textId="7BE9390A" w:rsidR="005D7AB7" w:rsidRPr="00AE4839" w:rsidRDefault="00D62129" w:rsidP="00AE4839">
      <w:pPr>
        <w:pStyle w:val="BodyText"/>
        <w:spacing w:line="252" w:lineRule="exact"/>
      </w:pPr>
      <w:r>
        <w:t>Tom Sannicandro</w:t>
      </w:r>
      <w:r w:rsidR="00E13D75">
        <w:t>, Ph</w:t>
      </w:r>
      <w:r w:rsidR="00A649BD">
        <w:t>.</w:t>
      </w:r>
      <w:r w:rsidR="00E13D75">
        <w:t>D</w:t>
      </w:r>
      <w:r w:rsidR="00A649BD">
        <w:t>.</w:t>
      </w:r>
    </w:p>
    <w:p w14:paraId="524273CB" w14:textId="2AF67E1D" w:rsidR="005D7AB7" w:rsidRPr="00AE4839" w:rsidRDefault="00D62129" w:rsidP="00AE4839">
      <w:pPr>
        <w:pStyle w:val="BodyText"/>
        <w:spacing w:line="252" w:lineRule="exact"/>
      </w:pPr>
      <w:r>
        <w:t>Director</w:t>
      </w:r>
    </w:p>
    <w:p w14:paraId="6E1A1394" w14:textId="681E33CE" w:rsidR="00AE4839" w:rsidRDefault="00D62129" w:rsidP="00F5662D">
      <w:pPr>
        <w:pStyle w:val="BodyText"/>
        <w:spacing w:line="252" w:lineRule="exact"/>
      </w:pPr>
      <w:r w:rsidRPr="00AE4839">
        <w:t>Massachusetts Association of Community Colleges</w:t>
      </w:r>
    </w:p>
    <w:p w14:paraId="0FF4DEAD" w14:textId="77777777" w:rsidR="00F5662D" w:rsidRDefault="00F5662D" w:rsidP="00F5662D">
      <w:pPr>
        <w:pStyle w:val="BodyText"/>
        <w:spacing w:line="252" w:lineRule="exact"/>
      </w:pPr>
    </w:p>
    <w:p w14:paraId="524273CD" w14:textId="77777777" w:rsidR="005D7AB7" w:rsidRPr="00F5662D" w:rsidRDefault="005D7AB7">
      <w:pPr>
        <w:pStyle w:val="BodyText"/>
        <w:spacing w:before="2"/>
        <w:ind w:left="0"/>
        <w:rPr>
          <w:sz w:val="20"/>
          <w:szCs w:val="20"/>
        </w:rPr>
      </w:pPr>
    </w:p>
    <w:p w14:paraId="5E898B5B" w14:textId="77777777" w:rsidR="00F5662D" w:rsidRDefault="00F5662D" w:rsidP="002208CD">
      <w:pPr>
        <w:spacing w:before="1"/>
        <w:ind w:right="3710"/>
        <w:rPr>
          <w:sz w:val="20"/>
          <w:szCs w:val="20"/>
        </w:rPr>
      </w:pPr>
    </w:p>
    <w:p w14:paraId="77D7F502" w14:textId="77777777" w:rsidR="002208CD" w:rsidRDefault="002208CD" w:rsidP="002208CD">
      <w:pPr>
        <w:spacing w:before="1"/>
        <w:ind w:right="3710"/>
        <w:rPr>
          <w:sz w:val="20"/>
          <w:szCs w:val="20"/>
        </w:rPr>
      </w:pPr>
    </w:p>
    <w:p w14:paraId="39C38BF8" w14:textId="77777777" w:rsidR="002208CD" w:rsidRPr="00F5662D" w:rsidRDefault="002208CD" w:rsidP="002208CD">
      <w:pPr>
        <w:spacing w:before="1"/>
        <w:ind w:right="3710"/>
        <w:rPr>
          <w:sz w:val="20"/>
          <w:szCs w:val="20"/>
        </w:rPr>
      </w:pPr>
    </w:p>
    <w:p w14:paraId="524273D0" w14:textId="77777777" w:rsidR="005D7AB7" w:rsidRDefault="005D7AB7">
      <w:pPr>
        <w:pStyle w:val="BodyText"/>
        <w:spacing w:before="6"/>
        <w:ind w:left="0"/>
        <w:rPr>
          <w:sz w:val="18"/>
        </w:rPr>
      </w:pPr>
    </w:p>
    <w:sectPr w:rsidR="005D7AB7">
      <w:type w:val="continuous"/>
      <w:pgSz w:w="12240" w:h="15840"/>
      <w:pgMar w:top="980" w:right="8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DC921" w14:textId="77777777" w:rsidR="00FD6A47" w:rsidRDefault="00FD6A47" w:rsidP="00FD6A47">
      <w:r>
        <w:separator/>
      </w:r>
    </w:p>
  </w:endnote>
  <w:endnote w:type="continuationSeparator" w:id="0">
    <w:p w14:paraId="7BD64D14" w14:textId="77777777" w:rsidR="00FD6A47" w:rsidRDefault="00FD6A47" w:rsidP="00FD6A47">
      <w:r>
        <w:continuationSeparator/>
      </w:r>
    </w:p>
  </w:endnote>
  <w:endnote w:type="continuationNotice" w:id="1">
    <w:p w14:paraId="3345F7F7" w14:textId="77777777" w:rsidR="00B27688" w:rsidRDefault="00B27688"/>
  </w:endnote>
  <w:endnote w:id="2">
    <w:p w14:paraId="6236AD0E" w14:textId="77777777" w:rsidR="002208CD" w:rsidRDefault="002208CD" w:rsidP="002208CD">
      <w:pPr>
        <w:spacing w:line="276" w:lineRule="auto"/>
        <w:ind w:left="107" w:right="801"/>
        <w:rPr>
          <w:sz w:val="16"/>
        </w:rPr>
      </w:pPr>
      <w:r>
        <w:rPr>
          <w:rStyle w:val="EndnoteReference"/>
        </w:rPr>
        <w:endnoteRef/>
      </w:r>
      <w:r>
        <w:t xml:space="preserve"> </w:t>
      </w:r>
      <w:r>
        <w:rPr>
          <w:sz w:val="16"/>
        </w:rPr>
        <w:t xml:space="preserve">Bittner, N &amp; Bechtel, C (2017). </w:t>
      </w:r>
      <w:r>
        <w:rPr>
          <w:i/>
          <w:sz w:val="16"/>
        </w:rPr>
        <w:t xml:space="preserve">Identifying and Describing Faculty Workload Issues: A Looming Faculty Shortage. </w:t>
      </w:r>
      <w:r>
        <w:rPr>
          <w:sz w:val="16"/>
        </w:rPr>
        <w:t xml:space="preserve">Nursing Education Perspectives. </w:t>
      </w:r>
      <w:hyperlink r:id="rId1">
        <w:r>
          <w:rPr>
            <w:sz w:val="16"/>
          </w:rPr>
          <w:t>July/August 2017 - Volume 38 - Issue 4 - p 171–176</w:t>
        </w:r>
      </w:hyperlink>
    </w:p>
    <w:p w14:paraId="6699EBEB" w14:textId="77777777" w:rsidR="002208CD" w:rsidRDefault="002208CD" w:rsidP="002208CD">
      <w:pPr>
        <w:spacing w:before="117"/>
        <w:ind w:left="107" w:right="138"/>
        <w:rPr>
          <w:sz w:val="16"/>
        </w:rPr>
      </w:pPr>
      <w:r>
        <w:rPr>
          <w:sz w:val="16"/>
        </w:rPr>
        <w:t xml:space="preserve">Bittner, N., Bechtel, C. </w:t>
      </w:r>
      <w:proofErr w:type="spellStart"/>
      <w:r>
        <w:rPr>
          <w:sz w:val="16"/>
        </w:rPr>
        <w:t>Frontiero</w:t>
      </w:r>
      <w:proofErr w:type="spellEnd"/>
      <w:r>
        <w:rPr>
          <w:sz w:val="16"/>
        </w:rPr>
        <w:t xml:space="preserve">, L., Kowal, N., &amp; Silveira, C. (2015) </w:t>
      </w:r>
      <w:r>
        <w:rPr>
          <w:i/>
          <w:sz w:val="16"/>
        </w:rPr>
        <w:t>Nursing Faculty Workload Survey 2015: Summary Report</w:t>
      </w:r>
      <w:r>
        <w:rPr>
          <w:sz w:val="16"/>
        </w:rPr>
        <w:t>. Robert Wood Johnson APIN Grant; Massachusetts Action Coalition, December 2015.</w:t>
      </w:r>
    </w:p>
    <w:p w14:paraId="39FC7D8C" w14:textId="77777777" w:rsidR="002208CD" w:rsidRDefault="002208CD" w:rsidP="002208CD">
      <w:pPr>
        <w:spacing w:before="124" w:line="276" w:lineRule="auto"/>
        <w:ind w:left="107"/>
        <w:rPr>
          <w:sz w:val="16"/>
        </w:rPr>
      </w:pPr>
      <w:r>
        <w:rPr>
          <w:sz w:val="16"/>
        </w:rPr>
        <w:t xml:space="preserve">Manning, K., Bittner, N. Seymour-Route, P. &amp; Bechtel, C. (2014) </w:t>
      </w:r>
      <w:r>
        <w:rPr>
          <w:i/>
          <w:sz w:val="16"/>
        </w:rPr>
        <w:t>Nursing Faculty Workforce Challenges in Massachusetts</w:t>
      </w:r>
      <w:r>
        <w:rPr>
          <w:sz w:val="16"/>
        </w:rPr>
        <w:t>. Massachusetts Action Coalition White Paper, December 2014.</w:t>
      </w:r>
    </w:p>
    <w:p w14:paraId="2FB0CC24" w14:textId="26694245" w:rsidR="002208CD" w:rsidRDefault="002208CD">
      <w:pPr>
        <w:pStyle w:val="EndnoteText"/>
      </w:pPr>
    </w:p>
    <w:p w14:paraId="59B35437" w14:textId="77777777" w:rsidR="002208CD" w:rsidRDefault="002208CD">
      <w:pPr>
        <w:pStyle w:val="EndnoteText"/>
      </w:pPr>
    </w:p>
    <w:p w14:paraId="126C94D3" w14:textId="77777777" w:rsidR="002208CD" w:rsidRDefault="002208CD">
      <w:pPr>
        <w:pStyle w:val="EndnoteText"/>
      </w:pPr>
    </w:p>
    <w:p w14:paraId="5664F774" w14:textId="77777777" w:rsidR="002208CD" w:rsidRDefault="002208CD">
      <w:pPr>
        <w:pStyle w:val="EndnoteText"/>
      </w:pPr>
    </w:p>
    <w:p w14:paraId="61BB2C48" w14:textId="77777777" w:rsidR="002208CD" w:rsidRPr="00F5662D" w:rsidRDefault="002208CD" w:rsidP="002208CD">
      <w:pPr>
        <w:tabs>
          <w:tab w:val="left" w:pos="828"/>
        </w:tabs>
        <w:ind w:left="107"/>
        <w:rPr>
          <w:sz w:val="20"/>
          <w:szCs w:val="20"/>
        </w:rPr>
      </w:pPr>
      <w:r w:rsidRPr="00F5662D">
        <w:rPr>
          <w:sz w:val="20"/>
          <w:szCs w:val="20"/>
        </w:rPr>
        <w:t xml:space="preserve">C:         </w:t>
      </w:r>
      <w:r>
        <w:rPr>
          <w:sz w:val="20"/>
          <w:szCs w:val="20"/>
        </w:rPr>
        <w:t xml:space="preserve"> </w:t>
      </w:r>
      <w:r w:rsidRPr="00F5662D">
        <w:rPr>
          <w:sz w:val="20"/>
          <w:szCs w:val="20"/>
        </w:rPr>
        <w:t xml:space="preserve"> James </w:t>
      </w:r>
      <w:proofErr w:type="spellStart"/>
      <w:r w:rsidRPr="00F5662D">
        <w:rPr>
          <w:sz w:val="20"/>
          <w:szCs w:val="20"/>
        </w:rPr>
        <w:t>Peyser</w:t>
      </w:r>
      <w:proofErr w:type="spellEnd"/>
      <w:r w:rsidRPr="00F5662D">
        <w:rPr>
          <w:sz w:val="20"/>
          <w:szCs w:val="20"/>
        </w:rPr>
        <w:t xml:space="preserve">, </w:t>
      </w:r>
      <w:r>
        <w:rPr>
          <w:sz w:val="20"/>
          <w:szCs w:val="20"/>
        </w:rPr>
        <w:t xml:space="preserve">Massachusetts </w:t>
      </w:r>
      <w:r w:rsidRPr="00F5662D">
        <w:rPr>
          <w:sz w:val="20"/>
          <w:szCs w:val="20"/>
        </w:rPr>
        <w:t xml:space="preserve">Secretary </w:t>
      </w:r>
      <w:r>
        <w:rPr>
          <w:spacing w:val="-4"/>
          <w:sz w:val="20"/>
          <w:szCs w:val="20"/>
        </w:rPr>
        <w:t xml:space="preserve">of </w:t>
      </w:r>
      <w:r w:rsidRPr="00F5662D">
        <w:rPr>
          <w:sz w:val="20"/>
          <w:szCs w:val="20"/>
        </w:rPr>
        <w:t>Education</w:t>
      </w:r>
    </w:p>
    <w:p w14:paraId="649EC17C" w14:textId="77777777" w:rsidR="002208CD" w:rsidRDefault="002208CD" w:rsidP="002208CD">
      <w:pPr>
        <w:spacing w:before="1"/>
        <w:ind w:left="828" w:right="1730"/>
        <w:rPr>
          <w:sz w:val="20"/>
          <w:szCs w:val="20"/>
        </w:rPr>
      </w:pPr>
      <w:r w:rsidRPr="00F5662D">
        <w:rPr>
          <w:sz w:val="20"/>
          <w:szCs w:val="20"/>
        </w:rPr>
        <w:t xml:space="preserve">Marylou </w:t>
      </w:r>
      <w:proofErr w:type="spellStart"/>
      <w:r w:rsidRPr="00F5662D">
        <w:rPr>
          <w:sz w:val="20"/>
          <w:szCs w:val="20"/>
        </w:rPr>
        <w:t>Sudders</w:t>
      </w:r>
      <w:proofErr w:type="spellEnd"/>
      <w:r w:rsidRPr="00F5662D">
        <w:rPr>
          <w:sz w:val="20"/>
          <w:szCs w:val="20"/>
        </w:rPr>
        <w:t xml:space="preserve">, </w:t>
      </w:r>
      <w:r>
        <w:rPr>
          <w:sz w:val="20"/>
          <w:szCs w:val="20"/>
        </w:rPr>
        <w:t>Massachusetts</w:t>
      </w:r>
      <w:r w:rsidRPr="00F5662D">
        <w:rPr>
          <w:sz w:val="20"/>
          <w:szCs w:val="20"/>
        </w:rPr>
        <w:t xml:space="preserve"> Secretary of Health &amp; Human</w:t>
      </w:r>
      <w:r>
        <w:rPr>
          <w:sz w:val="20"/>
          <w:szCs w:val="20"/>
        </w:rPr>
        <w:t xml:space="preserve"> </w:t>
      </w:r>
      <w:r w:rsidRPr="00F5662D">
        <w:rPr>
          <w:sz w:val="20"/>
          <w:szCs w:val="20"/>
        </w:rPr>
        <w:t>Services</w:t>
      </w:r>
      <w:r>
        <w:rPr>
          <w:sz w:val="20"/>
          <w:szCs w:val="20"/>
        </w:rPr>
        <w:br/>
      </w:r>
      <w:r w:rsidRPr="00F5662D">
        <w:rPr>
          <w:sz w:val="20"/>
          <w:szCs w:val="20"/>
        </w:rPr>
        <w:t xml:space="preserve">Rosalin Acosta, </w:t>
      </w:r>
      <w:r>
        <w:rPr>
          <w:sz w:val="20"/>
          <w:szCs w:val="20"/>
        </w:rPr>
        <w:t>Massachusetts</w:t>
      </w:r>
      <w:r w:rsidRPr="00F5662D">
        <w:rPr>
          <w:sz w:val="20"/>
          <w:szCs w:val="20"/>
        </w:rPr>
        <w:t xml:space="preserve"> Secretary of Labor &amp; Workforce Development </w:t>
      </w:r>
      <w:r>
        <w:rPr>
          <w:sz w:val="20"/>
          <w:szCs w:val="20"/>
        </w:rPr>
        <w:br/>
      </w:r>
      <w:r w:rsidRPr="00F5662D">
        <w:rPr>
          <w:sz w:val="20"/>
          <w:szCs w:val="20"/>
        </w:rPr>
        <w:t xml:space="preserve">Dr. Carlos Santiago, Commissioner of </w:t>
      </w:r>
      <w:r>
        <w:rPr>
          <w:sz w:val="20"/>
          <w:szCs w:val="20"/>
        </w:rPr>
        <w:t>the Massachusetts</w:t>
      </w:r>
      <w:r w:rsidRPr="00F5662D">
        <w:rPr>
          <w:sz w:val="20"/>
          <w:szCs w:val="20"/>
        </w:rPr>
        <w:t xml:space="preserve"> </w:t>
      </w:r>
      <w:r>
        <w:rPr>
          <w:sz w:val="20"/>
          <w:szCs w:val="20"/>
        </w:rPr>
        <w:t xml:space="preserve">Department of </w:t>
      </w:r>
      <w:r w:rsidRPr="00F5662D">
        <w:rPr>
          <w:sz w:val="20"/>
          <w:szCs w:val="20"/>
        </w:rPr>
        <w:t>Higher Education</w:t>
      </w:r>
    </w:p>
    <w:p w14:paraId="1968BA2E" w14:textId="77777777" w:rsidR="002208CD" w:rsidRDefault="002208C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ACFD5" w14:textId="77777777" w:rsidR="00FD6A47" w:rsidRDefault="00FD6A47" w:rsidP="00FD6A47">
      <w:r>
        <w:separator/>
      </w:r>
    </w:p>
  </w:footnote>
  <w:footnote w:type="continuationSeparator" w:id="0">
    <w:p w14:paraId="4A69384A" w14:textId="77777777" w:rsidR="00FD6A47" w:rsidRDefault="00FD6A47" w:rsidP="00FD6A47">
      <w:r>
        <w:continuationSeparator/>
      </w:r>
    </w:p>
  </w:footnote>
  <w:footnote w:type="continuationNotice" w:id="1">
    <w:p w14:paraId="631976C2" w14:textId="77777777" w:rsidR="00B27688" w:rsidRDefault="00B276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B7"/>
    <w:rsid w:val="00002C60"/>
    <w:rsid w:val="00022EAA"/>
    <w:rsid w:val="00023DA2"/>
    <w:rsid w:val="000F0456"/>
    <w:rsid w:val="00175979"/>
    <w:rsid w:val="00192014"/>
    <w:rsid w:val="001D1FB6"/>
    <w:rsid w:val="001F181A"/>
    <w:rsid w:val="00214575"/>
    <w:rsid w:val="002208CD"/>
    <w:rsid w:val="00227E1B"/>
    <w:rsid w:val="0025171D"/>
    <w:rsid w:val="00286E8A"/>
    <w:rsid w:val="00297173"/>
    <w:rsid w:val="002D01C2"/>
    <w:rsid w:val="002D7722"/>
    <w:rsid w:val="003452F3"/>
    <w:rsid w:val="003F7FF8"/>
    <w:rsid w:val="004322AF"/>
    <w:rsid w:val="004337F1"/>
    <w:rsid w:val="004442A8"/>
    <w:rsid w:val="00452588"/>
    <w:rsid w:val="0047725C"/>
    <w:rsid w:val="004C2536"/>
    <w:rsid w:val="004E5548"/>
    <w:rsid w:val="004F0AA1"/>
    <w:rsid w:val="00553F81"/>
    <w:rsid w:val="00571C58"/>
    <w:rsid w:val="0058290C"/>
    <w:rsid w:val="005B0BA3"/>
    <w:rsid w:val="005D7AB7"/>
    <w:rsid w:val="00607D2A"/>
    <w:rsid w:val="006372B1"/>
    <w:rsid w:val="006849AF"/>
    <w:rsid w:val="006E427B"/>
    <w:rsid w:val="0075642A"/>
    <w:rsid w:val="00756FA9"/>
    <w:rsid w:val="007F05BB"/>
    <w:rsid w:val="0081609F"/>
    <w:rsid w:val="00851CEE"/>
    <w:rsid w:val="00903AE0"/>
    <w:rsid w:val="00913A1E"/>
    <w:rsid w:val="00935108"/>
    <w:rsid w:val="00937F63"/>
    <w:rsid w:val="00963FCE"/>
    <w:rsid w:val="00981ED2"/>
    <w:rsid w:val="009B427D"/>
    <w:rsid w:val="009C1415"/>
    <w:rsid w:val="009D5FF0"/>
    <w:rsid w:val="00A05274"/>
    <w:rsid w:val="00A055C8"/>
    <w:rsid w:val="00A208D3"/>
    <w:rsid w:val="00A56631"/>
    <w:rsid w:val="00A649BD"/>
    <w:rsid w:val="00A77D1D"/>
    <w:rsid w:val="00AE4839"/>
    <w:rsid w:val="00B258D4"/>
    <w:rsid w:val="00B27688"/>
    <w:rsid w:val="00B563C3"/>
    <w:rsid w:val="00B80C3A"/>
    <w:rsid w:val="00B85DC8"/>
    <w:rsid w:val="00B94A04"/>
    <w:rsid w:val="00BB2F51"/>
    <w:rsid w:val="00BE279E"/>
    <w:rsid w:val="00C14600"/>
    <w:rsid w:val="00C87F9F"/>
    <w:rsid w:val="00CA3022"/>
    <w:rsid w:val="00CD5CF5"/>
    <w:rsid w:val="00D07ECE"/>
    <w:rsid w:val="00D3015A"/>
    <w:rsid w:val="00D62129"/>
    <w:rsid w:val="00DB5E83"/>
    <w:rsid w:val="00E13D75"/>
    <w:rsid w:val="00E16263"/>
    <w:rsid w:val="00E25007"/>
    <w:rsid w:val="00EE7FFD"/>
    <w:rsid w:val="00F02EB3"/>
    <w:rsid w:val="00F15CEB"/>
    <w:rsid w:val="00F26E65"/>
    <w:rsid w:val="00F50D2E"/>
    <w:rsid w:val="00F5417E"/>
    <w:rsid w:val="00F5662D"/>
    <w:rsid w:val="00F61DD2"/>
    <w:rsid w:val="00F86AB0"/>
    <w:rsid w:val="00FA5659"/>
    <w:rsid w:val="00FA5FAD"/>
    <w:rsid w:val="00FD6A47"/>
    <w:rsid w:val="021005EA"/>
    <w:rsid w:val="0B5461FD"/>
    <w:rsid w:val="0F673B61"/>
    <w:rsid w:val="226027A6"/>
    <w:rsid w:val="2E38B80C"/>
    <w:rsid w:val="2F3169A1"/>
    <w:rsid w:val="305605B9"/>
    <w:rsid w:val="3D0C67A9"/>
    <w:rsid w:val="425AB600"/>
    <w:rsid w:val="4269695B"/>
    <w:rsid w:val="473CB0F4"/>
    <w:rsid w:val="4EBE3D13"/>
    <w:rsid w:val="621BEF4E"/>
    <w:rsid w:val="6773DBEE"/>
    <w:rsid w:val="6FDF9D85"/>
    <w:rsid w:val="71F8081E"/>
    <w:rsid w:val="74DDCFA9"/>
    <w:rsid w:val="752EDDFA"/>
    <w:rsid w:val="7D0275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273BB"/>
  <w15:docId w15:val="{81066018-40E9-4FC7-B491-1F18846C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22EAA"/>
    <w:rPr>
      <w:rFonts w:ascii="Tahoma" w:hAnsi="Tahoma" w:cs="Tahoma"/>
      <w:sz w:val="16"/>
      <w:szCs w:val="16"/>
    </w:rPr>
  </w:style>
  <w:style w:type="character" w:customStyle="1" w:styleId="BalloonTextChar">
    <w:name w:val="Balloon Text Char"/>
    <w:basedOn w:val="DefaultParagraphFont"/>
    <w:link w:val="BalloonText"/>
    <w:uiPriority w:val="99"/>
    <w:semiHidden/>
    <w:rsid w:val="00022EAA"/>
    <w:rPr>
      <w:rFonts w:ascii="Tahoma" w:eastAsia="Times New Roman" w:hAnsi="Tahoma" w:cs="Tahoma"/>
      <w:sz w:val="16"/>
      <w:szCs w:val="16"/>
      <w:lang w:bidi="en-US"/>
    </w:rPr>
  </w:style>
  <w:style w:type="paragraph" w:styleId="FootnoteText">
    <w:name w:val="footnote text"/>
    <w:basedOn w:val="Normal"/>
    <w:link w:val="FootnoteTextChar"/>
    <w:uiPriority w:val="99"/>
    <w:semiHidden/>
    <w:unhideWhenUsed/>
    <w:rsid w:val="00FD6A47"/>
    <w:rPr>
      <w:sz w:val="20"/>
      <w:szCs w:val="20"/>
    </w:rPr>
  </w:style>
  <w:style w:type="character" w:customStyle="1" w:styleId="FootnoteTextChar">
    <w:name w:val="Footnote Text Char"/>
    <w:basedOn w:val="DefaultParagraphFont"/>
    <w:link w:val="FootnoteText"/>
    <w:uiPriority w:val="99"/>
    <w:semiHidden/>
    <w:rsid w:val="00FD6A47"/>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FD6A47"/>
    <w:rPr>
      <w:vertAlign w:val="superscript"/>
    </w:rPr>
  </w:style>
  <w:style w:type="paragraph" w:styleId="EndnoteText">
    <w:name w:val="endnote text"/>
    <w:basedOn w:val="Normal"/>
    <w:link w:val="EndnoteTextChar"/>
    <w:uiPriority w:val="99"/>
    <w:semiHidden/>
    <w:unhideWhenUsed/>
    <w:rsid w:val="002208CD"/>
    <w:rPr>
      <w:sz w:val="20"/>
      <w:szCs w:val="20"/>
    </w:rPr>
  </w:style>
  <w:style w:type="character" w:customStyle="1" w:styleId="EndnoteTextChar">
    <w:name w:val="Endnote Text Char"/>
    <w:basedOn w:val="DefaultParagraphFont"/>
    <w:link w:val="EndnoteText"/>
    <w:uiPriority w:val="99"/>
    <w:semiHidden/>
    <w:rsid w:val="002208CD"/>
    <w:rPr>
      <w:rFonts w:ascii="Times New Roman" w:eastAsia="Times New Roman" w:hAnsi="Times New Roman" w:cs="Times New Roman"/>
      <w:sz w:val="20"/>
      <w:szCs w:val="20"/>
      <w:lang w:bidi="en-US"/>
    </w:rPr>
  </w:style>
  <w:style w:type="character" w:styleId="EndnoteReference">
    <w:name w:val="endnote reference"/>
    <w:basedOn w:val="DefaultParagraphFont"/>
    <w:uiPriority w:val="99"/>
    <w:semiHidden/>
    <w:unhideWhenUsed/>
    <w:rsid w:val="002208CD"/>
    <w:rPr>
      <w:vertAlign w:val="superscript"/>
    </w:rPr>
  </w:style>
  <w:style w:type="paragraph" w:styleId="Header">
    <w:name w:val="header"/>
    <w:basedOn w:val="Normal"/>
    <w:link w:val="HeaderChar"/>
    <w:uiPriority w:val="99"/>
    <w:semiHidden/>
    <w:unhideWhenUsed/>
    <w:rsid w:val="00B27688"/>
    <w:pPr>
      <w:tabs>
        <w:tab w:val="center" w:pos="4680"/>
        <w:tab w:val="right" w:pos="9360"/>
      </w:tabs>
    </w:pPr>
  </w:style>
  <w:style w:type="character" w:customStyle="1" w:styleId="HeaderChar">
    <w:name w:val="Header Char"/>
    <w:basedOn w:val="DefaultParagraphFont"/>
    <w:link w:val="Header"/>
    <w:uiPriority w:val="99"/>
    <w:semiHidden/>
    <w:rsid w:val="00B27688"/>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B27688"/>
    <w:pPr>
      <w:tabs>
        <w:tab w:val="center" w:pos="4680"/>
        <w:tab w:val="right" w:pos="9360"/>
      </w:tabs>
    </w:pPr>
  </w:style>
  <w:style w:type="character" w:customStyle="1" w:styleId="FooterChar">
    <w:name w:val="Footer Char"/>
    <w:basedOn w:val="DefaultParagraphFont"/>
    <w:link w:val="Footer"/>
    <w:uiPriority w:val="99"/>
    <w:semiHidden/>
    <w:rsid w:val="00B27688"/>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endnotes.xml.rels><?xml version="1.0" encoding="UTF-8" standalone="yes"?>
<Relationships xmlns="http://schemas.openxmlformats.org/package/2006/relationships"><Relationship Id="rId1" Type="http://schemas.openxmlformats.org/officeDocument/2006/relationships/hyperlink" Target="http://journals.lww.com/neponline/pages/currentto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53D15-019E-4BDC-BE9D-6478F011D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457</Words>
  <Characters>2606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Desien</dc:creator>
  <cp:keywords/>
  <cp:lastModifiedBy>David W. Koffman</cp:lastModifiedBy>
  <cp:revision>46</cp:revision>
  <dcterms:created xsi:type="dcterms:W3CDTF">2020-10-29T17:18:00Z</dcterms:created>
  <dcterms:modified xsi:type="dcterms:W3CDTF">2020-10-29T18:27:00Z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Microsoft® Word 2016</vt:lpwstr>
  </property>
  <property fmtid="{D5CDD505-2E9C-101B-9397-08002B2CF9AE}" pid="4" name="LastSaved">
    <vt:filetime>2020-03-18T00:00:00Z</vt:filetime>
  </property>
</Properties>
</file>