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9AA7" w14:textId="77777777" w:rsidR="005C0917" w:rsidRDefault="005C0917">
      <w:pPr>
        <w:rPr>
          <w:rFonts w:ascii="Calibri" w:hAnsi="Calibri"/>
          <w:lang w:eastAsia="x-none"/>
        </w:rPr>
      </w:pPr>
    </w:p>
    <w:p w14:paraId="61D1D7E6" w14:textId="77777777" w:rsidR="005C0917" w:rsidRDefault="005C0917">
      <w:pPr>
        <w:rPr>
          <w:rFonts w:ascii="Calibri" w:hAnsi="Calibri"/>
          <w:lang w:eastAsia="x-none"/>
        </w:rPr>
      </w:pPr>
    </w:p>
    <w:p w14:paraId="4A548D96" w14:textId="77777777" w:rsidR="005C0917" w:rsidRDefault="005C0917">
      <w:pPr>
        <w:rPr>
          <w:rFonts w:ascii="Calibri" w:hAnsi="Calibri"/>
          <w:lang w:eastAsia="x-none"/>
        </w:rPr>
      </w:pPr>
    </w:p>
    <w:p w14:paraId="28C89713" w14:textId="77777777" w:rsidR="005C0917" w:rsidRDefault="005C0917">
      <w:pPr>
        <w:rPr>
          <w:rFonts w:ascii="Calibri" w:hAnsi="Calibri"/>
          <w:sz w:val="24"/>
          <w:szCs w:val="24"/>
          <w:lang w:eastAsia="x-none"/>
        </w:rPr>
      </w:pPr>
    </w:p>
    <w:p w14:paraId="325876BD" w14:textId="77777777" w:rsidR="005C0917" w:rsidRDefault="005C0917">
      <w:pPr>
        <w:rPr>
          <w:rFonts w:ascii="Calibri" w:hAnsi="Calibri"/>
          <w:sz w:val="24"/>
          <w:szCs w:val="24"/>
          <w:lang w:eastAsia="x-none"/>
        </w:rPr>
      </w:pPr>
    </w:p>
    <w:p w14:paraId="06D00B67" w14:textId="77777777" w:rsidR="005C0917" w:rsidRDefault="005C0917">
      <w:pPr>
        <w:rPr>
          <w:rFonts w:ascii="Calibri" w:hAnsi="Calibri"/>
          <w:sz w:val="24"/>
          <w:szCs w:val="24"/>
          <w:lang w:eastAsia="x-none"/>
        </w:rPr>
      </w:pPr>
    </w:p>
    <w:p w14:paraId="7652209E" w14:textId="77777777" w:rsidR="005C0917" w:rsidRDefault="005C0917">
      <w:pPr>
        <w:rPr>
          <w:rFonts w:ascii="Calibri" w:hAnsi="Calibri"/>
          <w:sz w:val="24"/>
          <w:szCs w:val="24"/>
          <w:lang w:eastAsia="x-none"/>
        </w:rPr>
      </w:pPr>
    </w:p>
    <w:p w14:paraId="47BA4210" w14:textId="77777777" w:rsidR="005C0917" w:rsidRDefault="005C0917">
      <w:pPr>
        <w:keepNext/>
        <w:tabs>
          <w:tab w:val="left" w:pos="4320"/>
        </w:tabs>
        <w:jc w:val="center"/>
        <w:outlineLvl w:val="0"/>
        <w:rPr>
          <w:rFonts w:ascii="Calibri" w:hAnsi="Calibri"/>
          <w:b/>
          <w:bCs/>
          <w:sz w:val="28"/>
          <w:szCs w:val="24"/>
          <w:lang w:eastAsia="x-none"/>
        </w:rPr>
      </w:pPr>
    </w:p>
    <w:p w14:paraId="4F85329C" w14:textId="77777777" w:rsidR="005C0917" w:rsidRDefault="005C0917">
      <w:pPr>
        <w:keepNext/>
        <w:tabs>
          <w:tab w:val="left" w:pos="4320"/>
        </w:tabs>
        <w:jc w:val="center"/>
        <w:outlineLvl w:val="0"/>
        <w:rPr>
          <w:rFonts w:ascii="Calibri" w:hAnsi="Calibri"/>
          <w:b/>
          <w:bCs/>
          <w:sz w:val="28"/>
          <w:szCs w:val="24"/>
          <w:lang w:eastAsia="x-none"/>
        </w:rPr>
      </w:pPr>
    </w:p>
    <w:p w14:paraId="43F3597F" w14:textId="77777777" w:rsidR="005C0917" w:rsidRDefault="005C0917">
      <w:pPr>
        <w:keepNext/>
        <w:tabs>
          <w:tab w:val="left" w:pos="4320"/>
        </w:tabs>
        <w:jc w:val="center"/>
        <w:outlineLvl w:val="0"/>
        <w:rPr>
          <w:rFonts w:ascii="Calibri" w:hAnsi="Calibri"/>
          <w:b/>
          <w:bCs/>
          <w:sz w:val="28"/>
          <w:szCs w:val="24"/>
          <w:lang w:eastAsia="x-none"/>
        </w:rPr>
      </w:pPr>
    </w:p>
    <w:p w14:paraId="69BD3A45" w14:textId="32C163C5" w:rsidR="005C0917" w:rsidRDefault="00B96D09">
      <w:pPr>
        <w:keepNext/>
        <w:tabs>
          <w:tab w:val="left" w:pos="4320"/>
        </w:tabs>
        <w:jc w:val="center"/>
        <w:outlineLvl w:val="0"/>
        <w:rPr>
          <w:rFonts w:ascii="Calibri" w:hAnsi="Calibri"/>
          <w:b/>
          <w:bCs/>
          <w:sz w:val="28"/>
          <w:szCs w:val="24"/>
          <w:lang w:eastAsia="x-none"/>
        </w:rPr>
      </w:pPr>
      <w:r>
        <w:rPr>
          <w:rFonts w:ascii="Calibri" w:hAnsi="Calibri"/>
          <w:b/>
          <w:bCs/>
          <w:noProof/>
          <w:sz w:val="28"/>
          <w:szCs w:val="24"/>
          <w:lang w:eastAsia="x-none"/>
        </w:rPr>
        <w:drawing>
          <wp:inline distT="0" distB="0" distL="0" distR="0" wp14:anchorId="7B4E0663" wp14:editId="21439447">
            <wp:extent cx="3352800" cy="882650"/>
            <wp:effectExtent l="0" t="0" r="0" b="0"/>
            <wp:docPr id="1" name="Picture 1" descr="MassDOT - Massachusetts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DOT - Massachusetts Department of Transport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882650"/>
                    </a:xfrm>
                    <a:prstGeom prst="rect">
                      <a:avLst/>
                    </a:prstGeom>
                    <a:noFill/>
                    <a:ln>
                      <a:noFill/>
                    </a:ln>
                  </pic:spPr>
                </pic:pic>
              </a:graphicData>
            </a:graphic>
          </wp:inline>
        </w:drawing>
      </w:r>
      <w:r w:rsidR="005C0917">
        <w:rPr>
          <w:rFonts w:ascii="Calibri" w:hAnsi="Calibri"/>
          <w:b/>
          <w:bCs/>
          <w:sz w:val="28"/>
          <w:szCs w:val="24"/>
          <w:lang w:eastAsia="x-none"/>
        </w:rPr>
        <w:t xml:space="preserve">    </w:t>
      </w:r>
    </w:p>
    <w:p w14:paraId="1B7160CE" w14:textId="77777777" w:rsidR="005C0917" w:rsidRDefault="005C0917">
      <w:pPr>
        <w:keepNext/>
        <w:tabs>
          <w:tab w:val="left" w:pos="4320"/>
        </w:tabs>
        <w:jc w:val="center"/>
        <w:outlineLvl w:val="0"/>
        <w:rPr>
          <w:rFonts w:ascii="Calibri" w:hAnsi="Calibri"/>
          <w:b/>
          <w:bCs/>
          <w:sz w:val="28"/>
          <w:szCs w:val="24"/>
          <w:lang w:eastAsia="x-none"/>
        </w:rPr>
      </w:pPr>
    </w:p>
    <w:p w14:paraId="679B7C5A" w14:textId="77777777" w:rsidR="005C0917" w:rsidRDefault="005C0917">
      <w:pPr>
        <w:keepNext/>
        <w:tabs>
          <w:tab w:val="left" w:pos="4320"/>
        </w:tabs>
        <w:jc w:val="center"/>
        <w:outlineLvl w:val="0"/>
        <w:rPr>
          <w:rFonts w:ascii="Calibri" w:hAnsi="Calibri"/>
          <w:b/>
          <w:bCs/>
          <w:sz w:val="28"/>
          <w:szCs w:val="24"/>
          <w:lang w:eastAsia="x-none"/>
        </w:rPr>
      </w:pPr>
    </w:p>
    <w:p w14:paraId="52FE6767" w14:textId="77777777" w:rsidR="005C0917" w:rsidRDefault="005C0917">
      <w:pPr>
        <w:keepNext/>
        <w:tabs>
          <w:tab w:val="left" w:pos="4320"/>
        </w:tabs>
        <w:jc w:val="center"/>
        <w:outlineLvl w:val="0"/>
        <w:rPr>
          <w:rFonts w:ascii="Calibri" w:hAnsi="Calibri"/>
          <w:b/>
          <w:bCs/>
          <w:sz w:val="28"/>
          <w:szCs w:val="24"/>
          <w:lang w:eastAsia="x-none"/>
        </w:rPr>
      </w:pPr>
      <w:r>
        <w:rPr>
          <w:rFonts w:ascii="Calibri" w:hAnsi="Calibri"/>
          <w:b/>
          <w:bCs/>
          <w:smallCaps/>
          <w:sz w:val="28"/>
          <w:szCs w:val="24"/>
          <w:lang w:val="x-none" w:eastAsia="x-none"/>
        </w:rPr>
        <w:t>Massachusetts Department of Transportation</w:t>
      </w:r>
    </w:p>
    <w:p w14:paraId="04D1CB0A" w14:textId="77777777" w:rsidR="005C0917" w:rsidRDefault="005C0917">
      <w:pPr>
        <w:rPr>
          <w:rFonts w:ascii="Calibri" w:hAnsi="Calibri"/>
          <w:sz w:val="24"/>
          <w:szCs w:val="24"/>
          <w:lang w:eastAsia="x-none"/>
        </w:rPr>
      </w:pPr>
    </w:p>
    <w:p w14:paraId="7F66F254" w14:textId="77777777" w:rsidR="005C0917" w:rsidRDefault="005C0917">
      <w:pPr>
        <w:widowControl w:val="0"/>
        <w:tabs>
          <w:tab w:val="center" w:pos="4680"/>
        </w:tabs>
        <w:jc w:val="center"/>
        <w:rPr>
          <w:rFonts w:ascii="Calibri" w:hAnsi="Calibri"/>
          <w:b/>
          <w:sz w:val="28"/>
          <w:szCs w:val="28"/>
        </w:rPr>
      </w:pPr>
    </w:p>
    <w:p w14:paraId="2B6B8D75" w14:textId="77777777" w:rsidR="005C0917" w:rsidRDefault="005C0917">
      <w:pPr>
        <w:widowControl w:val="0"/>
        <w:tabs>
          <w:tab w:val="center" w:pos="4680"/>
        </w:tabs>
        <w:jc w:val="center"/>
        <w:rPr>
          <w:rFonts w:ascii="Calibri" w:hAnsi="Calibri"/>
          <w:b/>
          <w:sz w:val="28"/>
          <w:szCs w:val="28"/>
        </w:rPr>
      </w:pPr>
    </w:p>
    <w:p w14:paraId="581E8E9B" w14:textId="77777777" w:rsidR="005C0917" w:rsidRDefault="005C0917">
      <w:pPr>
        <w:widowControl w:val="0"/>
        <w:tabs>
          <w:tab w:val="center" w:pos="4680"/>
        </w:tabs>
        <w:jc w:val="center"/>
        <w:rPr>
          <w:rFonts w:ascii="Calibri" w:hAnsi="Calibri"/>
          <w:sz w:val="28"/>
          <w:szCs w:val="28"/>
        </w:rPr>
      </w:pPr>
      <w:r>
        <w:rPr>
          <w:rFonts w:ascii="Calibri" w:hAnsi="Calibri"/>
          <w:b/>
          <w:sz w:val="28"/>
          <w:szCs w:val="28"/>
        </w:rPr>
        <w:t>INTEREST RATE SWAP MANAGEMENT POLICY</w:t>
      </w:r>
    </w:p>
    <w:p w14:paraId="2751A6A1" w14:textId="77777777" w:rsidR="005C0917" w:rsidRDefault="005C0917">
      <w:pPr>
        <w:jc w:val="center"/>
        <w:rPr>
          <w:rFonts w:ascii="Calibri" w:hAnsi="Calibri"/>
          <w:b/>
          <w:bCs/>
          <w:sz w:val="28"/>
          <w:szCs w:val="28"/>
        </w:rPr>
      </w:pPr>
    </w:p>
    <w:p w14:paraId="02722B8F" w14:textId="77777777" w:rsidR="005C0917" w:rsidRDefault="005C0917">
      <w:pPr>
        <w:jc w:val="center"/>
        <w:rPr>
          <w:rFonts w:ascii="Calibri" w:hAnsi="Calibri"/>
          <w:b/>
          <w:bCs/>
          <w:sz w:val="28"/>
          <w:szCs w:val="24"/>
        </w:rPr>
      </w:pPr>
    </w:p>
    <w:p w14:paraId="70FDC1D9" w14:textId="77777777" w:rsidR="005C0917" w:rsidRDefault="005C0917">
      <w:pPr>
        <w:jc w:val="center"/>
        <w:rPr>
          <w:rFonts w:ascii="Calibri" w:hAnsi="Calibri"/>
          <w:b/>
          <w:bCs/>
          <w:sz w:val="28"/>
          <w:szCs w:val="24"/>
        </w:rPr>
      </w:pPr>
    </w:p>
    <w:p w14:paraId="520284D0" w14:textId="77777777" w:rsidR="005C0917" w:rsidRDefault="005C0917">
      <w:pPr>
        <w:jc w:val="center"/>
        <w:rPr>
          <w:rFonts w:ascii="Calibri" w:hAnsi="Calibri"/>
          <w:b/>
          <w:bCs/>
          <w:sz w:val="28"/>
          <w:szCs w:val="24"/>
        </w:rPr>
      </w:pPr>
    </w:p>
    <w:p w14:paraId="45AE0E62" w14:textId="77777777" w:rsidR="005C0917" w:rsidRDefault="005C0917">
      <w:pPr>
        <w:jc w:val="center"/>
        <w:rPr>
          <w:rFonts w:ascii="Calibri" w:hAnsi="Calibri"/>
          <w:b/>
          <w:bCs/>
          <w:sz w:val="28"/>
          <w:szCs w:val="24"/>
        </w:rPr>
      </w:pPr>
    </w:p>
    <w:p w14:paraId="416A91E1" w14:textId="77777777" w:rsidR="005C0917" w:rsidRDefault="005C0917">
      <w:pPr>
        <w:rPr>
          <w:rFonts w:ascii="Calibri" w:hAnsi="Calibri"/>
          <w:b/>
          <w:bCs/>
          <w:sz w:val="28"/>
          <w:szCs w:val="24"/>
        </w:rPr>
      </w:pPr>
    </w:p>
    <w:p w14:paraId="306B3B22" w14:textId="77777777" w:rsidR="005C0917" w:rsidRDefault="005C0917">
      <w:pPr>
        <w:jc w:val="center"/>
        <w:rPr>
          <w:rFonts w:ascii="Calibri" w:hAnsi="Calibri"/>
          <w:b/>
          <w:bCs/>
          <w:sz w:val="28"/>
          <w:szCs w:val="24"/>
        </w:rPr>
      </w:pPr>
    </w:p>
    <w:p w14:paraId="1CC84B64" w14:textId="77777777" w:rsidR="005C0917" w:rsidRDefault="005C0917">
      <w:pPr>
        <w:jc w:val="center"/>
        <w:rPr>
          <w:rFonts w:ascii="Calibri" w:hAnsi="Calibri"/>
          <w:b/>
          <w:bCs/>
          <w:sz w:val="28"/>
          <w:szCs w:val="24"/>
        </w:rPr>
      </w:pPr>
    </w:p>
    <w:p w14:paraId="4B00EC1B" w14:textId="77777777" w:rsidR="005C0917" w:rsidRDefault="005C0917">
      <w:pPr>
        <w:jc w:val="center"/>
        <w:rPr>
          <w:rFonts w:ascii="Calibri" w:hAnsi="Calibri"/>
          <w:b/>
          <w:bCs/>
          <w:sz w:val="28"/>
          <w:szCs w:val="24"/>
        </w:rPr>
      </w:pPr>
    </w:p>
    <w:p w14:paraId="7D6EAB29" w14:textId="77777777" w:rsidR="005C0917" w:rsidRDefault="005C0917">
      <w:pPr>
        <w:jc w:val="center"/>
        <w:rPr>
          <w:rFonts w:ascii="Calibri" w:hAnsi="Calibri"/>
          <w:b/>
          <w:bCs/>
          <w:sz w:val="28"/>
          <w:szCs w:val="24"/>
        </w:rPr>
      </w:pPr>
    </w:p>
    <w:p w14:paraId="19A93E8E" w14:textId="77777777" w:rsidR="005C0917" w:rsidRDefault="005C0917">
      <w:pPr>
        <w:jc w:val="center"/>
        <w:rPr>
          <w:rFonts w:ascii="Calibri" w:hAnsi="Calibri"/>
          <w:b/>
          <w:bCs/>
          <w:sz w:val="28"/>
          <w:szCs w:val="24"/>
        </w:rPr>
      </w:pPr>
    </w:p>
    <w:p w14:paraId="0CD18E67" w14:textId="77777777" w:rsidR="005C0917" w:rsidRDefault="005C0917">
      <w:pPr>
        <w:jc w:val="center"/>
        <w:rPr>
          <w:rFonts w:ascii="Calibri" w:hAnsi="Calibri"/>
          <w:b/>
          <w:bCs/>
          <w:sz w:val="28"/>
          <w:szCs w:val="24"/>
        </w:rPr>
      </w:pPr>
    </w:p>
    <w:p w14:paraId="5E50BD76" w14:textId="77777777" w:rsidR="005C0917" w:rsidRDefault="005C0917">
      <w:pPr>
        <w:jc w:val="center"/>
        <w:rPr>
          <w:rFonts w:ascii="Calibri" w:hAnsi="Calibri"/>
          <w:b/>
          <w:bCs/>
          <w:sz w:val="28"/>
          <w:szCs w:val="24"/>
        </w:rPr>
      </w:pPr>
    </w:p>
    <w:p w14:paraId="5A8152F9" w14:textId="77777777" w:rsidR="005C0917" w:rsidRDefault="005C0917">
      <w:pPr>
        <w:jc w:val="center"/>
        <w:rPr>
          <w:rFonts w:ascii="Calibri" w:hAnsi="Calibri"/>
          <w:b/>
          <w:bCs/>
          <w:sz w:val="28"/>
          <w:szCs w:val="24"/>
        </w:rPr>
      </w:pPr>
    </w:p>
    <w:p w14:paraId="2E590502" w14:textId="77777777" w:rsidR="005C0917" w:rsidRDefault="005C0917">
      <w:pPr>
        <w:jc w:val="center"/>
        <w:rPr>
          <w:rFonts w:ascii="Calibri" w:hAnsi="Calibri"/>
          <w:b/>
          <w:bCs/>
          <w:sz w:val="28"/>
          <w:szCs w:val="24"/>
        </w:rPr>
      </w:pPr>
    </w:p>
    <w:p w14:paraId="2821DC71" w14:textId="77777777" w:rsidR="005C0917" w:rsidRDefault="003466FE">
      <w:pPr>
        <w:jc w:val="center"/>
        <w:rPr>
          <w:rFonts w:ascii="Calibri" w:hAnsi="Calibri"/>
          <w:b/>
          <w:bCs/>
          <w:sz w:val="28"/>
          <w:szCs w:val="24"/>
        </w:rPr>
      </w:pPr>
      <w:r>
        <w:rPr>
          <w:rFonts w:ascii="Calibri" w:hAnsi="Calibri"/>
          <w:b/>
          <w:bCs/>
          <w:sz w:val="28"/>
          <w:szCs w:val="24"/>
        </w:rPr>
        <w:t xml:space="preserve">March </w:t>
      </w:r>
      <w:r w:rsidR="004D5ECF">
        <w:rPr>
          <w:rFonts w:ascii="Calibri" w:hAnsi="Calibri"/>
          <w:b/>
          <w:bCs/>
          <w:sz w:val="28"/>
          <w:szCs w:val="24"/>
        </w:rPr>
        <w:t>16</w:t>
      </w:r>
      <w:r w:rsidR="00E97663">
        <w:rPr>
          <w:rFonts w:ascii="Calibri" w:hAnsi="Calibri"/>
          <w:b/>
          <w:bCs/>
          <w:sz w:val="28"/>
          <w:szCs w:val="24"/>
        </w:rPr>
        <w:t>, 2022</w:t>
      </w:r>
    </w:p>
    <w:p w14:paraId="3612B62A" w14:textId="77777777" w:rsidR="005C0917" w:rsidRDefault="005C0917">
      <w:pPr>
        <w:jc w:val="center"/>
        <w:rPr>
          <w:rFonts w:ascii="Calibri" w:hAnsi="Calibri"/>
          <w:b/>
          <w:bCs/>
          <w:sz w:val="28"/>
          <w:szCs w:val="24"/>
        </w:rPr>
      </w:pPr>
    </w:p>
    <w:p w14:paraId="06E33E4E" w14:textId="77777777" w:rsidR="005C0917" w:rsidRDefault="005C0917">
      <w:pPr>
        <w:jc w:val="center"/>
        <w:rPr>
          <w:rFonts w:ascii="Calibri" w:hAnsi="Calibri"/>
          <w:b/>
          <w:bCs/>
          <w:sz w:val="28"/>
          <w:szCs w:val="24"/>
        </w:rPr>
      </w:pPr>
    </w:p>
    <w:p w14:paraId="56D9F008" w14:textId="77777777" w:rsidR="005C0917" w:rsidRDefault="005C0917">
      <w:pPr>
        <w:jc w:val="center"/>
        <w:rPr>
          <w:rFonts w:ascii="Calibri" w:hAnsi="Calibri"/>
          <w:b/>
          <w:bCs/>
          <w:sz w:val="28"/>
          <w:szCs w:val="24"/>
        </w:rPr>
      </w:pPr>
    </w:p>
    <w:p w14:paraId="01DA3781" w14:textId="77777777" w:rsidR="005C0917" w:rsidRDefault="005C0917">
      <w:pPr>
        <w:pStyle w:val="Heading3"/>
        <w:numPr>
          <w:ilvl w:val="0"/>
          <w:numId w:val="7"/>
        </w:numPr>
        <w:jc w:val="both"/>
        <w:rPr>
          <w:rFonts w:ascii="Calibri" w:hAnsi="Calibri"/>
          <w:sz w:val="24"/>
        </w:rPr>
      </w:pPr>
      <w:r>
        <w:rPr>
          <w:rFonts w:ascii="Calibri" w:hAnsi="Calibri"/>
          <w:sz w:val="24"/>
        </w:rPr>
        <w:t>Purpose</w:t>
      </w:r>
    </w:p>
    <w:p w14:paraId="2B90061D" w14:textId="77777777" w:rsidR="005C0917" w:rsidRDefault="005C0917">
      <w:pPr>
        <w:rPr>
          <w:rFonts w:ascii="Calibri" w:hAnsi="Calibri"/>
        </w:rPr>
      </w:pPr>
    </w:p>
    <w:p w14:paraId="4F474D7E" w14:textId="77777777" w:rsidR="005C0917" w:rsidRDefault="005C0917">
      <w:pPr>
        <w:jc w:val="both"/>
        <w:rPr>
          <w:rFonts w:ascii="Calibri" w:hAnsi="Calibri"/>
          <w:sz w:val="24"/>
        </w:rPr>
      </w:pPr>
      <w:r>
        <w:rPr>
          <w:rFonts w:ascii="Calibri" w:hAnsi="Calibri"/>
          <w:sz w:val="24"/>
        </w:rPr>
        <w:t xml:space="preserve">The purpose of this policy is to provide a framework for the use and effective management of interest rate swaps and other derivative products including caps, floors, collars, options and other hedges or derivative financial products (collectively referred to herein as “swaps”) of the Massachusetts Department of Transportation (“MassDOT”) </w:t>
      </w:r>
      <w:r w:rsidR="00830148">
        <w:rPr>
          <w:rFonts w:ascii="Calibri" w:hAnsi="Calibri"/>
          <w:sz w:val="24"/>
        </w:rPr>
        <w:t xml:space="preserve">as related to MassDOT’s outstanding </w:t>
      </w:r>
      <w:r w:rsidR="00096E36">
        <w:rPr>
          <w:rFonts w:ascii="Calibri" w:hAnsi="Calibri"/>
          <w:sz w:val="24"/>
        </w:rPr>
        <w:t>bonds</w:t>
      </w:r>
      <w:r w:rsidR="00830148">
        <w:rPr>
          <w:rFonts w:ascii="Calibri" w:hAnsi="Calibri"/>
          <w:sz w:val="24"/>
        </w:rPr>
        <w:t xml:space="preserve"> and </w:t>
      </w:r>
      <w:r>
        <w:rPr>
          <w:rFonts w:ascii="Calibri" w:hAnsi="Calibri"/>
          <w:sz w:val="24"/>
        </w:rPr>
        <w:t>consistent with Chapter 6C of the Massachusetts General Laws (the “Enabling Act”) and other applicable law and the terms of the relevant trust agreements</w:t>
      </w:r>
      <w:r w:rsidR="004C25B5">
        <w:rPr>
          <w:rFonts w:ascii="Calibri" w:hAnsi="Calibri"/>
          <w:sz w:val="24"/>
        </w:rPr>
        <w:t xml:space="preserve">. </w:t>
      </w:r>
      <w:r>
        <w:rPr>
          <w:rFonts w:ascii="Calibri" w:hAnsi="Calibri"/>
          <w:sz w:val="24"/>
        </w:rPr>
        <w:t xml:space="preserve">The policy is intended to serve as a source of information and guidance for the ongoing management of existing swaps and when </w:t>
      </w:r>
      <w:r w:rsidR="00130BDA">
        <w:rPr>
          <w:rFonts w:ascii="Calibri" w:hAnsi="Calibri"/>
          <w:sz w:val="24"/>
        </w:rPr>
        <w:t xml:space="preserve">amending, terminating, or </w:t>
      </w:r>
      <w:proofErr w:type="gramStart"/>
      <w:r>
        <w:rPr>
          <w:rFonts w:ascii="Calibri" w:hAnsi="Calibri"/>
          <w:sz w:val="24"/>
        </w:rPr>
        <w:t>entering into</w:t>
      </w:r>
      <w:proofErr w:type="gramEnd"/>
      <w:r>
        <w:rPr>
          <w:rFonts w:ascii="Calibri" w:hAnsi="Calibri"/>
          <w:sz w:val="24"/>
        </w:rPr>
        <w:t xml:space="preserve"> </w:t>
      </w:r>
      <w:r w:rsidR="00130BDA">
        <w:rPr>
          <w:rFonts w:ascii="Calibri" w:hAnsi="Calibri"/>
          <w:sz w:val="24"/>
        </w:rPr>
        <w:t xml:space="preserve">a </w:t>
      </w:r>
      <w:r>
        <w:rPr>
          <w:rFonts w:ascii="Calibri" w:hAnsi="Calibri"/>
          <w:sz w:val="24"/>
        </w:rPr>
        <w:t xml:space="preserve">new swap for the professional staff of MassDOT, its Board of Directors, and the bond rating agencies, as well as the </w:t>
      </w:r>
      <w:proofErr w:type="gramStart"/>
      <w:r>
        <w:rPr>
          <w:rFonts w:ascii="Calibri" w:hAnsi="Calibri"/>
          <w:sz w:val="24"/>
        </w:rPr>
        <w:t>general public</w:t>
      </w:r>
      <w:proofErr w:type="gramEnd"/>
      <w:r>
        <w:rPr>
          <w:rFonts w:ascii="Calibri" w:hAnsi="Calibri"/>
          <w:sz w:val="24"/>
        </w:rPr>
        <w:t xml:space="preserve"> and financial institutions doing business with MassDOT.</w:t>
      </w:r>
    </w:p>
    <w:p w14:paraId="7D74CC23" w14:textId="77777777" w:rsidR="005C0917" w:rsidRDefault="005C0917">
      <w:pPr>
        <w:jc w:val="both"/>
        <w:rPr>
          <w:rFonts w:ascii="Calibri" w:hAnsi="Calibri"/>
          <w:sz w:val="24"/>
        </w:rPr>
      </w:pPr>
    </w:p>
    <w:p w14:paraId="04C8541A" w14:textId="77777777" w:rsidR="005C0917" w:rsidRDefault="005C0917">
      <w:pPr>
        <w:pStyle w:val="Heading3"/>
        <w:numPr>
          <w:ilvl w:val="0"/>
          <w:numId w:val="7"/>
        </w:numPr>
        <w:jc w:val="both"/>
        <w:rPr>
          <w:rFonts w:ascii="Calibri" w:hAnsi="Calibri"/>
          <w:sz w:val="24"/>
        </w:rPr>
      </w:pPr>
      <w:r>
        <w:rPr>
          <w:rFonts w:ascii="Calibri" w:hAnsi="Calibri"/>
          <w:sz w:val="24"/>
        </w:rPr>
        <w:t>Scope</w:t>
      </w:r>
    </w:p>
    <w:p w14:paraId="144F26D1" w14:textId="77777777" w:rsidR="005C0917" w:rsidRDefault="005C0917">
      <w:pPr>
        <w:jc w:val="both"/>
        <w:rPr>
          <w:rFonts w:ascii="Calibri" w:hAnsi="Calibri"/>
          <w:sz w:val="24"/>
        </w:rPr>
      </w:pPr>
    </w:p>
    <w:p w14:paraId="3B90CA56" w14:textId="77777777" w:rsidR="005C0917" w:rsidRDefault="00130BDA">
      <w:pPr>
        <w:jc w:val="both"/>
        <w:rPr>
          <w:rFonts w:ascii="Calibri" w:hAnsi="Calibri"/>
          <w:sz w:val="24"/>
        </w:rPr>
      </w:pPr>
      <w:r>
        <w:rPr>
          <w:rFonts w:ascii="Calibri" w:hAnsi="Calibri"/>
          <w:sz w:val="24"/>
        </w:rPr>
        <w:t xml:space="preserve">This </w:t>
      </w:r>
      <w:r w:rsidR="005C0917">
        <w:rPr>
          <w:rFonts w:ascii="Calibri" w:hAnsi="Calibri"/>
          <w:sz w:val="24"/>
        </w:rPr>
        <w:t>policy describes the circumstances and methods by which swaps may be used or amended, the guidelines to be employed when swaps are used or amended, and the parties responsible for monitoring these policies</w:t>
      </w:r>
      <w:r w:rsidR="004C25B5">
        <w:rPr>
          <w:rFonts w:ascii="Calibri" w:hAnsi="Calibri"/>
          <w:sz w:val="24"/>
        </w:rPr>
        <w:t xml:space="preserve">. </w:t>
      </w:r>
      <w:r w:rsidR="005C0917">
        <w:rPr>
          <w:rFonts w:ascii="Calibri" w:hAnsi="Calibri"/>
          <w:sz w:val="24"/>
        </w:rPr>
        <w:t>The policy also describes the internal management and external professional services necessary to support MassDOT’s swap portfolio and the process which will be followed to procure these services</w:t>
      </w:r>
      <w:r w:rsidR="004C25B5">
        <w:rPr>
          <w:rFonts w:ascii="Calibri" w:hAnsi="Calibri"/>
          <w:sz w:val="24"/>
        </w:rPr>
        <w:t xml:space="preserve">. </w:t>
      </w:r>
      <w:r w:rsidR="005C0917">
        <w:rPr>
          <w:rFonts w:ascii="Calibri" w:hAnsi="Calibri"/>
          <w:sz w:val="24"/>
        </w:rPr>
        <w:t xml:space="preserve">Although MassDOT </w:t>
      </w:r>
      <w:r w:rsidR="001C3599">
        <w:rPr>
          <w:rFonts w:ascii="Calibri" w:hAnsi="Calibri"/>
          <w:sz w:val="24"/>
        </w:rPr>
        <w:t xml:space="preserve">is currently not authorized to </w:t>
      </w:r>
      <w:r w:rsidR="005C0917">
        <w:rPr>
          <w:rFonts w:ascii="Calibri" w:hAnsi="Calibri"/>
          <w:sz w:val="24"/>
        </w:rPr>
        <w:t>issu</w:t>
      </w:r>
      <w:r w:rsidR="001C3599">
        <w:rPr>
          <w:rFonts w:ascii="Calibri" w:hAnsi="Calibri"/>
          <w:sz w:val="24"/>
        </w:rPr>
        <w:t>e</w:t>
      </w:r>
      <w:r w:rsidR="005C0917">
        <w:rPr>
          <w:rFonts w:ascii="Calibri" w:hAnsi="Calibri"/>
          <w:sz w:val="24"/>
        </w:rPr>
        <w:t xml:space="preserve"> additional</w:t>
      </w:r>
      <w:r w:rsidR="00E76608">
        <w:rPr>
          <w:rFonts w:ascii="Calibri" w:hAnsi="Calibri"/>
          <w:sz w:val="24"/>
        </w:rPr>
        <w:t xml:space="preserve"> new money</w:t>
      </w:r>
      <w:r w:rsidR="005C0917">
        <w:rPr>
          <w:rFonts w:ascii="Calibri" w:hAnsi="Calibri"/>
          <w:sz w:val="24"/>
        </w:rPr>
        <w:t xml:space="preserve"> bonds</w:t>
      </w:r>
      <w:r>
        <w:rPr>
          <w:rFonts w:ascii="Calibri" w:hAnsi="Calibri"/>
          <w:sz w:val="24"/>
        </w:rPr>
        <w:t>,</w:t>
      </w:r>
      <w:r w:rsidR="00830148">
        <w:rPr>
          <w:rFonts w:ascii="Calibri" w:hAnsi="Calibri"/>
          <w:sz w:val="24"/>
        </w:rPr>
        <w:t xml:space="preserve"> </w:t>
      </w:r>
      <w:r>
        <w:rPr>
          <w:rFonts w:ascii="Calibri" w:hAnsi="Calibri"/>
          <w:sz w:val="24"/>
        </w:rPr>
        <w:t xml:space="preserve">MassDOT may issue refunding bonds and will </w:t>
      </w:r>
      <w:r w:rsidR="005C0917">
        <w:rPr>
          <w:rFonts w:ascii="Calibri" w:hAnsi="Calibri"/>
          <w:sz w:val="24"/>
        </w:rPr>
        <w:t>monitor and proactively manage its existing swap portfolio, including amendments</w:t>
      </w:r>
      <w:r>
        <w:rPr>
          <w:rFonts w:ascii="Calibri" w:hAnsi="Calibri"/>
          <w:sz w:val="24"/>
        </w:rPr>
        <w:t>,</w:t>
      </w:r>
      <w:r w:rsidR="005C0917">
        <w:rPr>
          <w:rFonts w:ascii="Calibri" w:hAnsi="Calibri"/>
          <w:sz w:val="24"/>
        </w:rPr>
        <w:t xml:space="preserve"> termination</w:t>
      </w:r>
      <w:r>
        <w:rPr>
          <w:rFonts w:ascii="Calibri" w:hAnsi="Calibri"/>
          <w:sz w:val="24"/>
        </w:rPr>
        <w:t>,</w:t>
      </w:r>
      <w:r w:rsidR="005C0917">
        <w:rPr>
          <w:rFonts w:ascii="Calibri" w:hAnsi="Calibri"/>
          <w:sz w:val="24"/>
        </w:rPr>
        <w:t xml:space="preserve"> or </w:t>
      </w:r>
      <w:r>
        <w:rPr>
          <w:rFonts w:ascii="Calibri" w:hAnsi="Calibri"/>
          <w:sz w:val="24"/>
        </w:rPr>
        <w:t xml:space="preserve">the </w:t>
      </w:r>
      <w:r w:rsidR="005C0917">
        <w:rPr>
          <w:rFonts w:ascii="Calibri" w:hAnsi="Calibri"/>
          <w:sz w:val="24"/>
        </w:rPr>
        <w:t>replacement of existing swaps and possible new swaps, when</w:t>
      </w:r>
      <w:r>
        <w:rPr>
          <w:rFonts w:ascii="Calibri" w:hAnsi="Calibri"/>
          <w:sz w:val="24"/>
        </w:rPr>
        <w:t>,</w:t>
      </w:r>
      <w:r w:rsidR="005C0917">
        <w:rPr>
          <w:rFonts w:ascii="Calibri" w:hAnsi="Calibri"/>
          <w:sz w:val="24"/>
        </w:rPr>
        <w:t xml:space="preserve"> and if</w:t>
      </w:r>
      <w:r>
        <w:rPr>
          <w:rFonts w:ascii="Calibri" w:hAnsi="Calibri"/>
          <w:sz w:val="24"/>
        </w:rPr>
        <w:t>,</w:t>
      </w:r>
      <w:r w:rsidR="005C0917">
        <w:rPr>
          <w:rFonts w:ascii="Calibri" w:hAnsi="Calibri"/>
          <w:sz w:val="24"/>
        </w:rPr>
        <w:t xml:space="preserve"> appropriate</w:t>
      </w:r>
      <w:r w:rsidR="004C25B5">
        <w:rPr>
          <w:rFonts w:ascii="Calibri" w:hAnsi="Calibri"/>
          <w:sz w:val="24"/>
        </w:rPr>
        <w:t xml:space="preserve">. </w:t>
      </w:r>
      <w:r w:rsidR="005C0917">
        <w:rPr>
          <w:rFonts w:ascii="Calibri" w:hAnsi="Calibri"/>
          <w:sz w:val="24"/>
        </w:rPr>
        <w:t xml:space="preserve">This policy addresses the process and controls to be utilized </w:t>
      </w:r>
      <w:r w:rsidR="007A25C9">
        <w:rPr>
          <w:rFonts w:ascii="Calibri" w:hAnsi="Calibri"/>
          <w:sz w:val="24"/>
        </w:rPr>
        <w:t>when</w:t>
      </w:r>
      <w:r w:rsidR="005C0917">
        <w:rPr>
          <w:rFonts w:ascii="Calibri" w:hAnsi="Calibri"/>
          <w:sz w:val="24"/>
        </w:rPr>
        <w:t xml:space="preserve"> </w:t>
      </w:r>
      <w:r w:rsidR="001C3599">
        <w:rPr>
          <w:rFonts w:ascii="Calibri" w:hAnsi="Calibri"/>
          <w:sz w:val="24"/>
        </w:rPr>
        <w:t>administer</w:t>
      </w:r>
      <w:r w:rsidR="007A25C9">
        <w:rPr>
          <w:rFonts w:ascii="Calibri" w:hAnsi="Calibri"/>
          <w:sz w:val="24"/>
        </w:rPr>
        <w:t>ing</w:t>
      </w:r>
      <w:r w:rsidR="005C0917">
        <w:rPr>
          <w:rFonts w:ascii="Calibri" w:hAnsi="Calibri"/>
          <w:sz w:val="24"/>
        </w:rPr>
        <w:t xml:space="preserve"> the related tasks</w:t>
      </w:r>
      <w:r w:rsidR="004C25B5">
        <w:rPr>
          <w:rFonts w:ascii="Calibri" w:hAnsi="Calibri"/>
          <w:sz w:val="24"/>
        </w:rPr>
        <w:t xml:space="preserve">. </w:t>
      </w:r>
      <w:r w:rsidR="005C0917">
        <w:rPr>
          <w:rFonts w:ascii="Calibri" w:hAnsi="Calibri"/>
          <w:sz w:val="24"/>
        </w:rPr>
        <w:t xml:space="preserve"> </w:t>
      </w:r>
    </w:p>
    <w:p w14:paraId="3CAF17BD" w14:textId="77777777" w:rsidR="005C0917" w:rsidRDefault="005C0917">
      <w:pPr>
        <w:jc w:val="both"/>
        <w:rPr>
          <w:rFonts w:ascii="Calibri" w:hAnsi="Calibri"/>
          <w:sz w:val="24"/>
        </w:rPr>
      </w:pPr>
    </w:p>
    <w:p w14:paraId="242E86FA" w14:textId="77777777" w:rsidR="005C0917" w:rsidRDefault="005C0917">
      <w:pPr>
        <w:pStyle w:val="Heading3"/>
        <w:numPr>
          <w:ilvl w:val="0"/>
          <w:numId w:val="7"/>
        </w:numPr>
        <w:jc w:val="both"/>
        <w:rPr>
          <w:rFonts w:ascii="Calibri" w:hAnsi="Calibri"/>
          <w:sz w:val="24"/>
        </w:rPr>
      </w:pPr>
      <w:r>
        <w:rPr>
          <w:rFonts w:ascii="Calibri" w:hAnsi="Calibri"/>
          <w:sz w:val="24"/>
        </w:rPr>
        <w:t>Authority</w:t>
      </w:r>
    </w:p>
    <w:p w14:paraId="27FCEC14" w14:textId="77777777" w:rsidR="005C0917" w:rsidRDefault="005C0917">
      <w:pPr>
        <w:jc w:val="both"/>
        <w:rPr>
          <w:rFonts w:ascii="Calibri" w:hAnsi="Calibri"/>
          <w:sz w:val="24"/>
        </w:rPr>
      </w:pPr>
    </w:p>
    <w:p w14:paraId="2CF98B24" w14:textId="77777777" w:rsidR="005C0917" w:rsidRDefault="005C0917">
      <w:pPr>
        <w:jc w:val="both"/>
        <w:rPr>
          <w:rFonts w:ascii="Calibri" w:hAnsi="Calibri"/>
          <w:sz w:val="24"/>
        </w:rPr>
      </w:pPr>
      <w:r>
        <w:rPr>
          <w:rFonts w:ascii="Calibri" w:hAnsi="Calibri"/>
          <w:sz w:val="24"/>
        </w:rPr>
        <w:t>MassDOT’s legal authority for using swaps is consistent with the Enabling Act and other applicable law and the terms of the relevant trust agreements.</w:t>
      </w:r>
    </w:p>
    <w:p w14:paraId="7C5BAFAD" w14:textId="77777777" w:rsidR="005C0917" w:rsidRDefault="005C0917">
      <w:pPr>
        <w:jc w:val="both"/>
        <w:rPr>
          <w:rFonts w:ascii="Calibri" w:hAnsi="Calibri"/>
          <w:sz w:val="24"/>
        </w:rPr>
      </w:pPr>
    </w:p>
    <w:p w14:paraId="646F8A9D" w14:textId="77777777" w:rsidR="005C0917" w:rsidRDefault="005C0917">
      <w:pPr>
        <w:jc w:val="both"/>
        <w:rPr>
          <w:rFonts w:ascii="Calibri" w:hAnsi="Calibri"/>
          <w:sz w:val="24"/>
        </w:rPr>
      </w:pPr>
      <w:r>
        <w:rPr>
          <w:rFonts w:ascii="Calibri" w:hAnsi="Calibri"/>
          <w:sz w:val="24"/>
        </w:rPr>
        <w:t>MassDOT was created in 2009</w:t>
      </w:r>
      <w:r w:rsidR="00155426">
        <w:rPr>
          <w:rFonts w:ascii="Calibri" w:hAnsi="Calibri"/>
          <w:sz w:val="24"/>
        </w:rPr>
        <w:t>,</w:t>
      </w:r>
      <w:r>
        <w:rPr>
          <w:rFonts w:ascii="Calibri" w:hAnsi="Calibri"/>
          <w:sz w:val="24"/>
        </w:rPr>
        <w:t xml:space="preserve"> by Chapter 25 of the Acts of 2009 (as amended, the “Transportation Reform Act”) and is a body politic and corporate and a public instrumentality of the Commonwealth of Massachusetts (the “Commonwealth”)</w:t>
      </w:r>
      <w:r w:rsidR="004C25B5">
        <w:rPr>
          <w:rFonts w:ascii="Calibri" w:hAnsi="Calibri"/>
          <w:sz w:val="24"/>
        </w:rPr>
        <w:t xml:space="preserve">. </w:t>
      </w:r>
      <w:r>
        <w:rPr>
          <w:rFonts w:ascii="Calibri" w:hAnsi="Calibri"/>
          <w:sz w:val="24"/>
        </w:rPr>
        <w:t>MassDOT is governed by a</w:t>
      </w:r>
      <w:r w:rsidR="00E76608">
        <w:rPr>
          <w:rFonts w:ascii="Calibri" w:hAnsi="Calibri"/>
          <w:sz w:val="24"/>
        </w:rPr>
        <w:t>n</w:t>
      </w:r>
      <w:r>
        <w:rPr>
          <w:rFonts w:ascii="Calibri" w:hAnsi="Calibri"/>
          <w:sz w:val="24"/>
        </w:rPr>
        <w:t xml:space="preserve"> </w:t>
      </w:r>
      <w:r w:rsidR="00E76608">
        <w:rPr>
          <w:rFonts w:ascii="Calibri" w:hAnsi="Calibri"/>
          <w:sz w:val="24"/>
        </w:rPr>
        <w:t>eleven</w:t>
      </w:r>
      <w:r>
        <w:rPr>
          <w:rFonts w:ascii="Calibri" w:hAnsi="Calibri"/>
          <w:sz w:val="24"/>
        </w:rPr>
        <w:t>-member board (the “Board of Directors” or the “Board”) appointed by the Governor</w:t>
      </w:r>
      <w:r w:rsidR="004C25B5">
        <w:rPr>
          <w:rFonts w:ascii="Calibri" w:hAnsi="Calibri"/>
          <w:sz w:val="24"/>
        </w:rPr>
        <w:t xml:space="preserve">. </w:t>
      </w:r>
      <w:r>
        <w:rPr>
          <w:rFonts w:ascii="Calibri" w:hAnsi="Calibri"/>
          <w:sz w:val="24"/>
        </w:rPr>
        <w:t>The Governor appoints a Secretary of MassDOT, who serves as MassDOT’s Chief Executive Officer and is a member of the Board.</w:t>
      </w:r>
    </w:p>
    <w:p w14:paraId="26259229" w14:textId="77777777" w:rsidR="005C0917" w:rsidRDefault="005C0917">
      <w:pPr>
        <w:jc w:val="both"/>
        <w:rPr>
          <w:rFonts w:ascii="Calibri" w:hAnsi="Calibri"/>
          <w:sz w:val="24"/>
        </w:rPr>
      </w:pPr>
    </w:p>
    <w:p w14:paraId="0A6502AB" w14:textId="77777777" w:rsidR="005C0917" w:rsidRDefault="005C0917">
      <w:pPr>
        <w:jc w:val="both"/>
        <w:rPr>
          <w:rFonts w:ascii="Calibri" w:hAnsi="Calibri"/>
          <w:sz w:val="24"/>
        </w:rPr>
      </w:pPr>
      <w:r>
        <w:rPr>
          <w:rFonts w:ascii="Calibri" w:hAnsi="Calibri"/>
          <w:sz w:val="24"/>
        </w:rPr>
        <w:t>The Transportation Reform Act provided for the dissolution of the Massachusetts Turnpike Authority (the “Authority”) and the transfer of its assets, liabilities, obligations and debt, including debt outstanding and associated derivative contracts under its trust agreements, to MassDOT</w:t>
      </w:r>
      <w:r w:rsidR="004C25B5">
        <w:rPr>
          <w:rFonts w:ascii="Calibri" w:hAnsi="Calibri"/>
          <w:sz w:val="24"/>
        </w:rPr>
        <w:t xml:space="preserve">. </w:t>
      </w:r>
      <w:r>
        <w:rPr>
          <w:rFonts w:ascii="Calibri" w:hAnsi="Calibri"/>
          <w:sz w:val="24"/>
        </w:rPr>
        <w:t>MassDOT assumed the rights, powers and duties of the Authority effective November 1, 2009</w:t>
      </w:r>
      <w:r w:rsidR="00155426">
        <w:rPr>
          <w:rFonts w:ascii="Calibri" w:hAnsi="Calibri"/>
          <w:sz w:val="24"/>
        </w:rPr>
        <w:t>,</w:t>
      </w:r>
      <w:r>
        <w:rPr>
          <w:rFonts w:ascii="Calibri" w:hAnsi="Calibri"/>
          <w:sz w:val="24"/>
        </w:rPr>
        <w:t xml:space="preserve"> in accordance with the Transportation Reform Act</w:t>
      </w:r>
      <w:r w:rsidR="004C25B5">
        <w:rPr>
          <w:rFonts w:ascii="Calibri" w:hAnsi="Calibri"/>
          <w:sz w:val="24"/>
        </w:rPr>
        <w:t xml:space="preserve">. </w:t>
      </w:r>
      <w:r>
        <w:rPr>
          <w:rFonts w:ascii="Calibri" w:hAnsi="Calibri"/>
          <w:sz w:val="24"/>
        </w:rPr>
        <w:t xml:space="preserve">Five interest rates </w:t>
      </w:r>
      <w:proofErr w:type="gramStart"/>
      <w:r>
        <w:rPr>
          <w:rFonts w:ascii="Calibri" w:hAnsi="Calibri"/>
          <w:sz w:val="24"/>
        </w:rPr>
        <w:t>swaps</w:t>
      </w:r>
      <w:proofErr w:type="gramEnd"/>
      <w:r>
        <w:rPr>
          <w:rFonts w:ascii="Calibri" w:hAnsi="Calibri"/>
          <w:sz w:val="24"/>
        </w:rPr>
        <w:t xml:space="preserve"> with UBS AG in an aggregate notional amount of $800 million (the “UBS Swaps”) and one basis swap with JP Morgan Chase bank NA in the notional amount of $100 million (the “JPM Swap”) </w:t>
      </w:r>
      <w:r w:rsidR="000768B5">
        <w:rPr>
          <w:rFonts w:ascii="Calibri" w:hAnsi="Calibri"/>
          <w:sz w:val="24"/>
        </w:rPr>
        <w:t xml:space="preserve">originally </w:t>
      </w:r>
      <w:r>
        <w:rPr>
          <w:rFonts w:ascii="Calibri" w:hAnsi="Calibri"/>
          <w:sz w:val="24"/>
        </w:rPr>
        <w:t>transferred from the Authority to MassDOT</w:t>
      </w:r>
      <w:r w:rsidR="004C25B5">
        <w:rPr>
          <w:rFonts w:ascii="Calibri" w:hAnsi="Calibri"/>
          <w:sz w:val="24"/>
        </w:rPr>
        <w:t xml:space="preserve">. </w:t>
      </w:r>
      <w:r w:rsidR="00095A38">
        <w:rPr>
          <w:rFonts w:ascii="Calibri" w:hAnsi="Calibri"/>
          <w:sz w:val="24"/>
        </w:rPr>
        <w:t>Three</w:t>
      </w:r>
      <w:r w:rsidR="000768B5">
        <w:rPr>
          <w:rFonts w:ascii="Calibri" w:hAnsi="Calibri"/>
          <w:sz w:val="24"/>
        </w:rPr>
        <w:t xml:space="preserve"> of the UBS Swaps and the JPM Swap have been terminated and one of the UBS Swaps was novated to two counterparties, Citibank</w:t>
      </w:r>
      <w:r w:rsidR="00B26E4A">
        <w:rPr>
          <w:rFonts w:ascii="Calibri" w:hAnsi="Calibri"/>
          <w:sz w:val="24"/>
        </w:rPr>
        <w:t>, NA</w:t>
      </w:r>
      <w:r w:rsidR="000768B5">
        <w:rPr>
          <w:rFonts w:ascii="Calibri" w:hAnsi="Calibri"/>
          <w:sz w:val="24"/>
        </w:rPr>
        <w:t xml:space="preserve"> (the “Citibank Swap”) and Bar</w:t>
      </w:r>
      <w:r w:rsidR="00C8621A">
        <w:rPr>
          <w:rFonts w:ascii="Calibri" w:hAnsi="Calibri"/>
          <w:sz w:val="24"/>
        </w:rPr>
        <w:t>c</w:t>
      </w:r>
      <w:r w:rsidR="000768B5">
        <w:rPr>
          <w:rFonts w:ascii="Calibri" w:hAnsi="Calibri"/>
          <w:sz w:val="24"/>
        </w:rPr>
        <w:t>lays</w:t>
      </w:r>
      <w:r w:rsidR="00B26E4A">
        <w:rPr>
          <w:rFonts w:ascii="Calibri" w:hAnsi="Calibri"/>
          <w:sz w:val="24"/>
        </w:rPr>
        <w:t xml:space="preserve"> Bank PLC</w:t>
      </w:r>
      <w:r w:rsidR="000768B5">
        <w:rPr>
          <w:rFonts w:ascii="Calibri" w:hAnsi="Calibri"/>
          <w:sz w:val="24"/>
        </w:rPr>
        <w:t xml:space="preserve"> (the “Barclays Swap”)</w:t>
      </w:r>
      <w:r w:rsidR="004C25B5">
        <w:rPr>
          <w:rFonts w:ascii="Calibri" w:hAnsi="Calibri"/>
          <w:sz w:val="24"/>
        </w:rPr>
        <w:t xml:space="preserve">. </w:t>
      </w:r>
      <w:r w:rsidR="000768B5">
        <w:rPr>
          <w:rFonts w:ascii="Calibri" w:hAnsi="Calibri"/>
          <w:sz w:val="24"/>
        </w:rPr>
        <w:t>The Citibank Swap and Barclays Swap are outstanding in the notional amounts of $</w:t>
      </w:r>
      <w:r w:rsidR="000768B5" w:rsidRPr="000768B5">
        <w:rPr>
          <w:rFonts w:ascii="Calibri" w:hAnsi="Calibri"/>
          <w:sz w:val="24"/>
        </w:rPr>
        <w:t>247</w:t>
      </w:r>
      <w:r w:rsidR="000768B5">
        <w:rPr>
          <w:rFonts w:ascii="Calibri" w:hAnsi="Calibri"/>
          <w:sz w:val="24"/>
        </w:rPr>
        <w:t>.</w:t>
      </w:r>
      <w:r w:rsidR="000768B5" w:rsidRPr="000768B5">
        <w:rPr>
          <w:rFonts w:ascii="Calibri" w:hAnsi="Calibri"/>
          <w:sz w:val="24"/>
        </w:rPr>
        <w:t>587</w:t>
      </w:r>
      <w:r w:rsidR="000768B5">
        <w:rPr>
          <w:rFonts w:ascii="Calibri" w:hAnsi="Calibri"/>
          <w:sz w:val="24"/>
        </w:rPr>
        <w:t xml:space="preserve"> million and $</w:t>
      </w:r>
      <w:r w:rsidR="000768B5" w:rsidRPr="000768B5">
        <w:rPr>
          <w:rFonts w:ascii="Calibri" w:hAnsi="Calibri"/>
          <w:sz w:val="24"/>
        </w:rPr>
        <w:t>123</w:t>
      </w:r>
      <w:r w:rsidR="000768B5">
        <w:rPr>
          <w:rFonts w:ascii="Calibri" w:hAnsi="Calibri"/>
          <w:sz w:val="24"/>
        </w:rPr>
        <w:t>.</w:t>
      </w:r>
      <w:r w:rsidR="000768B5" w:rsidRPr="000768B5">
        <w:rPr>
          <w:rFonts w:ascii="Calibri" w:hAnsi="Calibri"/>
          <w:sz w:val="24"/>
        </w:rPr>
        <w:t>793</w:t>
      </w:r>
      <w:r w:rsidR="000768B5">
        <w:rPr>
          <w:rFonts w:ascii="Calibri" w:hAnsi="Calibri"/>
          <w:sz w:val="24"/>
        </w:rPr>
        <w:t xml:space="preserve"> million, respectively, and are suspended through January 1, 2023</w:t>
      </w:r>
      <w:r w:rsidR="004C25B5">
        <w:rPr>
          <w:rFonts w:ascii="Calibri" w:hAnsi="Calibri"/>
          <w:sz w:val="24"/>
        </w:rPr>
        <w:t xml:space="preserve">. </w:t>
      </w:r>
      <w:r w:rsidR="000768B5">
        <w:rPr>
          <w:rFonts w:ascii="Calibri" w:hAnsi="Calibri"/>
          <w:sz w:val="24"/>
        </w:rPr>
        <w:t xml:space="preserve">The remaining swap with </w:t>
      </w:r>
      <w:r>
        <w:rPr>
          <w:rFonts w:ascii="Calibri" w:hAnsi="Calibri"/>
          <w:sz w:val="24"/>
        </w:rPr>
        <w:t xml:space="preserve">UBS </w:t>
      </w:r>
      <w:r w:rsidR="000768B5">
        <w:rPr>
          <w:rFonts w:ascii="Calibri" w:hAnsi="Calibri"/>
          <w:sz w:val="24"/>
        </w:rPr>
        <w:t xml:space="preserve">(the “UBS </w:t>
      </w:r>
      <w:r>
        <w:rPr>
          <w:rFonts w:ascii="Calibri" w:hAnsi="Calibri"/>
          <w:sz w:val="24"/>
        </w:rPr>
        <w:t>Swap</w:t>
      </w:r>
      <w:r w:rsidR="000768B5">
        <w:rPr>
          <w:rFonts w:ascii="Calibri" w:hAnsi="Calibri"/>
          <w:sz w:val="24"/>
        </w:rPr>
        <w:t>”)</w:t>
      </w:r>
      <w:r>
        <w:rPr>
          <w:rFonts w:ascii="Calibri" w:hAnsi="Calibri"/>
          <w:sz w:val="24"/>
        </w:rPr>
        <w:t xml:space="preserve"> hedge</w:t>
      </w:r>
      <w:r w:rsidR="000768B5">
        <w:rPr>
          <w:rFonts w:ascii="Calibri" w:hAnsi="Calibri"/>
          <w:sz w:val="24"/>
        </w:rPr>
        <w:t>s</w:t>
      </w:r>
      <w:r>
        <w:rPr>
          <w:rFonts w:ascii="Calibri" w:hAnsi="Calibri"/>
          <w:sz w:val="24"/>
        </w:rPr>
        <w:t xml:space="preserve"> </w:t>
      </w:r>
      <w:r w:rsidR="000768B5">
        <w:rPr>
          <w:rFonts w:ascii="Calibri" w:hAnsi="Calibri"/>
          <w:sz w:val="24"/>
        </w:rPr>
        <w:t>two</w:t>
      </w:r>
      <w:r>
        <w:rPr>
          <w:rFonts w:ascii="Calibri" w:hAnsi="Calibri"/>
          <w:sz w:val="24"/>
        </w:rPr>
        <w:t xml:space="preserve"> series of MassDOT’s </w:t>
      </w:r>
      <w:r w:rsidR="000768B5">
        <w:rPr>
          <w:rFonts w:ascii="Calibri" w:hAnsi="Calibri"/>
          <w:sz w:val="24"/>
        </w:rPr>
        <w:t xml:space="preserve">senior </w:t>
      </w:r>
      <w:r>
        <w:rPr>
          <w:rFonts w:ascii="Calibri" w:hAnsi="Calibri"/>
          <w:sz w:val="24"/>
        </w:rPr>
        <w:t>variable rate bonds totaling $</w:t>
      </w:r>
      <w:r w:rsidR="000768B5">
        <w:rPr>
          <w:rFonts w:ascii="Calibri" w:hAnsi="Calibri"/>
          <w:sz w:val="24"/>
        </w:rPr>
        <w:t>207.665</w:t>
      </w:r>
      <w:r>
        <w:rPr>
          <w:rFonts w:ascii="Calibri" w:hAnsi="Calibri"/>
          <w:sz w:val="24"/>
        </w:rPr>
        <w:t xml:space="preserve"> million</w:t>
      </w:r>
      <w:r w:rsidR="004C25B5">
        <w:rPr>
          <w:rFonts w:ascii="Calibri" w:hAnsi="Calibri"/>
          <w:sz w:val="24"/>
        </w:rPr>
        <w:t xml:space="preserve">. </w:t>
      </w:r>
    </w:p>
    <w:p w14:paraId="60241071" w14:textId="77777777" w:rsidR="005C0917" w:rsidRDefault="005C0917">
      <w:pPr>
        <w:jc w:val="both"/>
        <w:rPr>
          <w:rFonts w:ascii="Calibri" w:hAnsi="Calibri"/>
          <w:sz w:val="24"/>
        </w:rPr>
      </w:pPr>
    </w:p>
    <w:p w14:paraId="6297B356" w14:textId="77777777" w:rsidR="005C0917" w:rsidRDefault="00EF7026">
      <w:pPr>
        <w:jc w:val="both"/>
        <w:rPr>
          <w:rFonts w:ascii="Calibri" w:hAnsi="Calibri"/>
          <w:sz w:val="24"/>
        </w:rPr>
      </w:pPr>
      <w:r w:rsidRPr="00EF7026">
        <w:rPr>
          <w:rFonts w:ascii="Calibri" w:hAnsi="Calibri"/>
          <w:sz w:val="24"/>
        </w:rPr>
        <w:t xml:space="preserve">The Authority issued bonds under two separate trust </w:t>
      </w:r>
      <w:proofErr w:type="gramStart"/>
      <w:r w:rsidRPr="00EF7026">
        <w:rPr>
          <w:rFonts w:ascii="Calibri" w:hAnsi="Calibri"/>
          <w:sz w:val="24"/>
        </w:rPr>
        <w:t>agreements;</w:t>
      </w:r>
      <w:proofErr w:type="gramEnd"/>
      <w:r w:rsidRPr="00EF7026">
        <w:rPr>
          <w:rFonts w:ascii="Calibri" w:hAnsi="Calibri"/>
          <w:sz w:val="24"/>
        </w:rPr>
        <w:t xml:space="preserve"> the Metropolitan Highway System Trust Agreement (the “MHS Trust Agreement”) and the Western Turnpike Trust Agreement (the “WT Trust Agreement”)</w:t>
      </w:r>
      <w:r w:rsidR="004C25B5">
        <w:rPr>
          <w:rFonts w:ascii="Calibri" w:hAnsi="Calibri"/>
          <w:sz w:val="24"/>
        </w:rPr>
        <w:t xml:space="preserve">. </w:t>
      </w:r>
      <w:r w:rsidRPr="00EF7026">
        <w:rPr>
          <w:rFonts w:ascii="Calibri" w:hAnsi="Calibri"/>
          <w:sz w:val="24"/>
        </w:rPr>
        <w:t>No bonds remain outstanding under the WT Trust Agreement</w:t>
      </w:r>
      <w:r w:rsidR="004C25B5">
        <w:rPr>
          <w:rFonts w:ascii="Calibri" w:hAnsi="Calibri"/>
          <w:sz w:val="24"/>
        </w:rPr>
        <w:t xml:space="preserve">. </w:t>
      </w:r>
      <w:r w:rsidRPr="00EF7026">
        <w:rPr>
          <w:rFonts w:ascii="Calibri" w:hAnsi="Calibri"/>
          <w:sz w:val="24"/>
        </w:rPr>
        <w:t>The Metropolitan Highway System (the “MHS”) and the Western Turnpike (the “WT”) are assets of MassDOT and are housed within its Highways Division</w:t>
      </w:r>
      <w:r w:rsidR="004C25B5">
        <w:rPr>
          <w:rFonts w:ascii="Calibri" w:hAnsi="Calibri"/>
          <w:sz w:val="24"/>
        </w:rPr>
        <w:t xml:space="preserve">. </w:t>
      </w:r>
      <w:r w:rsidRPr="00EF7026">
        <w:rPr>
          <w:rFonts w:ascii="Calibri" w:hAnsi="Calibri"/>
          <w:sz w:val="24"/>
        </w:rPr>
        <w:t>Bonds issued under the MHS Trust Agreement financed capital projects and refinanced outstanding bonds related to the MHS</w:t>
      </w:r>
      <w:r w:rsidR="004C25B5">
        <w:rPr>
          <w:rFonts w:ascii="Calibri" w:hAnsi="Calibri"/>
          <w:sz w:val="24"/>
        </w:rPr>
        <w:t xml:space="preserve">. </w:t>
      </w:r>
      <w:r w:rsidRPr="00EF7026">
        <w:rPr>
          <w:rFonts w:ascii="Calibri" w:hAnsi="Calibri"/>
          <w:sz w:val="24"/>
        </w:rPr>
        <w:t xml:space="preserve">Bonds issued under the WT Trust Agreement financed capital projects and refinanced outstanding bonds related to </w:t>
      </w:r>
      <w:proofErr w:type="gramStart"/>
      <w:r w:rsidRPr="00EF7026">
        <w:rPr>
          <w:rFonts w:ascii="Calibri" w:hAnsi="Calibri"/>
          <w:sz w:val="24"/>
        </w:rPr>
        <w:t>the WT</w:t>
      </w:r>
      <w:proofErr w:type="gramEnd"/>
      <w:r w:rsidR="004C25B5">
        <w:rPr>
          <w:rFonts w:ascii="Calibri" w:hAnsi="Calibri"/>
          <w:sz w:val="24"/>
        </w:rPr>
        <w:t xml:space="preserve">. </w:t>
      </w:r>
      <w:r w:rsidRPr="00EF7026">
        <w:rPr>
          <w:rFonts w:ascii="Calibri" w:hAnsi="Calibri"/>
          <w:sz w:val="24"/>
        </w:rPr>
        <w:t>Only revenues from the Accepted Metropolitan Highway System (as defined in the MHS Trust Agreement) are pledged under the MHS Trust Agreement as security for the bonds issued thereunder</w:t>
      </w:r>
      <w:r w:rsidR="004C25B5">
        <w:rPr>
          <w:rFonts w:ascii="Calibri" w:hAnsi="Calibri"/>
          <w:sz w:val="24"/>
        </w:rPr>
        <w:t xml:space="preserve">. </w:t>
      </w:r>
    </w:p>
    <w:p w14:paraId="70C7E6D8" w14:textId="77777777" w:rsidR="00A8090C" w:rsidRDefault="00A8090C">
      <w:pPr>
        <w:jc w:val="both"/>
        <w:rPr>
          <w:rFonts w:ascii="Calibri" w:hAnsi="Calibri"/>
          <w:sz w:val="24"/>
        </w:rPr>
      </w:pPr>
    </w:p>
    <w:p w14:paraId="3FEFEF4B" w14:textId="77777777" w:rsidR="00A8090C" w:rsidRDefault="00A8090C" w:rsidP="00A8090C">
      <w:pPr>
        <w:jc w:val="both"/>
        <w:rPr>
          <w:rFonts w:ascii="Calibri" w:hAnsi="Calibri"/>
          <w:sz w:val="24"/>
        </w:rPr>
      </w:pPr>
      <w:r>
        <w:rPr>
          <w:rFonts w:ascii="Calibri" w:hAnsi="Calibri"/>
          <w:sz w:val="24"/>
        </w:rPr>
        <w:t>Under the Enabling Act, MassDOT’s authority to issue debt for purposes related to the MHS and the WT is limited to the issuance of refunding bonds</w:t>
      </w:r>
      <w:r w:rsidR="004C25B5">
        <w:rPr>
          <w:rFonts w:ascii="Calibri" w:hAnsi="Calibri"/>
          <w:sz w:val="24"/>
        </w:rPr>
        <w:t xml:space="preserve">. </w:t>
      </w:r>
      <w:r>
        <w:rPr>
          <w:rFonts w:ascii="Calibri" w:hAnsi="Calibri"/>
          <w:sz w:val="24"/>
        </w:rPr>
        <w:t xml:space="preserve">This </w:t>
      </w:r>
      <w:r w:rsidR="00E762C7">
        <w:rPr>
          <w:rFonts w:ascii="Calibri" w:hAnsi="Calibri"/>
          <w:sz w:val="24"/>
        </w:rPr>
        <w:t>p</w:t>
      </w:r>
      <w:r>
        <w:rPr>
          <w:rFonts w:ascii="Calibri" w:hAnsi="Calibri"/>
          <w:sz w:val="24"/>
        </w:rPr>
        <w:t xml:space="preserve">olicy provides guidelines for effective management </w:t>
      </w:r>
      <w:r w:rsidR="005C0917">
        <w:rPr>
          <w:rFonts w:ascii="Calibri" w:hAnsi="Calibri"/>
          <w:sz w:val="24"/>
        </w:rPr>
        <w:t xml:space="preserve">of its swap portfolio </w:t>
      </w:r>
      <w:r>
        <w:rPr>
          <w:rFonts w:ascii="Calibri" w:hAnsi="Calibri"/>
          <w:sz w:val="24"/>
        </w:rPr>
        <w:t>within MassDOT’s legal authority.</w:t>
      </w:r>
    </w:p>
    <w:p w14:paraId="72BBEFC7" w14:textId="77777777" w:rsidR="005C0917" w:rsidRDefault="005C0917">
      <w:pPr>
        <w:jc w:val="both"/>
        <w:rPr>
          <w:rFonts w:ascii="Calibri" w:hAnsi="Calibri"/>
          <w:sz w:val="24"/>
        </w:rPr>
      </w:pPr>
    </w:p>
    <w:p w14:paraId="2EEA95D6" w14:textId="77777777" w:rsidR="00830148" w:rsidRDefault="00830148" w:rsidP="00830148">
      <w:pPr>
        <w:pStyle w:val="NoSpacing"/>
        <w:jc w:val="both"/>
        <w:rPr>
          <w:sz w:val="24"/>
          <w:szCs w:val="24"/>
        </w:rPr>
      </w:pPr>
      <w:r>
        <w:rPr>
          <w:sz w:val="24"/>
          <w:szCs w:val="24"/>
        </w:rPr>
        <w:t xml:space="preserve">There are </w:t>
      </w:r>
      <w:r w:rsidR="00AA2D0D">
        <w:rPr>
          <w:sz w:val="24"/>
          <w:szCs w:val="24"/>
        </w:rPr>
        <w:t>eleven</w:t>
      </w:r>
      <w:r>
        <w:rPr>
          <w:sz w:val="24"/>
          <w:szCs w:val="24"/>
        </w:rPr>
        <w:t xml:space="preserve"> members of the Board of Directors</w:t>
      </w:r>
      <w:r w:rsidR="00AA2D0D">
        <w:rPr>
          <w:sz w:val="24"/>
          <w:szCs w:val="24"/>
        </w:rPr>
        <w:t xml:space="preserve">. Ten members of the </w:t>
      </w:r>
      <w:r w:rsidR="00E76608">
        <w:rPr>
          <w:sz w:val="24"/>
          <w:szCs w:val="24"/>
        </w:rPr>
        <w:t>B</w:t>
      </w:r>
      <w:r w:rsidR="00AA2D0D">
        <w:rPr>
          <w:sz w:val="24"/>
          <w:szCs w:val="24"/>
        </w:rPr>
        <w:t xml:space="preserve">oard are appointed by the Governor and the Secretary </w:t>
      </w:r>
      <w:proofErr w:type="gramStart"/>
      <w:r w:rsidR="00AA2D0D">
        <w:rPr>
          <w:sz w:val="24"/>
          <w:szCs w:val="24"/>
        </w:rPr>
        <w:t>serves</w:t>
      </w:r>
      <w:proofErr w:type="gramEnd"/>
      <w:r w:rsidR="00AA2D0D">
        <w:rPr>
          <w:sz w:val="24"/>
          <w:szCs w:val="24"/>
        </w:rPr>
        <w:t xml:space="preserve"> ex officio as chair</w:t>
      </w:r>
      <w:r w:rsidR="004C25B5">
        <w:rPr>
          <w:sz w:val="24"/>
          <w:szCs w:val="24"/>
        </w:rPr>
        <w:t xml:space="preserve">. </w:t>
      </w:r>
      <w:r w:rsidR="00AA2D0D">
        <w:rPr>
          <w:sz w:val="24"/>
          <w:szCs w:val="24"/>
        </w:rPr>
        <w:t xml:space="preserve">Four members will </w:t>
      </w:r>
      <w:r w:rsidR="00E76608">
        <w:rPr>
          <w:sz w:val="24"/>
          <w:szCs w:val="24"/>
        </w:rPr>
        <w:t>serve terms co</w:t>
      </w:r>
      <w:r w:rsidR="00AA2D0D">
        <w:rPr>
          <w:sz w:val="24"/>
          <w:szCs w:val="24"/>
        </w:rPr>
        <w:t>terminous with the Governor, while the remaining six members will be appointed to four</w:t>
      </w:r>
      <w:r w:rsidR="00556E42">
        <w:rPr>
          <w:sz w:val="24"/>
          <w:szCs w:val="24"/>
        </w:rPr>
        <w:t>-</w:t>
      </w:r>
      <w:r w:rsidR="00AA2D0D">
        <w:rPr>
          <w:sz w:val="24"/>
          <w:szCs w:val="24"/>
        </w:rPr>
        <w:t>year term</w:t>
      </w:r>
      <w:r w:rsidR="00556E42">
        <w:rPr>
          <w:sz w:val="24"/>
          <w:szCs w:val="24"/>
        </w:rPr>
        <w:t>s</w:t>
      </w:r>
      <w:r w:rsidR="00AA2D0D">
        <w:rPr>
          <w:sz w:val="24"/>
          <w:szCs w:val="24"/>
        </w:rPr>
        <w:t xml:space="preserve"> and are eligible for reappointment</w:t>
      </w:r>
      <w:r w:rsidR="004C25B5">
        <w:rPr>
          <w:sz w:val="24"/>
          <w:szCs w:val="24"/>
        </w:rPr>
        <w:t xml:space="preserve">. </w:t>
      </w:r>
      <w:r>
        <w:rPr>
          <w:sz w:val="24"/>
          <w:szCs w:val="24"/>
        </w:rPr>
        <w:t>Three members of the Board serve on the Finance and Audit Committee</w:t>
      </w:r>
      <w:r w:rsidR="004C25B5">
        <w:rPr>
          <w:sz w:val="24"/>
          <w:szCs w:val="24"/>
        </w:rPr>
        <w:t xml:space="preserve">. </w:t>
      </w:r>
      <w:r>
        <w:rPr>
          <w:sz w:val="24"/>
          <w:szCs w:val="24"/>
        </w:rPr>
        <w:t>The Finance and Audit Committee reviews the issuance and management of MassDOT debt</w:t>
      </w:r>
      <w:r w:rsidR="00E76608">
        <w:rPr>
          <w:sz w:val="24"/>
          <w:szCs w:val="24"/>
        </w:rPr>
        <w:t xml:space="preserve"> and interest rate swap agreements</w:t>
      </w:r>
      <w:r>
        <w:rPr>
          <w:sz w:val="24"/>
          <w:szCs w:val="24"/>
        </w:rPr>
        <w:t>, including the procurement of credit and liquidity agreements or direct purchase agreements to support variable rate bonds, remarketing agents, financial advisors, legal counsel, and other services and agreements related to MassDOT’s ongoing debt portfolio</w:t>
      </w:r>
      <w:r w:rsidR="004C25B5">
        <w:rPr>
          <w:sz w:val="24"/>
          <w:szCs w:val="24"/>
        </w:rPr>
        <w:t xml:space="preserve">. </w:t>
      </w:r>
      <w:r>
        <w:rPr>
          <w:sz w:val="24"/>
          <w:szCs w:val="24"/>
        </w:rPr>
        <w:t>The Board of Directors authorizes the issuance or reissuance of</w:t>
      </w:r>
      <w:r w:rsidR="00556E42">
        <w:rPr>
          <w:sz w:val="24"/>
          <w:szCs w:val="24"/>
        </w:rPr>
        <w:t>,</w:t>
      </w:r>
      <w:r>
        <w:rPr>
          <w:sz w:val="24"/>
          <w:szCs w:val="24"/>
        </w:rPr>
        <w:t xml:space="preserve"> or amendments to</w:t>
      </w:r>
      <w:r w:rsidR="00556E42">
        <w:rPr>
          <w:sz w:val="24"/>
          <w:szCs w:val="24"/>
        </w:rPr>
        <w:t>,</w:t>
      </w:r>
      <w:r>
        <w:rPr>
          <w:sz w:val="24"/>
          <w:szCs w:val="24"/>
        </w:rPr>
        <w:t xml:space="preserve"> outstanding bonds, and approves contracts as needed to manage MassDOT’s debt and as required in compliance with the Enabling Act and Board regulations.</w:t>
      </w:r>
    </w:p>
    <w:p w14:paraId="788305FC" w14:textId="77777777" w:rsidR="005C0917" w:rsidRDefault="005C0917">
      <w:pPr>
        <w:pStyle w:val="NoSpacing"/>
        <w:jc w:val="both"/>
        <w:rPr>
          <w:sz w:val="24"/>
          <w:szCs w:val="24"/>
        </w:rPr>
      </w:pPr>
    </w:p>
    <w:p w14:paraId="55898D2E" w14:textId="77777777" w:rsidR="00830148" w:rsidRDefault="00830148" w:rsidP="00830148">
      <w:pPr>
        <w:pStyle w:val="NoSpacing"/>
        <w:jc w:val="both"/>
        <w:rPr>
          <w:sz w:val="24"/>
          <w:szCs w:val="24"/>
        </w:rPr>
      </w:pPr>
      <w:r>
        <w:rPr>
          <w:sz w:val="24"/>
          <w:szCs w:val="24"/>
        </w:rPr>
        <w:t xml:space="preserve">The Secretary and Chief Executive Officer of MassDOT </w:t>
      </w:r>
      <w:proofErr w:type="gramStart"/>
      <w:r>
        <w:rPr>
          <w:sz w:val="24"/>
          <w:szCs w:val="24"/>
        </w:rPr>
        <w:t>has</w:t>
      </w:r>
      <w:proofErr w:type="gramEnd"/>
      <w:r>
        <w:rPr>
          <w:sz w:val="24"/>
          <w:szCs w:val="24"/>
        </w:rPr>
        <w:t xml:space="preserve"> overall responsibility for the day-to-day operations and management of MassDOT</w:t>
      </w:r>
      <w:r w:rsidR="004C25B5">
        <w:rPr>
          <w:sz w:val="24"/>
          <w:szCs w:val="24"/>
        </w:rPr>
        <w:t xml:space="preserve">. </w:t>
      </w:r>
      <w:r>
        <w:rPr>
          <w:sz w:val="24"/>
          <w:szCs w:val="24"/>
        </w:rPr>
        <w:t>Management of MassDOT’s finances is delegated to the Chief Financial Officer who is primarily responsible for debt management</w:t>
      </w:r>
      <w:r w:rsidR="004C25B5">
        <w:rPr>
          <w:sz w:val="24"/>
          <w:szCs w:val="24"/>
        </w:rPr>
        <w:t xml:space="preserve">. </w:t>
      </w:r>
      <w:r>
        <w:rPr>
          <w:sz w:val="24"/>
          <w:szCs w:val="24"/>
        </w:rPr>
        <w:t xml:space="preserve">The Chief Financial Officer is also supported by the </w:t>
      </w:r>
      <w:r w:rsidR="007B3F67">
        <w:rPr>
          <w:sz w:val="24"/>
          <w:szCs w:val="24"/>
        </w:rPr>
        <w:t>Comptroller</w:t>
      </w:r>
      <w:r>
        <w:rPr>
          <w:sz w:val="24"/>
          <w:szCs w:val="24"/>
        </w:rPr>
        <w:t xml:space="preserve"> and the Director of Revenue and Debt Management</w:t>
      </w:r>
      <w:r w:rsidR="004C25B5">
        <w:rPr>
          <w:sz w:val="24"/>
          <w:szCs w:val="24"/>
        </w:rPr>
        <w:t xml:space="preserve">. </w:t>
      </w:r>
      <w:r>
        <w:rPr>
          <w:sz w:val="24"/>
          <w:szCs w:val="24"/>
        </w:rPr>
        <w:t xml:space="preserve">The Director of Revenue and Debt Management has a staff that oversees principal and interest payments on debt as well as the reconciliation of all swap settlements. </w:t>
      </w:r>
    </w:p>
    <w:p w14:paraId="18FA08A3" w14:textId="77777777" w:rsidR="005C0917" w:rsidRDefault="005C0917">
      <w:pPr>
        <w:jc w:val="both"/>
        <w:rPr>
          <w:rFonts w:ascii="Calibri" w:hAnsi="Calibri"/>
          <w:sz w:val="24"/>
        </w:rPr>
      </w:pPr>
    </w:p>
    <w:p w14:paraId="4B2A1068" w14:textId="77777777" w:rsidR="005C0917" w:rsidRDefault="005C0917">
      <w:pPr>
        <w:pStyle w:val="Heading3"/>
        <w:numPr>
          <w:ilvl w:val="0"/>
          <w:numId w:val="7"/>
        </w:numPr>
        <w:jc w:val="both"/>
        <w:rPr>
          <w:rFonts w:ascii="Calibri" w:hAnsi="Calibri"/>
          <w:sz w:val="24"/>
        </w:rPr>
      </w:pPr>
      <w:r>
        <w:rPr>
          <w:rFonts w:ascii="Calibri" w:hAnsi="Calibri"/>
          <w:sz w:val="24"/>
        </w:rPr>
        <w:t>Permitted Uses</w:t>
      </w:r>
    </w:p>
    <w:p w14:paraId="27C452A7" w14:textId="77777777" w:rsidR="005C0917" w:rsidRDefault="005C0917">
      <w:pPr>
        <w:keepNext/>
        <w:jc w:val="both"/>
        <w:rPr>
          <w:rFonts w:ascii="Calibri" w:hAnsi="Calibri"/>
          <w:sz w:val="24"/>
        </w:rPr>
      </w:pPr>
    </w:p>
    <w:p w14:paraId="31A3A796" w14:textId="77777777" w:rsidR="005C0917" w:rsidRDefault="005C0917">
      <w:pPr>
        <w:pStyle w:val="BodyText2"/>
        <w:jc w:val="both"/>
        <w:rPr>
          <w:rFonts w:ascii="Calibri" w:hAnsi="Calibri"/>
          <w:sz w:val="24"/>
          <w:szCs w:val="24"/>
        </w:rPr>
      </w:pPr>
      <w:r>
        <w:rPr>
          <w:rFonts w:ascii="Calibri" w:hAnsi="Calibri"/>
          <w:sz w:val="24"/>
          <w:szCs w:val="24"/>
        </w:rPr>
        <w:t xml:space="preserve">As previously mentioned, MassDOT is precluded from issuing </w:t>
      </w:r>
      <w:r w:rsidR="00667C2E">
        <w:rPr>
          <w:rFonts w:ascii="Calibri" w:hAnsi="Calibri"/>
          <w:sz w:val="24"/>
          <w:szCs w:val="24"/>
        </w:rPr>
        <w:t>new money</w:t>
      </w:r>
      <w:r>
        <w:rPr>
          <w:rFonts w:ascii="Calibri" w:hAnsi="Calibri"/>
          <w:sz w:val="24"/>
          <w:szCs w:val="24"/>
        </w:rPr>
        <w:t xml:space="preserve"> debt under </w:t>
      </w:r>
      <w:r w:rsidR="008B3D2E" w:rsidRPr="00DA594A">
        <w:rPr>
          <w:rFonts w:ascii="Calibri" w:hAnsi="Calibri"/>
          <w:sz w:val="24"/>
          <w:szCs w:val="24"/>
        </w:rPr>
        <w:t xml:space="preserve">existing bond </w:t>
      </w:r>
      <w:r w:rsidR="002A0823" w:rsidRPr="00DA594A">
        <w:rPr>
          <w:rFonts w:ascii="Calibri" w:hAnsi="Calibri"/>
          <w:sz w:val="24"/>
          <w:szCs w:val="24"/>
        </w:rPr>
        <w:t>indentures</w:t>
      </w:r>
      <w:r w:rsidR="008B3D2E" w:rsidRPr="00DA594A">
        <w:rPr>
          <w:rFonts w:ascii="Calibri" w:hAnsi="Calibri"/>
          <w:sz w:val="24"/>
          <w:szCs w:val="24"/>
        </w:rPr>
        <w:t xml:space="preserve"> </w:t>
      </w:r>
      <w:r w:rsidR="00667C2E">
        <w:rPr>
          <w:rFonts w:ascii="Calibri" w:hAnsi="Calibri"/>
          <w:sz w:val="24"/>
          <w:szCs w:val="24"/>
        </w:rPr>
        <w:t xml:space="preserve">and </w:t>
      </w:r>
      <w:r w:rsidR="00667C2E" w:rsidRPr="00DA594A">
        <w:rPr>
          <w:rFonts w:ascii="Calibri" w:hAnsi="Calibri"/>
          <w:sz w:val="24"/>
          <w:szCs w:val="24"/>
        </w:rPr>
        <w:t xml:space="preserve">is </w:t>
      </w:r>
      <w:r w:rsidR="00667C2E">
        <w:rPr>
          <w:rFonts w:ascii="Calibri" w:hAnsi="Calibri"/>
          <w:sz w:val="24"/>
          <w:szCs w:val="24"/>
        </w:rPr>
        <w:t xml:space="preserve">limited to </w:t>
      </w:r>
      <w:r>
        <w:rPr>
          <w:rFonts w:ascii="Calibri" w:hAnsi="Calibri"/>
          <w:sz w:val="24"/>
          <w:szCs w:val="24"/>
        </w:rPr>
        <w:t xml:space="preserve">the </w:t>
      </w:r>
      <w:r w:rsidR="00667C2E">
        <w:rPr>
          <w:rFonts w:ascii="Calibri" w:hAnsi="Calibri"/>
          <w:sz w:val="24"/>
          <w:szCs w:val="24"/>
        </w:rPr>
        <w:t>issuance of refunding bonds</w:t>
      </w:r>
      <w:r>
        <w:rPr>
          <w:rFonts w:ascii="Calibri" w:hAnsi="Calibri"/>
          <w:sz w:val="24"/>
          <w:szCs w:val="24"/>
        </w:rPr>
        <w:t xml:space="preserve"> and therefore does not plan to add new swaps to its existing portfolio, although it may consider additional swaps with respect to its outstanding bonds or to replace any of its existing swaps</w:t>
      </w:r>
      <w:r w:rsidR="004C25B5">
        <w:rPr>
          <w:rFonts w:ascii="Calibri" w:hAnsi="Calibri"/>
          <w:sz w:val="24"/>
          <w:szCs w:val="24"/>
        </w:rPr>
        <w:t xml:space="preserve">. </w:t>
      </w:r>
      <w:r>
        <w:rPr>
          <w:rFonts w:ascii="Calibri" w:hAnsi="Calibri"/>
          <w:sz w:val="24"/>
          <w:szCs w:val="24"/>
        </w:rPr>
        <w:t>This policy recognizes that the derivatives and associated financial markets, applicable laws, increasing compliance regulations, and best practices guidelines are continuously evolving</w:t>
      </w:r>
      <w:r w:rsidR="004C25B5">
        <w:rPr>
          <w:rFonts w:ascii="Calibri" w:hAnsi="Calibri"/>
          <w:sz w:val="24"/>
          <w:szCs w:val="24"/>
        </w:rPr>
        <w:t xml:space="preserve">. </w:t>
      </w:r>
      <w:r>
        <w:rPr>
          <w:rFonts w:ascii="Calibri" w:hAnsi="Calibri"/>
          <w:sz w:val="24"/>
          <w:szCs w:val="24"/>
        </w:rPr>
        <w:t xml:space="preserve">Among the strategies which MassDOT may consider - as applicable in the context of its existing swap portfolio and current debt issuance authority - amending, novating, replacing, or otherwise </w:t>
      </w:r>
      <w:proofErr w:type="gramStart"/>
      <w:r>
        <w:rPr>
          <w:rFonts w:ascii="Calibri" w:hAnsi="Calibri"/>
          <w:sz w:val="24"/>
          <w:szCs w:val="24"/>
        </w:rPr>
        <w:t>entering into</w:t>
      </w:r>
      <w:proofErr w:type="gramEnd"/>
      <w:r>
        <w:rPr>
          <w:rFonts w:ascii="Calibri" w:hAnsi="Calibri"/>
          <w:sz w:val="24"/>
          <w:szCs w:val="24"/>
        </w:rPr>
        <w:t xml:space="preserve"> swaps include:  </w:t>
      </w:r>
    </w:p>
    <w:p w14:paraId="6E60F3F1" w14:textId="77777777" w:rsidR="005C0917" w:rsidRDefault="005C0917">
      <w:pPr>
        <w:pStyle w:val="BodyTextIndent"/>
        <w:ind w:left="0"/>
        <w:rPr>
          <w:rFonts w:ascii="Calibri" w:hAnsi="Calibri"/>
          <w:iCs w:val="0"/>
        </w:rPr>
      </w:pPr>
    </w:p>
    <w:p w14:paraId="187B4536" w14:textId="77777777" w:rsidR="005C0917" w:rsidRDefault="005C0917" w:rsidP="004C25B5">
      <w:pPr>
        <w:pStyle w:val="BodyTextIndent"/>
        <w:numPr>
          <w:ilvl w:val="0"/>
          <w:numId w:val="22"/>
        </w:numPr>
        <w:tabs>
          <w:tab w:val="clear" w:pos="1800"/>
          <w:tab w:val="num" w:pos="360"/>
        </w:tabs>
        <w:ind w:left="720" w:hanging="360"/>
        <w:rPr>
          <w:rFonts w:ascii="Calibri" w:hAnsi="Calibri"/>
          <w:iCs w:val="0"/>
        </w:rPr>
      </w:pPr>
      <w:r>
        <w:rPr>
          <w:rFonts w:ascii="Calibri" w:hAnsi="Calibri"/>
          <w:iCs w:val="0"/>
        </w:rPr>
        <w:t>Reducing the cost</w:t>
      </w:r>
      <w:r>
        <w:rPr>
          <w:rFonts w:ascii="Calibri" w:hAnsi="Calibri"/>
          <w:iCs w:val="0"/>
        </w:rPr>
        <w:t xml:space="preserve"> of fixed or floating rate debt</w:t>
      </w:r>
      <w:r>
        <w:rPr>
          <w:rFonts w:ascii="Calibri" w:hAnsi="Calibri"/>
          <w:iCs w:val="0"/>
        </w:rPr>
        <w:t xml:space="preserve"> through </w:t>
      </w:r>
      <w:r>
        <w:rPr>
          <w:rFonts w:ascii="Calibri" w:hAnsi="Calibri"/>
          <w:iCs w:val="0"/>
        </w:rPr>
        <w:t>swap</w:t>
      </w:r>
      <w:r>
        <w:rPr>
          <w:rFonts w:ascii="Calibri" w:hAnsi="Calibri"/>
          <w:iCs w:val="0"/>
        </w:rPr>
        <w:t xml:space="preserve">s and related products to create “synthetic” fixed or floating rate </w:t>
      </w:r>
      <w:proofErr w:type="gramStart"/>
      <w:r>
        <w:rPr>
          <w:rFonts w:ascii="Calibri" w:hAnsi="Calibri"/>
          <w:iCs w:val="0"/>
        </w:rPr>
        <w:t>debt;</w:t>
      </w:r>
      <w:proofErr w:type="gramEnd"/>
    </w:p>
    <w:p w14:paraId="4C1AE861" w14:textId="77777777" w:rsidR="005C0917" w:rsidRDefault="005C0917" w:rsidP="004C25B5">
      <w:pPr>
        <w:pStyle w:val="BodyTextIndent"/>
        <w:numPr>
          <w:ilvl w:val="0"/>
          <w:numId w:val="22"/>
        </w:numPr>
        <w:tabs>
          <w:tab w:val="clear" w:pos="1800"/>
          <w:tab w:val="num" w:pos="360"/>
        </w:tabs>
        <w:ind w:left="720" w:hanging="360"/>
        <w:rPr>
          <w:rFonts w:ascii="Calibri" w:hAnsi="Calibri"/>
          <w:iCs w:val="0"/>
        </w:rPr>
      </w:pPr>
      <w:r>
        <w:rPr>
          <w:rFonts w:ascii="Calibri" w:hAnsi="Calibri"/>
          <w:iCs w:val="0"/>
        </w:rPr>
        <w:t>Managing exposure to fl</w:t>
      </w:r>
      <w:r>
        <w:rPr>
          <w:rFonts w:ascii="Calibri" w:hAnsi="Calibri"/>
          <w:iCs w:val="0"/>
        </w:rPr>
        <w:t xml:space="preserve">oating and fixed interest </w:t>
      </w:r>
      <w:proofErr w:type="gramStart"/>
      <w:r>
        <w:rPr>
          <w:rFonts w:ascii="Calibri" w:hAnsi="Calibri"/>
          <w:iCs w:val="0"/>
        </w:rPr>
        <w:t>rates</w:t>
      </w:r>
      <w:r>
        <w:rPr>
          <w:rFonts w:ascii="Calibri" w:hAnsi="Calibri"/>
          <w:iCs w:val="0"/>
        </w:rPr>
        <w:t>;</w:t>
      </w:r>
      <w:proofErr w:type="gramEnd"/>
    </w:p>
    <w:p w14:paraId="3F51C12E" w14:textId="77777777" w:rsidR="005C0917" w:rsidRDefault="005C0917" w:rsidP="004C25B5">
      <w:pPr>
        <w:pStyle w:val="BodyTextIndent"/>
        <w:numPr>
          <w:ilvl w:val="0"/>
          <w:numId w:val="22"/>
        </w:numPr>
        <w:tabs>
          <w:tab w:val="clear" w:pos="1800"/>
          <w:tab w:val="num" w:pos="360"/>
        </w:tabs>
        <w:ind w:left="720" w:hanging="360"/>
        <w:rPr>
          <w:rFonts w:ascii="Calibri" w:hAnsi="Calibri"/>
          <w:iCs w:val="0"/>
        </w:rPr>
      </w:pPr>
      <w:r>
        <w:rPr>
          <w:rFonts w:ascii="Calibri" w:hAnsi="Calibri"/>
          <w:iCs w:val="0"/>
        </w:rPr>
        <w:t xml:space="preserve">Hedging floating rate </w:t>
      </w:r>
      <w:proofErr w:type="gramStart"/>
      <w:r>
        <w:rPr>
          <w:rFonts w:ascii="Calibri" w:hAnsi="Calibri"/>
          <w:iCs w:val="0"/>
        </w:rPr>
        <w:t>risk;</w:t>
      </w:r>
      <w:proofErr w:type="gramEnd"/>
      <w:r>
        <w:rPr>
          <w:rFonts w:ascii="Calibri" w:hAnsi="Calibri"/>
          <w:iCs w:val="0"/>
        </w:rPr>
        <w:t xml:space="preserve"> </w:t>
      </w:r>
    </w:p>
    <w:p w14:paraId="3E6CE9C9" w14:textId="77777777" w:rsidR="005C0917" w:rsidRDefault="005C0917" w:rsidP="004C25B5">
      <w:pPr>
        <w:pStyle w:val="BodyTextIndent"/>
        <w:numPr>
          <w:ilvl w:val="0"/>
          <w:numId w:val="22"/>
        </w:numPr>
        <w:tabs>
          <w:tab w:val="clear" w:pos="1800"/>
          <w:tab w:val="num" w:pos="360"/>
        </w:tabs>
        <w:ind w:left="720" w:hanging="360"/>
        <w:rPr>
          <w:rFonts w:ascii="Calibri" w:hAnsi="Calibri"/>
          <w:iCs w:val="0"/>
        </w:rPr>
      </w:pPr>
      <w:r>
        <w:rPr>
          <w:rFonts w:ascii="Calibri" w:hAnsi="Calibri"/>
          <w:iCs w:val="0"/>
        </w:rPr>
        <w:t xml:space="preserve">Locking in fixed rates in current </w:t>
      </w:r>
      <w:r>
        <w:rPr>
          <w:rFonts w:ascii="Calibri" w:hAnsi="Calibri"/>
          <w:iCs w:val="0"/>
        </w:rPr>
        <w:t xml:space="preserve">markets for use at a later </w:t>
      </w:r>
      <w:proofErr w:type="gramStart"/>
      <w:r>
        <w:rPr>
          <w:rFonts w:ascii="Calibri" w:hAnsi="Calibri"/>
          <w:iCs w:val="0"/>
        </w:rPr>
        <w:t>date</w:t>
      </w:r>
      <w:r>
        <w:rPr>
          <w:rFonts w:ascii="Calibri" w:hAnsi="Calibri"/>
          <w:iCs w:val="0"/>
        </w:rPr>
        <w:t>;</w:t>
      </w:r>
      <w:proofErr w:type="gramEnd"/>
      <w:r>
        <w:rPr>
          <w:rFonts w:ascii="Calibri" w:hAnsi="Calibri"/>
          <w:iCs w:val="0"/>
        </w:rPr>
        <w:t xml:space="preserve"> </w:t>
      </w:r>
    </w:p>
    <w:p w14:paraId="7351A952" w14:textId="77777777" w:rsidR="005C0917" w:rsidRDefault="005C0917" w:rsidP="004C25B5">
      <w:pPr>
        <w:pStyle w:val="BodyTextIndent"/>
        <w:numPr>
          <w:ilvl w:val="0"/>
          <w:numId w:val="22"/>
        </w:numPr>
        <w:tabs>
          <w:tab w:val="clear" w:pos="1800"/>
          <w:tab w:val="num" w:pos="360"/>
        </w:tabs>
        <w:ind w:left="720" w:hanging="360"/>
        <w:rPr>
          <w:rFonts w:ascii="Calibri" w:hAnsi="Calibri"/>
          <w:iCs w:val="0"/>
        </w:rPr>
      </w:pPr>
      <w:r>
        <w:rPr>
          <w:rFonts w:ascii="Calibri" w:hAnsi="Calibri"/>
          <w:iCs w:val="0"/>
        </w:rPr>
        <w:t>Managing</w:t>
      </w:r>
      <w:r>
        <w:rPr>
          <w:rFonts w:ascii="Calibri" w:hAnsi="Calibri"/>
          <w:iCs w:val="0"/>
        </w:rPr>
        <w:t xml:space="preserve"> </w:t>
      </w:r>
      <w:r>
        <w:rPr>
          <w:rFonts w:ascii="Calibri" w:hAnsi="Calibri"/>
          <w:iCs w:val="0"/>
        </w:rPr>
        <w:t>MassDOT</w:t>
      </w:r>
      <w:r>
        <w:rPr>
          <w:rFonts w:ascii="Calibri" w:hAnsi="Calibri"/>
          <w:iCs w:val="0"/>
        </w:rPr>
        <w:t>’s</w:t>
      </w:r>
      <w:r>
        <w:rPr>
          <w:rFonts w:ascii="Calibri" w:hAnsi="Calibri"/>
          <w:iCs w:val="0"/>
        </w:rPr>
        <w:t xml:space="preserve"> exposure to the risk of changes in the legal and regulatory</w:t>
      </w:r>
      <w:r>
        <w:rPr>
          <w:rFonts w:ascii="Calibri" w:hAnsi="Calibri"/>
          <w:iCs w:val="0"/>
        </w:rPr>
        <w:t xml:space="preserve"> treatment of tax-exempt bonds, </w:t>
      </w:r>
      <w:r>
        <w:rPr>
          <w:rFonts w:ascii="Calibri" w:hAnsi="Calibri"/>
          <w:iCs w:val="0"/>
        </w:rPr>
        <w:t xml:space="preserve">including changes in federal marginal tax rates and other changes in tax laws that may affect the value of tax-exempt bonds relative to other investment </w:t>
      </w:r>
      <w:proofErr w:type="gramStart"/>
      <w:r>
        <w:rPr>
          <w:rFonts w:ascii="Calibri" w:hAnsi="Calibri"/>
          <w:iCs w:val="0"/>
        </w:rPr>
        <w:t>alternatives;</w:t>
      </w:r>
      <w:proofErr w:type="gramEnd"/>
    </w:p>
    <w:p w14:paraId="1ED99ECF" w14:textId="77777777" w:rsidR="005C0917" w:rsidRDefault="005C0917" w:rsidP="004C25B5">
      <w:pPr>
        <w:pStyle w:val="BodyTextIndent"/>
        <w:numPr>
          <w:ilvl w:val="0"/>
          <w:numId w:val="22"/>
        </w:numPr>
        <w:tabs>
          <w:tab w:val="clear" w:pos="1800"/>
          <w:tab w:val="num" w:pos="360"/>
        </w:tabs>
        <w:ind w:left="720" w:hanging="360"/>
        <w:rPr>
          <w:rFonts w:ascii="Calibri" w:hAnsi="Calibri"/>
          <w:iCs w:val="0"/>
        </w:rPr>
      </w:pPr>
      <w:r>
        <w:rPr>
          <w:rFonts w:ascii="Calibri" w:hAnsi="Calibri"/>
          <w:iCs w:val="0"/>
        </w:rPr>
        <w:t xml:space="preserve">Managing </w:t>
      </w:r>
      <w:r>
        <w:rPr>
          <w:rFonts w:ascii="Calibri" w:hAnsi="Calibri"/>
          <w:iCs w:val="0"/>
        </w:rPr>
        <w:t>MassDOT</w:t>
      </w:r>
      <w:r>
        <w:rPr>
          <w:rFonts w:ascii="Calibri" w:hAnsi="Calibri"/>
          <w:iCs w:val="0"/>
        </w:rPr>
        <w:t xml:space="preserve">’s credit exposure to financial institutions and other entities </w:t>
      </w:r>
      <w:proofErr w:type="gramStart"/>
      <w:r>
        <w:rPr>
          <w:rFonts w:ascii="Calibri" w:hAnsi="Calibri"/>
          <w:iCs w:val="0"/>
        </w:rPr>
        <w:t>through the use of</w:t>
      </w:r>
      <w:proofErr w:type="gramEnd"/>
      <w:r>
        <w:rPr>
          <w:rFonts w:ascii="Calibri" w:hAnsi="Calibri"/>
          <w:iCs w:val="0"/>
        </w:rPr>
        <w:t xml:space="preserve"> offsetting </w:t>
      </w:r>
      <w:r>
        <w:rPr>
          <w:rFonts w:ascii="Calibri" w:hAnsi="Calibri"/>
          <w:iCs w:val="0"/>
        </w:rPr>
        <w:t>swap</w:t>
      </w:r>
      <w:r>
        <w:rPr>
          <w:rFonts w:ascii="Calibri" w:hAnsi="Calibri"/>
          <w:iCs w:val="0"/>
        </w:rPr>
        <w:t>s and other credit management products</w:t>
      </w:r>
      <w:r>
        <w:rPr>
          <w:rFonts w:ascii="Calibri" w:hAnsi="Calibri"/>
          <w:iCs w:val="0"/>
        </w:rPr>
        <w:t xml:space="preserve">, </w:t>
      </w:r>
      <w:proofErr w:type="gramStart"/>
      <w:r>
        <w:rPr>
          <w:rFonts w:ascii="Calibri" w:hAnsi="Calibri"/>
          <w:iCs w:val="0"/>
        </w:rPr>
        <w:t>and;</w:t>
      </w:r>
      <w:proofErr w:type="gramEnd"/>
    </w:p>
    <w:p w14:paraId="1DAE33F5" w14:textId="77777777" w:rsidR="005C0917" w:rsidRDefault="005C0917" w:rsidP="004C25B5">
      <w:pPr>
        <w:pStyle w:val="BodyTextIndent"/>
        <w:numPr>
          <w:ilvl w:val="0"/>
          <w:numId w:val="22"/>
        </w:numPr>
        <w:tabs>
          <w:tab w:val="clear" w:pos="1800"/>
          <w:tab w:val="num" w:pos="360"/>
        </w:tabs>
        <w:ind w:left="720" w:hanging="360"/>
        <w:rPr>
          <w:rFonts w:ascii="Calibri" w:hAnsi="Calibri"/>
          <w:iCs w:val="0"/>
        </w:rPr>
      </w:pPr>
      <w:r>
        <w:rPr>
          <w:rFonts w:ascii="Calibri" w:hAnsi="Calibri"/>
          <w:iCs w:val="0"/>
        </w:rPr>
        <w:t>Other applications to</w:t>
      </w:r>
      <w:r>
        <w:rPr>
          <w:rFonts w:ascii="Calibri" w:hAnsi="Calibri"/>
          <w:iCs w:val="0"/>
        </w:rPr>
        <w:t xml:space="preserve"> enable </w:t>
      </w:r>
      <w:r>
        <w:rPr>
          <w:rFonts w:ascii="Calibri" w:hAnsi="Calibri"/>
          <w:iCs w:val="0"/>
        </w:rPr>
        <w:t>MassDOT</w:t>
      </w:r>
      <w:r>
        <w:rPr>
          <w:rFonts w:ascii="Calibri" w:hAnsi="Calibri"/>
          <w:iCs w:val="0"/>
        </w:rPr>
        <w:t xml:space="preserve"> to</w:t>
      </w:r>
      <w:r>
        <w:rPr>
          <w:rFonts w:ascii="Calibri" w:hAnsi="Calibri"/>
          <w:iCs w:val="0"/>
        </w:rPr>
        <w:t xml:space="preserve"> lower costs or strengthen </w:t>
      </w:r>
      <w:r>
        <w:rPr>
          <w:rFonts w:ascii="Calibri" w:hAnsi="Calibri"/>
          <w:iCs w:val="0"/>
        </w:rPr>
        <w:t>MassDOT</w:t>
      </w:r>
      <w:r>
        <w:rPr>
          <w:rFonts w:ascii="Calibri" w:hAnsi="Calibri"/>
          <w:iCs w:val="0"/>
        </w:rPr>
        <w:t>’s</w:t>
      </w:r>
      <w:r>
        <w:rPr>
          <w:rFonts w:ascii="Calibri" w:hAnsi="Calibri"/>
          <w:iCs w:val="0"/>
        </w:rPr>
        <w:t xml:space="preserve"> balance </w:t>
      </w:r>
      <w:proofErr w:type="gramStart"/>
      <w:r>
        <w:rPr>
          <w:rFonts w:ascii="Calibri" w:hAnsi="Calibri"/>
          <w:iCs w:val="0"/>
        </w:rPr>
        <w:t>sheet</w:t>
      </w:r>
      <w:r w:rsidR="00EF7026">
        <w:rPr>
          <w:rFonts w:ascii="Calibri" w:hAnsi="Calibri"/>
          <w:iCs w:val="0"/>
        </w:rPr>
        <w:t>;</w:t>
      </w:r>
      <w:proofErr w:type="gramEnd"/>
    </w:p>
    <w:p w14:paraId="3F0BFFCB" w14:textId="77777777" w:rsidR="00EF7026" w:rsidRDefault="00EF7026" w:rsidP="004C25B5">
      <w:pPr>
        <w:pStyle w:val="BodyTextIndent"/>
        <w:numPr>
          <w:ilvl w:val="0"/>
          <w:numId w:val="22"/>
        </w:numPr>
        <w:tabs>
          <w:tab w:val="clear" w:pos="1800"/>
          <w:tab w:val="num" w:pos="360"/>
        </w:tabs>
        <w:ind w:left="720" w:hanging="360"/>
        <w:rPr>
          <w:rFonts w:ascii="Calibri" w:hAnsi="Calibri"/>
          <w:iCs w:val="0"/>
        </w:rPr>
      </w:pPr>
      <w:r>
        <w:rPr>
          <w:rFonts w:ascii="Calibri" w:hAnsi="Calibri"/>
          <w:iCs w:val="0"/>
        </w:rPr>
        <w:t xml:space="preserve">Terminating or partially terminating existing swaps </w:t>
      </w:r>
      <w:proofErr w:type="gramStart"/>
      <w:r>
        <w:rPr>
          <w:rFonts w:ascii="Calibri" w:hAnsi="Calibri"/>
          <w:iCs w:val="0"/>
        </w:rPr>
        <w:t>in order to</w:t>
      </w:r>
      <w:proofErr w:type="gramEnd"/>
      <w:r>
        <w:rPr>
          <w:rFonts w:ascii="Calibri" w:hAnsi="Calibri"/>
          <w:iCs w:val="0"/>
        </w:rPr>
        <w:t xml:space="preserve"> diminish various risks associated with MassDOT’s debt and swap portfolios, for economic purposes, or to realign hedge effectiveness with respect to the variable rate bonds.</w:t>
      </w:r>
    </w:p>
    <w:p w14:paraId="4A60D4A7" w14:textId="77777777" w:rsidR="005C0917" w:rsidRDefault="005C0917">
      <w:pPr>
        <w:pStyle w:val="BodyText2"/>
        <w:jc w:val="both"/>
        <w:rPr>
          <w:rFonts w:ascii="Calibri" w:hAnsi="Calibri"/>
          <w:sz w:val="24"/>
        </w:rPr>
      </w:pPr>
    </w:p>
    <w:p w14:paraId="7FCAF690" w14:textId="77777777" w:rsidR="005C0917" w:rsidRDefault="005C0917">
      <w:pPr>
        <w:pStyle w:val="BodyText2"/>
        <w:jc w:val="both"/>
        <w:rPr>
          <w:rFonts w:ascii="Calibri" w:hAnsi="Calibri"/>
          <w:sz w:val="24"/>
        </w:rPr>
      </w:pPr>
      <w:r>
        <w:rPr>
          <w:rFonts w:ascii="Calibri" w:hAnsi="Calibri"/>
          <w:sz w:val="24"/>
          <w:szCs w:val="24"/>
        </w:rPr>
        <w:t xml:space="preserve">MassDOT </w:t>
      </w:r>
      <w:r>
        <w:rPr>
          <w:rFonts w:ascii="Calibri" w:hAnsi="Calibri"/>
          <w:iCs/>
          <w:sz w:val="24"/>
        </w:rPr>
        <w:t>will not enter into swaps for purely speculative purposes, if t</w:t>
      </w:r>
      <w:r>
        <w:rPr>
          <w:rFonts w:ascii="Calibri" w:hAnsi="Calibri"/>
          <w:sz w:val="24"/>
          <w:szCs w:val="24"/>
        </w:rPr>
        <w:t>he swap will expose MassDOT to extraordinary leverage or risk, or if MassDOT is unable to reasonably anticipate that it will have sufficient liquidity or financing capacity to terminate the swap at market rates (if it should need to) or if there is insufficient pricing data available to allow MassDOT and its advisors to adequately value the swap on an ongoing basis.</w:t>
      </w:r>
    </w:p>
    <w:p w14:paraId="2861E1BC" w14:textId="77777777" w:rsidR="005C0917" w:rsidRDefault="005C0917">
      <w:pPr>
        <w:pStyle w:val="BodyText2"/>
        <w:jc w:val="both"/>
        <w:rPr>
          <w:rFonts w:ascii="Calibri" w:hAnsi="Calibri"/>
          <w:sz w:val="24"/>
        </w:rPr>
      </w:pPr>
    </w:p>
    <w:p w14:paraId="4E1DA0AB" w14:textId="77777777" w:rsidR="005C0917" w:rsidRDefault="005C0917">
      <w:pPr>
        <w:pStyle w:val="Heading3"/>
        <w:numPr>
          <w:ilvl w:val="0"/>
          <w:numId w:val="7"/>
        </w:numPr>
        <w:jc w:val="both"/>
        <w:rPr>
          <w:rFonts w:ascii="Calibri" w:hAnsi="Calibri"/>
          <w:sz w:val="24"/>
        </w:rPr>
      </w:pPr>
      <w:r>
        <w:rPr>
          <w:rFonts w:ascii="Calibri" w:hAnsi="Calibri"/>
          <w:sz w:val="24"/>
        </w:rPr>
        <w:t>Procedure</w:t>
      </w:r>
    </w:p>
    <w:p w14:paraId="61A9A2E0" w14:textId="77777777" w:rsidR="005C0917" w:rsidRDefault="005C0917">
      <w:pPr>
        <w:jc w:val="both"/>
        <w:rPr>
          <w:rFonts w:ascii="Calibri" w:hAnsi="Calibri"/>
          <w:sz w:val="24"/>
        </w:rPr>
      </w:pPr>
    </w:p>
    <w:p w14:paraId="43DA54A6" w14:textId="77777777" w:rsidR="005C0917" w:rsidRDefault="005C0917">
      <w:pPr>
        <w:jc w:val="both"/>
        <w:rPr>
          <w:rFonts w:ascii="Calibri" w:hAnsi="Calibri"/>
          <w:sz w:val="24"/>
        </w:rPr>
      </w:pPr>
      <w:r>
        <w:rPr>
          <w:rFonts w:ascii="Calibri" w:hAnsi="Calibri"/>
          <w:sz w:val="24"/>
        </w:rPr>
        <w:t>When amending</w:t>
      </w:r>
      <w:r w:rsidR="00556E42">
        <w:rPr>
          <w:rFonts w:ascii="Calibri" w:hAnsi="Calibri"/>
          <w:sz w:val="24"/>
        </w:rPr>
        <w:t>, terminating</w:t>
      </w:r>
      <w:r w:rsidR="00210DDC">
        <w:rPr>
          <w:rFonts w:ascii="Calibri" w:hAnsi="Calibri"/>
          <w:sz w:val="24"/>
        </w:rPr>
        <w:t>,</w:t>
      </w:r>
      <w:r>
        <w:rPr>
          <w:rFonts w:ascii="Calibri" w:hAnsi="Calibri"/>
          <w:sz w:val="24"/>
        </w:rPr>
        <w:t xml:space="preserve"> or </w:t>
      </w:r>
      <w:proofErr w:type="gramStart"/>
      <w:r>
        <w:rPr>
          <w:rFonts w:ascii="Calibri" w:hAnsi="Calibri"/>
          <w:sz w:val="24"/>
        </w:rPr>
        <w:t>entering into</w:t>
      </w:r>
      <w:proofErr w:type="gramEnd"/>
      <w:r>
        <w:rPr>
          <w:rFonts w:ascii="Calibri" w:hAnsi="Calibri"/>
          <w:sz w:val="24"/>
        </w:rPr>
        <w:t xml:space="preserve"> new swaps MassDOT shall consider the following:</w:t>
      </w:r>
    </w:p>
    <w:p w14:paraId="29EE4603" w14:textId="77777777" w:rsidR="005C0917" w:rsidRDefault="005C0917">
      <w:pPr>
        <w:jc w:val="both"/>
        <w:rPr>
          <w:rFonts w:ascii="Calibri" w:hAnsi="Calibri"/>
          <w:sz w:val="24"/>
        </w:rPr>
      </w:pPr>
    </w:p>
    <w:p w14:paraId="3500B589" w14:textId="77777777" w:rsidR="005C0917" w:rsidRDefault="005C0917" w:rsidP="004C25B5">
      <w:pPr>
        <w:pStyle w:val="BodyTextIndent"/>
        <w:numPr>
          <w:ilvl w:val="0"/>
          <w:numId w:val="16"/>
        </w:numPr>
        <w:ind w:left="720"/>
        <w:rPr>
          <w:rFonts w:ascii="Calibri" w:hAnsi="Calibri"/>
          <w:iCs w:val="0"/>
        </w:rPr>
      </w:pPr>
      <w:r>
        <w:rPr>
          <w:rFonts w:ascii="Calibri" w:hAnsi="Calibri"/>
          <w:iCs w:val="0"/>
        </w:rPr>
        <w:t xml:space="preserve">The appropriateness of the transaction for </w:t>
      </w:r>
      <w:r>
        <w:rPr>
          <w:rFonts w:ascii="Calibri" w:hAnsi="Calibri"/>
          <w:iCs w:val="0"/>
        </w:rPr>
        <w:t>MassDOT</w:t>
      </w:r>
      <w:r>
        <w:rPr>
          <w:rFonts w:ascii="Calibri" w:hAnsi="Calibri"/>
          <w:iCs w:val="0"/>
        </w:rPr>
        <w:t xml:space="preserve"> based on the balance of risks and</w:t>
      </w:r>
      <w:r>
        <w:rPr>
          <w:rFonts w:ascii="Calibri" w:hAnsi="Calibri"/>
          <w:iCs w:val="0"/>
        </w:rPr>
        <w:t xml:space="preserve"> anticipated</w:t>
      </w:r>
      <w:r>
        <w:rPr>
          <w:rFonts w:ascii="Calibri" w:hAnsi="Calibri"/>
          <w:iCs w:val="0"/>
        </w:rPr>
        <w:t xml:space="preserve"> rewards presented by the proposed transaction, including a detailed description of the transactional structure, a description of the risks it presents, and risk mitigation measures</w:t>
      </w:r>
      <w:r>
        <w:rPr>
          <w:rFonts w:ascii="Calibri" w:hAnsi="Calibri"/>
          <w:iCs w:val="0"/>
        </w:rPr>
        <w:t xml:space="preserve">, where </w:t>
      </w:r>
      <w:proofErr w:type="gramStart"/>
      <w:r>
        <w:rPr>
          <w:rFonts w:ascii="Calibri" w:hAnsi="Calibri"/>
          <w:iCs w:val="0"/>
        </w:rPr>
        <w:t>applicable</w:t>
      </w:r>
      <w:r>
        <w:rPr>
          <w:rFonts w:ascii="Calibri" w:hAnsi="Calibri"/>
          <w:iCs w:val="0"/>
        </w:rPr>
        <w:t>;</w:t>
      </w:r>
      <w:proofErr w:type="gramEnd"/>
    </w:p>
    <w:p w14:paraId="77411771" w14:textId="77777777" w:rsidR="005C0917" w:rsidRDefault="005C0917" w:rsidP="004C25B5">
      <w:pPr>
        <w:pStyle w:val="BodyTextIndent"/>
        <w:numPr>
          <w:ilvl w:val="0"/>
          <w:numId w:val="16"/>
        </w:numPr>
        <w:ind w:left="720"/>
        <w:rPr>
          <w:rFonts w:ascii="Calibri" w:hAnsi="Calibri"/>
          <w:iCs w:val="0"/>
        </w:rPr>
      </w:pPr>
      <w:r>
        <w:rPr>
          <w:rFonts w:ascii="Calibri" w:hAnsi="Calibri"/>
          <w:iCs w:val="0"/>
        </w:rPr>
        <w:t xml:space="preserve">The legal framework for the transaction within the context of </w:t>
      </w:r>
      <w:r>
        <w:rPr>
          <w:rFonts w:ascii="Calibri" w:hAnsi="Calibri"/>
          <w:iCs w:val="0"/>
        </w:rPr>
        <w:t>Massachusetts</w:t>
      </w:r>
      <w:r>
        <w:rPr>
          <w:rFonts w:ascii="Calibri" w:hAnsi="Calibri"/>
          <w:iCs w:val="0"/>
        </w:rPr>
        <w:t xml:space="preserve"> statutes, </w:t>
      </w:r>
      <w:r>
        <w:rPr>
          <w:rFonts w:ascii="Calibri" w:hAnsi="Calibri"/>
          <w:iCs w:val="0"/>
        </w:rPr>
        <w:t>MassDOT authorization</w:t>
      </w:r>
      <w:r>
        <w:rPr>
          <w:rFonts w:ascii="Calibri" w:hAnsi="Calibri"/>
          <w:iCs w:val="0"/>
        </w:rPr>
        <w:t>, and relevant indenture and contractual requirements (including those contained in credit</w:t>
      </w:r>
      <w:r>
        <w:rPr>
          <w:rFonts w:ascii="Calibri" w:hAnsi="Calibri"/>
          <w:iCs w:val="0"/>
        </w:rPr>
        <w:t xml:space="preserve"> or liquidity</w:t>
      </w:r>
      <w:r>
        <w:rPr>
          <w:rFonts w:ascii="Calibri" w:hAnsi="Calibri"/>
          <w:iCs w:val="0"/>
        </w:rPr>
        <w:t xml:space="preserve"> agreements), as well as any implications of the transaction under federal tax </w:t>
      </w:r>
      <w:proofErr w:type="gramStart"/>
      <w:r>
        <w:rPr>
          <w:rFonts w:ascii="Calibri" w:hAnsi="Calibri"/>
          <w:iCs w:val="0"/>
        </w:rPr>
        <w:t>regulations</w:t>
      </w:r>
      <w:r>
        <w:rPr>
          <w:rFonts w:ascii="Calibri" w:hAnsi="Calibri"/>
          <w:iCs w:val="0"/>
        </w:rPr>
        <w:t>;</w:t>
      </w:r>
      <w:proofErr w:type="gramEnd"/>
      <w:r>
        <w:rPr>
          <w:rFonts w:ascii="Calibri" w:hAnsi="Calibri"/>
          <w:iCs w:val="0"/>
        </w:rPr>
        <w:t xml:space="preserve"> </w:t>
      </w:r>
    </w:p>
    <w:p w14:paraId="172D3F9E" w14:textId="77777777" w:rsidR="005C0917" w:rsidRDefault="005C0917" w:rsidP="004C25B5">
      <w:pPr>
        <w:pStyle w:val="BodyTextIndent"/>
        <w:numPr>
          <w:ilvl w:val="0"/>
          <w:numId w:val="16"/>
        </w:numPr>
        <w:ind w:left="720"/>
        <w:rPr>
          <w:rFonts w:ascii="Calibri" w:hAnsi="Calibri"/>
          <w:iCs w:val="0"/>
        </w:rPr>
      </w:pPr>
      <w:r>
        <w:rPr>
          <w:rFonts w:ascii="Calibri" w:hAnsi="Calibri"/>
          <w:iCs w:val="0"/>
        </w:rPr>
        <w:t>The p</w:t>
      </w:r>
      <w:r>
        <w:rPr>
          <w:rFonts w:ascii="Calibri" w:hAnsi="Calibri"/>
          <w:iCs w:val="0"/>
        </w:rPr>
        <w:t xml:space="preserve">otential effects that the transaction may have on the credit ratings of any </w:t>
      </w:r>
      <w:r>
        <w:rPr>
          <w:rFonts w:ascii="Calibri" w:hAnsi="Calibri"/>
          <w:iCs w:val="0"/>
        </w:rPr>
        <w:t>MassDOT</w:t>
      </w:r>
      <w:r>
        <w:rPr>
          <w:rFonts w:ascii="Calibri" w:hAnsi="Calibri"/>
          <w:iCs w:val="0"/>
        </w:rPr>
        <w:t xml:space="preserve"> obligations assigned by the rating </w:t>
      </w:r>
      <w:proofErr w:type="gramStart"/>
      <w:r>
        <w:rPr>
          <w:rFonts w:ascii="Calibri" w:hAnsi="Calibri"/>
          <w:iCs w:val="0"/>
        </w:rPr>
        <w:t>agencies;</w:t>
      </w:r>
      <w:proofErr w:type="gramEnd"/>
    </w:p>
    <w:p w14:paraId="3DEE43BA" w14:textId="77777777" w:rsidR="005C0917" w:rsidRDefault="005C0917" w:rsidP="004C25B5">
      <w:pPr>
        <w:pStyle w:val="BodyTextIndent"/>
        <w:numPr>
          <w:ilvl w:val="0"/>
          <w:numId w:val="16"/>
        </w:numPr>
        <w:ind w:left="720"/>
        <w:rPr>
          <w:rFonts w:ascii="Calibri" w:hAnsi="Calibri"/>
          <w:iCs w:val="0"/>
        </w:rPr>
      </w:pPr>
      <w:r>
        <w:rPr>
          <w:rFonts w:ascii="Calibri" w:hAnsi="Calibri"/>
          <w:iCs w:val="0"/>
        </w:rPr>
        <w:t xml:space="preserve">The potential impact of the transaction on any areas where </w:t>
      </w:r>
      <w:r>
        <w:rPr>
          <w:rFonts w:ascii="Calibri" w:hAnsi="Calibri"/>
          <w:iCs w:val="0"/>
        </w:rPr>
        <w:t>MassDOT’s</w:t>
      </w:r>
      <w:r>
        <w:rPr>
          <w:rFonts w:ascii="Calibri" w:hAnsi="Calibri"/>
          <w:iCs w:val="0"/>
        </w:rPr>
        <w:t xml:space="preserve"> capacity is limited, now or in the future, including the use of variable-rate debt, bank </w:t>
      </w:r>
      <w:r>
        <w:rPr>
          <w:rFonts w:ascii="Calibri" w:hAnsi="Calibri"/>
          <w:iCs w:val="0"/>
        </w:rPr>
        <w:t xml:space="preserve">credit or </w:t>
      </w:r>
      <w:r>
        <w:rPr>
          <w:rFonts w:ascii="Calibri" w:hAnsi="Calibri"/>
          <w:iCs w:val="0"/>
        </w:rPr>
        <w:t>liquidity facilities</w:t>
      </w:r>
      <w:r>
        <w:rPr>
          <w:rFonts w:ascii="Calibri" w:hAnsi="Calibri"/>
          <w:iCs w:val="0"/>
        </w:rPr>
        <w:t>, direct purchase obligations</w:t>
      </w:r>
      <w:r>
        <w:rPr>
          <w:rFonts w:ascii="Calibri" w:hAnsi="Calibri"/>
          <w:iCs w:val="0"/>
        </w:rPr>
        <w:t xml:space="preserve">, and bond </w:t>
      </w:r>
      <w:proofErr w:type="gramStart"/>
      <w:r>
        <w:rPr>
          <w:rFonts w:ascii="Calibri" w:hAnsi="Calibri"/>
          <w:iCs w:val="0"/>
        </w:rPr>
        <w:t>insurance</w:t>
      </w:r>
      <w:r>
        <w:rPr>
          <w:rFonts w:ascii="Calibri" w:hAnsi="Calibri"/>
          <w:iCs w:val="0"/>
        </w:rPr>
        <w:t>;</w:t>
      </w:r>
      <w:proofErr w:type="gramEnd"/>
      <w:r>
        <w:rPr>
          <w:rFonts w:ascii="Calibri" w:hAnsi="Calibri"/>
          <w:iCs w:val="0"/>
        </w:rPr>
        <w:t xml:space="preserve"> </w:t>
      </w:r>
    </w:p>
    <w:p w14:paraId="78A8FA4D" w14:textId="77777777" w:rsidR="005C0917" w:rsidRDefault="005C0917" w:rsidP="004C25B5">
      <w:pPr>
        <w:pStyle w:val="BodyTextIndent"/>
        <w:numPr>
          <w:ilvl w:val="0"/>
          <w:numId w:val="16"/>
        </w:numPr>
        <w:ind w:left="720"/>
        <w:rPr>
          <w:rFonts w:ascii="Calibri" w:hAnsi="Calibri"/>
          <w:iCs w:val="0"/>
        </w:rPr>
      </w:pPr>
      <w:r>
        <w:rPr>
          <w:rFonts w:ascii="Calibri" w:hAnsi="Calibri"/>
          <w:iCs w:val="0"/>
        </w:rPr>
        <w:t>The administrative burden that may be imposed by the transaction, including accounting and financial reporting requirements; and</w:t>
      </w:r>
    </w:p>
    <w:p w14:paraId="059763F9" w14:textId="77777777" w:rsidR="005C0917" w:rsidRDefault="005C0917" w:rsidP="004C25B5">
      <w:pPr>
        <w:pStyle w:val="BodyTextIndent"/>
        <w:numPr>
          <w:ilvl w:val="0"/>
          <w:numId w:val="16"/>
        </w:numPr>
        <w:ind w:left="720"/>
        <w:rPr>
          <w:rFonts w:ascii="Calibri" w:hAnsi="Calibri"/>
          <w:iCs w:val="0"/>
        </w:rPr>
      </w:pPr>
      <w:r>
        <w:rPr>
          <w:rFonts w:ascii="Calibri" w:hAnsi="Calibri"/>
          <w:iCs w:val="0"/>
        </w:rPr>
        <w:t>Other implications of the proposed transaction as warranted.</w:t>
      </w:r>
    </w:p>
    <w:p w14:paraId="1BE2EEA6" w14:textId="77777777" w:rsidR="006937A5" w:rsidRDefault="006937A5" w:rsidP="004C25B5">
      <w:pPr>
        <w:pStyle w:val="BodyTextIndent"/>
        <w:numPr>
          <w:ilvl w:val="0"/>
          <w:numId w:val="16"/>
        </w:numPr>
        <w:ind w:left="720"/>
        <w:rPr>
          <w:rFonts w:ascii="Calibri" w:hAnsi="Calibri"/>
          <w:iCs w:val="0"/>
        </w:rPr>
      </w:pPr>
      <w:r w:rsidRPr="00C2233C">
        <w:rPr>
          <w:rFonts w:ascii="Calibri" w:hAnsi="Calibri"/>
          <w:iCs w:val="0"/>
        </w:rPr>
        <w:t xml:space="preserve">Whether there would be sufficient price transparency, as a result, for example, of unusual structures or terms, to permit </w:t>
      </w:r>
      <w:r w:rsidR="00DE6B6F" w:rsidRPr="00C2233C">
        <w:rPr>
          <w:rFonts w:ascii="Calibri" w:hAnsi="Calibri"/>
          <w:iCs w:val="0"/>
        </w:rPr>
        <w:t>MassDOT and</w:t>
      </w:r>
      <w:r w:rsidRPr="00C2233C">
        <w:rPr>
          <w:rFonts w:ascii="Calibri" w:hAnsi="Calibri"/>
          <w:iCs w:val="0"/>
        </w:rPr>
        <w:t xml:space="preserve"> a </w:t>
      </w:r>
      <w:r w:rsidR="00DE6B6F" w:rsidRPr="00C2233C">
        <w:rPr>
          <w:rFonts w:ascii="Calibri" w:hAnsi="Calibri"/>
          <w:iCs w:val="0"/>
        </w:rPr>
        <w:t>d</w:t>
      </w:r>
      <w:r w:rsidRPr="00C2233C">
        <w:rPr>
          <w:rFonts w:ascii="Calibri" w:hAnsi="Calibri"/>
          <w:iCs w:val="0"/>
        </w:rPr>
        <w:t>erivative advisor to reasonably determine the fair-market value of the Derivative.</w:t>
      </w:r>
    </w:p>
    <w:p w14:paraId="6BEA09B4" w14:textId="77777777" w:rsidR="005C0917" w:rsidRDefault="005C0917">
      <w:pPr>
        <w:jc w:val="both"/>
        <w:rPr>
          <w:rFonts w:ascii="Calibri" w:hAnsi="Calibri"/>
          <w:sz w:val="24"/>
        </w:rPr>
      </w:pPr>
    </w:p>
    <w:p w14:paraId="0C832F76" w14:textId="77777777" w:rsidR="005C0917" w:rsidRDefault="005C0917">
      <w:pPr>
        <w:pStyle w:val="BodyText2"/>
        <w:numPr>
          <w:ilvl w:val="0"/>
          <w:numId w:val="7"/>
        </w:numPr>
        <w:jc w:val="both"/>
        <w:rPr>
          <w:rFonts w:ascii="Calibri" w:hAnsi="Calibri"/>
          <w:b/>
          <w:sz w:val="24"/>
          <w:u w:val="single"/>
        </w:rPr>
      </w:pPr>
      <w:r>
        <w:rPr>
          <w:rFonts w:ascii="Calibri" w:hAnsi="Calibri"/>
          <w:b/>
          <w:sz w:val="24"/>
          <w:u w:val="single"/>
        </w:rPr>
        <w:t>Counterparty Credit Standards</w:t>
      </w:r>
    </w:p>
    <w:p w14:paraId="1FC07917" w14:textId="77777777" w:rsidR="005C0917" w:rsidRDefault="005C0917">
      <w:pPr>
        <w:pStyle w:val="BodyText2"/>
        <w:jc w:val="both"/>
        <w:rPr>
          <w:rFonts w:ascii="Calibri" w:hAnsi="Calibri"/>
          <w:sz w:val="24"/>
        </w:rPr>
      </w:pPr>
    </w:p>
    <w:p w14:paraId="35F23C2D" w14:textId="77777777" w:rsidR="005C0917" w:rsidRDefault="005C0917">
      <w:pPr>
        <w:pStyle w:val="BodyText2"/>
        <w:jc w:val="both"/>
        <w:rPr>
          <w:rFonts w:ascii="Calibri" w:hAnsi="Calibri"/>
          <w:sz w:val="24"/>
        </w:rPr>
      </w:pPr>
      <w:r>
        <w:rPr>
          <w:rFonts w:ascii="Calibri" w:hAnsi="Calibri"/>
          <w:sz w:val="24"/>
        </w:rPr>
        <w:t>Many derivative products can create a continuing exposure to the creditworthiness of financial institutions that serve as counterparties on swaps</w:t>
      </w:r>
      <w:r w:rsidR="004C25B5">
        <w:rPr>
          <w:rFonts w:ascii="Calibri" w:hAnsi="Calibri"/>
          <w:sz w:val="24"/>
        </w:rPr>
        <w:t xml:space="preserve">. </w:t>
      </w:r>
      <w:r>
        <w:rPr>
          <w:rFonts w:ascii="Calibri" w:hAnsi="Calibri"/>
          <w:sz w:val="24"/>
        </w:rPr>
        <w:t xml:space="preserve">MassDOT </w:t>
      </w:r>
      <w:r w:rsidR="00C2233C">
        <w:rPr>
          <w:rFonts w:ascii="Calibri" w:hAnsi="Calibri"/>
          <w:sz w:val="24"/>
        </w:rPr>
        <w:t xml:space="preserve">has three </w:t>
      </w:r>
      <w:r>
        <w:rPr>
          <w:rFonts w:ascii="Calibri" w:hAnsi="Calibri"/>
          <w:sz w:val="24"/>
        </w:rPr>
        <w:t xml:space="preserve">fixed-to-floating interest rate swaps </w:t>
      </w:r>
      <w:r w:rsidR="00C2233C">
        <w:rPr>
          <w:rFonts w:ascii="Calibri" w:hAnsi="Calibri"/>
          <w:sz w:val="24"/>
        </w:rPr>
        <w:t xml:space="preserve">outstanding </w:t>
      </w:r>
      <w:r>
        <w:rPr>
          <w:rFonts w:ascii="Calibri" w:hAnsi="Calibri"/>
          <w:sz w:val="24"/>
        </w:rPr>
        <w:t>with an aggregate notional value of $</w:t>
      </w:r>
      <w:r w:rsidR="00C2233C">
        <w:rPr>
          <w:rFonts w:ascii="Calibri" w:hAnsi="Calibri"/>
          <w:sz w:val="24"/>
        </w:rPr>
        <w:t>579.045</w:t>
      </w:r>
      <w:r>
        <w:rPr>
          <w:rFonts w:ascii="Calibri" w:hAnsi="Calibri"/>
          <w:sz w:val="24"/>
        </w:rPr>
        <w:t xml:space="preserve"> million with </w:t>
      </w:r>
      <w:r w:rsidR="00C2233C">
        <w:rPr>
          <w:rFonts w:ascii="Calibri" w:hAnsi="Calibri"/>
          <w:sz w:val="24"/>
        </w:rPr>
        <w:t xml:space="preserve">Citibank, NA, Barclays Bank PLC and </w:t>
      </w:r>
      <w:r>
        <w:rPr>
          <w:rFonts w:ascii="Calibri" w:hAnsi="Calibri"/>
          <w:sz w:val="24"/>
        </w:rPr>
        <w:t>UBS AG as counterpart</w:t>
      </w:r>
      <w:r w:rsidR="00C2233C">
        <w:rPr>
          <w:rFonts w:ascii="Calibri" w:hAnsi="Calibri"/>
          <w:sz w:val="24"/>
        </w:rPr>
        <w:t>ies</w:t>
      </w:r>
      <w:r w:rsidR="004C25B5">
        <w:rPr>
          <w:rFonts w:ascii="Calibri" w:hAnsi="Calibri"/>
          <w:sz w:val="24"/>
        </w:rPr>
        <w:t xml:space="preserve">. </w:t>
      </w:r>
      <w:r>
        <w:rPr>
          <w:rFonts w:ascii="Calibri" w:hAnsi="Calibri"/>
          <w:sz w:val="24"/>
        </w:rPr>
        <w:t xml:space="preserve">To protect MassDOT’s interests, MassDOT has, and will adhere to, the following standards when considering the </w:t>
      </w:r>
      <w:r>
        <w:rPr>
          <w:rFonts w:ascii="Calibri" w:hAnsi="Calibri"/>
          <w:sz w:val="24"/>
          <w:szCs w:val="24"/>
        </w:rPr>
        <w:t>amendment, novation</w:t>
      </w:r>
      <w:r w:rsidR="00EE32E2">
        <w:rPr>
          <w:rFonts w:ascii="Calibri" w:hAnsi="Calibri"/>
          <w:sz w:val="24"/>
          <w:szCs w:val="24"/>
        </w:rPr>
        <w:t>, termination</w:t>
      </w:r>
      <w:r w:rsidR="00210DDC">
        <w:rPr>
          <w:rFonts w:ascii="Calibri" w:hAnsi="Calibri"/>
          <w:sz w:val="24"/>
          <w:szCs w:val="24"/>
        </w:rPr>
        <w:t>,</w:t>
      </w:r>
      <w:r>
        <w:rPr>
          <w:rFonts w:ascii="Calibri" w:hAnsi="Calibri"/>
          <w:sz w:val="24"/>
          <w:szCs w:val="24"/>
        </w:rPr>
        <w:t xml:space="preserve"> or replacement of an existing swap or </w:t>
      </w:r>
      <w:proofErr w:type="gramStart"/>
      <w:r>
        <w:rPr>
          <w:rFonts w:ascii="Calibri" w:hAnsi="Calibri"/>
          <w:sz w:val="24"/>
          <w:szCs w:val="24"/>
        </w:rPr>
        <w:t>entering into</w:t>
      </w:r>
      <w:proofErr w:type="gramEnd"/>
      <w:r>
        <w:rPr>
          <w:rFonts w:ascii="Calibri" w:hAnsi="Calibri"/>
          <w:sz w:val="24"/>
          <w:szCs w:val="24"/>
        </w:rPr>
        <w:t xml:space="preserve"> new swaps as applicable in the context of its existing swap portfolio and current debt issuance authority</w:t>
      </w:r>
      <w:r>
        <w:rPr>
          <w:rFonts w:ascii="Calibri" w:hAnsi="Calibri"/>
          <w:sz w:val="24"/>
        </w:rPr>
        <w:t>:</w:t>
      </w:r>
    </w:p>
    <w:p w14:paraId="28FB5581" w14:textId="77777777" w:rsidR="005C0917" w:rsidRDefault="005C0917">
      <w:pPr>
        <w:pStyle w:val="BodyText2"/>
        <w:jc w:val="both"/>
        <w:rPr>
          <w:rFonts w:ascii="Calibri" w:hAnsi="Calibri"/>
          <w:sz w:val="24"/>
        </w:rPr>
      </w:pPr>
    </w:p>
    <w:p w14:paraId="4D0BF075" w14:textId="77777777" w:rsidR="005C0917" w:rsidRPr="004C25B5" w:rsidRDefault="005C0917" w:rsidP="004C25B5">
      <w:pPr>
        <w:pStyle w:val="BodyTextIndent"/>
        <w:numPr>
          <w:ilvl w:val="0"/>
          <w:numId w:val="18"/>
        </w:numPr>
        <w:tabs>
          <w:tab w:val="clear" w:pos="1440"/>
        </w:tabs>
        <w:ind w:left="720" w:hanging="360"/>
        <w:rPr>
          <w:rFonts w:ascii="Calibri" w:hAnsi="Calibri"/>
        </w:rPr>
      </w:pPr>
      <w:r w:rsidRPr="004C25B5">
        <w:rPr>
          <w:rFonts w:ascii="Calibri" w:hAnsi="Calibri"/>
        </w:rPr>
        <w:t xml:space="preserve">Use of </w:t>
      </w:r>
      <w:proofErr w:type="gramStart"/>
      <w:r w:rsidRPr="004C25B5">
        <w:rPr>
          <w:rFonts w:ascii="Calibri" w:hAnsi="Calibri"/>
        </w:rPr>
        <w:t>high</w:t>
      </w:r>
      <w:r w:rsidRPr="004C25B5">
        <w:rPr>
          <w:rFonts w:ascii="Calibri" w:hAnsi="Calibri"/>
        </w:rPr>
        <w:t>ly</w:t>
      </w:r>
      <w:r w:rsidRPr="004C25B5">
        <w:rPr>
          <w:rFonts w:ascii="Calibri" w:hAnsi="Calibri"/>
        </w:rPr>
        <w:t>-</w:t>
      </w:r>
      <w:r w:rsidRPr="004C25B5">
        <w:rPr>
          <w:rFonts w:ascii="Calibri" w:hAnsi="Calibri"/>
        </w:rPr>
        <w:t>rated</w:t>
      </w:r>
      <w:proofErr w:type="gramEnd"/>
      <w:r w:rsidRPr="004C25B5">
        <w:rPr>
          <w:rFonts w:ascii="Calibri" w:hAnsi="Calibri"/>
        </w:rPr>
        <w:t xml:space="preserve"> counterparties</w:t>
      </w:r>
      <w:r w:rsidR="004C25B5">
        <w:rPr>
          <w:rFonts w:ascii="Calibri" w:hAnsi="Calibri"/>
        </w:rPr>
        <w:t>.</w:t>
      </w:r>
      <w:r w:rsidRPr="004C25B5">
        <w:rPr>
          <w:rFonts w:ascii="Calibri" w:hAnsi="Calibri"/>
        </w:rPr>
        <w:t xml:space="preserve"> Standards of creditworthiness, as measured by credit ratings, will determine eligible counterparties</w:t>
      </w:r>
      <w:r w:rsidR="004C25B5">
        <w:rPr>
          <w:rFonts w:ascii="Calibri" w:hAnsi="Calibri"/>
        </w:rPr>
        <w:t xml:space="preserve">. </w:t>
      </w:r>
      <w:r w:rsidRPr="004C25B5">
        <w:rPr>
          <w:rFonts w:ascii="Calibri" w:hAnsi="Calibri"/>
        </w:rPr>
        <w:t>Differing standards may be employed depending on the term, size</w:t>
      </w:r>
      <w:r w:rsidRPr="004C25B5">
        <w:rPr>
          <w:rFonts w:ascii="Calibri" w:hAnsi="Calibri"/>
        </w:rPr>
        <w:t>,</w:t>
      </w:r>
      <w:r w:rsidRPr="004C25B5">
        <w:rPr>
          <w:rFonts w:ascii="Calibri" w:hAnsi="Calibri"/>
        </w:rPr>
        <w:t xml:space="preserve"> and interest-rate sensitivity of a transaction, types of </w:t>
      </w:r>
      <w:proofErr w:type="gramStart"/>
      <w:r w:rsidRPr="004C25B5">
        <w:rPr>
          <w:rFonts w:ascii="Calibri" w:hAnsi="Calibri"/>
        </w:rPr>
        <w:t>counterparty</w:t>
      </w:r>
      <w:proofErr w:type="gramEnd"/>
      <w:r w:rsidRPr="004C25B5">
        <w:rPr>
          <w:rFonts w:ascii="Calibri" w:hAnsi="Calibri"/>
        </w:rPr>
        <w:t xml:space="preserve">, and potential for impact on </w:t>
      </w:r>
      <w:r w:rsidRPr="004C25B5">
        <w:rPr>
          <w:rFonts w:ascii="Calibri" w:hAnsi="Calibri"/>
        </w:rPr>
        <w:t>MassDOT</w:t>
      </w:r>
      <w:r w:rsidRPr="004C25B5">
        <w:rPr>
          <w:rFonts w:ascii="Calibri" w:hAnsi="Calibri"/>
        </w:rPr>
        <w:t>’s</w:t>
      </w:r>
      <w:r w:rsidRPr="004C25B5">
        <w:rPr>
          <w:rFonts w:ascii="Calibri" w:hAnsi="Calibri"/>
        </w:rPr>
        <w:t xml:space="preserve"> credit ratings</w:t>
      </w:r>
      <w:r w:rsidR="004C25B5">
        <w:rPr>
          <w:rFonts w:ascii="Calibri" w:hAnsi="Calibri"/>
        </w:rPr>
        <w:t xml:space="preserve">. </w:t>
      </w:r>
      <w:r w:rsidRPr="004C25B5">
        <w:rPr>
          <w:rFonts w:ascii="Calibri" w:hAnsi="Calibri"/>
        </w:rPr>
        <w:t xml:space="preserve">In cases where the counterparty’s obligations are rated based on a guarantee or specialized structure to achieve the required credit rating, </w:t>
      </w:r>
      <w:r w:rsidRPr="004C25B5">
        <w:rPr>
          <w:rFonts w:ascii="Calibri" w:hAnsi="Calibri"/>
        </w:rPr>
        <w:t>MassDOT</w:t>
      </w:r>
      <w:r w:rsidRPr="004C25B5">
        <w:rPr>
          <w:rFonts w:ascii="Calibri" w:hAnsi="Calibri"/>
        </w:rPr>
        <w:t xml:space="preserve"> shall thoroughly investigate the nature and legal structure of the guarantee or structure </w:t>
      </w:r>
      <w:proofErr w:type="gramStart"/>
      <w:r w:rsidRPr="004C25B5">
        <w:rPr>
          <w:rFonts w:ascii="Calibri" w:hAnsi="Calibri"/>
        </w:rPr>
        <w:t>in order to</w:t>
      </w:r>
      <w:proofErr w:type="gramEnd"/>
      <w:r w:rsidRPr="004C25B5">
        <w:rPr>
          <w:rFonts w:ascii="Calibri" w:hAnsi="Calibri"/>
        </w:rPr>
        <w:t xml:space="preserve"> determine that it fully meets </w:t>
      </w:r>
      <w:r w:rsidRPr="004C25B5">
        <w:rPr>
          <w:rFonts w:ascii="Calibri" w:hAnsi="Calibri"/>
        </w:rPr>
        <w:t>MassDOT’s</w:t>
      </w:r>
      <w:r w:rsidRPr="004C25B5">
        <w:rPr>
          <w:rFonts w:ascii="Calibri" w:hAnsi="Calibri"/>
        </w:rPr>
        <w:t xml:space="preserve"> requirements</w:t>
      </w:r>
      <w:r w:rsidRPr="004C25B5">
        <w:rPr>
          <w:rFonts w:ascii="Calibri" w:hAnsi="Calibri"/>
        </w:rPr>
        <w:t>.</w:t>
      </w:r>
    </w:p>
    <w:p w14:paraId="5E1493FD" w14:textId="77777777" w:rsidR="005C0917" w:rsidRPr="004C25B5" w:rsidRDefault="005C0917" w:rsidP="004C25B5">
      <w:pPr>
        <w:pStyle w:val="BodyTextIndent"/>
        <w:numPr>
          <w:ilvl w:val="0"/>
          <w:numId w:val="18"/>
        </w:numPr>
        <w:tabs>
          <w:tab w:val="clear" w:pos="1440"/>
        </w:tabs>
        <w:ind w:left="720" w:hanging="360"/>
        <w:rPr>
          <w:rFonts w:ascii="Calibri" w:hAnsi="Calibri"/>
        </w:rPr>
      </w:pPr>
      <w:r w:rsidRPr="004C25B5">
        <w:rPr>
          <w:rFonts w:ascii="Calibri" w:hAnsi="Calibri"/>
        </w:rPr>
        <w:t>Collateralization on downgrade</w:t>
      </w:r>
      <w:r w:rsidR="004C25B5">
        <w:rPr>
          <w:rFonts w:ascii="Calibri" w:hAnsi="Calibri"/>
        </w:rPr>
        <w:t>.</w:t>
      </w:r>
      <w:r w:rsidRPr="004C25B5">
        <w:rPr>
          <w:rFonts w:ascii="Calibri" w:hAnsi="Calibri"/>
        </w:rPr>
        <w:t xml:space="preserve"> If a counterparty’s credit rating is downgrade</w:t>
      </w:r>
      <w:r w:rsidRPr="004C25B5">
        <w:rPr>
          <w:rFonts w:ascii="Calibri" w:hAnsi="Calibri"/>
        </w:rPr>
        <w:t xml:space="preserve">d below </w:t>
      </w:r>
      <w:r w:rsidRPr="004C25B5">
        <w:rPr>
          <w:rFonts w:ascii="Calibri" w:hAnsi="Calibri"/>
        </w:rPr>
        <w:t>agreed upon levels, MassDOT</w:t>
      </w:r>
      <w:r w:rsidRPr="004C25B5">
        <w:rPr>
          <w:rFonts w:ascii="Calibri" w:hAnsi="Calibri"/>
        </w:rPr>
        <w:t xml:space="preserve"> shall </w:t>
      </w:r>
      <w:r w:rsidRPr="004C25B5">
        <w:rPr>
          <w:rFonts w:ascii="Calibri" w:hAnsi="Calibri"/>
        </w:rPr>
        <w:t>require that its exposure to the c</w:t>
      </w:r>
      <w:r w:rsidR="00830148" w:rsidRPr="004C25B5">
        <w:rPr>
          <w:rFonts w:ascii="Calibri" w:hAnsi="Calibri"/>
        </w:rPr>
        <w:t>ounterparty be collateralized in accordance with existing agreements</w:t>
      </w:r>
      <w:r w:rsidR="004C25B5">
        <w:rPr>
          <w:rFonts w:ascii="Calibri" w:hAnsi="Calibri"/>
        </w:rPr>
        <w:t xml:space="preserve">. </w:t>
      </w:r>
      <w:r w:rsidR="00830148" w:rsidRPr="004C25B5">
        <w:rPr>
          <w:rFonts w:ascii="Calibri" w:hAnsi="Calibri"/>
        </w:rPr>
        <w:t>Any new agreements will be subject to review by MassDOT’s swap advisor and bond counsel and will contain collateral provisions consistent with industry standards and in the best interests of MassDOT</w:t>
      </w:r>
      <w:r w:rsidR="004C25B5">
        <w:rPr>
          <w:rFonts w:ascii="Calibri" w:hAnsi="Calibri"/>
        </w:rPr>
        <w:t xml:space="preserve">. </w:t>
      </w:r>
    </w:p>
    <w:p w14:paraId="567E48CB" w14:textId="77777777" w:rsidR="005C0917" w:rsidRPr="004C25B5" w:rsidRDefault="005C0917" w:rsidP="004C25B5">
      <w:pPr>
        <w:pStyle w:val="BodyTextIndent"/>
        <w:numPr>
          <w:ilvl w:val="0"/>
          <w:numId w:val="18"/>
        </w:numPr>
        <w:tabs>
          <w:tab w:val="clear" w:pos="1440"/>
        </w:tabs>
        <w:ind w:left="720" w:hanging="360"/>
        <w:rPr>
          <w:rFonts w:ascii="Calibri" w:hAnsi="Calibri"/>
        </w:rPr>
      </w:pPr>
      <w:r w:rsidRPr="004C25B5">
        <w:rPr>
          <w:rFonts w:ascii="Calibri" w:hAnsi="Calibri"/>
        </w:rPr>
        <w:t>Termination</w:t>
      </w:r>
      <w:r w:rsidR="004C25B5">
        <w:rPr>
          <w:rFonts w:ascii="Calibri" w:hAnsi="Calibri"/>
        </w:rPr>
        <w:t>.</w:t>
      </w:r>
      <w:r w:rsidRPr="004C25B5">
        <w:rPr>
          <w:rFonts w:ascii="Calibri" w:hAnsi="Calibri"/>
        </w:rPr>
        <w:t xml:space="preserve"> If a counterparty’s credit </w:t>
      </w:r>
      <w:r w:rsidRPr="004C25B5">
        <w:rPr>
          <w:rFonts w:ascii="Calibri" w:hAnsi="Calibri"/>
        </w:rPr>
        <w:t xml:space="preserve">rating </w:t>
      </w:r>
      <w:r w:rsidRPr="004C25B5">
        <w:rPr>
          <w:rFonts w:ascii="Calibri" w:hAnsi="Calibri"/>
        </w:rPr>
        <w:t>is downgraded below a second (lower) threshold,</w:t>
      </w:r>
      <w:r w:rsidRPr="004C25B5">
        <w:rPr>
          <w:rFonts w:ascii="Calibri" w:hAnsi="Calibri"/>
        </w:rPr>
        <w:t xml:space="preserve"> even with collateralization,</w:t>
      </w:r>
      <w:r w:rsidRPr="004C25B5">
        <w:rPr>
          <w:rFonts w:ascii="Calibri" w:hAnsi="Calibri"/>
        </w:rPr>
        <w:t xml:space="preserve"> </w:t>
      </w:r>
      <w:r w:rsidRPr="004C25B5">
        <w:rPr>
          <w:rFonts w:ascii="Calibri" w:hAnsi="Calibri"/>
        </w:rPr>
        <w:t>MassDOT</w:t>
      </w:r>
      <w:r w:rsidRPr="004C25B5">
        <w:rPr>
          <w:rFonts w:ascii="Calibri" w:hAnsi="Calibri"/>
        </w:rPr>
        <w:t xml:space="preserve"> may exercise a right to terminate the transaction prior to its scheduled termination date</w:t>
      </w:r>
      <w:r w:rsidR="004C25B5">
        <w:rPr>
          <w:rFonts w:ascii="Calibri" w:hAnsi="Calibri"/>
        </w:rPr>
        <w:t xml:space="preserve">. </w:t>
      </w:r>
      <w:r w:rsidRPr="004C25B5">
        <w:rPr>
          <w:rFonts w:ascii="Calibri" w:hAnsi="Calibri"/>
        </w:rPr>
        <w:t>MassDOT</w:t>
      </w:r>
      <w:r w:rsidRPr="004C25B5">
        <w:rPr>
          <w:rFonts w:ascii="Calibri" w:hAnsi="Calibri"/>
        </w:rPr>
        <w:t xml:space="preserve"> will seek to require, whenever possible, that terminations triggered by a counterparty credit </w:t>
      </w:r>
      <w:r w:rsidRPr="004C25B5">
        <w:rPr>
          <w:rFonts w:ascii="Calibri" w:hAnsi="Calibri"/>
        </w:rPr>
        <w:t xml:space="preserve">rating </w:t>
      </w:r>
      <w:r w:rsidRPr="004C25B5">
        <w:rPr>
          <w:rFonts w:ascii="Calibri" w:hAnsi="Calibri"/>
        </w:rPr>
        <w:t xml:space="preserve">downgrade will occur on the side of the bid-offered spread which is most beneficial, and which would allow </w:t>
      </w:r>
      <w:r w:rsidRPr="004C25B5">
        <w:rPr>
          <w:rFonts w:ascii="Calibri" w:hAnsi="Calibri"/>
        </w:rPr>
        <w:t>MassDOT</w:t>
      </w:r>
      <w:r w:rsidRPr="004C25B5">
        <w:rPr>
          <w:rFonts w:ascii="Calibri" w:hAnsi="Calibri"/>
        </w:rPr>
        <w:t xml:space="preserve"> to replace the downgraded party with another suitable counterparty at no out-of-pocket cost</w:t>
      </w:r>
      <w:r w:rsidRPr="004C25B5">
        <w:rPr>
          <w:rFonts w:ascii="Calibri" w:hAnsi="Calibri"/>
        </w:rPr>
        <w:t>.</w:t>
      </w:r>
    </w:p>
    <w:p w14:paraId="45BB8590" w14:textId="77777777" w:rsidR="00B13C58" w:rsidRPr="00B13C58" w:rsidRDefault="005C0917" w:rsidP="004C25B5">
      <w:pPr>
        <w:pStyle w:val="BodyTextIndent"/>
        <w:numPr>
          <w:ilvl w:val="0"/>
          <w:numId w:val="18"/>
        </w:numPr>
        <w:tabs>
          <w:tab w:val="clear" w:pos="1440"/>
        </w:tabs>
        <w:ind w:left="720" w:hanging="360"/>
        <w:rPr>
          <w:rFonts w:ascii="Calibri" w:hAnsi="Calibri"/>
        </w:rPr>
      </w:pPr>
      <w:r w:rsidRPr="004C25B5">
        <w:rPr>
          <w:rFonts w:ascii="Calibri" w:hAnsi="Calibri"/>
        </w:rPr>
        <w:t>Notice</w:t>
      </w:r>
      <w:r w:rsidR="004C25B5">
        <w:rPr>
          <w:rFonts w:ascii="Calibri" w:hAnsi="Calibri"/>
        </w:rPr>
        <w:t>.</w:t>
      </w:r>
      <w:r w:rsidRPr="004C25B5">
        <w:rPr>
          <w:rFonts w:ascii="Calibri" w:hAnsi="Calibri"/>
        </w:rPr>
        <w:t xml:space="preserve"> </w:t>
      </w:r>
      <w:r w:rsidRPr="004C25B5">
        <w:rPr>
          <w:rFonts w:ascii="Calibri" w:hAnsi="Calibri"/>
        </w:rPr>
        <w:t>MassDOT’s</w:t>
      </w:r>
      <w:r w:rsidRPr="004C25B5">
        <w:rPr>
          <w:rFonts w:ascii="Calibri" w:hAnsi="Calibri"/>
        </w:rPr>
        <w:t xml:space="preserve"> </w:t>
      </w:r>
      <w:r w:rsidRPr="004C25B5">
        <w:rPr>
          <w:rFonts w:ascii="Calibri" w:hAnsi="Calibri"/>
        </w:rPr>
        <w:t>swap</w:t>
      </w:r>
      <w:r w:rsidRPr="004C25B5">
        <w:rPr>
          <w:rFonts w:ascii="Calibri" w:hAnsi="Calibri"/>
        </w:rPr>
        <w:t xml:space="preserve"> counterparties will be required to notify </w:t>
      </w:r>
      <w:r w:rsidRPr="004C25B5">
        <w:rPr>
          <w:rFonts w:ascii="Calibri" w:hAnsi="Calibri"/>
        </w:rPr>
        <w:t>MassDOT</w:t>
      </w:r>
      <w:r w:rsidRPr="004C25B5">
        <w:rPr>
          <w:rFonts w:ascii="Calibri" w:hAnsi="Calibri"/>
        </w:rPr>
        <w:t xml:space="preserve"> in the event a credit </w:t>
      </w:r>
      <w:r w:rsidRPr="004C25B5">
        <w:rPr>
          <w:rFonts w:ascii="Calibri" w:hAnsi="Calibri"/>
        </w:rPr>
        <w:t xml:space="preserve">rating </w:t>
      </w:r>
      <w:r w:rsidRPr="004C25B5">
        <w:rPr>
          <w:rFonts w:ascii="Calibri" w:hAnsi="Calibri"/>
        </w:rPr>
        <w:t>agency takes negative action with regard to the counterparty’s credit rating, including both an actual downgrading of the credit rating as well as the publication of a notice by a rating agency that the counterparty’s rating is in jeopardy of a downgrad</w:t>
      </w:r>
      <w:r w:rsidR="00C2233C" w:rsidRPr="004C25B5">
        <w:rPr>
          <w:rFonts w:ascii="Calibri" w:hAnsi="Calibri"/>
        </w:rPr>
        <w:t>e</w:t>
      </w:r>
      <w:r w:rsidRPr="004C25B5">
        <w:rPr>
          <w:rFonts w:ascii="Calibri" w:hAnsi="Calibri"/>
        </w:rPr>
        <w:t xml:space="preserve"> (i.e.</w:t>
      </w:r>
      <w:r w:rsidRPr="004C25B5">
        <w:rPr>
          <w:rFonts w:ascii="Calibri" w:hAnsi="Calibri"/>
        </w:rPr>
        <w:t>,</w:t>
      </w:r>
      <w:r w:rsidRPr="004C25B5">
        <w:rPr>
          <w:rFonts w:ascii="Calibri" w:hAnsi="Calibri"/>
        </w:rPr>
        <w:t xml:space="preserve"> being placed on Standard &amp; Poor’s CreditWatch</w:t>
      </w:r>
      <w:r w:rsidR="00B13C58" w:rsidRPr="004C25B5">
        <w:rPr>
          <w:rFonts w:ascii="Calibri" w:hAnsi="Calibri"/>
        </w:rPr>
        <w:t>,</w:t>
      </w:r>
      <w:r w:rsidRPr="004C25B5">
        <w:rPr>
          <w:rFonts w:ascii="Calibri" w:hAnsi="Calibri"/>
        </w:rPr>
        <w:t xml:space="preserve"> </w:t>
      </w:r>
      <w:r w:rsidRPr="004C25B5">
        <w:rPr>
          <w:rFonts w:ascii="Calibri" w:hAnsi="Calibri"/>
        </w:rPr>
        <w:t>Moody’s Watch</w:t>
      </w:r>
      <w:r w:rsidR="00B13C58" w:rsidRPr="004C25B5">
        <w:rPr>
          <w:rFonts w:ascii="Calibri" w:hAnsi="Calibri"/>
        </w:rPr>
        <w:t xml:space="preserve"> </w:t>
      </w:r>
      <w:r w:rsidRPr="004C25B5">
        <w:rPr>
          <w:rFonts w:ascii="Calibri" w:hAnsi="Calibri"/>
        </w:rPr>
        <w:t>list or</w:t>
      </w:r>
      <w:r w:rsidR="00B13C58" w:rsidRPr="004C25B5">
        <w:rPr>
          <w:rFonts w:ascii="Calibri" w:hAnsi="Calibri"/>
        </w:rPr>
        <w:t xml:space="preserve"> Fitch’s rating watch, or</w:t>
      </w:r>
      <w:r w:rsidRPr="004C25B5">
        <w:rPr>
          <w:rFonts w:ascii="Calibri" w:hAnsi="Calibri"/>
        </w:rPr>
        <w:t xml:space="preserve"> </w:t>
      </w:r>
      <w:r w:rsidRPr="004C25B5">
        <w:rPr>
          <w:rFonts w:ascii="Calibri" w:hAnsi="Calibri"/>
        </w:rPr>
        <w:t>being assigned a negative outlook</w:t>
      </w:r>
      <w:r w:rsidR="00B13C58" w:rsidRPr="004C25B5">
        <w:rPr>
          <w:rFonts w:ascii="Calibri" w:hAnsi="Calibri"/>
        </w:rPr>
        <w:t xml:space="preserve"> </w:t>
      </w:r>
      <w:r w:rsidRPr="004C25B5">
        <w:rPr>
          <w:rFonts w:ascii="Calibri" w:hAnsi="Calibri"/>
        </w:rPr>
        <w:t xml:space="preserve">by </w:t>
      </w:r>
      <w:r w:rsidR="00B13C58" w:rsidRPr="004C25B5">
        <w:rPr>
          <w:rFonts w:ascii="Calibri" w:hAnsi="Calibri"/>
        </w:rPr>
        <w:t>any of these rating agencies</w:t>
      </w:r>
      <w:r w:rsidRPr="004C25B5">
        <w:rPr>
          <w:rFonts w:ascii="Calibri" w:hAnsi="Calibri"/>
        </w:rPr>
        <w:t>)</w:t>
      </w:r>
    </w:p>
    <w:p w14:paraId="45FFBBC8" w14:textId="77777777" w:rsidR="005C0917" w:rsidRPr="00674B04" w:rsidRDefault="00B13C58" w:rsidP="007876B4">
      <w:pPr>
        <w:pStyle w:val="BodyTextIndent"/>
        <w:rPr>
          <w:rFonts w:ascii="Calibri" w:hAnsi="Calibri"/>
        </w:rPr>
      </w:pPr>
      <w:r w:rsidRPr="00B13C58">
        <w:rPr>
          <w:rFonts w:ascii="Calibri" w:hAnsi="Calibri"/>
        </w:rPr>
        <w:t xml:space="preserve"> </w:t>
      </w:r>
    </w:p>
    <w:p w14:paraId="7ED3B2A8" w14:textId="77777777" w:rsidR="005C0917" w:rsidRDefault="005C0917">
      <w:pPr>
        <w:pStyle w:val="BodyText2"/>
        <w:jc w:val="both"/>
        <w:rPr>
          <w:rFonts w:ascii="Calibri" w:hAnsi="Calibri"/>
          <w:sz w:val="24"/>
        </w:rPr>
      </w:pPr>
      <w:r>
        <w:rPr>
          <w:rFonts w:ascii="Calibri" w:hAnsi="Calibri"/>
          <w:sz w:val="24"/>
        </w:rPr>
        <w:t>Recognizing the counterparty concentration in its current swap portfolio, MassDOT will seek opportunities in the future to diversify its exposure to excessive concentration to a single counterparty or guarantor</w:t>
      </w:r>
      <w:r w:rsidR="004C25B5">
        <w:rPr>
          <w:rFonts w:ascii="Calibri" w:hAnsi="Calibri"/>
          <w:sz w:val="24"/>
        </w:rPr>
        <w:t xml:space="preserve">. </w:t>
      </w:r>
      <w:r>
        <w:rPr>
          <w:rFonts w:ascii="Calibri" w:hAnsi="Calibri"/>
          <w:sz w:val="24"/>
        </w:rPr>
        <w:t xml:space="preserve">Exposure to all counterparties will be measured based on the termination value of any swap contracts </w:t>
      </w:r>
      <w:proofErr w:type="gramStart"/>
      <w:r>
        <w:rPr>
          <w:rFonts w:ascii="Calibri" w:hAnsi="Calibri"/>
          <w:sz w:val="24"/>
        </w:rPr>
        <w:t>entered into</w:t>
      </w:r>
      <w:proofErr w:type="gramEnd"/>
      <w:r>
        <w:rPr>
          <w:rFonts w:ascii="Calibri" w:hAnsi="Calibri"/>
          <w:sz w:val="24"/>
        </w:rPr>
        <w:t xml:space="preserve"> with the counterparty, as well as such other measurements as MassDOT may deem suitable to measure potential changes in exposure, such as “value at risk” or “peak exposure.” Termination value will be determined at least quarterly, based on a mark-to-market calculation of the cost of terminating the swap contract given the market conditions on the valuation date</w:t>
      </w:r>
      <w:r w:rsidR="004C25B5">
        <w:rPr>
          <w:rFonts w:ascii="Calibri" w:hAnsi="Calibri"/>
          <w:sz w:val="24"/>
        </w:rPr>
        <w:t xml:space="preserve">. </w:t>
      </w:r>
      <w:r>
        <w:rPr>
          <w:rFonts w:ascii="Calibri" w:hAnsi="Calibri"/>
          <w:sz w:val="24"/>
        </w:rPr>
        <w:t xml:space="preserve">Aggregate swap termination value for each counterparty should </w:t>
      </w:r>
      <w:proofErr w:type="gramStart"/>
      <w:r>
        <w:rPr>
          <w:rFonts w:ascii="Calibri" w:hAnsi="Calibri"/>
          <w:sz w:val="24"/>
        </w:rPr>
        <w:t>take into account</w:t>
      </w:r>
      <w:proofErr w:type="gramEnd"/>
      <w:r>
        <w:rPr>
          <w:rFonts w:ascii="Calibri" w:hAnsi="Calibri"/>
          <w:sz w:val="24"/>
        </w:rPr>
        <w:t xml:space="preserve"> netting of any offsetting transactions (i.e., fixed-to-floating vs. floating-to-fixed)</w:t>
      </w:r>
      <w:r w:rsidR="004C25B5">
        <w:rPr>
          <w:rFonts w:ascii="Calibri" w:hAnsi="Calibri"/>
          <w:sz w:val="24"/>
        </w:rPr>
        <w:t xml:space="preserve">. </w:t>
      </w:r>
      <w:r>
        <w:rPr>
          <w:rFonts w:ascii="Calibri" w:hAnsi="Calibri"/>
          <w:sz w:val="24"/>
        </w:rPr>
        <w:t xml:space="preserve">MassDOT will require counterparties to provide regular mark-to-market valuations of swaps </w:t>
      </w:r>
      <w:proofErr w:type="gramStart"/>
      <w:r>
        <w:rPr>
          <w:rFonts w:ascii="Calibri" w:hAnsi="Calibri"/>
          <w:sz w:val="24"/>
        </w:rPr>
        <w:t>entered into</w:t>
      </w:r>
      <w:proofErr w:type="gramEnd"/>
      <w:r>
        <w:rPr>
          <w:rFonts w:ascii="Calibri" w:hAnsi="Calibri"/>
          <w:sz w:val="24"/>
        </w:rPr>
        <w:t xml:space="preserve"> with MassDOT and will also seek independent valuations from its swap advisor.</w:t>
      </w:r>
    </w:p>
    <w:p w14:paraId="1A79D06B" w14:textId="77777777" w:rsidR="005C0917" w:rsidRDefault="005C0917">
      <w:pPr>
        <w:pStyle w:val="BodyText2"/>
        <w:jc w:val="both"/>
        <w:rPr>
          <w:rFonts w:ascii="Calibri" w:hAnsi="Calibri"/>
          <w:sz w:val="24"/>
        </w:rPr>
      </w:pPr>
    </w:p>
    <w:p w14:paraId="4E3D563D" w14:textId="77777777" w:rsidR="005C0917" w:rsidRDefault="005C0917">
      <w:pPr>
        <w:pStyle w:val="BodyText2"/>
        <w:numPr>
          <w:ilvl w:val="0"/>
          <w:numId w:val="7"/>
        </w:numPr>
        <w:jc w:val="both"/>
        <w:rPr>
          <w:rFonts w:ascii="Calibri" w:hAnsi="Calibri"/>
          <w:b/>
          <w:sz w:val="24"/>
          <w:u w:val="single"/>
        </w:rPr>
      </w:pPr>
      <w:r>
        <w:rPr>
          <w:rFonts w:ascii="Calibri" w:hAnsi="Calibri"/>
          <w:b/>
          <w:sz w:val="24"/>
          <w:u w:val="single"/>
        </w:rPr>
        <w:t>Procurement</w:t>
      </w:r>
    </w:p>
    <w:p w14:paraId="222232EF" w14:textId="77777777" w:rsidR="005C0917" w:rsidRDefault="005C0917">
      <w:pPr>
        <w:pStyle w:val="BodyText2"/>
        <w:jc w:val="both"/>
        <w:rPr>
          <w:rFonts w:ascii="Calibri" w:hAnsi="Calibri"/>
          <w:sz w:val="24"/>
        </w:rPr>
      </w:pPr>
    </w:p>
    <w:p w14:paraId="1508CD53" w14:textId="77777777" w:rsidR="005C0917" w:rsidRDefault="004B287E" w:rsidP="00FE7179">
      <w:pPr>
        <w:pStyle w:val="BodyText2"/>
        <w:jc w:val="both"/>
        <w:rPr>
          <w:rFonts w:ascii="Calibri" w:hAnsi="Calibri"/>
          <w:iCs/>
          <w:sz w:val="24"/>
        </w:rPr>
      </w:pPr>
      <w:r w:rsidRPr="00DA594A">
        <w:rPr>
          <w:rFonts w:ascii="Calibri" w:hAnsi="Calibri"/>
          <w:iCs/>
          <w:sz w:val="24"/>
        </w:rPr>
        <w:t xml:space="preserve">Although MassDOT </w:t>
      </w:r>
      <w:r w:rsidR="00A46F6A" w:rsidRPr="00DA594A">
        <w:rPr>
          <w:rFonts w:ascii="Calibri" w:hAnsi="Calibri"/>
          <w:iCs/>
          <w:sz w:val="24"/>
        </w:rPr>
        <w:t xml:space="preserve">is precluded from issuing </w:t>
      </w:r>
      <w:r w:rsidR="004C2769" w:rsidRPr="00DA594A">
        <w:rPr>
          <w:rFonts w:ascii="Calibri" w:hAnsi="Calibri"/>
          <w:iCs/>
          <w:sz w:val="24"/>
        </w:rPr>
        <w:t>new</w:t>
      </w:r>
      <w:r w:rsidRPr="00DA594A">
        <w:rPr>
          <w:rFonts w:ascii="Calibri" w:hAnsi="Calibri"/>
          <w:iCs/>
          <w:sz w:val="24"/>
        </w:rPr>
        <w:t xml:space="preserve"> </w:t>
      </w:r>
      <w:r w:rsidR="00A46F6A" w:rsidRPr="00DA594A">
        <w:rPr>
          <w:rFonts w:ascii="Calibri" w:hAnsi="Calibri"/>
          <w:iCs/>
          <w:sz w:val="24"/>
        </w:rPr>
        <w:t xml:space="preserve">debt </w:t>
      </w:r>
      <w:r w:rsidR="00667C2E">
        <w:rPr>
          <w:rFonts w:ascii="Calibri" w:hAnsi="Calibri"/>
          <w:iCs/>
          <w:sz w:val="24"/>
        </w:rPr>
        <w:t xml:space="preserve">except for the purpose of refunding existing bonds </w:t>
      </w:r>
      <w:r w:rsidRPr="00DA594A">
        <w:rPr>
          <w:rFonts w:ascii="Calibri" w:hAnsi="Calibri"/>
          <w:iCs/>
          <w:sz w:val="24"/>
        </w:rPr>
        <w:t xml:space="preserve">and </w:t>
      </w:r>
      <w:r w:rsidR="004C2769" w:rsidRPr="00DA594A">
        <w:rPr>
          <w:rFonts w:ascii="Calibri" w:hAnsi="Calibri"/>
          <w:iCs/>
          <w:sz w:val="24"/>
        </w:rPr>
        <w:t>does not expect</w:t>
      </w:r>
      <w:r w:rsidR="001F26A6" w:rsidRPr="00DA594A">
        <w:rPr>
          <w:rFonts w:ascii="Calibri" w:hAnsi="Calibri"/>
          <w:iCs/>
          <w:sz w:val="24"/>
        </w:rPr>
        <w:t xml:space="preserve"> </w:t>
      </w:r>
      <w:r w:rsidR="004C2769" w:rsidRPr="00DA594A">
        <w:rPr>
          <w:rFonts w:ascii="Calibri" w:hAnsi="Calibri"/>
          <w:iCs/>
          <w:sz w:val="24"/>
        </w:rPr>
        <w:t xml:space="preserve">to enter into any </w:t>
      </w:r>
      <w:r w:rsidR="00391B4A">
        <w:rPr>
          <w:rFonts w:ascii="Calibri" w:hAnsi="Calibri"/>
          <w:iCs/>
          <w:sz w:val="24"/>
        </w:rPr>
        <w:t>new</w:t>
      </w:r>
      <w:r w:rsidR="001F26A6" w:rsidRPr="00DA594A">
        <w:rPr>
          <w:rFonts w:ascii="Calibri" w:hAnsi="Calibri"/>
          <w:iCs/>
          <w:sz w:val="24"/>
        </w:rPr>
        <w:t xml:space="preserve"> </w:t>
      </w:r>
      <w:r w:rsidR="007808E2">
        <w:rPr>
          <w:rFonts w:ascii="Calibri" w:hAnsi="Calibri"/>
          <w:iCs/>
          <w:sz w:val="24"/>
        </w:rPr>
        <w:t>s</w:t>
      </w:r>
      <w:r w:rsidR="004C2769" w:rsidRPr="00DA594A">
        <w:rPr>
          <w:rFonts w:ascii="Calibri" w:hAnsi="Calibri"/>
          <w:iCs/>
          <w:sz w:val="24"/>
        </w:rPr>
        <w:t>waps, in</w:t>
      </w:r>
      <w:r w:rsidR="005C0917">
        <w:rPr>
          <w:rFonts w:ascii="Calibri" w:hAnsi="Calibri"/>
          <w:iCs/>
          <w:sz w:val="24"/>
        </w:rPr>
        <w:t xml:space="preserve"> the event MassDOT were to amend a swap, novate a swap, procure a new swap, or seek a replacement counterparty for an existing swap, MassDOT may choose counterparties for entering into swaps on a competitive basis</w:t>
      </w:r>
      <w:r w:rsidR="004C25B5">
        <w:rPr>
          <w:rFonts w:ascii="Calibri" w:hAnsi="Calibri"/>
          <w:iCs/>
          <w:sz w:val="24"/>
        </w:rPr>
        <w:t xml:space="preserve">. </w:t>
      </w:r>
      <w:r w:rsidR="005C0917">
        <w:rPr>
          <w:rFonts w:ascii="Calibri" w:hAnsi="Calibri"/>
          <w:iCs/>
          <w:sz w:val="24"/>
        </w:rPr>
        <w:t xml:space="preserve">  </w:t>
      </w:r>
    </w:p>
    <w:p w14:paraId="0DB99C1B" w14:textId="77777777" w:rsidR="005C0917" w:rsidRDefault="005C0917">
      <w:pPr>
        <w:pStyle w:val="BodyText2"/>
        <w:jc w:val="both"/>
        <w:rPr>
          <w:rFonts w:ascii="Calibri" w:hAnsi="Calibri"/>
          <w:iCs/>
          <w:sz w:val="24"/>
        </w:rPr>
      </w:pPr>
    </w:p>
    <w:p w14:paraId="24A67F11" w14:textId="77777777" w:rsidR="005C0917" w:rsidRDefault="005C0917">
      <w:pPr>
        <w:pStyle w:val="BodyText2"/>
        <w:jc w:val="both"/>
        <w:rPr>
          <w:rFonts w:ascii="Calibri" w:hAnsi="Calibri"/>
          <w:iCs/>
          <w:sz w:val="24"/>
        </w:rPr>
      </w:pPr>
      <w:r>
        <w:rPr>
          <w:rFonts w:ascii="Calibri" w:hAnsi="Calibri"/>
          <w:iCs/>
          <w:sz w:val="24"/>
        </w:rPr>
        <w:t xml:space="preserve">In all transactions, regardless of procurement method, </w:t>
      </w:r>
      <w:r>
        <w:rPr>
          <w:rFonts w:ascii="Calibri" w:hAnsi="Calibri"/>
          <w:sz w:val="24"/>
          <w:szCs w:val="24"/>
        </w:rPr>
        <w:t>MassDOT will abide by all regulations as described in Section 12</w:t>
      </w:r>
      <w:r w:rsidR="004C25B5">
        <w:rPr>
          <w:rFonts w:ascii="Calibri" w:hAnsi="Calibri"/>
          <w:sz w:val="24"/>
          <w:szCs w:val="24"/>
        </w:rPr>
        <w:t xml:space="preserve">. </w:t>
      </w:r>
      <w:r>
        <w:rPr>
          <w:rFonts w:ascii="Calibri" w:hAnsi="Calibri"/>
          <w:sz w:val="24"/>
          <w:szCs w:val="24"/>
        </w:rPr>
        <w:t xml:space="preserve">MassDOT will secure professional advice from an independent swap advisor and bond counsel to assist in the process of structuring, documenting, and pricing the transaction and expect to request that its independent swap advisor </w:t>
      </w:r>
      <w:r w:rsidR="00B13C58">
        <w:rPr>
          <w:rFonts w:ascii="Calibri" w:hAnsi="Calibri"/>
          <w:sz w:val="24"/>
          <w:szCs w:val="24"/>
        </w:rPr>
        <w:t>provide the necessary documentation</w:t>
      </w:r>
      <w:r>
        <w:rPr>
          <w:rFonts w:ascii="Calibri" w:hAnsi="Calibri"/>
          <w:sz w:val="24"/>
          <w:szCs w:val="24"/>
        </w:rPr>
        <w:t xml:space="preserve"> that a fair market value price was obtained</w:t>
      </w:r>
      <w:r w:rsidR="004C25B5">
        <w:rPr>
          <w:rFonts w:ascii="Calibri" w:hAnsi="Calibri"/>
          <w:sz w:val="24"/>
          <w:szCs w:val="24"/>
        </w:rPr>
        <w:t xml:space="preserve">. </w:t>
      </w:r>
      <w:r>
        <w:rPr>
          <w:rFonts w:ascii="Calibri" w:hAnsi="Calibri"/>
          <w:iCs/>
          <w:sz w:val="24"/>
        </w:rPr>
        <w:t>In all transactions, regardless of procurement method, the counterparty shall represent that no payments were made to third parties (including lobbyists, consultants and attorneys) who had any involvement in assisting the counterparty in securing business with MassDOT.</w:t>
      </w:r>
    </w:p>
    <w:p w14:paraId="22657F0D" w14:textId="77777777" w:rsidR="005C0917" w:rsidRDefault="005C0917">
      <w:pPr>
        <w:pStyle w:val="BodyText2"/>
        <w:jc w:val="both"/>
        <w:rPr>
          <w:rFonts w:ascii="Calibri" w:hAnsi="Calibri"/>
          <w:iCs/>
          <w:sz w:val="24"/>
        </w:rPr>
      </w:pPr>
    </w:p>
    <w:p w14:paraId="2AC7E154" w14:textId="77777777" w:rsidR="005C0917" w:rsidRDefault="005C0917">
      <w:pPr>
        <w:pStyle w:val="Heading3"/>
        <w:numPr>
          <w:ilvl w:val="0"/>
          <w:numId w:val="7"/>
        </w:numPr>
        <w:jc w:val="both"/>
        <w:rPr>
          <w:rFonts w:ascii="Calibri" w:hAnsi="Calibri"/>
          <w:sz w:val="24"/>
        </w:rPr>
      </w:pPr>
      <w:r>
        <w:rPr>
          <w:rFonts w:ascii="Calibri" w:hAnsi="Calibri"/>
          <w:sz w:val="24"/>
        </w:rPr>
        <w:t>Documentation Guidelines</w:t>
      </w:r>
    </w:p>
    <w:p w14:paraId="511C118E" w14:textId="77777777" w:rsidR="005C0917" w:rsidRDefault="005C0917">
      <w:pPr>
        <w:rPr>
          <w:rFonts w:ascii="Calibri" w:hAnsi="Calibri"/>
          <w:sz w:val="24"/>
          <w:highlight w:val="yellow"/>
        </w:rPr>
      </w:pPr>
      <w:r>
        <w:rPr>
          <w:rFonts w:ascii="Calibri" w:hAnsi="Calibri"/>
          <w:b/>
          <w:bCs/>
          <w:sz w:val="24"/>
          <w:u w:val="single"/>
        </w:rPr>
        <w:t xml:space="preserve"> </w:t>
      </w:r>
    </w:p>
    <w:p w14:paraId="3CDA5DB6" w14:textId="77777777" w:rsidR="005C0917" w:rsidRDefault="005C0917">
      <w:pPr>
        <w:pStyle w:val="BodyText3"/>
        <w:jc w:val="both"/>
        <w:rPr>
          <w:rFonts w:ascii="Calibri" w:hAnsi="Calibri"/>
        </w:rPr>
      </w:pPr>
      <w:r>
        <w:rPr>
          <w:rFonts w:ascii="Calibri" w:hAnsi="Calibri"/>
        </w:rPr>
        <w:t>MassDOT has and will continue to use one of the forms of the International Swaps and Derivatives Association, Inc. (“ISDA”) Master Agreement, including any Schedules to the Master Agreement, Confirmations, and Credit Support Annexes, as a framework for swap documentation</w:t>
      </w:r>
      <w:r w:rsidR="004C25B5">
        <w:rPr>
          <w:rFonts w:ascii="Calibri" w:hAnsi="Calibri"/>
        </w:rPr>
        <w:t xml:space="preserve">. </w:t>
      </w:r>
      <w:r w:rsidR="00EF7026">
        <w:rPr>
          <w:rFonts w:ascii="Calibri" w:hAnsi="Calibri"/>
        </w:rPr>
        <w:t>MassDOT will adhere to applicable protocols</w:t>
      </w:r>
      <w:r w:rsidR="004E4655">
        <w:rPr>
          <w:rFonts w:ascii="Calibri" w:hAnsi="Calibri"/>
        </w:rPr>
        <w:t xml:space="preserve"> to comply with regulatory requirements </w:t>
      </w:r>
      <w:r w:rsidR="004E4655" w:rsidRPr="004E4655">
        <w:rPr>
          <w:rFonts w:ascii="Calibri" w:hAnsi="Calibri"/>
        </w:rPr>
        <w:t>imposed under Title VII of the Dodd–Frank Wall Street Reform and Consumer Protection Act (“Dodd-Frank”)</w:t>
      </w:r>
      <w:r w:rsidR="004C25B5">
        <w:rPr>
          <w:rFonts w:ascii="Calibri" w:hAnsi="Calibri"/>
        </w:rPr>
        <w:t xml:space="preserve">. </w:t>
      </w:r>
      <w:r>
        <w:rPr>
          <w:rFonts w:ascii="Calibri" w:hAnsi="Calibri"/>
        </w:rPr>
        <w:t xml:space="preserve">The swap agreement between MassDOT and each counterparty includes payment, </w:t>
      </w:r>
      <w:proofErr w:type="gramStart"/>
      <w:r>
        <w:rPr>
          <w:rFonts w:ascii="Calibri" w:hAnsi="Calibri"/>
        </w:rPr>
        <w:t>term</w:t>
      </w:r>
      <w:proofErr w:type="gramEnd"/>
      <w:r>
        <w:rPr>
          <w:rFonts w:ascii="Calibri" w:hAnsi="Calibri"/>
        </w:rPr>
        <w:t>, security, collateral, default, remedy, termination, and other terms, conditions, provisions and safeguards as MassDOT, in consultation with its swap advisor and legal counsel, deems necessary or desirable.</w:t>
      </w:r>
    </w:p>
    <w:p w14:paraId="2049E2E4" w14:textId="77777777" w:rsidR="005C0917" w:rsidRDefault="005C0917">
      <w:pPr>
        <w:pStyle w:val="BodyText3"/>
        <w:jc w:val="both"/>
        <w:rPr>
          <w:rFonts w:ascii="Calibri" w:hAnsi="Calibri"/>
        </w:rPr>
      </w:pPr>
    </w:p>
    <w:p w14:paraId="4D91FB27" w14:textId="77777777" w:rsidR="005C0917" w:rsidRDefault="005C0917">
      <w:pPr>
        <w:jc w:val="both"/>
        <w:rPr>
          <w:rFonts w:ascii="Calibri" w:hAnsi="Calibri"/>
          <w:sz w:val="24"/>
        </w:rPr>
      </w:pPr>
      <w:r>
        <w:rPr>
          <w:rFonts w:ascii="Calibri" w:hAnsi="Calibri"/>
          <w:sz w:val="24"/>
        </w:rPr>
        <w:t>Subject to the provisions contained herein, MassDOT and its existing counterparties will abide by the terms of the existing swap agreements</w:t>
      </w:r>
      <w:r w:rsidR="004C25B5">
        <w:rPr>
          <w:rFonts w:ascii="Calibri" w:hAnsi="Calibri"/>
          <w:sz w:val="24"/>
        </w:rPr>
        <w:t xml:space="preserve">. </w:t>
      </w:r>
      <w:r>
        <w:rPr>
          <w:rFonts w:ascii="Calibri" w:hAnsi="Calibri"/>
          <w:sz w:val="24"/>
        </w:rPr>
        <w:t>The terms of any future swaps or amendment to an existing agreement shall, when possible and in the best interests of MassDOT, adhere to the following guidelines:</w:t>
      </w:r>
    </w:p>
    <w:p w14:paraId="745CD517" w14:textId="77777777" w:rsidR="005C0917" w:rsidRDefault="005C0917">
      <w:pPr>
        <w:ind w:left="1440" w:hanging="720"/>
        <w:jc w:val="both"/>
        <w:rPr>
          <w:rFonts w:ascii="Calibri" w:hAnsi="Calibri"/>
          <w:sz w:val="24"/>
        </w:rPr>
      </w:pPr>
    </w:p>
    <w:p w14:paraId="2867CFF7" w14:textId="77777777" w:rsidR="005C0917" w:rsidRDefault="005C0917" w:rsidP="004C25B5">
      <w:pPr>
        <w:numPr>
          <w:ilvl w:val="0"/>
          <w:numId w:val="29"/>
        </w:numPr>
        <w:ind w:left="720" w:hanging="360"/>
        <w:jc w:val="both"/>
        <w:rPr>
          <w:rFonts w:ascii="Calibri" w:hAnsi="Calibri"/>
          <w:sz w:val="24"/>
        </w:rPr>
      </w:pPr>
      <w:r>
        <w:rPr>
          <w:rFonts w:ascii="Calibri" w:hAnsi="Calibri"/>
          <w:sz w:val="24"/>
        </w:rPr>
        <w:t>Downgrade provisions triggering termination shall be reflective of the relative credit strength of the applicable MassDOT credit in comparison with the swap provider</w:t>
      </w:r>
      <w:r w:rsidR="004C25B5">
        <w:rPr>
          <w:rFonts w:ascii="Calibri" w:hAnsi="Calibri"/>
          <w:sz w:val="24"/>
        </w:rPr>
        <w:t xml:space="preserve">. </w:t>
      </w:r>
      <w:r>
        <w:rPr>
          <w:rFonts w:ascii="Calibri" w:hAnsi="Calibri"/>
          <w:sz w:val="24"/>
        </w:rPr>
        <w:t xml:space="preserve">This comparison should give weight to the prevailing greater credit strength of public sector entities as compared with private sector financial </w:t>
      </w:r>
      <w:proofErr w:type="gramStart"/>
      <w:r>
        <w:rPr>
          <w:rFonts w:ascii="Calibri" w:hAnsi="Calibri"/>
          <w:sz w:val="24"/>
        </w:rPr>
        <w:t>institutions;</w:t>
      </w:r>
      <w:proofErr w:type="gramEnd"/>
    </w:p>
    <w:p w14:paraId="31A1ECE8" w14:textId="77777777" w:rsidR="005C0917" w:rsidRDefault="005C0917" w:rsidP="004C25B5">
      <w:pPr>
        <w:numPr>
          <w:ilvl w:val="0"/>
          <w:numId w:val="29"/>
        </w:numPr>
        <w:ind w:left="720" w:hanging="360"/>
        <w:jc w:val="both"/>
        <w:rPr>
          <w:rFonts w:ascii="Calibri" w:hAnsi="Calibri"/>
          <w:sz w:val="24"/>
        </w:rPr>
      </w:pPr>
      <w:r>
        <w:rPr>
          <w:rFonts w:ascii="Calibri" w:hAnsi="Calibri"/>
          <w:sz w:val="24"/>
        </w:rPr>
        <w:t>MassDOT has and will strive to minimize cross default provisions</w:t>
      </w:r>
      <w:r w:rsidR="004C25B5">
        <w:rPr>
          <w:rFonts w:ascii="Calibri" w:hAnsi="Calibri"/>
          <w:sz w:val="24"/>
        </w:rPr>
        <w:t xml:space="preserve">. </w:t>
      </w:r>
      <w:r>
        <w:rPr>
          <w:rFonts w:ascii="Calibri" w:hAnsi="Calibri"/>
          <w:sz w:val="24"/>
        </w:rPr>
        <w:t xml:space="preserve">The specific indebtedness related to credit events in any swap agreement should be narrowly defined and refers only to indebtedness of MassDOT that could have a materially adverse effect on its ability to perform its obligations under the swap </w:t>
      </w:r>
      <w:proofErr w:type="gramStart"/>
      <w:r>
        <w:rPr>
          <w:rFonts w:ascii="Calibri" w:hAnsi="Calibri"/>
          <w:sz w:val="24"/>
        </w:rPr>
        <w:t>contract;</w:t>
      </w:r>
      <w:proofErr w:type="gramEnd"/>
    </w:p>
    <w:p w14:paraId="2C0A4046" w14:textId="77777777" w:rsidR="005C0917" w:rsidRDefault="005C0917" w:rsidP="004C25B5">
      <w:pPr>
        <w:numPr>
          <w:ilvl w:val="0"/>
          <w:numId w:val="29"/>
        </w:numPr>
        <w:ind w:left="720" w:hanging="360"/>
        <w:jc w:val="both"/>
        <w:rPr>
          <w:rFonts w:ascii="Calibri" w:hAnsi="Calibri"/>
          <w:sz w:val="24"/>
        </w:rPr>
      </w:pPr>
      <w:r>
        <w:rPr>
          <w:rFonts w:ascii="Calibri" w:hAnsi="Calibri"/>
          <w:sz w:val="24"/>
        </w:rPr>
        <w:t>Collateral thresholds for the swap provider should be set on a sliding scale reflective of credit ratings</w:t>
      </w:r>
      <w:r w:rsidR="004C25B5">
        <w:rPr>
          <w:rFonts w:ascii="Calibri" w:hAnsi="Calibri"/>
          <w:sz w:val="24"/>
        </w:rPr>
        <w:t xml:space="preserve">. </w:t>
      </w:r>
      <w:r>
        <w:rPr>
          <w:rFonts w:ascii="Calibri" w:hAnsi="Calibri"/>
          <w:sz w:val="24"/>
        </w:rPr>
        <w:t xml:space="preserve">Collateral requirements should be established and based upon the credit ratings of the swap provider or its </w:t>
      </w:r>
      <w:proofErr w:type="gramStart"/>
      <w:r>
        <w:rPr>
          <w:rFonts w:ascii="Calibri" w:hAnsi="Calibri"/>
          <w:sz w:val="24"/>
        </w:rPr>
        <w:t>guarantor;</w:t>
      </w:r>
      <w:proofErr w:type="gramEnd"/>
    </w:p>
    <w:p w14:paraId="2050758E" w14:textId="77777777" w:rsidR="005C0917" w:rsidRDefault="005C0917" w:rsidP="004C25B5">
      <w:pPr>
        <w:numPr>
          <w:ilvl w:val="0"/>
          <w:numId w:val="29"/>
        </w:numPr>
        <w:ind w:left="720" w:hanging="360"/>
        <w:jc w:val="both"/>
        <w:rPr>
          <w:rFonts w:ascii="Calibri" w:hAnsi="Calibri"/>
          <w:sz w:val="24"/>
          <w:szCs w:val="24"/>
        </w:rPr>
      </w:pPr>
      <w:r>
        <w:rPr>
          <w:rFonts w:ascii="Calibri" w:hAnsi="Calibri"/>
          <w:sz w:val="24"/>
        </w:rPr>
        <w:t>Eligible collateral should generally be limited to Treasuries and obligations of federal agencies where the principal and interest are guaranteed by the United States</w:t>
      </w:r>
      <w:r w:rsidR="004C25B5">
        <w:rPr>
          <w:rFonts w:ascii="Calibri" w:hAnsi="Calibri"/>
          <w:sz w:val="24"/>
        </w:rPr>
        <w:t xml:space="preserve">. </w:t>
      </w:r>
      <w:r>
        <w:rPr>
          <w:rFonts w:ascii="Calibri" w:hAnsi="Calibri"/>
          <w:sz w:val="24"/>
        </w:rPr>
        <w:t xml:space="preserve">At the discretion of MassDOT and in accordance with applicable swap covenants, other highly liquid, </w:t>
      </w:r>
      <w:proofErr w:type="gramStart"/>
      <w:r>
        <w:rPr>
          <w:rFonts w:ascii="Calibri" w:hAnsi="Calibri"/>
          <w:sz w:val="24"/>
        </w:rPr>
        <w:t>high quality</w:t>
      </w:r>
      <w:proofErr w:type="gramEnd"/>
      <w:r>
        <w:rPr>
          <w:rFonts w:ascii="Calibri" w:hAnsi="Calibri"/>
          <w:sz w:val="24"/>
        </w:rPr>
        <w:t xml:space="preserve"> obligations of </w:t>
      </w:r>
      <w:r>
        <w:rPr>
          <w:rFonts w:ascii="Calibri" w:hAnsi="Calibri"/>
          <w:sz w:val="24"/>
          <w:szCs w:val="24"/>
        </w:rPr>
        <w:t xml:space="preserve">federal agencies, not secured by the full faith and credit of the U.S. government, may be used as </w:t>
      </w:r>
      <w:proofErr w:type="gramStart"/>
      <w:r>
        <w:rPr>
          <w:rFonts w:ascii="Calibri" w:hAnsi="Calibri"/>
          <w:sz w:val="24"/>
          <w:szCs w:val="24"/>
        </w:rPr>
        <w:t>collateral;</w:t>
      </w:r>
      <w:proofErr w:type="gramEnd"/>
      <w:r>
        <w:rPr>
          <w:rFonts w:ascii="Calibri" w:hAnsi="Calibri"/>
          <w:sz w:val="24"/>
          <w:szCs w:val="24"/>
        </w:rPr>
        <w:t xml:space="preserve"> </w:t>
      </w:r>
    </w:p>
    <w:p w14:paraId="49BA7DEF" w14:textId="77777777" w:rsidR="005C0917" w:rsidRDefault="005C0917" w:rsidP="004C25B5">
      <w:pPr>
        <w:numPr>
          <w:ilvl w:val="0"/>
          <w:numId w:val="29"/>
        </w:numPr>
        <w:ind w:left="720" w:hanging="360"/>
        <w:jc w:val="both"/>
        <w:rPr>
          <w:rFonts w:ascii="Calibri" w:hAnsi="Calibri"/>
          <w:sz w:val="24"/>
          <w:szCs w:val="24"/>
        </w:rPr>
      </w:pPr>
      <w:r>
        <w:rPr>
          <w:rFonts w:ascii="Calibri" w:hAnsi="Calibri"/>
          <w:sz w:val="24"/>
        </w:rPr>
        <w:t xml:space="preserve">The term of the swap </w:t>
      </w:r>
      <w:proofErr w:type="gramStart"/>
      <w:r>
        <w:rPr>
          <w:rFonts w:ascii="Calibri" w:hAnsi="Calibri"/>
          <w:sz w:val="24"/>
        </w:rPr>
        <w:t>entered into</w:t>
      </w:r>
      <w:proofErr w:type="gramEnd"/>
      <w:r>
        <w:rPr>
          <w:rFonts w:ascii="Calibri" w:hAnsi="Calibri"/>
          <w:sz w:val="24"/>
        </w:rPr>
        <w:t xml:space="preserve"> shall not extend beyond the final maturity date of the related bonds hedged by the </w:t>
      </w:r>
      <w:proofErr w:type="gramStart"/>
      <w:r>
        <w:rPr>
          <w:rFonts w:ascii="Calibri" w:hAnsi="Calibri"/>
          <w:sz w:val="24"/>
        </w:rPr>
        <w:t>agreement;</w:t>
      </w:r>
      <w:proofErr w:type="gramEnd"/>
      <w:r>
        <w:rPr>
          <w:rFonts w:ascii="Calibri" w:hAnsi="Calibri"/>
          <w:sz w:val="24"/>
        </w:rPr>
        <w:t xml:space="preserve"> </w:t>
      </w:r>
    </w:p>
    <w:p w14:paraId="127E2041" w14:textId="77777777" w:rsidR="005C0917" w:rsidRDefault="005C0917" w:rsidP="004C25B5">
      <w:pPr>
        <w:numPr>
          <w:ilvl w:val="0"/>
          <w:numId w:val="29"/>
        </w:numPr>
        <w:ind w:left="720" w:hanging="360"/>
        <w:jc w:val="both"/>
        <w:rPr>
          <w:rFonts w:ascii="Calibri" w:hAnsi="Calibri"/>
          <w:sz w:val="24"/>
          <w:szCs w:val="24"/>
        </w:rPr>
      </w:pPr>
      <w:r>
        <w:rPr>
          <w:rFonts w:ascii="Calibri" w:hAnsi="Calibri"/>
          <w:sz w:val="24"/>
        </w:rPr>
        <w:t xml:space="preserve">The total notional amount of the swap shall not exceed the principal amount of the hedged bonds reduced by the amortization </w:t>
      </w:r>
      <w:proofErr w:type="gramStart"/>
      <w:r>
        <w:rPr>
          <w:rFonts w:ascii="Calibri" w:hAnsi="Calibri"/>
          <w:sz w:val="24"/>
        </w:rPr>
        <w:t>schedule</w:t>
      </w:r>
      <w:r>
        <w:rPr>
          <w:rFonts w:ascii="Calibri" w:hAnsi="Calibri"/>
          <w:sz w:val="24"/>
          <w:szCs w:val="24"/>
        </w:rPr>
        <w:t>;</w:t>
      </w:r>
      <w:proofErr w:type="gramEnd"/>
      <w:r>
        <w:rPr>
          <w:rFonts w:ascii="Calibri" w:hAnsi="Calibri"/>
          <w:sz w:val="24"/>
          <w:szCs w:val="24"/>
        </w:rPr>
        <w:t xml:space="preserve"> </w:t>
      </w:r>
    </w:p>
    <w:p w14:paraId="0BA81CB5" w14:textId="77777777" w:rsidR="005C0917" w:rsidRDefault="005C0917" w:rsidP="004C25B5">
      <w:pPr>
        <w:numPr>
          <w:ilvl w:val="0"/>
          <w:numId w:val="29"/>
        </w:numPr>
        <w:ind w:left="720" w:hanging="360"/>
        <w:jc w:val="both"/>
        <w:rPr>
          <w:rFonts w:ascii="Calibri" w:hAnsi="Calibri"/>
          <w:sz w:val="24"/>
          <w:szCs w:val="24"/>
        </w:rPr>
      </w:pPr>
      <w:r>
        <w:rPr>
          <w:rFonts w:ascii="Calibri" w:hAnsi="Calibri"/>
          <w:sz w:val="24"/>
          <w:szCs w:val="24"/>
        </w:rPr>
        <w:t xml:space="preserve">In connection with the execution of a swap, the Chief Financial Officer for MassDOT shall certify as to the bond issuance with which a swap transaction is </w:t>
      </w:r>
      <w:proofErr w:type="gramStart"/>
      <w:r>
        <w:rPr>
          <w:rFonts w:ascii="Calibri" w:hAnsi="Calibri"/>
          <w:sz w:val="24"/>
          <w:szCs w:val="24"/>
        </w:rPr>
        <w:t>identified;</w:t>
      </w:r>
      <w:proofErr w:type="gramEnd"/>
    </w:p>
    <w:p w14:paraId="4B61FCFB" w14:textId="77777777" w:rsidR="005C0917" w:rsidRDefault="005C0917" w:rsidP="004C25B5">
      <w:pPr>
        <w:numPr>
          <w:ilvl w:val="0"/>
          <w:numId w:val="29"/>
        </w:numPr>
        <w:ind w:left="720" w:hanging="360"/>
        <w:jc w:val="both"/>
        <w:rPr>
          <w:rFonts w:ascii="Calibri" w:hAnsi="Calibri"/>
          <w:sz w:val="24"/>
          <w:szCs w:val="24"/>
        </w:rPr>
      </w:pPr>
      <w:r>
        <w:rPr>
          <w:rFonts w:ascii="Calibri" w:hAnsi="Calibri"/>
          <w:sz w:val="24"/>
          <w:szCs w:val="24"/>
        </w:rPr>
        <w:t>In certain limited circumstances, MassDOT may modify or take other action with respect to existing swap transactions as may be necessary, including without limitation, transferring the identification of any swap transaction from one bond issue to another; and</w:t>
      </w:r>
    </w:p>
    <w:p w14:paraId="09330FFD" w14:textId="77777777" w:rsidR="005C0917" w:rsidRDefault="005C0917" w:rsidP="004C25B5">
      <w:pPr>
        <w:numPr>
          <w:ilvl w:val="0"/>
          <w:numId w:val="29"/>
        </w:numPr>
        <w:ind w:left="720" w:hanging="360"/>
        <w:jc w:val="both"/>
        <w:rPr>
          <w:rFonts w:ascii="Calibri" w:hAnsi="Calibri"/>
          <w:sz w:val="24"/>
          <w:szCs w:val="24"/>
        </w:rPr>
      </w:pPr>
      <w:r>
        <w:rPr>
          <w:rFonts w:ascii="Calibri" w:hAnsi="Calibri"/>
          <w:sz w:val="24"/>
          <w:szCs w:val="24"/>
        </w:rPr>
        <w:t>MassDOT shall have the right to optionally terminate a swap agreement “at market,” at any time over the term of the agreement</w:t>
      </w:r>
      <w:r w:rsidR="004C25B5">
        <w:rPr>
          <w:rFonts w:ascii="Calibri" w:hAnsi="Calibri"/>
          <w:sz w:val="24"/>
          <w:szCs w:val="24"/>
        </w:rPr>
        <w:t xml:space="preserve">. </w:t>
      </w:r>
      <w:r>
        <w:rPr>
          <w:rFonts w:ascii="Calibri" w:hAnsi="Calibri"/>
          <w:sz w:val="24"/>
          <w:szCs w:val="24"/>
        </w:rPr>
        <w:t xml:space="preserve">The counterparty generally shall not have an optional termination right. </w:t>
      </w:r>
    </w:p>
    <w:p w14:paraId="06F9187B" w14:textId="77777777" w:rsidR="001E642D" w:rsidRDefault="001E642D" w:rsidP="001E642D">
      <w:pPr>
        <w:jc w:val="both"/>
        <w:rPr>
          <w:rFonts w:ascii="Calibri" w:hAnsi="Calibri"/>
          <w:sz w:val="24"/>
          <w:szCs w:val="24"/>
        </w:rPr>
      </w:pPr>
    </w:p>
    <w:p w14:paraId="1D2CE9AC" w14:textId="77777777" w:rsidR="005C0917" w:rsidRDefault="005C0917" w:rsidP="001E642D">
      <w:pPr>
        <w:pStyle w:val="Heading3"/>
        <w:keepNext w:val="0"/>
        <w:numPr>
          <w:ilvl w:val="0"/>
          <w:numId w:val="7"/>
        </w:numPr>
        <w:jc w:val="both"/>
        <w:rPr>
          <w:rFonts w:ascii="Calibri" w:hAnsi="Calibri"/>
          <w:sz w:val="24"/>
        </w:rPr>
      </w:pPr>
      <w:r>
        <w:rPr>
          <w:rFonts w:ascii="Calibri" w:hAnsi="Calibri"/>
          <w:sz w:val="24"/>
        </w:rPr>
        <w:t>Risk Management</w:t>
      </w:r>
    </w:p>
    <w:p w14:paraId="5F0D2DCB" w14:textId="77777777" w:rsidR="005C0917" w:rsidRDefault="005C0917" w:rsidP="001E642D">
      <w:pPr>
        <w:jc w:val="both"/>
        <w:rPr>
          <w:rFonts w:ascii="Calibri" w:hAnsi="Calibri"/>
          <w:sz w:val="24"/>
        </w:rPr>
      </w:pPr>
    </w:p>
    <w:p w14:paraId="17A2BB6F" w14:textId="77777777" w:rsidR="005C0917" w:rsidRDefault="005C0917" w:rsidP="001E642D">
      <w:pPr>
        <w:jc w:val="both"/>
        <w:rPr>
          <w:rFonts w:ascii="Calibri" w:hAnsi="Calibri"/>
          <w:sz w:val="24"/>
        </w:rPr>
      </w:pPr>
      <w:r>
        <w:rPr>
          <w:rFonts w:ascii="Calibri" w:hAnsi="Calibri"/>
          <w:sz w:val="24"/>
        </w:rPr>
        <w:t>Because of the size and complexity of the assets and liabilities of MassDOT and its established financial systems and controls, MassDOT will manage the risks and rewards of the swap program alongside its overall financial risks and rewards</w:t>
      </w:r>
      <w:r w:rsidR="004C25B5">
        <w:rPr>
          <w:rFonts w:ascii="Calibri" w:hAnsi="Calibri"/>
          <w:sz w:val="24"/>
        </w:rPr>
        <w:t xml:space="preserve">. </w:t>
      </w:r>
      <w:r>
        <w:rPr>
          <w:rFonts w:ascii="Calibri" w:hAnsi="Calibri"/>
          <w:sz w:val="24"/>
        </w:rPr>
        <w:t>As part of the risk management process, MassDOT and its professional financial and swap advisors will evaluate the aggregate exposure in its swap portfolio as measured by value at risk, peak exposure, and/or maximum potential exposure using generally accepted market valuation practices</w:t>
      </w:r>
      <w:r w:rsidR="004C25B5">
        <w:rPr>
          <w:rFonts w:ascii="Calibri" w:hAnsi="Calibri"/>
          <w:sz w:val="24"/>
        </w:rPr>
        <w:t xml:space="preserve">. </w:t>
      </w:r>
      <w:r>
        <w:rPr>
          <w:rFonts w:ascii="Calibri" w:hAnsi="Calibri"/>
          <w:sz w:val="24"/>
        </w:rPr>
        <w:t>The risks MassDOT will monitor, evaluate, and seek to mitigate include:</w:t>
      </w:r>
    </w:p>
    <w:p w14:paraId="58FD605F" w14:textId="77777777" w:rsidR="005C0917" w:rsidRDefault="005C0917" w:rsidP="001E642D">
      <w:pPr>
        <w:jc w:val="both"/>
        <w:rPr>
          <w:rFonts w:ascii="Calibri" w:hAnsi="Calibri"/>
          <w:sz w:val="24"/>
        </w:rPr>
      </w:pPr>
    </w:p>
    <w:p w14:paraId="0B670E8E" w14:textId="77777777" w:rsidR="005C0917" w:rsidRPr="004C25B5" w:rsidRDefault="005C0917" w:rsidP="004C25B5">
      <w:pPr>
        <w:pStyle w:val="BodyTextIndent"/>
        <w:numPr>
          <w:ilvl w:val="0"/>
          <w:numId w:val="28"/>
        </w:numPr>
        <w:tabs>
          <w:tab w:val="clear" w:pos="1440"/>
        </w:tabs>
        <w:spacing w:after="60"/>
        <w:ind w:left="720" w:hanging="360"/>
        <w:rPr>
          <w:rFonts w:ascii="Calibri" w:hAnsi="Calibri"/>
        </w:rPr>
      </w:pPr>
      <w:r w:rsidRPr="004C25B5">
        <w:rPr>
          <w:rFonts w:ascii="Calibri" w:hAnsi="Calibri"/>
        </w:rPr>
        <w:t>Counterparty (concentration and credit) risk</w:t>
      </w:r>
      <w:r w:rsidR="004C25B5">
        <w:rPr>
          <w:rFonts w:ascii="Calibri" w:hAnsi="Calibri"/>
        </w:rPr>
        <w:t xml:space="preserve">. </w:t>
      </w:r>
      <w:r w:rsidRPr="004C25B5">
        <w:rPr>
          <w:rFonts w:ascii="Calibri" w:hAnsi="Calibri"/>
        </w:rPr>
        <w:t xml:space="preserve">MassDOT will </w:t>
      </w:r>
      <w:r w:rsidR="00B13C58" w:rsidRPr="004C25B5">
        <w:rPr>
          <w:rFonts w:ascii="Calibri" w:hAnsi="Calibri"/>
        </w:rPr>
        <w:t xml:space="preserve">seek to </w:t>
      </w:r>
      <w:r w:rsidRPr="004C25B5">
        <w:rPr>
          <w:rFonts w:ascii="Calibri" w:hAnsi="Calibri"/>
        </w:rPr>
        <w:t xml:space="preserve">diversify its exposure to counterparties across its </w:t>
      </w:r>
      <w:r w:rsidRPr="004C25B5">
        <w:rPr>
          <w:rFonts w:ascii="Calibri" w:hAnsi="Calibri"/>
        </w:rPr>
        <w:t xml:space="preserve">swap </w:t>
      </w:r>
      <w:r w:rsidRPr="004C25B5">
        <w:rPr>
          <w:rFonts w:ascii="Calibri" w:hAnsi="Calibri"/>
        </w:rPr>
        <w:t>portfolio</w:t>
      </w:r>
      <w:r w:rsidRPr="004C25B5">
        <w:rPr>
          <w:rFonts w:ascii="Calibri" w:hAnsi="Calibri"/>
        </w:rPr>
        <w:t xml:space="preserve"> whenever possible</w:t>
      </w:r>
      <w:r w:rsidRPr="004C25B5">
        <w:rPr>
          <w:rFonts w:ascii="Calibri" w:hAnsi="Calibri"/>
        </w:rPr>
        <w:t xml:space="preserve">, </w:t>
      </w:r>
      <w:r w:rsidR="00B13C58" w:rsidRPr="004C25B5">
        <w:rPr>
          <w:rFonts w:ascii="Calibri" w:hAnsi="Calibri"/>
        </w:rPr>
        <w:t xml:space="preserve">subject to the terms of its existing swap agreements, </w:t>
      </w:r>
      <w:r w:rsidRPr="004C25B5">
        <w:rPr>
          <w:rFonts w:ascii="Calibri" w:hAnsi="Calibri"/>
        </w:rPr>
        <w:t>including swap counterparties, credit providers on variable rate debt, investment providers, and other exposures as may be incurred when managing the financial operations of MassDOT</w:t>
      </w:r>
      <w:r w:rsidR="004C25B5">
        <w:rPr>
          <w:rFonts w:ascii="Calibri" w:hAnsi="Calibri"/>
        </w:rPr>
        <w:t xml:space="preserve">. </w:t>
      </w:r>
      <w:r w:rsidRPr="004C25B5">
        <w:rPr>
          <w:rFonts w:ascii="Calibri" w:hAnsi="Calibri"/>
        </w:rPr>
        <w:t xml:space="preserve">MassDOT will also </w:t>
      </w:r>
      <w:r w:rsidR="00B13C58" w:rsidRPr="004C25B5">
        <w:rPr>
          <w:rFonts w:ascii="Calibri" w:hAnsi="Calibri"/>
        </w:rPr>
        <w:t xml:space="preserve">seek to </w:t>
      </w:r>
      <w:r w:rsidRPr="004C25B5">
        <w:rPr>
          <w:rFonts w:ascii="Calibri" w:hAnsi="Calibri"/>
        </w:rPr>
        <w:t xml:space="preserve">impose minimum credit rating standards and require </w:t>
      </w:r>
      <w:r w:rsidRPr="004C25B5">
        <w:rPr>
          <w:rFonts w:ascii="Calibri" w:hAnsi="Calibri"/>
        </w:rPr>
        <w:t>protective provisions</w:t>
      </w:r>
      <w:r w:rsidRPr="004C25B5">
        <w:rPr>
          <w:rFonts w:ascii="Calibri" w:hAnsi="Calibri"/>
        </w:rPr>
        <w:t xml:space="preserve"> in its swap agreements.</w:t>
      </w:r>
    </w:p>
    <w:p w14:paraId="0BA62299" w14:textId="77777777" w:rsidR="005C0917" w:rsidRPr="004C25B5" w:rsidRDefault="005C0917" w:rsidP="004C25B5">
      <w:pPr>
        <w:numPr>
          <w:ilvl w:val="0"/>
          <w:numId w:val="28"/>
        </w:numPr>
        <w:tabs>
          <w:tab w:val="clear" w:pos="1440"/>
        </w:tabs>
        <w:spacing w:after="60"/>
        <w:ind w:left="720" w:hanging="360"/>
        <w:jc w:val="both"/>
        <w:rPr>
          <w:rFonts w:ascii="Calibri" w:hAnsi="Calibri"/>
          <w:iCs/>
          <w:sz w:val="24"/>
        </w:rPr>
      </w:pPr>
      <w:r w:rsidRPr="004C25B5">
        <w:rPr>
          <w:rFonts w:ascii="Calibri" w:hAnsi="Calibri"/>
          <w:iCs/>
          <w:sz w:val="24"/>
        </w:rPr>
        <w:t>Termination risk</w:t>
      </w:r>
      <w:r w:rsidR="004C25B5">
        <w:rPr>
          <w:rFonts w:ascii="Calibri" w:hAnsi="Calibri"/>
          <w:iCs/>
          <w:sz w:val="24"/>
        </w:rPr>
        <w:t xml:space="preserve">. </w:t>
      </w:r>
      <w:r w:rsidRPr="004C25B5">
        <w:rPr>
          <w:rFonts w:ascii="Calibri" w:hAnsi="Calibri"/>
          <w:iCs/>
          <w:sz w:val="24"/>
        </w:rPr>
        <w:t>A termination payment to or from MassDOT may be required in the event of termination of a swap agreement due to an optional termination, a termination event or an event of default</w:t>
      </w:r>
      <w:r w:rsidR="004C25B5">
        <w:rPr>
          <w:rFonts w:ascii="Calibri" w:hAnsi="Calibri"/>
          <w:iCs/>
          <w:sz w:val="24"/>
        </w:rPr>
        <w:t xml:space="preserve">. </w:t>
      </w:r>
      <w:r w:rsidRPr="004C25B5">
        <w:rPr>
          <w:rFonts w:ascii="Calibri" w:hAnsi="Calibri"/>
          <w:iCs/>
          <w:sz w:val="24"/>
        </w:rPr>
        <w:t xml:space="preserve">Termination amounts shall be calculated as provided under existing swap documents or, for any new swap </w:t>
      </w:r>
      <w:proofErr w:type="gramStart"/>
      <w:r w:rsidRPr="004C25B5">
        <w:rPr>
          <w:rFonts w:ascii="Calibri" w:hAnsi="Calibri"/>
          <w:iCs/>
          <w:sz w:val="24"/>
        </w:rPr>
        <w:t>agreements,</w:t>
      </w:r>
      <w:proofErr w:type="gramEnd"/>
      <w:r w:rsidRPr="004C25B5">
        <w:rPr>
          <w:rFonts w:ascii="Calibri" w:hAnsi="Calibri"/>
          <w:iCs/>
          <w:sz w:val="24"/>
        </w:rPr>
        <w:t xml:space="preserve"> pursuant to Market Quotation, Second Method methodology</w:t>
      </w:r>
      <w:r w:rsidR="009E3966" w:rsidRPr="004C25B5">
        <w:rPr>
          <w:rFonts w:ascii="Calibri" w:hAnsi="Calibri"/>
          <w:iCs/>
          <w:sz w:val="24"/>
        </w:rPr>
        <w:t xml:space="preserve"> within the applicable ISDA agreement</w:t>
      </w:r>
      <w:r w:rsidR="004C25B5">
        <w:rPr>
          <w:rFonts w:ascii="Calibri" w:hAnsi="Calibri"/>
          <w:iCs/>
          <w:sz w:val="24"/>
        </w:rPr>
        <w:t xml:space="preserve">. </w:t>
      </w:r>
      <w:r w:rsidRPr="004C25B5">
        <w:rPr>
          <w:rFonts w:ascii="Calibri" w:hAnsi="Calibri"/>
          <w:iCs/>
          <w:sz w:val="24"/>
        </w:rPr>
        <w:t>Notwithstanding the foregoing, in general MassDOT will seek to avoid making an out-of-pocket termination payment to a counterparty that has defaulted under the agreement</w:t>
      </w:r>
      <w:r w:rsidR="004C25B5">
        <w:rPr>
          <w:rFonts w:ascii="Calibri" w:hAnsi="Calibri"/>
          <w:iCs/>
          <w:sz w:val="24"/>
        </w:rPr>
        <w:t xml:space="preserve">. </w:t>
      </w:r>
      <w:r w:rsidRPr="004C25B5">
        <w:rPr>
          <w:rFonts w:ascii="Calibri" w:hAnsi="Calibri"/>
          <w:iCs/>
          <w:sz w:val="24"/>
        </w:rPr>
        <w:t xml:space="preserve">Prior to making any such termination payment, the Chief Financial Officer shall evaluate whether it is financially advantageous for MassDOT to obtain a replacement counterparty to avoid making such termination payment from funds on hand, to finance the termination payment through a long-term financing </w:t>
      </w:r>
      <w:proofErr w:type="gramStart"/>
      <w:r w:rsidRPr="004C25B5">
        <w:rPr>
          <w:rFonts w:ascii="Calibri" w:hAnsi="Calibri"/>
          <w:iCs/>
          <w:sz w:val="24"/>
        </w:rPr>
        <w:t>product</w:t>
      </w:r>
      <w:r w:rsidR="00DF2C94" w:rsidRPr="004C25B5">
        <w:rPr>
          <w:rFonts w:ascii="Calibri" w:hAnsi="Calibri"/>
          <w:iCs/>
          <w:sz w:val="24"/>
        </w:rPr>
        <w:t>,</w:t>
      </w:r>
      <w:r w:rsidRPr="004C25B5">
        <w:rPr>
          <w:rFonts w:ascii="Calibri" w:hAnsi="Calibri"/>
          <w:iCs/>
          <w:sz w:val="24"/>
        </w:rPr>
        <w:t xml:space="preserve"> or</w:t>
      </w:r>
      <w:proofErr w:type="gramEnd"/>
      <w:r w:rsidRPr="004C25B5">
        <w:rPr>
          <w:rFonts w:ascii="Calibri" w:hAnsi="Calibri"/>
          <w:iCs/>
          <w:sz w:val="24"/>
        </w:rPr>
        <w:t xml:space="preserve"> use other techniques to avoid having the counterparty’s default create an undesired impact on MassDOT’s finances.</w:t>
      </w:r>
    </w:p>
    <w:p w14:paraId="7F8A0638" w14:textId="77777777" w:rsidR="005C0917" w:rsidRPr="004C25B5" w:rsidRDefault="005C0917" w:rsidP="004C25B5">
      <w:pPr>
        <w:numPr>
          <w:ilvl w:val="0"/>
          <w:numId w:val="28"/>
        </w:numPr>
        <w:tabs>
          <w:tab w:val="clear" w:pos="1440"/>
        </w:tabs>
        <w:spacing w:after="60"/>
        <w:ind w:left="720" w:hanging="360"/>
        <w:jc w:val="both"/>
        <w:rPr>
          <w:rFonts w:ascii="Calibri" w:hAnsi="Calibri"/>
          <w:iCs/>
          <w:sz w:val="24"/>
        </w:rPr>
      </w:pPr>
      <w:r w:rsidRPr="004C25B5">
        <w:rPr>
          <w:rFonts w:ascii="Calibri" w:hAnsi="Calibri"/>
          <w:iCs/>
          <w:sz w:val="24"/>
        </w:rPr>
        <w:t>Interest rate risk</w:t>
      </w:r>
      <w:r w:rsidR="004C25B5">
        <w:rPr>
          <w:rFonts w:ascii="Calibri" w:hAnsi="Calibri"/>
          <w:iCs/>
          <w:sz w:val="24"/>
        </w:rPr>
        <w:t xml:space="preserve">. </w:t>
      </w:r>
      <w:r w:rsidRPr="004C25B5">
        <w:rPr>
          <w:rFonts w:ascii="Calibri" w:hAnsi="Calibri"/>
          <w:iCs/>
          <w:sz w:val="24"/>
        </w:rPr>
        <w:t xml:space="preserve">Prior to taking on additional interest rate risk, MassDOT will measure its capacity for floating rate exposure by factoring in the percentage of variable rate debt in its existing portfolio and </w:t>
      </w:r>
      <w:proofErr w:type="gramStart"/>
      <w:r w:rsidRPr="004C25B5">
        <w:rPr>
          <w:rFonts w:ascii="Calibri" w:hAnsi="Calibri"/>
          <w:iCs/>
          <w:sz w:val="24"/>
        </w:rPr>
        <w:t>an analysis</w:t>
      </w:r>
      <w:proofErr w:type="gramEnd"/>
      <w:r w:rsidRPr="004C25B5">
        <w:rPr>
          <w:rFonts w:ascii="Calibri" w:hAnsi="Calibri"/>
          <w:iCs/>
          <w:sz w:val="24"/>
        </w:rPr>
        <w:t xml:space="preserve"> of its </w:t>
      </w:r>
      <w:proofErr w:type="gramStart"/>
      <w:r w:rsidRPr="004C25B5">
        <w:rPr>
          <w:rFonts w:ascii="Calibri" w:hAnsi="Calibri"/>
          <w:iCs/>
          <w:sz w:val="24"/>
        </w:rPr>
        <w:t>short and long term</w:t>
      </w:r>
      <w:proofErr w:type="gramEnd"/>
      <w:r w:rsidRPr="004C25B5">
        <w:rPr>
          <w:rFonts w:ascii="Calibri" w:hAnsi="Calibri"/>
          <w:iCs/>
          <w:sz w:val="24"/>
        </w:rPr>
        <w:t xml:space="preserve"> investment assets</w:t>
      </w:r>
      <w:r w:rsidR="004C25B5">
        <w:rPr>
          <w:rFonts w:ascii="Calibri" w:hAnsi="Calibri"/>
          <w:iCs/>
          <w:sz w:val="24"/>
        </w:rPr>
        <w:t xml:space="preserve">. </w:t>
      </w:r>
      <w:r w:rsidRPr="004C25B5">
        <w:rPr>
          <w:rFonts w:ascii="Calibri" w:hAnsi="Calibri"/>
          <w:iCs/>
          <w:sz w:val="24"/>
        </w:rPr>
        <w:t>MassDOT will seek to maintain or reduce interest rate risk when structuring or amending its debt and swap portfolio.</w:t>
      </w:r>
    </w:p>
    <w:p w14:paraId="6D1D8CD9" w14:textId="77777777" w:rsidR="005C0917" w:rsidRPr="004C25B5" w:rsidRDefault="005C0917" w:rsidP="004C25B5">
      <w:pPr>
        <w:numPr>
          <w:ilvl w:val="0"/>
          <w:numId w:val="28"/>
        </w:numPr>
        <w:tabs>
          <w:tab w:val="clear" w:pos="1440"/>
        </w:tabs>
        <w:spacing w:after="60"/>
        <w:ind w:left="720" w:hanging="360"/>
        <w:jc w:val="both"/>
        <w:rPr>
          <w:rFonts w:ascii="Calibri" w:hAnsi="Calibri"/>
          <w:iCs/>
          <w:sz w:val="24"/>
        </w:rPr>
      </w:pPr>
      <w:r w:rsidRPr="004C25B5">
        <w:rPr>
          <w:rFonts w:ascii="Calibri" w:hAnsi="Calibri"/>
          <w:iCs/>
          <w:sz w:val="24"/>
        </w:rPr>
        <w:t>Basis risk</w:t>
      </w:r>
      <w:r w:rsidR="004C25B5">
        <w:rPr>
          <w:rFonts w:ascii="Calibri" w:hAnsi="Calibri"/>
          <w:iCs/>
          <w:sz w:val="24"/>
        </w:rPr>
        <w:t xml:space="preserve">. </w:t>
      </w:r>
      <w:r w:rsidRPr="004C25B5">
        <w:rPr>
          <w:rFonts w:ascii="Calibri" w:hAnsi="Calibri"/>
          <w:iCs/>
          <w:sz w:val="24"/>
        </w:rPr>
        <w:t>MassDOT will measure and review the historic variation between the floating rate index used in each swap and the underlying floating rate debt it is hedging</w:t>
      </w:r>
      <w:r w:rsidR="004C25B5">
        <w:rPr>
          <w:rFonts w:ascii="Calibri" w:hAnsi="Calibri"/>
          <w:iCs/>
          <w:sz w:val="24"/>
        </w:rPr>
        <w:t xml:space="preserve">. </w:t>
      </w:r>
      <w:r w:rsidRPr="004C25B5">
        <w:rPr>
          <w:rFonts w:ascii="Calibri" w:hAnsi="Calibri"/>
          <w:iCs/>
          <w:sz w:val="24"/>
        </w:rPr>
        <w:t>The degree of risks in any additional basis risk should be evaluated in comparison with the degree of benefit provided</w:t>
      </w:r>
      <w:r w:rsidR="004C25B5">
        <w:rPr>
          <w:rFonts w:ascii="Calibri" w:hAnsi="Calibri"/>
          <w:iCs/>
          <w:sz w:val="24"/>
        </w:rPr>
        <w:t xml:space="preserve">. </w:t>
      </w:r>
      <w:r w:rsidRPr="004C25B5">
        <w:rPr>
          <w:rFonts w:ascii="Calibri" w:hAnsi="Calibri"/>
          <w:iCs/>
          <w:sz w:val="24"/>
        </w:rPr>
        <w:t xml:space="preserve">MassDOT will consider mitigation techniques as warranted, including </w:t>
      </w:r>
      <w:r w:rsidR="00ED6E6A" w:rsidRPr="004C25B5">
        <w:rPr>
          <w:rFonts w:ascii="Calibri" w:hAnsi="Calibri"/>
          <w:iCs/>
          <w:sz w:val="24"/>
        </w:rPr>
        <w:t xml:space="preserve">the consideration of </w:t>
      </w:r>
      <w:r w:rsidRPr="004C25B5">
        <w:rPr>
          <w:rFonts w:ascii="Calibri" w:hAnsi="Calibri"/>
          <w:iCs/>
          <w:sz w:val="24"/>
        </w:rPr>
        <w:t xml:space="preserve">maintaining a </w:t>
      </w:r>
      <w:r w:rsidR="00DF2C94" w:rsidRPr="004C25B5">
        <w:rPr>
          <w:rFonts w:ascii="Calibri" w:hAnsi="Calibri"/>
          <w:iCs/>
          <w:sz w:val="24"/>
        </w:rPr>
        <w:t xml:space="preserve">reserve fund to provide a </w:t>
      </w:r>
      <w:r w:rsidRPr="004C25B5">
        <w:rPr>
          <w:rFonts w:ascii="Calibri" w:hAnsi="Calibri"/>
          <w:iCs/>
          <w:sz w:val="24"/>
        </w:rPr>
        <w:t>cushion between the floating rate index on the swap and the expected trading level of the floating rate debt</w:t>
      </w:r>
      <w:r w:rsidR="004C25B5">
        <w:rPr>
          <w:rFonts w:ascii="Calibri" w:hAnsi="Calibri"/>
          <w:iCs/>
          <w:sz w:val="24"/>
        </w:rPr>
        <w:t xml:space="preserve">. </w:t>
      </w:r>
      <w:r w:rsidRPr="004C25B5">
        <w:rPr>
          <w:rFonts w:ascii="Calibri" w:hAnsi="Calibri"/>
          <w:iCs/>
          <w:sz w:val="24"/>
        </w:rPr>
        <w:t xml:space="preserve">MassDOT will periodically evaluate </w:t>
      </w:r>
      <w:r w:rsidR="00ED6E6A" w:rsidRPr="004C25B5">
        <w:rPr>
          <w:rFonts w:ascii="Calibri" w:hAnsi="Calibri"/>
          <w:iCs/>
          <w:sz w:val="24"/>
        </w:rPr>
        <w:t xml:space="preserve">any </w:t>
      </w:r>
      <w:r w:rsidRPr="004C25B5">
        <w:rPr>
          <w:rFonts w:ascii="Calibri" w:hAnsi="Calibri"/>
          <w:iCs/>
          <w:sz w:val="24"/>
        </w:rPr>
        <w:t>reserves available to fund any future basis liability with each swap in accordance with the related trust agreements, as applicable</w:t>
      </w:r>
      <w:r w:rsidR="004C25B5">
        <w:rPr>
          <w:rFonts w:ascii="Calibri" w:hAnsi="Calibri"/>
          <w:iCs/>
          <w:sz w:val="24"/>
        </w:rPr>
        <w:t xml:space="preserve">. </w:t>
      </w:r>
    </w:p>
    <w:p w14:paraId="21B16070" w14:textId="77777777" w:rsidR="005C0917" w:rsidRPr="004C25B5" w:rsidRDefault="005C0917" w:rsidP="004C25B5">
      <w:pPr>
        <w:numPr>
          <w:ilvl w:val="0"/>
          <w:numId w:val="28"/>
        </w:numPr>
        <w:tabs>
          <w:tab w:val="clear" w:pos="1440"/>
        </w:tabs>
        <w:spacing w:after="60"/>
        <w:ind w:left="720" w:hanging="360"/>
        <w:jc w:val="both"/>
        <w:rPr>
          <w:rFonts w:ascii="Calibri" w:hAnsi="Calibri"/>
          <w:iCs/>
          <w:sz w:val="24"/>
        </w:rPr>
      </w:pPr>
      <w:r w:rsidRPr="004C25B5">
        <w:rPr>
          <w:rFonts w:ascii="Calibri" w:hAnsi="Calibri"/>
          <w:iCs/>
          <w:sz w:val="24"/>
        </w:rPr>
        <w:t>Rollover risk</w:t>
      </w:r>
      <w:r w:rsidR="004C25B5">
        <w:rPr>
          <w:rFonts w:ascii="Calibri" w:hAnsi="Calibri"/>
          <w:iCs/>
          <w:sz w:val="24"/>
        </w:rPr>
        <w:t xml:space="preserve">. </w:t>
      </w:r>
      <w:r w:rsidRPr="004C25B5">
        <w:rPr>
          <w:rFonts w:ascii="Calibri" w:hAnsi="Calibri"/>
          <w:iCs/>
          <w:sz w:val="24"/>
        </w:rPr>
        <w:t>As it relates to each swap, MassDOT will evaluate the prospect of limited availability or unavailability of bank facilities based on the underlying credit of the associated debt as well as the general market for liquidity and credit facilities and other variable rate products</w:t>
      </w:r>
      <w:r w:rsidR="004C25B5">
        <w:rPr>
          <w:rFonts w:ascii="Calibri" w:hAnsi="Calibri"/>
          <w:iCs/>
          <w:sz w:val="24"/>
        </w:rPr>
        <w:t xml:space="preserve">. </w:t>
      </w:r>
      <w:r w:rsidRPr="004C25B5">
        <w:rPr>
          <w:rFonts w:ascii="Calibri" w:hAnsi="Calibri"/>
          <w:iCs/>
          <w:sz w:val="24"/>
        </w:rPr>
        <w:t xml:space="preserve">MassDOT may use any of the following mitigation techniques: purchasing longer term facilities for credits where rollover risk is greatest; including alternative floating rate modes and structures as allowed in the applicable bond documents; and staggering the termination dates of different liquidity and credit facilities to diversify the points of market re-entry. </w:t>
      </w:r>
    </w:p>
    <w:p w14:paraId="2CCD690D" w14:textId="77777777" w:rsidR="005C0917" w:rsidRDefault="005C0917" w:rsidP="004C25B5">
      <w:pPr>
        <w:numPr>
          <w:ilvl w:val="0"/>
          <w:numId w:val="28"/>
        </w:numPr>
        <w:tabs>
          <w:tab w:val="clear" w:pos="1440"/>
        </w:tabs>
        <w:spacing w:after="60"/>
        <w:ind w:left="720" w:hanging="360"/>
        <w:jc w:val="both"/>
        <w:rPr>
          <w:rFonts w:ascii="Calibri" w:hAnsi="Calibri"/>
          <w:sz w:val="24"/>
        </w:rPr>
      </w:pPr>
      <w:r w:rsidRPr="004C25B5">
        <w:rPr>
          <w:rFonts w:ascii="Calibri" w:hAnsi="Calibri"/>
          <w:iCs/>
          <w:sz w:val="24"/>
        </w:rPr>
        <w:t>Pricing risk</w:t>
      </w:r>
      <w:r w:rsidR="004C25B5">
        <w:rPr>
          <w:rFonts w:ascii="Calibri" w:hAnsi="Calibri"/>
          <w:iCs/>
          <w:sz w:val="24"/>
        </w:rPr>
        <w:t xml:space="preserve">. </w:t>
      </w:r>
      <w:r w:rsidRPr="004C25B5">
        <w:rPr>
          <w:rFonts w:ascii="Calibri" w:hAnsi="Calibri"/>
          <w:iCs/>
          <w:sz w:val="24"/>
        </w:rPr>
        <w:t xml:space="preserve">Prior to </w:t>
      </w:r>
      <w:proofErr w:type="gramStart"/>
      <w:r w:rsidRPr="004C25B5">
        <w:rPr>
          <w:rFonts w:ascii="Calibri" w:hAnsi="Calibri"/>
          <w:iCs/>
          <w:sz w:val="24"/>
        </w:rPr>
        <w:t>entering into</w:t>
      </w:r>
      <w:proofErr w:type="gramEnd"/>
      <w:r w:rsidRPr="004C25B5">
        <w:rPr>
          <w:rFonts w:ascii="Calibri" w:hAnsi="Calibri"/>
          <w:iCs/>
          <w:sz w:val="24"/>
        </w:rPr>
        <w:t xml:space="preserve"> a swap, MassDOT will </w:t>
      </w:r>
      <w:proofErr w:type="gramStart"/>
      <w:r w:rsidRPr="004C25B5">
        <w:rPr>
          <w:rFonts w:ascii="Calibri" w:hAnsi="Calibri"/>
          <w:iCs/>
          <w:sz w:val="24"/>
        </w:rPr>
        <w:t>make a determination</w:t>
      </w:r>
      <w:proofErr w:type="gramEnd"/>
      <w:r w:rsidRPr="004C25B5">
        <w:rPr>
          <w:rFonts w:ascii="Calibri" w:hAnsi="Calibri"/>
          <w:iCs/>
          <w:sz w:val="24"/>
        </w:rPr>
        <w:t xml:space="preserve"> that the transaction can be priced with reasonable transparency and confidence</w:t>
      </w:r>
      <w:r w:rsidR="004C25B5">
        <w:rPr>
          <w:rFonts w:ascii="Calibri" w:hAnsi="Calibri"/>
          <w:iCs/>
          <w:sz w:val="24"/>
        </w:rPr>
        <w:t xml:space="preserve">. </w:t>
      </w:r>
      <w:r w:rsidRPr="004C25B5">
        <w:rPr>
          <w:rFonts w:ascii="Calibri" w:hAnsi="Calibri"/>
          <w:iCs/>
          <w:sz w:val="24"/>
        </w:rPr>
        <w:t xml:space="preserve">MassDOT will not </w:t>
      </w:r>
      <w:proofErr w:type="gramStart"/>
      <w:r w:rsidRPr="004C25B5">
        <w:rPr>
          <w:rFonts w:ascii="Calibri" w:hAnsi="Calibri"/>
          <w:iCs/>
          <w:sz w:val="24"/>
        </w:rPr>
        <w:t>enter into</w:t>
      </w:r>
      <w:proofErr w:type="gramEnd"/>
      <w:r w:rsidRPr="004C25B5">
        <w:rPr>
          <w:rFonts w:ascii="Calibri" w:hAnsi="Calibri"/>
          <w:iCs/>
          <w:sz w:val="24"/>
        </w:rPr>
        <w:t xml:space="preserve"> overly complex or illiquid transactions where competitive pricing cannot be ascertained</w:t>
      </w:r>
      <w:r w:rsidR="004C25B5">
        <w:rPr>
          <w:rFonts w:ascii="Calibri" w:hAnsi="Calibri"/>
          <w:iCs/>
          <w:sz w:val="24"/>
        </w:rPr>
        <w:t xml:space="preserve">. </w:t>
      </w:r>
      <w:proofErr w:type="gramStart"/>
      <w:r w:rsidR="00E76608" w:rsidRPr="004C25B5">
        <w:rPr>
          <w:rFonts w:ascii="Calibri" w:hAnsi="Calibri"/>
          <w:iCs/>
          <w:sz w:val="24"/>
        </w:rPr>
        <w:t>As a general rule</w:t>
      </w:r>
      <w:proofErr w:type="gramEnd"/>
      <w:r w:rsidR="00E76608" w:rsidRPr="004C25B5">
        <w:rPr>
          <w:rFonts w:ascii="Calibri" w:hAnsi="Calibri"/>
          <w:iCs/>
          <w:sz w:val="24"/>
        </w:rPr>
        <w:t xml:space="preserve">, MassDOT will use a competitive process for </w:t>
      </w:r>
      <w:proofErr w:type="gramStart"/>
      <w:r w:rsidR="00E76608" w:rsidRPr="004C25B5">
        <w:rPr>
          <w:rFonts w:ascii="Calibri" w:hAnsi="Calibri"/>
          <w:iCs/>
          <w:sz w:val="24"/>
        </w:rPr>
        <w:t>entering into</w:t>
      </w:r>
      <w:proofErr w:type="gramEnd"/>
      <w:r w:rsidR="00E76608" w:rsidRPr="004C25B5">
        <w:rPr>
          <w:rFonts w:ascii="Calibri" w:hAnsi="Calibri"/>
          <w:iCs/>
          <w:sz w:val="24"/>
        </w:rPr>
        <w:t xml:space="preserve"> new swap contracts</w:t>
      </w:r>
      <w:r w:rsidRPr="004C25B5">
        <w:rPr>
          <w:rFonts w:ascii="Calibri" w:hAnsi="Calibri"/>
          <w:iCs/>
          <w:sz w:val="24"/>
        </w:rPr>
        <w:t>.</w:t>
      </w:r>
    </w:p>
    <w:p w14:paraId="5F43F2AF" w14:textId="77777777" w:rsidR="005C0917" w:rsidRDefault="005C0917">
      <w:pPr>
        <w:jc w:val="both"/>
        <w:rPr>
          <w:rFonts w:ascii="Calibri" w:hAnsi="Calibri"/>
          <w:sz w:val="24"/>
        </w:rPr>
      </w:pPr>
    </w:p>
    <w:p w14:paraId="4CC2110B" w14:textId="77777777" w:rsidR="005C0917" w:rsidRDefault="005C0917">
      <w:pPr>
        <w:pStyle w:val="BodyTextIndent"/>
        <w:ind w:left="0"/>
        <w:rPr>
          <w:rFonts w:ascii="Calibri" w:hAnsi="Calibri"/>
          <w:iCs w:val="0"/>
        </w:rPr>
      </w:pPr>
      <w:r>
        <w:rPr>
          <w:rFonts w:ascii="Calibri" w:hAnsi="Calibri"/>
          <w:iCs w:val="0"/>
        </w:rPr>
        <w:t>MassDOT</w:t>
      </w:r>
      <w:r>
        <w:rPr>
          <w:rFonts w:ascii="Calibri" w:hAnsi="Calibri"/>
          <w:iCs w:val="0"/>
        </w:rPr>
        <w:t xml:space="preserve"> will measure and evaluate the effect of leverage contained within any </w:t>
      </w:r>
      <w:r>
        <w:rPr>
          <w:rFonts w:ascii="Calibri" w:hAnsi="Calibri"/>
          <w:iCs w:val="0"/>
        </w:rPr>
        <w:t>swap</w:t>
      </w:r>
      <w:r>
        <w:rPr>
          <w:rFonts w:ascii="Calibri" w:hAnsi="Calibri"/>
          <w:iCs w:val="0"/>
        </w:rPr>
        <w:t xml:space="preserve"> on the magnitude of any of the above-mentioned risks.</w:t>
      </w:r>
    </w:p>
    <w:p w14:paraId="4C14BB4C" w14:textId="77777777" w:rsidR="005C0917" w:rsidRDefault="005C0917">
      <w:pPr>
        <w:pStyle w:val="BodyTextIndent"/>
        <w:ind w:left="0"/>
        <w:rPr>
          <w:rFonts w:ascii="Calibri" w:hAnsi="Calibri"/>
          <w:iCs w:val="0"/>
        </w:rPr>
      </w:pPr>
    </w:p>
    <w:p w14:paraId="52622674" w14:textId="77777777" w:rsidR="005C0917" w:rsidRDefault="005C0917">
      <w:pPr>
        <w:pStyle w:val="Heading4"/>
        <w:numPr>
          <w:ilvl w:val="0"/>
          <w:numId w:val="7"/>
        </w:numPr>
        <w:jc w:val="both"/>
        <w:rPr>
          <w:rFonts w:ascii="Calibri" w:hAnsi="Calibri"/>
          <w:sz w:val="24"/>
          <w:u w:val="single"/>
        </w:rPr>
      </w:pPr>
      <w:r>
        <w:rPr>
          <w:rFonts w:ascii="Calibri" w:hAnsi="Calibri"/>
          <w:sz w:val="24"/>
          <w:u w:val="single"/>
        </w:rPr>
        <w:t>Monitoring and Reporting</w:t>
      </w:r>
    </w:p>
    <w:p w14:paraId="1A6A13CC" w14:textId="77777777" w:rsidR="005C0917" w:rsidRDefault="005C0917">
      <w:pPr>
        <w:keepNext/>
        <w:jc w:val="both"/>
        <w:rPr>
          <w:rFonts w:ascii="Calibri" w:hAnsi="Calibri"/>
          <w:sz w:val="24"/>
        </w:rPr>
      </w:pPr>
    </w:p>
    <w:p w14:paraId="728642E9" w14:textId="77777777" w:rsidR="005C0917" w:rsidRDefault="005C0917">
      <w:pPr>
        <w:pStyle w:val="BodyTextIndent"/>
        <w:tabs>
          <w:tab w:val="num" w:pos="1080"/>
        </w:tabs>
        <w:ind w:left="0"/>
        <w:rPr>
          <w:rFonts w:ascii="Calibri" w:hAnsi="Calibri"/>
        </w:rPr>
      </w:pPr>
      <w:bookmarkStart w:id="0" w:name="_Hlk34130106"/>
      <w:r>
        <w:rPr>
          <w:rFonts w:ascii="Calibri" w:hAnsi="Calibri"/>
        </w:rPr>
        <w:t>MassDOT</w:t>
      </w:r>
      <w:r>
        <w:rPr>
          <w:rFonts w:ascii="Calibri" w:hAnsi="Calibri"/>
        </w:rPr>
        <w:t xml:space="preserve"> </w:t>
      </w:r>
      <w:r>
        <w:rPr>
          <w:rFonts w:ascii="Calibri" w:hAnsi="Calibri"/>
        </w:rPr>
        <w:t xml:space="preserve">will </w:t>
      </w:r>
      <w:r>
        <w:rPr>
          <w:rFonts w:ascii="Calibri" w:hAnsi="Calibri"/>
        </w:rPr>
        <w:t>engage a professional swap advisor to monitor its swap portfolio and counterparties and</w:t>
      </w:r>
      <w:r>
        <w:rPr>
          <w:rFonts w:ascii="Calibri" w:hAnsi="Calibri"/>
        </w:rPr>
        <w:t xml:space="preserve"> regularly report on the financial implications of </w:t>
      </w:r>
      <w:r>
        <w:rPr>
          <w:rFonts w:ascii="Calibri" w:hAnsi="Calibri"/>
        </w:rPr>
        <w:t>the</w:t>
      </w:r>
      <w:r>
        <w:rPr>
          <w:rFonts w:ascii="Calibri" w:hAnsi="Calibri"/>
        </w:rPr>
        <w:t xml:space="preserve"> </w:t>
      </w:r>
      <w:r>
        <w:rPr>
          <w:rFonts w:ascii="Calibri" w:hAnsi="Calibri"/>
        </w:rPr>
        <w:t>portfolio</w:t>
      </w:r>
      <w:r w:rsidR="004C25B5">
        <w:rPr>
          <w:rFonts w:ascii="Calibri" w:hAnsi="Calibri"/>
        </w:rPr>
        <w:t xml:space="preserve">. </w:t>
      </w:r>
      <w:r>
        <w:rPr>
          <w:rFonts w:ascii="Calibri" w:hAnsi="Calibri"/>
        </w:rPr>
        <w:t>In addition to quarterly valuations and interim reporting as events warrant, an annual</w:t>
      </w:r>
      <w:r>
        <w:rPr>
          <w:rFonts w:ascii="Calibri" w:hAnsi="Calibri"/>
        </w:rPr>
        <w:t xml:space="preserve"> report will be </w:t>
      </w:r>
      <w:r>
        <w:rPr>
          <w:rFonts w:ascii="Calibri" w:hAnsi="Calibri"/>
        </w:rPr>
        <w:t>generated by the swap advisor and MassDOT including the following information</w:t>
      </w:r>
      <w:r>
        <w:rPr>
          <w:rFonts w:ascii="Calibri" w:hAnsi="Calibri"/>
        </w:rPr>
        <w:t>:</w:t>
      </w:r>
      <w:bookmarkEnd w:id="0"/>
    </w:p>
    <w:p w14:paraId="23C1E1A1" w14:textId="77777777" w:rsidR="005C0917" w:rsidRDefault="005C0917">
      <w:pPr>
        <w:pStyle w:val="BodyTextIndent"/>
        <w:tabs>
          <w:tab w:val="num" w:pos="1080"/>
        </w:tabs>
        <w:ind w:left="0"/>
        <w:rPr>
          <w:rFonts w:ascii="Calibri" w:hAnsi="Calibri"/>
        </w:rPr>
      </w:pPr>
    </w:p>
    <w:p w14:paraId="5FF99010" w14:textId="77777777" w:rsidR="005C0917" w:rsidRDefault="005C0917" w:rsidP="004C25B5">
      <w:pPr>
        <w:numPr>
          <w:ilvl w:val="0"/>
          <w:numId w:val="21"/>
        </w:numPr>
        <w:ind w:left="720"/>
        <w:jc w:val="both"/>
        <w:rPr>
          <w:rFonts w:ascii="Calibri" w:hAnsi="Calibri"/>
          <w:sz w:val="24"/>
        </w:rPr>
      </w:pPr>
      <w:r>
        <w:rPr>
          <w:rFonts w:ascii="Calibri" w:hAnsi="Calibri"/>
          <w:sz w:val="24"/>
        </w:rPr>
        <w:t xml:space="preserve">A summary of key terms of the agreements, including notional amounts, interest rates, maturity and method of procurement, including any changes to swap agreements since the last reporting </w:t>
      </w:r>
      <w:proofErr w:type="gramStart"/>
      <w:r>
        <w:rPr>
          <w:rFonts w:ascii="Calibri" w:hAnsi="Calibri"/>
          <w:sz w:val="24"/>
        </w:rPr>
        <w:t>period;</w:t>
      </w:r>
      <w:proofErr w:type="gramEnd"/>
    </w:p>
    <w:p w14:paraId="0418A6F5" w14:textId="77777777" w:rsidR="005C0917" w:rsidRDefault="005C0917" w:rsidP="004C25B5">
      <w:pPr>
        <w:numPr>
          <w:ilvl w:val="0"/>
          <w:numId w:val="21"/>
        </w:numPr>
        <w:ind w:left="720"/>
        <w:jc w:val="both"/>
        <w:rPr>
          <w:rFonts w:ascii="Calibri" w:hAnsi="Calibri"/>
          <w:sz w:val="24"/>
        </w:rPr>
      </w:pPr>
      <w:r>
        <w:rPr>
          <w:rFonts w:ascii="Calibri" w:hAnsi="Calibri"/>
          <w:sz w:val="24"/>
        </w:rPr>
        <w:t xml:space="preserve">The mark-to-market value of its swaps, as measured by the economic cost or benefit of terminating outstanding contracts at specified </w:t>
      </w:r>
      <w:proofErr w:type="gramStart"/>
      <w:r>
        <w:rPr>
          <w:rFonts w:ascii="Calibri" w:hAnsi="Calibri"/>
          <w:sz w:val="24"/>
        </w:rPr>
        <w:t>intervals;</w:t>
      </w:r>
      <w:proofErr w:type="gramEnd"/>
      <w:r>
        <w:rPr>
          <w:rFonts w:ascii="Calibri" w:hAnsi="Calibri"/>
          <w:sz w:val="24"/>
        </w:rPr>
        <w:t xml:space="preserve"> </w:t>
      </w:r>
    </w:p>
    <w:p w14:paraId="40C9C31F" w14:textId="77777777" w:rsidR="005C0917" w:rsidRDefault="005C0917" w:rsidP="004C25B5">
      <w:pPr>
        <w:numPr>
          <w:ilvl w:val="0"/>
          <w:numId w:val="21"/>
        </w:numPr>
        <w:ind w:left="720"/>
        <w:jc w:val="both"/>
        <w:rPr>
          <w:rFonts w:ascii="Calibri" w:hAnsi="Calibri"/>
          <w:sz w:val="24"/>
        </w:rPr>
      </w:pPr>
      <w:r>
        <w:rPr>
          <w:rFonts w:ascii="Calibri" w:hAnsi="Calibri"/>
          <w:sz w:val="24"/>
        </w:rPr>
        <w:t xml:space="preserve">The amount of exposure that MassDOT has to each specific counterparty, as measured by aggregate mark-to-market value, netted for offsetting </w:t>
      </w:r>
      <w:proofErr w:type="gramStart"/>
      <w:r>
        <w:rPr>
          <w:rFonts w:ascii="Calibri" w:hAnsi="Calibri"/>
          <w:sz w:val="24"/>
        </w:rPr>
        <w:t>transactions;</w:t>
      </w:r>
      <w:proofErr w:type="gramEnd"/>
      <w:r>
        <w:rPr>
          <w:rFonts w:ascii="Calibri" w:hAnsi="Calibri"/>
          <w:sz w:val="24"/>
        </w:rPr>
        <w:t xml:space="preserve"> </w:t>
      </w:r>
    </w:p>
    <w:p w14:paraId="174F45FE" w14:textId="77777777" w:rsidR="005C0917" w:rsidRDefault="005C0917" w:rsidP="004C25B5">
      <w:pPr>
        <w:numPr>
          <w:ilvl w:val="0"/>
          <w:numId w:val="21"/>
        </w:numPr>
        <w:ind w:left="720"/>
        <w:jc w:val="both"/>
        <w:rPr>
          <w:rFonts w:ascii="Calibri" w:hAnsi="Calibri"/>
          <w:sz w:val="24"/>
        </w:rPr>
      </w:pPr>
      <w:r>
        <w:rPr>
          <w:rFonts w:ascii="Calibri" w:hAnsi="Calibri"/>
          <w:sz w:val="24"/>
        </w:rPr>
        <w:t>The credit ratings of each counterparty (or guarantor, if applicable) and any changes in the credit rating since the last reporting period; and</w:t>
      </w:r>
    </w:p>
    <w:p w14:paraId="573CF0EC" w14:textId="77777777" w:rsidR="005C0917" w:rsidRDefault="005C0917" w:rsidP="004C25B5">
      <w:pPr>
        <w:numPr>
          <w:ilvl w:val="0"/>
          <w:numId w:val="21"/>
        </w:numPr>
        <w:ind w:left="720"/>
        <w:rPr>
          <w:rFonts w:ascii="Calibri" w:hAnsi="Calibri"/>
          <w:sz w:val="24"/>
        </w:rPr>
      </w:pPr>
      <w:r>
        <w:rPr>
          <w:rFonts w:ascii="Calibri" w:hAnsi="Calibri"/>
          <w:sz w:val="24"/>
        </w:rPr>
        <w:t>Any collateral posting required under each swap agreement.</w:t>
      </w:r>
    </w:p>
    <w:p w14:paraId="57F36ACB" w14:textId="77777777" w:rsidR="005C0917" w:rsidRDefault="005C0917">
      <w:pPr>
        <w:rPr>
          <w:rFonts w:ascii="Calibri" w:hAnsi="Calibri"/>
          <w:sz w:val="24"/>
        </w:rPr>
      </w:pPr>
    </w:p>
    <w:p w14:paraId="3054DE84" w14:textId="77777777" w:rsidR="005C0917" w:rsidRDefault="005C0917">
      <w:pPr>
        <w:jc w:val="both"/>
        <w:rPr>
          <w:rFonts w:ascii="Calibri" w:hAnsi="Calibri"/>
          <w:sz w:val="24"/>
        </w:rPr>
      </w:pPr>
      <w:r>
        <w:rPr>
          <w:rFonts w:ascii="Calibri" w:hAnsi="Calibri"/>
          <w:sz w:val="24"/>
        </w:rPr>
        <w:t>MassDOT shall file all necessary documentation to comply with ongoing swap reporting requirements under applicable law and will perform such monitoring and reporting as is required by the rating agencies</w:t>
      </w:r>
      <w:r w:rsidR="004C25B5">
        <w:rPr>
          <w:rFonts w:ascii="Calibri" w:hAnsi="Calibri"/>
          <w:sz w:val="24"/>
        </w:rPr>
        <w:t xml:space="preserve">. </w:t>
      </w:r>
    </w:p>
    <w:p w14:paraId="42E92F97" w14:textId="77777777" w:rsidR="005C0917" w:rsidRDefault="005C0917">
      <w:pPr>
        <w:jc w:val="both"/>
        <w:rPr>
          <w:rFonts w:ascii="Calibri" w:hAnsi="Calibri"/>
          <w:sz w:val="24"/>
        </w:rPr>
      </w:pPr>
    </w:p>
    <w:p w14:paraId="06D39232" w14:textId="77777777" w:rsidR="005C0917" w:rsidRDefault="003A0DB1">
      <w:pPr>
        <w:jc w:val="both"/>
        <w:rPr>
          <w:rFonts w:ascii="Calibri" w:hAnsi="Calibri"/>
          <w:sz w:val="24"/>
        </w:rPr>
      </w:pPr>
      <w:r>
        <w:rPr>
          <w:rFonts w:ascii="Calibri" w:hAnsi="Calibri"/>
          <w:sz w:val="24"/>
        </w:rPr>
        <w:t>MassDOT will ensure that it reflects the use of swaps on its financial statements in accordance with GASB requirements, including Technical Bulletin No. 2003-1, and GASB Statements 53</w:t>
      </w:r>
      <w:r w:rsidR="001C5089">
        <w:rPr>
          <w:rFonts w:ascii="Calibri" w:hAnsi="Calibri"/>
          <w:sz w:val="24"/>
        </w:rPr>
        <w:t>,</w:t>
      </w:r>
      <w:r>
        <w:rPr>
          <w:rFonts w:ascii="Calibri" w:hAnsi="Calibri"/>
          <w:sz w:val="24"/>
        </w:rPr>
        <w:t xml:space="preserve"> 64, </w:t>
      </w:r>
      <w:r w:rsidR="001C5089">
        <w:rPr>
          <w:rFonts w:ascii="Calibri" w:hAnsi="Calibri"/>
          <w:sz w:val="24"/>
        </w:rPr>
        <w:t xml:space="preserve">and 72, </w:t>
      </w:r>
      <w:r>
        <w:rPr>
          <w:rFonts w:ascii="Calibri" w:hAnsi="Calibri"/>
          <w:sz w:val="24"/>
        </w:rPr>
        <w:t>as applicable</w:t>
      </w:r>
      <w:r w:rsidR="004C25B5">
        <w:rPr>
          <w:rFonts w:ascii="Calibri" w:hAnsi="Calibri"/>
          <w:sz w:val="24"/>
        </w:rPr>
        <w:t xml:space="preserve">. </w:t>
      </w:r>
      <w:r w:rsidR="005C0917">
        <w:rPr>
          <w:rFonts w:ascii="Calibri" w:hAnsi="Calibri"/>
          <w:sz w:val="24"/>
        </w:rPr>
        <w:t>The disclosure requirements include:</w:t>
      </w:r>
    </w:p>
    <w:p w14:paraId="7D9C2F93" w14:textId="77777777" w:rsidR="005C0917" w:rsidRDefault="005C0917">
      <w:pPr>
        <w:jc w:val="both"/>
        <w:rPr>
          <w:rFonts w:ascii="Calibri" w:hAnsi="Calibri"/>
          <w:sz w:val="24"/>
        </w:rPr>
      </w:pPr>
    </w:p>
    <w:p w14:paraId="6BDA0912" w14:textId="77777777" w:rsidR="005C0917" w:rsidRDefault="005C0917">
      <w:pPr>
        <w:numPr>
          <w:ilvl w:val="0"/>
          <w:numId w:val="30"/>
        </w:numPr>
        <w:jc w:val="both"/>
        <w:rPr>
          <w:rFonts w:ascii="Calibri" w:hAnsi="Calibri"/>
          <w:sz w:val="24"/>
        </w:rPr>
      </w:pPr>
      <w:r>
        <w:rPr>
          <w:rFonts w:ascii="Calibri" w:hAnsi="Calibri"/>
          <w:sz w:val="24"/>
        </w:rPr>
        <w:t>Objective of the Swaps</w:t>
      </w:r>
    </w:p>
    <w:p w14:paraId="269ADC52" w14:textId="77777777" w:rsidR="005C0917" w:rsidRDefault="005C0917">
      <w:pPr>
        <w:numPr>
          <w:ilvl w:val="0"/>
          <w:numId w:val="30"/>
        </w:numPr>
        <w:jc w:val="both"/>
        <w:rPr>
          <w:rFonts w:ascii="Calibri" w:hAnsi="Calibri"/>
          <w:sz w:val="24"/>
        </w:rPr>
      </w:pPr>
      <w:r>
        <w:rPr>
          <w:rFonts w:ascii="Calibri" w:hAnsi="Calibri"/>
          <w:sz w:val="24"/>
        </w:rPr>
        <w:t>A Summary of Key Terms</w:t>
      </w:r>
    </w:p>
    <w:p w14:paraId="1E02F51B" w14:textId="77777777" w:rsidR="005C0917" w:rsidRDefault="005C0917">
      <w:pPr>
        <w:numPr>
          <w:ilvl w:val="0"/>
          <w:numId w:val="30"/>
        </w:numPr>
        <w:jc w:val="both"/>
        <w:rPr>
          <w:rFonts w:ascii="Calibri" w:hAnsi="Calibri"/>
          <w:sz w:val="24"/>
        </w:rPr>
      </w:pPr>
      <w:r>
        <w:rPr>
          <w:rFonts w:ascii="Calibri" w:hAnsi="Calibri"/>
          <w:sz w:val="24"/>
        </w:rPr>
        <w:t>Name, Description and Credit Rating of Counterparty/Guarantor</w:t>
      </w:r>
    </w:p>
    <w:p w14:paraId="7281D2F0" w14:textId="77777777" w:rsidR="005C0917" w:rsidRDefault="005C0917">
      <w:pPr>
        <w:numPr>
          <w:ilvl w:val="0"/>
          <w:numId w:val="30"/>
        </w:numPr>
        <w:jc w:val="both"/>
        <w:rPr>
          <w:rFonts w:ascii="Calibri" w:hAnsi="Calibri"/>
          <w:sz w:val="24"/>
        </w:rPr>
      </w:pPr>
      <w:r>
        <w:rPr>
          <w:rFonts w:ascii="Calibri" w:hAnsi="Calibri"/>
          <w:sz w:val="24"/>
        </w:rPr>
        <w:t>Mark-to-Market Value</w:t>
      </w:r>
      <w:r w:rsidR="00E72AA2">
        <w:rPr>
          <w:rFonts w:ascii="Calibri" w:hAnsi="Calibri"/>
          <w:sz w:val="24"/>
        </w:rPr>
        <w:t xml:space="preserve"> at both the contractual rate and on-market rate</w:t>
      </w:r>
    </w:p>
    <w:p w14:paraId="798641FC" w14:textId="77777777" w:rsidR="005C0917" w:rsidRDefault="005C0917">
      <w:pPr>
        <w:numPr>
          <w:ilvl w:val="0"/>
          <w:numId w:val="30"/>
        </w:numPr>
        <w:jc w:val="both"/>
        <w:rPr>
          <w:rFonts w:ascii="Calibri" w:hAnsi="Calibri"/>
          <w:sz w:val="24"/>
        </w:rPr>
      </w:pPr>
      <w:r>
        <w:rPr>
          <w:rFonts w:ascii="Calibri" w:hAnsi="Calibri"/>
          <w:sz w:val="24"/>
        </w:rPr>
        <w:t>Debt Issued in Association with the Swap</w:t>
      </w:r>
    </w:p>
    <w:p w14:paraId="2E9E6A0B" w14:textId="77777777" w:rsidR="005C0917" w:rsidRDefault="005C0917">
      <w:pPr>
        <w:numPr>
          <w:ilvl w:val="0"/>
          <w:numId w:val="30"/>
        </w:numPr>
        <w:jc w:val="both"/>
        <w:rPr>
          <w:rFonts w:ascii="Calibri" w:hAnsi="Calibri"/>
          <w:sz w:val="24"/>
        </w:rPr>
      </w:pPr>
      <w:r>
        <w:rPr>
          <w:rFonts w:ascii="Calibri" w:hAnsi="Calibri"/>
          <w:sz w:val="24"/>
        </w:rPr>
        <w:t>Peak Exposure Risk</w:t>
      </w:r>
    </w:p>
    <w:p w14:paraId="0E56E777" w14:textId="77777777" w:rsidR="005C0917" w:rsidRDefault="005C0917">
      <w:pPr>
        <w:numPr>
          <w:ilvl w:val="0"/>
          <w:numId w:val="30"/>
        </w:numPr>
        <w:jc w:val="both"/>
        <w:rPr>
          <w:rFonts w:ascii="Calibri" w:hAnsi="Calibri"/>
          <w:sz w:val="24"/>
        </w:rPr>
      </w:pPr>
      <w:r>
        <w:rPr>
          <w:rFonts w:ascii="Calibri" w:hAnsi="Calibri"/>
          <w:sz w:val="24"/>
        </w:rPr>
        <w:t>Measurement of Hedge Effectiveness</w:t>
      </w:r>
    </w:p>
    <w:p w14:paraId="36FA6DF0" w14:textId="77777777" w:rsidR="005C0917" w:rsidRDefault="005C0917">
      <w:pPr>
        <w:jc w:val="both"/>
        <w:rPr>
          <w:rFonts w:ascii="Calibri" w:hAnsi="Calibri"/>
          <w:sz w:val="24"/>
        </w:rPr>
      </w:pPr>
    </w:p>
    <w:p w14:paraId="40586262" w14:textId="77777777" w:rsidR="005C0917" w:rsidRDefault="005C0917">
      <w:pPr>
        <w:pStyle w:val="Heading4"/>
        <w:numPr>
          <w:ilvl w:val="0"/>
          <w:numId w:val="7"/>
        </w:numPr>
        <w:rPr>
          <w:rFonts w:ascii="Calibri" w:hAnsi="Calibri"/>
          <w:sz w:val="24"/>
          <w:u w:val="single"/>
        </w:rPr>
      </w:pPr>
      <w:bookmarkStart w:id="1" w:name="_Hlk34130270"/>
      <w:r>
        <w:rPr>
          <w:rFonts w:ascii="Calibri" w:hAnsi="Calibri"/>
          <w:sz w:val="24"/>
          <w:u w:val="single"/>
        </w:rPr>
        <w:t>Governing Law</w:t>
      </w:r>
      <w:r w:rsidR="00B13C58">
        <w:rPr>
          <w:rFonts w:ascii="Calibri" w:hAnsi="Calibri"/>
          <w:sz w:val="24"/>
          <w:u w:val="single"/>
        </w:rPr>
        <w:t xml:space="preserve"> and Jurisdiction</w:t>
      </w:r>
    </w:p>
    <w:p w14:paraId="19C32D69" w14:textId="77777777" w:rsidR="005C0917" w:rsidRDefault="005C0917">
      <w:pPr>
        <w:rPr>
          <w:rFonts w:ascii="Calibri" w:hAnsi="Calibri"/>
          <w:sz w:val="24"/>
        </w:rPr>
      </w:pPr>
    </w:p>
    <w:p w14:paraId="6FB1C685" w14:textId="77777777" w:rsidR="005C0917" w:rsidRDefault="005C0917">
      <w:pPr>
        <w:jc w:val="both"/>
        <w:rPr>
          <w:rFonts w:ascii="Calibri" w:hAnsi="Calibri"/>
          <w:sz w:val="24"/>
        </w:rPr>
      </w:pPr>
      <w:r>
        <w:rPr>
          <w:rFonts w:ascii="Calibri" w:hAnsi="Calibri"/>
          <w:sz w:val="24"/>
        </w:rPr>
        <w:t>Swap agreements shall be governed by the laws of the Commonwealth or the State of New York</w:t>
      </w:r>
      <w:r w:rsidR="004C25B5">
        <w:rPr>
          <w:rFonts w:ascii="Calibri" w:hAnsi="Calibri"/>
          <w:sz w:val="24"/>
        </w:rPr>
        <w:t xml:space="preserve">. </w:t>
      </w:r>
      <w:r>
        <w:rPr>
          <w:rFonts w:ascii="Calibri" w:hAnsi="Calibri"/>
          <w:sz w:val="24"/>
        </w:rPr>
        <w:t xml:space="preserve">Except when deemed otherwise acceptable or appropriate </w:t>
      </w:r>
      <w:proofErr w:type="gramStart"/>
      <w:r>
        <w:rPr>
          <w:rFonts w:ascii="Calibri" w:hAnsi="Calibri"/>
          <w:sz w:val="24"/>
        </w:rPr>
        <w:t>in light of</w:t>
      </w:r>
      <w:proofErr w:type="gramEnd"/>
      <w:r>
        <w:rPr>
          <w:rFonts w:ascii="Calibri" w:hAnsi="Calibri"/>
          <w:sz w:val="24"/>
        </w:rPr>
        <w:t xml:space="preserve"> the overall transaction, jurisdiction for any claims against MassDOT shall be limited to Massachusetts courts</w:t>
      </w:r>
      <w:r w:rsidR="004C25B5">
        <w:rPr>
          <w:rFonts w:ascii="Calibri" w:hAnsi="Calibri"/>
          <w:sz w:val="24"/>
        </w:rPr>
        <w:t xml:space="preserve">. </w:t>
      </w:r>
      <w:bookmarkEnd w:id="1"/>
    </w:p>
    <w:p w14:paraId="1219D10F" w14:textId="77777777" w:rsidR="005C0917" w:rsidRDefault="005C0917">
      <w:pPr>
        <w:rPr>
          <w:rFonts w:ascii="Calibri" w:hAnsi="Calibri"/>
          <w:sz w:val="24"/>
        </w:rPr>
      </w:pPr>
    </w:p>
    <w:p w14:paraId="0375DFEE" w14:textId="77777777" w:rsidR="005C0917" w:rsidRDefault="005C0917">
      <w:pPr>
        <w:pStyle w:val="Heading4"/>
        <w:numPr>
          <w:ilvl w:val="0"/>
          <w:numId w:val="7"/>
        </w:numPr>
        <w:rPr>
          <w:rFonts w:ascii="Calibri" w:hAnsi="Calibri"/>
          <w:sz w:val="24"/>
          <w:u w:val="single"/>
        </w:rPr>
      </w:pPr>
      <w:r>
        <w:rPr>
          <w:rFonts w:ascii="Calibri" w:hAnsi="Calibri"/>
          <w:sz w:val="24"/>
          <w:u w:val="single"/>
        </w:rPr>
        <w:t>Dodd- Frank Act and Regulatory Compliance</w:t>
      </w:r>
    </w:p>
    <w:p w14:paraId="5C1C58C5" w14:textId="77777777" w:rsidR="005C0917" w:rsidRDefault="005C0917">
      <w:pPr>
        <w:rPr>
          <w:rFonts w:ascii="Calibri" w:hAnsi="Calibri"/>
          <w:sz w:val="24"/>
        </w:rPr>
      </w:pPr>
    </w:p>
    <w:p w14:paraId="468656F5" w14:textId="77777777" w:rsidR="005C0917" w:rsidRDefault="005C0917">
      <w:pPr>
        <w:jc w:val="both"/>
        <w:rPr>
          <w:rFonts w:ascii="Calibri" w:hAnsi="Calibri"/>
          <w:sz w:val="24"/>
        </w:rPr>
      </w:pPr>
      <w:r>
        <w:rPr>
          <w:rFonts w:ascii="Calibri" w:hAnsi="Calibri"/>
          <w:sz w:val="24"/>
        </w:rPr>
        <w:t>MassDOT will comply with all federal regulatory requirements promulgated under the Dodd Frank Act,</w:t>
      </w:r>
      <w:r w:rsidR="00B13C58" w:rsidRPr="00B13C58">
        <w:rPr>
          <w:rFonts w:ascii="Calibri" w:hAnsi="Calibri"/>
          <w:sz w:val="24"/>
        </w:rPr>
        <w:t xml:space="preserve"> Dodd-Frank Wall Street Reform and Consumer Protection Act (Pub. L. 111-203, H.R. 4173) (“Dodd-Frank”) </w:t>
      </w:r>
      <w:r>
        <w:rPr>
          <w:rFonts w:ascii="Calibri" w:hAnsi="Calibri"/>
          <w:sz w:val="24"/>
        </w:rPr>
        <w:t>or by the Commodity Futures Trading Commission</w:t>
      </w:r>
      <w:r w:rsidR="000804BD">
        <w:rPr>
          <w:rFonts w:ascii="Calibri" w:hAnsi="Calibri"/>
          <w:sz w:val="24"/>
        </w:rPr>
        <w:t xml:space="preserve"> (“CFTC”)</w:t>
      </w:r>
      <w:r>
        <w:rPr>
          <w:rFonts w:ascii="Calibri" w:hAnsi="Calibri"/>
          <w:sz w:val="24"/>
          <w:szCs w:val="24"/>
        </w:rPr>
        <w:t xml:space="preserve">, the State Finance and Governance Board of the Commonwealth established under Section 97 of Chapter 6 of the Massachusetts General Laws, and other </w:t>
      </w:r>
      <w:r>
        <w:rPr>
          <w:rFonts w:ascii="Calibri" w:hAnsi="Calibri"/>
          <w:sz w:val="24"/>
        </w:rPr>
        <w:t>applicable regulations as may be implemented during the period covered by this policy</w:t>
      </w:r>
      <w:r w:rsidR="004C25B5">
        <w:rPr>
          <w:rFonts w:ascii="Calibri" w:hAnsi="Calibri"/>
          <w:sz w:val="24"/>
        </w:rPr>
        <w:t xml:space="preserve">. </w:t>
      </w:r>
      <w:r>
        <w:rPr>
          <w:rFonts w:ascii="Calibri" w:hAnsi="Calibri"/>
          <w:sz w:val="24"/>
        </w:rPr>
        <w:t>This includes evaluating all financing proposals, including swap proposals, under the framework set forth under these regulations, following all registration protocols, and appointing a qualified party to serve in the role as Qualified Independent Representative to MassDOT</w:t>
      </w:r>
      <w:r w:rsidR="004C25B5">
        <w:rPr>
          <w:rFonts w:ascii="Calibri" w:hAnsi="Calibri"/>
          <w:sz w:val="24"/>
        </w:rPr>
        <w:t xml:space="preserve">. </w:t>
      </w:r>
      <w:r w:rsidR="00E91102" w:rsidRPr="00E91102">
        <w:rPr>
          <w:rFonts w:ascii="Calibri" w:hAnsi="Calibri"/>
          <w:sz w:val="24"/>
          <w:szCs w:val="24"/>
        </w:rPr>
        <w:t xml:space="preserve">MassDOT will secure professional advice from an independent </w:t>
      </w:r>
      <w:r w:rsidR="00E91102">
        <w:rPr>
          <w:rFonts w:ascii="Calibri" w:hAnsi="Calibri"/>
          <w:sz w:val="24"/>
          <w:szCs w:val="24"/>
        </w:rPr>
        <w:t>swap</w:t>
      </w:r>
      <w:r w:rsidR="00E91102" w:rsidRPr="00E91102">
        <w:rPr>
          <w:rFonts w:ascii="Calibri" w:hAnsi="Calibri"/>
          <w:sz w:val="24"/>
          <w:szCs w:val="24"/>
        </w:rPr>
        <w:t xml:space="preserve"> advisor, which shall be a registered Municipal Advisor, as defined under Section 15B of the Securities Exchange Act, and bond counsel to assist in the process of reviewing possible transactions and in structuring, documenting and pricing any particular transaction that MassDOT decides to execute</w:t>
      </w:r>
      <w:r w:rsidR="004C25B5">
        <w:rPr>
          <w:rFonts w:ascii="Calibri" w:hAnsi="Calibri"/>
          <w:sz w:val="24"/>
          <w:szCs w:val="24"/>
        </w:rPr>
        <w:t xml:space="preserve">. </w:t>
      </w:r>
      <w:r w:rsidR="009A6293">
        <w:rPr>
          <w:rFonts w:ascii="Calibri" w:hAnsi="Calibri"/>
          <w:sz w:val="24"/>
          <w:szCs w:val="24"/>
        </w:rPr>
        <w:t xml:space="preserve">MassDOT’s Legal Entity Identifier (“LEI”) is </w:t>
      </w:r>
      <w:r w:rsidR="009A6293" w:rsidRPr="000804BD">
        <w:rPr>
          <w:rFonts w:ascii="Calibri" w:hAnsi="Calibri"/>
          <w:sz w:val="24"/>
          <w:szCs w:val="24"/>
        </w:rPr>
        <w:t>549300CGDCL8XZK3KN03</w:t>
      </w:r>
      <w:r w:rsidR="009A6293">
        <w:rPr>
          <w:rFonts w:ascii="Calibri" w:hAnsi="Calibri"/>
          <w:sz w:val="24"/>
          <w:szCs w:val="24"/>
        </w:rPr>
        <w:t xml:space="preserve"> as required under the C</w:t>
      </w:r>
      <w:r w:rsidR="009A6293" w:rsidRPr="000804BD">
        <w:rPr>
          <w:rFonts w:ascii="Calibri" w:hAnsi="Calibri"/>
          <w:sz w:val="24"/>
          <w:szCs w:val="24"/>
        </w:rPr>
        <w:t>FTC’s swap data reporting regulations</w:t>
      </w:r>
      <w:r w:rsidR="009A6293">
        <w:rPr>
          <w:rFonts w:ascii="Calibri" w:hAnsi="Calibri"/>
          <w:sz w:val="24"/>
          <w:szCs w:val="24"/>
        </w:rPr>
        <w:t>.</w:t>
      </w:r>
    </w:p>
    <w:p w14:paraId="2AC2C33B" w14:textId="77777777" w:rsidR="005C0917" w:rsidRDefault="005C0917">
      <w:pPr>
        <w:rPr>
          <w:rFonts w:ascii="Calibri" w:hAnsi="Calibri"/>
          <w:sz w:val="24"/>
        </w:rPr>
      </w:pPr>
    </w:p>
    <w:p w14:paraId="0CC87A31" w14:textId="77777777" w:rsidR="005C0917" w:rsidRDefault="005C0917">
      <w:pPr>
        <w:jc w:val="both"/>
        <w:rPr>
          <w:rFonts w:ascii="Calibri" w:hAnsi="Calibri"/>
          <w:sz w:val="24"/>
        </w:rPr>
      </w:pPr>
      <w:r>
        <w:rPr>
          <w:rFonts w:ascii="Calibri" w:hAnsi="Calibri"/>
          <w:sz w:val="24"/>
        </w:rPr>
        <w:t>MassDOT will also comply with all regulatory and reporting requirements of the Commonwealth including those of the State Finance and Governance Board or its successors related to derivative transactions as defined by regulations adopted by that board and as may be amended during the period covered by this policy</w:t>
      </w:r>
      <w:r w:rsidR="004C25B5">
        <w:rPr>
          <w:rFonts w:ascii="Calibri" w:hAnsi="Calibri"/>
          <w:sz w:val="24"/>
        </w:rPr>
        <w:t xml:space="preserve">. </w:t>
      </w:r>
    </w:p>
    <w:p w14:paraId="02044F6B" w14:textId="77777777" w:rsidR="005C0917" w:rsidRDefault="005C0917">
      <w:pPr>
        <w:jc w:val="both"/>
        <w:rPr>
          <w:rFonts w:ascii="Calibri" w:hAnsi="Calibri"/>
          <w:b/>
          <w:sz w:val="24"/>
        </w:rPr>
      </w:pPr>
    </w:p>
    <w:p w14:paraId="7A677663" w14:textId="77777777" w:rsidR="005C0917" w:rsidRDefault="000F3E12" w:rsidP="001C6B2D">
      <w:pPr>
        <w:keepNext/>
        <w:numPr>
          <w:ilvl w:val="0"/>
          <w:numId w:val="7"/>
        </w:numPr>
        <w:rPr>
          <w:rFonts w:ascii="Calibri" w:hAnsi="Calibri"/>
          <w:b/>
          <w:sz w:val="24"/>
          <w:u w:val="single"/>
        </w:rPr>
      </w:pPr>
      <w:r w:rsidRPr="000F3E12">
        <w:rPr>
          <w:rFonts w:ascii="Calibri" w:hAnsi="Calibri"/>
          <w:b/>
          <w:sz w:val="24"/>
          <w:u w:val="single"/>
        </w:rPr>
        <w:t>Review and Revision of the Policy</w:t>
      </w:r>
    </w:p>
    <w:p w14:paraId="6E35AED9" w14:textId="77777777" w:rsidR="005C0917" w:rsidRDefault="005C0917" w:rsidP="001C6B2D">
      <w:pPr>
        <w:keepNext/>
        <w:rPr>
          <w:rFonts w:ascii="Calibri" w:hAnsi="Calibri"/>
          <w:sz w:val="24"/>
        </w:rPr>
      </w:pPr>
    </w:p>
    <w:p w14:paraId="1C81A78E" w14:textId="77777777" w:rsidR="005C0917" w:rsidRDefault="000D51E9">
      <w:pPr>
        <w:jc w:val="both"/>
        <w:rPr>
          <w:rFonts w:ascii="Calibri" w:hAnsi="Calibri"/>
          <w:sz w:val="24"/>
        </w:rPr>
      </w:pPr>
      <w:r w:rsidRPr="000D51E9">
        <w:rPr>
          <w:rFonts w:ascii="Calibri" w:hAnsi="Calibri"/>
          <w:sz w:val="24"/>
        </w:rPr>
        <w:t>Upon adoption of a substantive revision, MassDOT is required to file its revised debt policy with the State Finance and Governance Board (“SFGB”) in compliance with 976 CMR 2.04.</w:t>
      </w:r>
    </w:p>
    <w:p w14:paraId="3505BBA4" w14:textId="77777777" w:rsidR="005C0917" w:rsidRDefault="005C0917">
      <w:pPr>
        <w:jc w:val="both"/>
        <w:rPr>
          <w:rFonts w:ascii="Calibri" w:hAnsi="Calibri"/>
          <w:sz w:val="24"/>
        </w:rPr>
      </w:pPr>
    </w:p>
    <w:p w14:paraId="37FC603D" w14:textId="77777777" w:rsidR="005C0917" w:rsidRDefault="005C0917">
      <w:pPr>
        <w:keepNext/>
        <w:numPr>
          <w:ilvl w:val="0"/>
          <w:numId w:val="7"/>
        </w:numPr>
        <w:rPr>
          <w:rFonts w:ascii="Calibri" w:hAnsi="Calibri"/>
          <w:sz w:val="24"/>
          <w:u w:val="single"/>
        </w:rPr>
      </w:pPr>
      <w:r>
        <w:rPr>
          <w:rFonts w:ascii="Calibri" w:hAnsi="Calibri"/>
          <w:b/>
          <w:sz w:val="24"/>
          <w:u w:val="single"/>
        </w:rPr>
        <w:t>Availability of Policy to Public</w:t>
      </w:r>
      <w:r>
        <w:rPr>
          <w:rFonts w:ascii="Calibri" w:hAnsi="Calibri"/>
          <w:sz w:val="24"/>
          <w:u w:val="single"/>
        </w:rPr>
        <w:t xml:space="preserve"> </w:t>
      </w:r>
    </w:p>
    <w:p w14:paraId="6804DFF2" w14:textId="77777777" w:rsidR="005C0917" w:rsidRDefault="005C0917">
      <w:pPr>
        <w:rPr>
          <w:rFonts w:ascii="Calibri" w:hAnsi="Calibri"/>
          <w:sz w:val="24"/>
        </w:rPr>
      </w:pPr>
    </w:p>
    <w:p w14:paraId="1E103450" w14:textId="77777777" w:rsidR="005C0917" w:rsidRDefault="005C0917">
      <w:pPr>
        <w:jc w:val="both"/>
        <w:rPr>
          <w:rFonts w:ascii="Calibri" w:hAnsi="Calibri"/>
          <w:sz w:val="24"/>
        </w:rPr>
      </w:pPr>
      <w:r>
        <w:rPr>
          <w:rFonts w:ascii="Calibri" w:hAnsi="Calibri"/>
          <w:sz w:val="24"/>
        </w:rPr>
        <w:t>A copy of this policy will be posted on MassDOT’s website (</w:t>
      </w:r>
      <w:bookmarkStart w:id="2" w:name="_Hlk95307692"/>
      <w:r w:rsidR="00511B16">
        <w:rPr>
          <w:rFonts w:ascii="Calibri" w:hAnsi="Calibri"/>
          <w:sz w:val="24"/>
        </w:rPr>
        <w:fldChar w:fldCharType="begin"/>
      </w:r>
      <w:r w:rsidR="00511B16">
        <w:rPr>
          <w:rFonts w:ascii="Calibri" w:hAnsi="Calibri"/>
          <w:sz w:val="24"/>
        </w:rPr>
        <w:instrText xml:space="preserve"> HYPERLINK "</w:instrText>
      </w:r>
      <w:r w:rsidR="00511B16" w:rsidRPr="00511B16">
        <w:rPr>
          <w:rFonts w:ascii="Calibri" w:hAnsi="Calibri"/>
          <w:sz w:val="24"/>
        </w:rPr>
        <w:instrText>https://www.mass.gov/lists/massdot-financial-information#debt-management-policies-</w:instrText>
      </w:r>
      <w:r w:rsidR="00511B16">
        <w:rPr>
          <w:rFonts w:ascii="Calibri" w:hAnsi="Calibri"/>
          <w:sz w:val="24"/>
        </w:rPr>
        <w:instrText xml:space="preserve">" </w:instrText>
      </w:r>
      <w:r w:rsidR="00511B16">
        <w:rPr>
          <w:rFonts w:ascii="Calibri" w:hAnsi="Calibri"/>
          <w:sz w:val="24"/>
        </w:rPr>
        <w:fldChar w:fldCharType="separate"/>
      </w:r>
      <w:r w:rsidR="00511B16" w:rsidRPr="001B15B1">
        <w:rPr>
          <w:rStyle w:val="Hyperlink"/>
          <w:rFonts w:ascii="Calibri" w:hAnsi="Calibri"/>
          <w:sz w:val="24"/>
        </w:rPr>
        <w:t>https://www.mass.gov/lists/massdot-financial-information#debt-management-policies-</w:t>
      </w:r>
      <w:r w:rsidR="00511B16">
        <w:rPr>
          <w:rFonts w:ascii="Calibri" w:hAnsi="Calibri"/>
          <w:sz w:val="24"/>
        </w:rPr>
        <w:fldChar w:fldCharType="end"/>
      </w:r>
      <w:bookmarkEnd w:id="2"/>
      <w:r>
        <w:rPr>
          <w:rFonts w:ascii="Calibri" w:hAnsi="Calibri"/>
          <w:sz w:val="24"/>
        </w:rPr>
        <w:t>) and will be made available to any members of the public upon reasonable request</w:t>
      </w:r>
      <w:r w:rsidR="004C25B5">
        <w:rPr>
          <w:rFonts w:ascii="Calibri" w:hAnsi="Calibri"/>
          <w:sz w:val="24"/>
        </w:rPr>
        <w:t xml:space="preserve">. </w:t>
      </w:r>
    </w:p>
    <w:p w14:paraId="6EB39C07" w14:textId="77777777" w:rsidR="005C0917" w:rsidRDefault="005C0917">
      <w:pPr>
        <w:rPr>
          <w:rFonts w:ascii="Calibri" w:hAnsi="Calibri"/>
          <w:sz w:val="24"/>
        </w:rPr>
      </w:pPr>
    </w:p>
    <w:p w14:paraId="7B75B6DE" w14:textId="77777777" w:rsidR="00846F86" w:rsidRDefault="00846F86" w:rsidP="00846F86">
      <w:pPr>
        <w:pStyle w:val="NoSpacing"/>
        <w:ind w:left="2880"/>
        <w:jc w:val="both"/>
        <w:rPr>
          <w:sz w:val="24"/>
          <w:szCs w:val="24"/>
        </w:rPr>
      </w:pPr>
      <w:r>
        <w:rPr>
          <w:sz w:val="24"/>
          <w:szCs w:val="24"/>
        </w:rPr>
        <w:t xml:space="preserve">Approved </w:t>
      </w:r>
      <w:r w:rsidR="003466FE">
        <w:rPr>
          <w:sz w:val="24"/>
          <w:szCs w:val="24"/>
        </w:rPr>
        <w:t xml:space="preserve">March </w:t>
      </w:r>
      <w:r w:rsidR="004D5ECF">
        <w:rPr>
          <w:sz w:val="24"/>
          <w:szCs w:val="24"/>
        </w:rPr>
        <w:t>16</w:t>
      </w:r>
      <w:r w:rsidR="00E97663">
        <w:rPr>
          <w:sz w:val="24"/>
          <w:szCs w:val="24"/>
        </w:rPr>
        <w:t xml:space="preserve">, </w:t>
      </w:r>
      <w:proofErr w:type="gramStart"/>
      <w:r w:rsidR="00E97663">
        <w:rPr>
          <w:sz w:val="24"/>
          <w:szCs w:val="24"/>
        </w:rPr>
        <w:t>2022</w:t>
      </w:r>
      <w:proofErr w:type="gramEnd"/>
      <w:r>
        <w:rPr>
          <w:sz w:val="24"/>
          <w:szCs w:val="24"/>
        </w:rPr>
        <w:t xml:space="preserve"> by MassDOT Board of Directors</w:t>
      </w:r>
    </w:p>
    <w:p w14:paraId="6DF56C70" w14:textId="77777777" w:rsidR="005C0917" w:rsidRDefault="005C0917">
      <w:pPr>
        <w:rPr>
          <w:rFonts w:ascii="Calibri" w:hAnsi="Calibri"/>
          <w:sz w:val="24"/>
        </w:rPr>
      </w:pPr>
    </w:p>
    <w:sectPr w:rsidR="005C0917">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B321" w14:textId="77777777" w:rsidR="00457FB5" w:rsidRDefault="00457FB5">
      <w:r>
        <w:separator/>
      </w:r>
    </w:p>
  </w:endnote>
  <w:endnote w:type="continuationSeparator" w:id="0">
    <w:p w14:paraId="7407CBD3" w14:textId="77777777" w:rsidR="00457FB5" w:rsidRDefault="00457FB5">
      <w:r>
        <w:continuationSeparator/>
      </w:r>
    </w:p>
  </w:endnote>
  <w:endnote w:type="continuationNotice" w:id="1">
    <w:p w14:paraId="6661F3EE" w14:textId="77777777" w:rsidR="00457FB5" w:rsidRDefault="00457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B336" w14:textId="77777777" w:rsidR="005C0917" w:rsidRDefault="005C0917">
    <w:pPr>
      <w:pStyle w:val="Footer"/>
      <w:jc w:val="center"/>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sidR="00FA7773">
      <w:rPr>
        <w:rFonts w:ascii="Calibri" w:hAnsi="Calibri"/>
        <w:noProof/>
        <w:sz w:val="22"/>
        <w:szCs w:val="22"/>
      </w:rPr>
      <w:t>4</w:t>
    </w:r>
    <w:r>
      <w:rPr>
        <w:rFonts w:ascii="Calibri" w:hAnsi="Calibri"/>
        <w:noProof/>
        <w:sz w:val="22"/>
        <w:szCs w:val="22"/>
      </w:rPr>
      <w:fldChar w:fldCharType="end"/>
    </w:r>
  </w:p>
  <w:p w14:paraId="758115FA" w14:textId="77777777" w:rsidR="005C0917" w:rsidRDefault="005C0917">
    <w:pPr>
      <w:pStyle w:val="Footer"/>
      <w:tabs>
        <w:tab w:val="clear" w:pos="8640"/>
        <w:tab w:val="right" w:pos="972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4A91" w14:textId="77777777" w:rsidR="005C0917" w:rsidRDefault="005C0917">
    <w:pPr>
      <w:pStyle w:val="Footer"/>
      <w:jc w:val="center"/>
      <w:rPr>
        <w:sz w:val="24"/>
      </w:rPr>
    </w:pPr>
  </w:p>
  <w:p w14:paraId="56546FEC" w14:textId="77777777" w:rsidR="005C0917" w:rsidRDefault="005C0917">
    <w:pPr>
      <w:pStyle w:val="Footer"/>
      <w:jc w:val="center"/>
      <w:rPr>
        <w:sz w:val="24"/>
      </w:rPr>
    </w:pPr>
  </w:p>
  <w:p w14:paraId="00568303" w14:textId="77777777" w:rsidR="005C0917" w:rsidRDefault="005C09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DDA5" w14:textId="77777777" w:rsidR="00457FB5" w:rsidRDefault="00457FB5">
      <w:r>
        <w:separator/>
      </w:r>
    </w:p>
  </w:footnote>
  <w:footnote w:type="continuationSeparator" w:id="0">
    <w:p w14:paraId="13A47643" w14:textId="77777777" w:rsidR="00457FB5" w:rsidRDefault="00457FB5">
      <w:r>
        <w:continuationSeparator/>
      </w:r>
    </w:p>
  </w:footnote>
  <w:footnote w:type="continuationNotice" w:id="1">
    <w:p w14:paraId="331799F8" w14:textId="77777777" w:rsidR="00457FB5" w:rsidRDefault="00457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FAA1" w14:textId="77777777" w:rsidR="005C0917" w:rsidRDefault="005C0917" w:rsidP="00155426">
    <w:pPr>
      <w:pStyle w:val="Header"/>
      <w:rPr>
        <w:rFonts w:ascii="Calibri" w:hAnsi="Calibri"/>
        <w:sz w:val="24"/>
      </w:rPr>
    </w:pPr>
    <w:r>
      <w:rPr>
        <w:rFonts w:ascii="Calibri" w:hAnsi="Calibri"/>
        <w:sz w:val="24"/>
      </w:rPr>
      <w:t xml:space="preserve">MassDOT – </w:t>
    </w:r>
    <w:r w:rsidR="00096E36">
      <w:rPr>
        <w:rFonts w:ascii="Calibri" w:hAnsi="Calibri"/>
        <w:sz w:val="24"/>
      </w:rPr>
      <w:t xml:space="preserve">Interest Rate </w:t>
    </w:r>
    <w:r>
      <w:rPr>
        <w:rFonts w:ascii="Calibri" w:hAnsi="Calibri"/>
        <w:sz w:val="24"/>
      </w:rPr>
      <w:t xml:space="preserve">Swap </w:t>
    </w:r>
    <w:r w:rsidR="00096E36">
      <w:rPr>
        <w:rFonts w:ascii="Calibri" w:hAnsi="Calibri"/>
        <w:sz w:val="24"/>
      </w:rPr>
      <w:t xml:space="preserve">Management </w:t>
    </w:r>
    <w:r>
      <w:rPr>
        <w:rFonts w:ascii="Calibri" w:hAnsi="Calibri"/>
        <w:sz w:val="24"/>
      </w:rPr>
      <w:t>Policy</w:t>
    </w:r>
    <w:r w:rsidR="00130BDA" w:rsidRPr="00401513">
      <w:rPr>
        <w:rFonts w:ascii="Calibri" w:hAnsi="Calibri"/>
        <w:sz w:val="24"/>
      </w:rPr>
      <w:tab/>
    </w:r>
    <w:r w:rsidR="003466FE">
      <w:rPr>
        <w:rFonts w:ascii="Calibri" w:hAnsi="Calibri"/>
        <w:sz w:val="24"/>
      </w:rPr>
      <w:t>March</w:t>
    </w:r>
    <w:r w:rsidR="004D5ECF">
      <w:rPr>
        <w:rFonts w:ascii="Calibri" w:hAnsi="Calibri"/>
        <w:sz w:val="24"/>
      </w:rPr>
      <w:t xml:space="preserve"> 16,</w:t>
    </w:r>
    <w:r w:rsidR="00E97663">
      <w:rPr>
        <w:rFonts w:ascii="Calibri" w:hAnsi="Calibri"/>
        <w:sz w:val="24"/>
      </w:rPr>
      <w:t xml:space="preserve"> 2022</w:t>
    </w:r>
  </w:p>
  <w:p w14:paraId="3FF4C536" w14:textId="77777777" w:rsidR="005C0917" w:rsidRDefault="005C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DA9B" w14:textId="77777777" w:rsidR="005C0917" w:rsidRDefault="005C0917">
    <w:pPr>
      <w:pStyle w:val="Header"/>
      <w:rPr>
        <w:b/>
        <w:sz w:val="24"/>
        <w:u w:val="single"/>
      </w:rPr>
    </w:pPr>
    <w:r>
      <w:rPr>
        <w:sz w:val="24"/>
      </w:rPr>
      <w:tab/>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F57"/>
    <w:multiLevelType w:val="hybridMultilevel"/>
    <w:tmpl w:val="5692B09C"/>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22A61"/>
    <w:multiLevelType w:val="singleLevel"/>
    <w:tmpl w:val="F3301D8E"/>
    <w:lvl w:ilvl="0">
      <w:start w:val="1"/>
      <w:numFmt w:val="lowerRoman"/>
      <w:lvlText w:val="(%1)"/>
      <w:lvlJc w:val="left"/>
      <w:pPr>
        <w:tabs>
          <w:tab w:val="num" w:pos="1800"/>
        </w:tabs>
        <w:ind w:left="1800" w:hanging="720"/>
      </w:pPr>
      <w:rPr>
        <w:rFonts w:hint="default"/>
      </w:rPr>
    </w:lvl>
  </w:abstractNum>
  <w:abstractNum w:abstractNumId="2" w15:restartNumberingAfterBreak="0">
    <w:nsid w:val="0BE32D4B"/>
    <w:multiLevelType w:val="hybridMultilevel"/>
    <w:tmpl w:val="AEE8834C"/>
    <w:lvl w:ilvl="0" w:tplc="8C90FFA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367477"/>
    <w:multiLevelType w:val="singleLevel"/>
    <w:tmpl w:val="E5AEC7F4"/>
    <w:lvl w:ilvl="0">
      <w:start w:val="1"/>
      <w:numFmt w:val="decimal"/>
      <w:lvlText w:val="%1."/>
      <w:lvlJc w:val="left"/>
      <w:pPr>
        <w:tabs>
          <w:tab w:val="num" w:pos="360"/>
        </w:tabs>
        <w:ind w:left="360" w:hanging="360"/>
      </w:pPr>
      <w:rPr>
        <w:b/>
      </w:rPr>
    </w:lvl>
  </w:abstractNum>
  <w:abstractNum w:abstractNumId="4" w15:restartNumberingAfterBreak="0">
    <w:nsid w:val="0DBE5952"/>
    <w:multiLevelType w:val="hybridMultilevel"/>
    <w:tmpl w:val="F49C8E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F4DC7"/>
    <w:multiLevelType w:val="hybridMultilevel"/>
    <w:tmpl w:val="8FFC202A"/>
    <w:lvl w:ilvl="0" w:tplc="04090017">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43951"/>
    <w:multiLevelType w:val="hybridMultilevel"/>
    <w:tmpl w:val="1E121D08"/>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66648"/>
    <w:multiLevelType w:val="multilevel"/>
    <w:tmpl w:val="B9A6B6C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CEB1F95"/>
    <w:multiLevelType w:val="hybridMultilevel"/>
    <w:tmpl w:val="A6C421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40815"/>
    <w:multiLevelType w:val="singleLevel"/>
    <w:tmpl w:val="04090017"/>
    <w:lvl w:ilvl="0">
      <w:start w:val="1"/>
      <w:numFmt w:val="lowerLetter"/>
      <w:lvlText w:val="%1)"/>
      <w:lvlJc w:val="left"/>
      <w:pPr>
        <w:ind w:left="1080" w:hanging="360"/>
      </w:pPr>
      <w:rPr>
        <w:rFonts w:hint="default"/>
      </w:rPr>
    </w:lvl>
  </w:abstractNum>
  <w:abstractNum w:abstractNumId="10" w15:restartNumberingAfterBreak="0">
    <w:nsid w:val="24853309"/>
    <w:multiLevelType w:val="hybridMultilevel"/>
    <w:tmpl w:val="5C0A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B61B8"/>
    <w:multiLevelType w:val="singleLevel"/>
    <w:tmpl w:val="5A6A08EA"/>
    <w:lvl w:ilvl="0">
      <w:start w:val="1"/>
      <w:numFmt w:val="bullet"/>
      <w:pStyle w:val="Bullet2"/>
      <w:lvlText w:val="◆"/>
      <w:lvlJc w:val="left"/>
      <w:pPr>
        <w:tabs>
          <w:tab w:val="num" w:pos="648"/>
        </w:tabs>
        <w:ind w:left="576" w:hanging="288"/>
      </w:pPr>
      <w:rPr>
        <w:rFonts w:ascii="Lucida Sans Unicode" w:hAnsi="Lucida Sans Unicode" w:hint="default"/>
        <w:b w:val="0"/>
        <w:i w:val="0"/>
        <w:sz w:val="18"/>
      </w:rPr>
    </w:lvl>
  </w:abstractNum>
  <w:abstractNum w:abstractNumId="12" w15:restartNumberingAfterBreak="0">
    <w:nsid w:val="2D1531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8A3883"/>
    <w:multiLevelType w:val="multilevel"/>
    <w:tmpl w:val="D6F4F4A2"/>
    <w:styleLink w:val="CurrentList4"/>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0BE0134"/>
    <w:multiLevelType w:val="singleLevel"/>
    <w:tmpl w:val="04090017"/>
    <w:lvl w:ilvl="0">
      <w:start w:val="1"/>
      <w:numFmt w:val="lowerLetter"/>
      <w:lvlText w:val="%1)"/>
      <w:lvlJc w:val="left"/>
      <w:pPr>
        <w:ind w:left="1440" w:hanging="360"/>
      </w:pPr>
      <w:rPr>
        <w:rFonts w:hint="default"/>
      </w:rPr>
    </w:lvl>
  </w:abstractNum>
  <w:abstractNum w:abstractNumId="15" w15:restartNumberingAfterBreak="0">
    <w:nsid w:val="49406797"/>
    <w:multiLevelType w:val="singleLevel"/>
    <w:tmpl w:val="F40C10EA"/>
    <w:lvl w:ilvl="0">
      <w:start w:val="1"/>
      <w:numFmt w:val="bullet"/>
      <w:pStyle w:val="Bullet1"/>
      <w:lvlText w:val="■"/>
      <w:lvlJc w:val="left"/>
      <w:pPr>
        <w:tabs>
          <w:tab w:val="num" w:pos="360"/>
        </w:tabs>
        <w:ind w:left="288" w:hanging="288"/>
      </w:pPr>
      <w:rPr>
        <w:rFonts w:ascii="Lucida Sans Unicode" w:hAnsi="Lucida Sans Unicode" w:hint="default"/>
        <w:b w:val="0"/>
        <w:i w:val="0"/>
        <w:sz w:val="18"/>
      </w:rPr>
    </w:lvl>
  </w:abstractNum>
  <w:abstractNum w:abstractNumId="16" w15:restartNumberingAfterBreak="0">
    <w:nsid w:val="4AB37F20"/>
    <w:multiLevelType w:val="multilevel"/>
    <w:tmpl w:val="FD0AEB08"/>
    <w:styleLink w:val="CurrentList5"/>
    <w:lvl w:ilvl="0">
      <w:start w:val="1"/>
      <w:numFmt w:val="lowerRoman"/>
      <w:lvlText w:val="(%1)"/>
      <w:lvlJc w:val="left"/>
      <w:pPr>
        <w:tabs>
          <w:tab w:val="num" w:pos="1440"/>
        </w:tabs>
        <w:ind w:left="144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282EB4"/>
    <w:multiLevelType w:val="multilevel"/>
    <w:tmpl w:val="7AE415E6"/>
    <w:styleLink w:val="CurrentList2"/>
    <w:lvl w:ilvl="0">
      <w:start w:val="1"/>
      <w:numFmt w:val="lowerLetter"/>
      <w:lvlText w:val="%1)"/>
      <w:lvlJc w:val="left"/>
      <w:pPr>
        <w:tabs>
          <w:tab w:val="num" w:pos="1800"/>
        </w:tabs>
        <w:ind w:left="180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0255C6"/>
    <w:multiLevelType w:val="hybridMultilevel"/>
    <w:tmpl w:val="941EA9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4752A3"/>
    <w:multiLevelType w:val="multilevel"/>
    <w:tmpl w:val="F69A375E"/>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F47289E"/>
    <w:multiLevelType w:val="multilevel"/>
    <w:tmpl w:val="D582968C"/>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2E1482A"/>
    <w:multiLevelType w:val="multilevel"/>
    <w:tmpl w:val="39642376"/>
    <w:styleLink w:val="CurrentList1"/>
    <w:lvl w:ilvl="0">
      <w:start w:val="1"/>
      <w:numFmt w:val="lowerRoman"/>
      <w:lvlText w:val="(%1)"/>
      <w:lvlJc w:val="left"/>
      <w:pPr>
        <w:tabs>
          <w:tab w:val="num" w:pos="1800"/>
        </w:tabs>
        <w:ind w:left="180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76920BC"/>
    <w:multiLevelType w:val="multilevel"/>
    <w:tmpl w:val="52108840"/>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AA66755"/>
    <w:multiLevelType w:val="hybridMultilevel"/>
    <w:tmpl w:val="C0DAE73E"/>
    <w:lvl w:ilvl="0" w:tplc="04090017">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4120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5D5E1943"/>
    <w:multiLevelType w:val="multilevel"/>
    <w:tmpl w:val="F69A375E"/>
    <w:styleLink w:val="CurrentList3"/>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540E0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6CAE2706"/>
    <w:multiLevelType w:val="multilevel"/>
    <w:tmpl w:val="F69A375E"/>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D3D1011"/>
    <w:multiLevelType w:val="hybridMultilevel"/>
    <w:tmpl w:val="40AED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0F79B4"/>
    <w:multiLevelType w:val="multilevel"/>
    <w:tmpl w:val="52108840"/>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F07265E"/>
    <w:multiLevelType w:val="hybridMultilevel"/>
    <w:tmpl w:val="7AE415E6"/>
    <w:lvl w:ilvl="0" w:tplc="04090017">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F61EAB"/>
    <w:multiLevelType w:val="hybridMultilevel"/>
    <w:tmpl w:val="6B34216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948586971">
    <w:abstractNumId w:val="15"/>
  </w:num>
  <w:num w:numId="2" w16cid:durableId="582299713">
    <w:abstractNumId w:val="11"/>
  </w:num>
  <w:num w:numId="3" w16cid:durableId="1761372253">
    <w:abstractNumId w:val="15"/>
  </w:num>
  <w:num w:numId="4" w16cid:durableId="2045254699">
    <w:abstractNumId w:val="11"/>
  </w:num>
  <w:num w:numId="5" w16cid:durableId="1578636119">
    <w:abstractNumId w:val="15"/>
  </w:num>
  <w:num w:numId="6" w16cid:durableId="509301062">
    <w:abstractNumId w:val="11"/>
  </w:num>
  <w:num w:numId="7" w16cid:durableId="1051613427">
    <w:abstractNumId w:val="3"/>
  </w:num>
  <w:num w:numId="8" w16cid:durableId="735663558">
    <w:abstractNumId w:val="8"/>
  </w:num>
  <w:num w:numId="9" w16cid:durableId="1606884418">
    <w:abstractNumId w:val="6"/>
  </w:num>
  <w:num w:numId="10" w16cid:durableId="1378241073">
    <w:abstractNumId w:val="26"/>
  </w:num>
  <w:num w:numId="11" w16cid:durableId="1880507981">
    <w:abstractNumId w:val="12"/>
  </w:num>
  <w:num w:numId="12" w16cid:durableId="864440576">
    <w:abstractNumId w:val="18"/>
  </w:num>
  <w:num w:numId="13" w16cid:durableId="553345959">
    <w:abstractNumId w:val="31"/>
  </w:num>
  <w:num w:numId="14" w16cid:durableId="1088498093">
    <w:abstractNumId w:val="4"/>
  </w:num>
  <w:num w:numId="15" w16cid:durableId="81920597">
    <w:abstractNumId w:val="24"/>
  </w:num>
  <w:num w:numId="16" w16cid:durableId="814763983">
    <w:abstractNumId w:val="14"/>
  </w:num>
  <w:num w:numId="17" w16cid:durableId="1832981196">
    <w:abstractNumId w:val="1"/>
  </w:num>
  <w:num w:numId="18" w16cid:durableId="1598783078">
    <w:abstractNumId w:val="23"/>
  </w:num>
  <w:num w:numId="19" w16cid:durableId="1773160842">
    <w:abstractNumId w:val="28"/>
  </w:num>
  <w:num w:numId="20" w16cid:durableId="1934584284">
    <w:abstractNumId w:val="2"/>
  </w:num>
  <w:num w:numId="21" w16cid:durableId="1530337907">
    <w:abstractNumId w:val="9"/>
  </w:num>
  <w:num w:numId="22" w16cid:durableId="1488742800">
    <w:abstractNumId w:val="30"/>
  </w:num>
  <w:num w:numId="23" w16cid:durableId="46993434">
    <w:abstractNumId w:val="20"/>
  </w:num>
  <w:num w:numId="24" w16cid:durableId="1585065442">
    <w:abstractNumId w:val="7"/>
  </w:num>
  <w:num w:numId="25" w16cid:durableId="2004238490">
    <w:abstractNumId w:val="22"/>
  </w:num>
  <w:num w:numId="26" w16cid:durableId="404183502">
    <w:abstractNumId w:val="29"/>
  </w:num>
  <w:num w:numId="27" w16cid:durableId="1950502778">
    <w:abstractNumId w:val="27"/>
  </w:num>
  <w:num w:numId="28" w16cid:durableId="1350792150">
    <w:abstractNumId w:val="5"/>
  </w:num>
  <w:num w:numId="29" w16cid:durableId="525677453">
    <w:abstractNumId w:val="0"/>
  </w:num>
  <w:num w:numId="30" w16cid:durableId="1972635942">
    <w:abstractNumId w:val="10"/>
  </w:num>
  <w:num w:numId="31" w16cid:durableId="473835511">
    <w:abstractNumId w:val="19"/>
  </w:num>
  <w:num w:numId="32" w16cid:durableId="1677921881">
    <w:abstractNumId w:val="21"/>
  </w:num>
  <w:num w:numId="33" w16cid:durableId="648559648">
    <w:abstractNumId w:val="17"/>
  </w:num>
  <w:num w:numId="34" w16cid:durableId="1225214436">
    <w:abstractNumId w:val="25"/>
  </w:num>
  <w:num w:numId="35" w16cid:durableId="1835103667">
    <w:abstractNumId w:val="13"/>
  </w:num>
  <w:num w:numId="36" w16cid:durableId="7355912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CD"/>
    <w:rsid w:val="000036B6"/>
    <w:rsid w:val="00007275"/>
    <w:rsid w:val="00007D0C"/>
    <w:rsid w:val="00017E2E"/>
    <w:rsid w:val="000232D5"/>
    <w:rsid w:val="00023D44"/>
    <w:rsid w:val="00023E09"/>
    <w:rsid w:val="000242C3"/>
    <w:rsid w:val="00026BA3"/>
    <w:rsid w:val="000274DC"/>
    <w:rsid w:val="0002763F"/>
    <w:rsid w:val="00046387"/>
    <w:rsid w:val="00047004"/>
    <w:rsid w:val="000768B5"/>
    <w:rsid w:val="00076E10"/>
    <w:rsid w:val="0007703E"/>
    <w:rsid w:val="000804BD"/>
    <w:rsid w:val="0008432A"/>
    <w:rsid w:val="000848C9"/>
    <w:rsid w:val="00084E1B"/>
    <w:rsid w:val="00095A38"/>
    <w:rsid w:val="00095FA8"/>
    <w:rsid w:val="00096E36"/>
    <w:rsid w:val="000B1966"/>
    <w:rsid w:val="000B7E48"/>
    <w:rsid w:val="000C1183"/>
    <w:rsid w:val="000C600C"/>
    <w:rsid w:val="000D4C67"/>
    <w:rsid w:val="000D51E9"/>
    <w:rsid w:val="000D7952"/>
    <w:rsid w:val="000E08C8"/>
    <w:rsid w:val="000E0AD3"/>
    <w:rsid w:val="000E1FEE"/>
    <w:rsid w:val="000E400A"/>
    <w:rsid w:val="000E5AF2"/>
    <w:rsid w:val="000E65ED"/>
    <w:rsid w:val="000F1700"/>
    <w:rsid w:val="000F1B6E"/>
    <w:rsid w:val="000F2657"/>
    <w:rsid w:val="000F3E12"/>
    <w:rsid w:val="000F6CDE"/>
    <w:rsid w:val="001019A1"/>
    <w:rsid w:val="00114141"/>
    <w:rsid w:val="00114DFA"/>
    <w:rsid w:val="00127E1F"/>
    <w:rsid w:val="00130BDA"/>
    <w:rsid w:val="0013264C"/>
    <w:rsid w:val="001422B6"/>
    <w:rsid w:val="00146EFC"/>
    <w:rsid w:val="00147AA4"/>
    <w:rsid w:val="00153F14"/>
    <w:rsid w:val="00155426"/>
    <w:rsid w:val="00164E24"/>
    <w:rsid w:val="001664BA"/>
    <w:rsid w:val="001677DD"/>
    <w:rsid w:val="0018428E"/>
    <w:rsid w:val="001B0057"/>
    <w:rsid w:val="001B188A"/>
    <w:rsid w:val="001C04CC"/>
    <w:rsid w:val="001C151B"/>
    <w:rsid w:val="001C3599"/>
    <w:rsid w:val="001C5089"/>
    <w:rsid w:val="001C6B2D"/>
    <w:rsid w:val="001D028A"/>
    <w:rsid w:val="001D0C40"/>
    <w:rsid w:val="001D3E52"/>
    <w:rsid w:val="001D5D22"/>
    <w:rsid w:val="001E39AB"/>
    <w:rsid w:val="001E642D"/>
    <w:rsid w:val="001F0DCC"/>
    <w:rsid w:val="001F138A"/>
    <w:rsid w:val="001F26A6"/>
    <w:rsid w:val="00205C49"/>
    <w:rsid w:val="00210DDC"/>
    <w:rsid w:val="00212219"/>
    <w:rsid w:val="002146D6"/>
    <w:rsid w:val="00221F8C"/>
    <w:rsid w:val="00222AD5"/>
    <w:rsid w:val="0023503F"/>
    <w:rsid w:val="002602DF"/>
    <w:rsid w:val="00281332"/>
    <w:rsid w:val="00284342"/>
    <w:rsid w:val="00284B6A"/>
    <w:rsid w:val="00287660"/>
    <w:rsid w:val="00292635"/>
    <w:rsid w:val="002A0823"/>
    <w:rsid w:val="002B28E4"/>
    <w:rsid w:val="002B3EAB"/>
    <w:rsid w:val="002C50C3"/>
    <w:rsid w:val="002D2CE1"/>
    <w:rsid w:val="002F2313"/>
    <w:rsid w:val="002F6339"/>
    <w:rsid w:val="00300B20"/>
    <w:rsid w:val="00305E5D"/>
    <w:rsid w:val="0032158D"/>
    <w:rsid w:val="0032749E"/>
    <w:rsid w:val="00332FE8"/>
    <w:rsid w:val="003462BA"/>
    <w:rsid w:val="003466FE"/>
    <w:rsid w:val="00355F4E"/>
    <w:rsid w:val="00357E87"/>
    <w:rsid w:val="00363E56"/>
    <w:rsid w:val="00365691"/>
    <w:rsid w:val="0037476E"/>
    <w:rsid w:val="0038060D"/>
    <w:rsid w:val="00391B4A"/>
    <w:rsid w:val="003A0DB1"/>
    <w:rsid w:val="003B1F50"/>
    <w:rsid w:val="003C1DCE"/>
    <w:rsid w:val="003C2371"/>
    <w:rsid w:val="003F2DED"/>
    <w:rsid w:val="003F38D7"/>
    <w:rsid w:val="00401513"/>
    <w:rsid w:val="00404DA2"/>
    <w:rsid w:val="00404DAE"/>
    <w:rsid w:val="00412173"/>
    <w:rsid w:val="00412499"/>
    <w:rsid w:val="0043076C"/>
    <w:rsid w:val="00457FB5"/>
    <w:rsid w:val="00471624"/>
    <w:rsid w:val="00476403"/>
    <w:rsid w:val="004B17F8"/>
    <w:rsid w:val="004B287E"/>
    <w:rsid w:val="004B2F63"/>
    <w:rsid w:val="004C25B5"/>
    <w:rsid w:val="004C2769"/>
    <w:rsid w:val="004C43FD"/>
    <w:rsid w:val="004D1D1C"/>
    <w:rsid w:val="004D28D7"/>
    <w:rsid w:val="004D5ECF"/>
    <w:rsid w:val="004E180C"/>
    <w:rsid w:val="004E24A8"/>
    <w:rsid w:val="004E4655"/>
    <w:rsid w:val="004F258A"/>
    <w:rsid w:val="004F365B"/>
    <w:rsid w:val="00511B16"/>
    <w:rsid w:val="00520121"/>
    <w:rsid w:val="0052060A"/>
    <w:rsid w:val="00542254"/>
    <w:rsid w:val="00551598"/>
    <w:rsid w:val="00553B9B"/>
    <w:rsid w:val="00556E42"/>
    <w:rsid w:val="00562906"/>
    <w:rsid w:val="005670D0"/>
    <w:rsid w:val="00567142"/>
    <w:rsid w:val="00571A39"/>
    <w:rsid w:val="005758CD"/>
    <w:rsid w:val="00596000"/>
    <w:rsid w:val="005A1FC3"/>
    <w:rsid w:val="005C0917"/>
    <w:rsid w:val="005C3BFA"/>
    <w:rsid w:val="005D0674"/>
    <w:rsid w:val="005E01A5"/>
    <w:rsid w:val="005E3CCB"/>
    <w:rsid w:val="006003E3"/>
    <w:rsid w:val="00600F31"/>
    <w:rsid w:val="006065DD"/>
    <w:rsid w:val="006070AE"/>
    <w:rsid w:val="00610025"/>
    <w:rsid w:val="0061131E"/>
    <w:rsid w:val="006117E3"/>
    <w:rsid w:val="00615431"/>
    <w:rsid w:val="00622452"/>
    <w:rsid w:val="00625498"/>
    <w:rsid w:val="006431B4"/>
    <w:rsid w:val="0066326D"/>
    <w:rsid w:val="00667C2E"/>
    <w:rsid w:val="00674B04"/>
    <w:rsid w:val="006827A2"/>
    <w:rsid w:val="00685FE4"/>
    <w:rsid w:val="006937A5"/>
    <w:rsid w:val="006A1435"/>
    <w:rsid w:val="006A3F85"/>
    <w:rsid w:val="006B21C6"/>
    <w:rsid w:val="006D7050"/>
    <w:rsid w:val="006D746F"/>
    <w:rsid w:val="006E0D62"/>
    <w:rsid w:val="006E2759"/>
    <w:rsid w:val="006E459B"/>
    <w:rsid w:val="006E52B2"/>
    <w:rsid w:val="006E68D9"/>
    <w:rsid w:val="006E6B5C"/>
    <w:rsid w:val="006E714D"/>
    <w:rsid w:val="006F04EB"/>
    <w:rsid w:val="006F4BC2"/>
    <w:rsid w:val="00704221"/>
    <w:rsid w:val="0070735E"/>
    <w:rsid w:val="00710142"/>
    <w:rsid w:val="007145D8"/>
    <w:rsid w:val="00732B8A"/>
    <w:rsid w:val="007338DC"/>
    <w:rsid w:val="00733D70"/>
    <w:rsid w:val="0075272F"/>
    <w:rsid w:val="0076259E"/>
    <w:rsid w:val="00763227"/>
    <w:rsid w:val="0076347D"/>
    <w:rsid w:val="007658A5"/>
    <w:rsid w:val="00770596"/>
    <w:rsid w:val="00772867"/>
    <w:rsid w:val="00776735"/>
    <w:rsid w:val="007808E2"/>
    <w:rsid w:val="00784601"/>
    <w:rsid w:val="007876B4"/>
    <w:rsid w:val="007A25C9"/>
    <w:rsid w:val="007B025C"/>
    <w:rsid w:val="007B3F67"/>
    <w:rsid w:val="007B697B"/>
    <w:rsid w:val="007B7186"/>
    <w:rsid w:val="007C21DB"/>
    <w:rsid w:val="007C5B4F"/>
    <w:rsid w:val="007D1698"/>
    <w:rsid w:val="007D72E4"/>
    <w:rsid w:val="007E0DAC"/>
    <w:rsid w:val="007E11C0"/>
    <w:rsid w:val="0080107B"/>
    <w:rsid w:val="00815CBA"/>
    <w:rsid w:val="00820D82"/>
    <w:rsid w:val="008227B9"/>
    <w:rsid w:val="00823AAA"/>
    <w:rsid w:val="00827CFE"/>
    <w:rsid w:val="00830148"/>
    <w:rsid w:val="00832816"/>
    <w:rsid w:val="00835A6F"/>
    <w:rsid w:val="0084310F"/>
    <w:rsid w:val="008438BA"/>
    <w:rsid w:val="00846F86"/>
    <w:rsid w:val="00854280"/>
    <w:rsid w:val="00855E4A"/>
    <w:rsid w:val="008647F8"/>
    <w:rsid w:val="008671E6"/>
    <w:rsid w:val="00867580"/>
    <w:rsid w:val="00872ACC"/>
    <w:rsid w:val="00874D33"/>
    <w:rsid w:val="008763B5"/>
    <w:rsid w:val="00876C14"/>
    <w:rsid w:val="00881796"/>
    <w:rsid w:val="008917B5"/>
    <w:rsid w:val="00896CB6"/>
    <w:rsid w:val="008A65F1"/>
    <w:rsid w:val="008A6753"/>
    <w:rsid w:val="008B12AB"/>
    <w:rsid w:val="008B3D2E"/>
    <w:rsid w:val="008B708E"/>
    <w:rsid w:val="008C043A"/>
    <w:rsid w:val="008C58EE"/>
    <w:rsid w:val="008D2148"/>
    <w:rsid w:val="008E1215"/>
    <w:rsid w:val="008E1841"/>
    <w:rsid w:val="008E1D3C"/>
    <w:rsid w:val="008E41E1"/>
    <w:rsid w:val="00932654"/>
    <w:rsid w:val="00936E60"/>
    <w:rsid w:val="00942347"/>
    <w:rsid w:val="0094736F"/>
    <w:rsid w:val="009514F9"/>
    <w:rsid w:val="00970460"/>
    <w:rsid w:val="009758F5"/>
    <w:rsid w:val="0097641A"/>
    <w:rsid w:val="00996628"/>
    <w:rsid w:val="009A6293"/>
    <w:rsid w:val="009C58B6"/>
    <w:rsid w:val="009D066B"/>
    <w:rsid w:val="009D1E77"/>
    <w:rsid w:val="009D5836"/>
    <w:rsid w:val="009E3966"/>
    <w:rsid w:val="009E4667"/>
    <w:rsid w:val="009F0281"/>
    <w:rsid w:val="009F0594"/>
    <w:rsid w:val="009F5164"/>
    <w:rsid w:val="009F634F"/>
    <w:rsid w:val="00A011B5"/>
    <w:rsid w:val="00A03750"/>
    <w:rsid w:val="00A07E93"/>
    <w:rsid w:val="00A15106"/>
    <w:rsid w:val="00A213C2"/>
    <w:rsid w:val="00A214DD"/>
    <w:rsid w:val="00A377BC"/>
    <w:rsid w:val="00A378D8"/>
    <w:rsid w:val="00A42B92"/>
    <w:rsid w:val="00A4339E"/>
    <w:rsid w:val="00A45F29"/>
    <w:rsid w:val="00A46F6A"/>
    <w:rsid w:val="00A47F36"/>
    <w:rsid w:val="00A55BFC"/>
    <w:rsid w:val="00A66FBC"/>
    <w:rsid w:val="00A8090C"/>
    <w:rsid w:val="00A81F00"/>
    <w:rsid w:val="00AA1002"/>
    <w:rsid w:val="00AA2D0D"/>
    <w:rsid w:val="00AA3087"/>
    <w:rsid w:val="00AB1440"/>
    <w:rsid w:val="00AC4F66"/>
    <w:rsid w:val="00AD2FF5"/>
    <w:rsid w:val="00AD3A0B"/>
    <w:rsid w:val="00AE0ACB"/>
    <w:rsid w:val="00AE130B"/>
    <w:rsid w:val="00AF2FD2"/>
    <w:rsid w:val="00AF515E"/>
    <w:rsid w:val="00AF6E19"/>
    <w:rsid w:val="00AF7C6F"/>
    <w:rsid w:val="00B06C73"/>
    <w:rsid w:val="00B13C58"/>
    <w:rsid w:val="00B21C0E"/>
    <w:rsid w:val="00B26E4A"/>
    <w:rsid w:val="00B51558"/>
    <w:rsid w:val="00B61BDE"/>
    <w:rsid w:val="00B72B3C"/>
    <w:rsid w:val="00B7798D"/>
    <w:rsid w:val="00B80C08"/>
    <w:rsid w:val="00B83643"/>
    <w:rsid w:val="00B912FC"/>
    <w:rsid w:val="00B962CB"/>
    <w:rsid w:val="00B96D09"/>
    <w:rsid w:val="00B9798D"/>
    <w:rsid w:val="00B97AF8"/>
    <w:rsid w:val="00BA6570"/>
    <w:rsid w:val="00BB6EFC"/>
    <w:rsid w:val="00BC2909"/>
    <w:rsid w:val="00BD34A4"/>
    <w:rsid w:val="00BD5C97"/>
    <w:rsid w:val="00BE3E12"/>
    <w:rsid w:val="00BF7EA1"/>
    <w:rsid w:val="00C008AF"/>
    <w:rsid w:val="00C04AEA"/>
    <w:rsid w:val="00C05A38"/>
    <w:rsid w:val="00C1219F"/>
    <w:rsid w:val="00C13051"/>
    <w:rsid w:val="00C2233C"/>
    <w:rsid w:val="00C259D6"/>
    <w:rsid w:val="00C32446"/>
    <w:rsid w:val="00C43133"/>
    <w:rsid w:val="00C47DD5"/>
    <w:rsid w:val="00C5068E"/>
    <w:rsid w:val="00C74550"/>
    <w:rsid w:val="00C8420F"/>
    <w:rsid w:val="00C8621A"/>
    <w:rsid w:val="00C92AEE"/>
    <w:rsid w:val="00CB0CB6"/>
    <w:rsid w:val="00CC079E"/>
    <w:rsid w:val="00CD0263"/>
    <w:rsid w:val="00CF0E7D"/>
    <w:rsid w:val="00CF6861"/>
    <w:rsid w:val="00D2517D"/>
    <w:rsid w:val="00D264FD"/>
    <w:rsid w:val="00D30178"/>
    <w:rsid w:val="00D34569"/>
    <w:rsid w:val="00D555C4"/>
    <w:rsid w:val="00D55F76"/>
    <w:rsid w:val="00D566A4"/>
    <w:rsid w:val="00D57641"/>
    <w:rsid w:val="00D723FE"/>
    <w:rsid w:val="00D76F21"/>
    <w:rsid w:val="00D81C57"/>
    <w:rsid w:val="00D8311A"/>
    <w:rsid w:val="00D83A50"/>
    <w:rsid w:val="00D92705"/>
    <w:rsid w:val="00D92CE8"/>
    <w:rsid w:val="00D976F5"/>
    <w:rsid w:val="00D97963"/>
    <w:rsid w:val="00DA3440"/>
    <w:rsid w:val="00DA423D"/>
    <w:rsid w:val="00DA594A"/>
    <w:rsid w:val="00DB2F3F"/>
    <w:rsid w:val="00DE0589"/>
    <w:rsid w:val="00DE0DB3"/>
    <w:rsid w:val="00DE6B6F"/>
    <w:rsid w:val="00DF133E"/>
    <w:rsid w:val="00DF14A8"/>
    <w:rsid w:val="00DF2C94"/>
    <w:rsid w:val="00E11884"/>
    <w:rsid w:val="00E17DD5"/>
    <w:rsid w:val="00E22684"/>
    <w:rsid w:val="00E25C88"/>
    <w:rsid w:val="00E32931"/>
    <w:rsid w:val="00E452D4"/>
    <w:rsid w:val="00E6607D"/>
    <w:rsid w:val="00E72AA2"/>
    <w:rsid w:val="00E74063"/>
    <w:rsid w:val="00E762C7"/>
    <w:rsid w:val="00E76608"/>
    <w:rsid w:val="00E7676D"/>
    <w:rsid w:val="00E91102"/>
    <w:rsid w:val="00E97663"/>
    <w:rsid w:val="00EA2F86"/>
    <w:rsid w:val="00ED6E6A"/>
    <w:rsid w:val="00EE32E2"/>
    <w:rsid w:val="00EF1835"/>
    <w:rsid w:val="00EF7026"/>
    <w:rsid w:val="00F02015"/>
    <w:rsid w:val="00F034A6"/>
    <w:rsid w:val="00F153E1"/>
    <w:rsid w:val="00F357D0"/>
    <w:rsid w:val="00F42207"/>
    <w:rsid w:val="00F44378"/>
    <w:rsid w:val="00F458CD"/>
    <w:rsid w:val="00F4638E"/>
    <w:rsid w:val="00F56CED"/>
    <w:rsid w:val="00F57C4E"/>
    <w:rsid w:val="00F6467E"/>
    <w:rsid w:val="00F72BAC"/>
    <w:rsid w:val="00F800A5"/>
    <w:rsid w:val="00FA0963"/>
    <w:rsid w:val="00FA0F5A"/>
    <w:rsid w:val="00FA2D3E"/>
    <w:rsid w:val="00FA7773"/>
    <w:rsid w:val="00FA7A6D"/>
    <w:rsid w:val="00FA7B47"/>
    <w:rsid w:val="00FC24C7"/>
    <w:rsid w:val="00FC2EEA"/>
    <w:rsid w:val="00FC589D"/>
    <w:rsid w:val="00FE7179"/>
    <w:rsid w:val="00FF393C"/>
    <w:rsid w:val="00FF61C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14ECCAA"/>
  <w15:chartTrackingRefBased/>
  <w15:docId w15:val="{973464B1-753F-4C7A-AFB1-7A1432B0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lang w:eastAsia="en-US" w:bidi="ar-SA"/>
    </w:rPr>
  </w:style>
  <w:style w:type="paragraph" w:styleId="Heading1">
    <w:name w:val="heading 1"/>
    <w:basedOn w:val="Normal"/>
    <w:next w:val="Normal"/>
    <w:qFormat/>
    <w:pPr>
      <w:keepNext/>
      <w:jc w:val="both"/>
      <w:outlineLvl w:val="0"/>
    </w:pPr>
    <w:rPr>
      <w:rFonts w:ascii="Times New Roman" w:hAnsi="Times New Roman"/>
      <w:sz w:val="24"/>
      <w:u w:val="single"/>
    </w:rPr>
  </w:style>
  <w:style w:type="paragraph" w:styleId="Heading3">
    <w:name w:val="heading 3"/>
    <w:basedOn w:val="Normal"/>
    <w:next w:val="Normal"/>
    <w:qFormat/>
    <w:pPr>
      <w:keepNext/>
      <w:outlineLvl w:val="2"/>
    </w:pPr>
    <w:rPr>
      <w:rFonts w:ascii="Times New Roman" w:hAnsi="Times New Roman"/>
      <w:b/>
      <w:bCs/>
      <w:sz w:val="22"/>
      <w:u w:val="single"/>
    </w:rPr>
  </w:style>
  <w:style w:type="paragraph" w:styleId="Heading4">
    <w:name w:val="heading 4"/>
    <w:basedOn w:val="Normal"/>
    <w:next w:val="Normal"/>
    <w:qFormat/>
    <w:pPr>
      <w:keepNext/>
      <w:outlineLvl w:val="3"/>
    </w:pPr>
    <w:rPr>
      <w:rFonts w:ascii="Times New Roman" w:hAnsi="Times New Roman"/>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Bullet1">
    <w:name w:val="Bullet1"/>
    <w:pPr>
      <w:numPr>
        <w:numId w:val="5"/>
      </w:numPr>
      <w:tabs>
        <w:tab w:val="left" w:pos="288"/>
        <w:tab w:val="left" w:pos="576"/>
      </w:tabs>
      <w:spacing w:after="60"/>
    </w:pPr>
    <w:rPr>
      <w:rFonts w:ascii="Helvetica" w:hAnsi="Helvetica"/>
      <w:sz w:val="18"/>
      <w:lang w:eastAsia="en-US" w:bidi="ar-SA"/>
    </w:rPr>
  </w:style>
  <w:style w:type="paragraph" w:customStyle="1" w:styleId="Bullet2">
    <w:name w:val="Bullet2"/>
    <w:pPr>
      <w:numPr>
        <w:numId w:val="6"/>
      </w:numPr>
      <w:tabs>
        <w:tab w:val="left" w:pos="288"/>
        <w:tab w:val="left" w:pos="576"/>
        <w:tab w:val="num" w:leader="none" w:pos="648"/>
      </w:tabs>
      <w:spacing w:after="60"/>
    </w:pPr>
    <w:rPr>
      <w:rFonts w:ascii="Helvetica" w:hAnsi="Helvetica"/>
      <w:sz w:val="18"/>
      <w:lang w:eastAsia="en-US" w:bidi="ar-SA"/>
    </w:rPr>
  </w:style>
  <w:style w:type="paragraph" w:customStyle="1" w:styleId="TableTitle">
    <w:name w:val="TableTitle"/>
    <w:basedOn w:val="Normal"/>
    <w:pPr>
      <w:keepNext/>
      <w:keepLines/>
      <w:widowControl w:val="0"/>
      <w:spacing w:before="60" w:after="40"/>
      <w:jc w:val="center"/>
    </w:pPr>
    <w:rPr>
      <w:rFonts w:ascii="Helvetica" w:hAnsi="Helvetica"/>
      <w:b/>
      <w:color w:val="008000"/>
      <w:sz w:val="24"/>
    </w:rPr>
  </w:style>
  <w:style w:type="paragraph" w:customStyle="1" w:styleId="TableHeader">
    <w:name w:val="TableHeader"/>
    <w:basedOn w:val="TableTitle"/>
    <w:rPr>
      <w:sz w:val="16"/>
    </w:rPr>
  </w:style>
  <w:style w:type="paragraph" w:customStyle="1" w:styleId="TableText">
    <w:name w:val="TableText"/>
    <w:basedOn w:val="TableHeader"/>
    <w:pPr>
      <w:spacing w:before="0" w:after="0"/>
      <w:jc w:val="left"/>
    </w:pPr>
    <w:rPr>
      <w:b w:val="0"/>
      <w:color w:val="auto"/>
    </w:rPr>
  </w:style>
  <w:style w:type="paragraph" w:customStyle="1" w:styleId="TableNotes">
    <w:name w:val="TableNotes"/>
    <w:basedOn w:val="TableText"/>
    <w:pPr>
      <w:tabs>
        <w:tab w:val="left" w:pos="144"/>
      </w:tabs>
      <w:spacing w:before="60" w:after="40"/>
    </w:pPr>
    <w:rPr>
      <w:sz w:val="12"/>
    </w:rPr>
  </w:style>
  <w:style w:type="paragraph" w:customStyle="1" w:styleId="PropHeading1">
    <w:name w:val="Prop Heading 1"/>
    <w:next w:val="Normal"/>
    <w:pPr>
      <w:keepNext/>
      <w:keepLines/>
      <w:pBdr>
        <w:top w:val="single" w:sz="6" w:space="1" w:color="auto"/>
        <w:bottom w:val="single" w:sz="6" w:space="1" w:color="auto"/>
      </w:pBdr>
      <w:tabs>
        <w:tab w:val="left" w:pos="288"/>
        <w:tab w:val="left" w:pos="576"/>
      </w:tabs>
      <w:spacing w:after="60"/>
      <w:outlineLvl w:val="0"/>
    </w:pPr>
    <w:rPr>
      <w:rFonts w:ascii="Helvetica" w:hAnsi="Helvetica"/>
      <w:b/>
      <w:caps/>
      <w:color w:val="0000FF"/>
      <w:sz w:val="24"/>
      <w:lang w:eastAsia="en-US" w:bidi="ar-SA"/>
    </w:rPr>
  </w:style>
  <w:style w:type="paragraph" w:customStyle="1" w:styleId="PropHeading2">
    <w:name w:val="Prop Heading 2"/>
    <w:next w:val="Normal"/>
    <w:pPr>
      <w:keepNext/>
      <w:keepLines/>
      <w:tabs>
        <w:tab w:val="left" w:pos="288"/>
        <w:tab w:val="left" w:pos="576"/>
      </w:tabs>
      <w:spacing w:after="60"/>
      <w:outlineLvl w:val="1"/>
    </w:pPr>
    <w:rPr>
      <w:rFonts w:ascii="Helvetica" w:hAnsi="Helvetica"/>
      <w:b/>
      <w:smallCaps/>
      <w:noProof/>
      <w:color w:val="0000FF"/>
      <w:sz w:val="24"/>
      <w:lang w:eastAsia="en-US" w:bidi="ar-SA"/>
    </w:rPr>
  </w:style>
  <w:style w:type="paragraph" w:customStyle="1" w:styleId="PropHeading3">
    <w:name w:val="Prop Heading 3"/>
    <w:next w:val="Normal"/>
    <w:pPr>
      <w:keepNext/>
      <w:keepLines/>
      <w:tabs>
        <w:tab w:val="left" w:pos="288"/>
        <w:tab w:val="left" w:pos="576"/>
      </w:tabs>
      <w:spacing w:after="60"/>
      <w:outlineLvl w:val="2"/>
    </w:pPr>
    <w:rPr>
      <w:rFonts w:ascii="Helvetica" w:hAnsi="Helvetica"/>
      <w:b/>
      <w:sz w:val="22"/>
      <w:lang w:eastAsia="en-US" w:bidi="ar-SA"/>
    </w:rPr>
  </w:style>
  <w:style w:type="character" w:customStyle="1" w:styleId="PropHeading4">
    <w:name w:val="Prop Heading 4"/>
    <w:rPr>
      <w:rFonts w:ascii="Palatino" w:hAnsi="Palatino"/>
      <w:b/>
      <w:i/>
      <w:noProof w:val="0"/>
      <w:sz w:val="20"/>
      <w:lang w:val="en-US"/>
    </w:rPr>
  </w:style>
  <w:style w:type="character" w:styleId="PageNumber">
    <w:name w:val="page number"/>
    <w:basedOn w:val="DefaultParagraphFont"/>
  </w:style>
  <w:style w:type="paragraph" w:styleId="BodyText">
    <w:name w:val="Body Text"/>
    <w:basedOn w:val="Normal"/>
    <w:pPr>
      <w:jc w:val="center"/>
    </w:pPr>
    <w:rPr>
      <w:rFonts w:ascii="Times New Roman" w:hAnsi="Times New Roman"/>
      <w:b/>
      <w:sz w:val="32"/>
    </w:rPr>
  </w:style>
  <w:style w:type="paragraph" w:styleId="BodyText2">
    <w:name w:val="Body Text 2"/>
    <w:basedOn w:val="Normal"/>
    <w:rPr>
      <w:rFonts w:ascii="Times New Roman" w:hAnsi="Times New Roman"/>
      <w:sz w:val="22"/>
    </w:rPr>
  </w:style>
  <w:style w:type="paragraph" w:styleId="BodyText3">
    <w:name w:val="Body Text 3"/>
    <w:basedOn w:val="Normal"/>
    <w:rPr>
      <w:rFonts w:ascii="Times New Roman" w:hAnsi="Times New Roman"/>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Indent">
    <w:name w:val="Body Text Indent"/>
    <w:basedOn w:val="Normal"/>
    <w:pPr>
      <w:ind w:left="1440"/>
      <w:jc w:val="both"/>
    </w:pPr>
    <w:rPr>
      <w:rFonts w:ascii="Times New Roman" w:hAnsi="Times New Roman"/>
      <w:iCs/>
      <w:sz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NoSpacing">
    <w:name w:val="No Spacing"/>
    <w:uiPriority w:val="1"/>
    <w:qFormat/>
    <w:rPr>
      <w:rFonts w:ascii="Calibri" w:eastAsia="Calibri" w:hAnsi="Calibri"/>
      <w:sz w:val="22"/>
      <w:szCs w:val="22"/>
      <w:lang w:eastAsia="en-US" w:bidi="ar-SA"/>
    </w:rPr>
  </w:style>
  <w:style w:type="character" w:customStyle="1" w:styleId="FooterChar">
    <w:name w:val="Footer Char"/>
    <w:link w:val="Footer"/>
    <w:uiPriority w:val="99"/>
    <w:rPr>
      <w:rFonts w:ascii="Book Antiqua" w:hAnsi="Book Antiqua"/>
    </w:rPr>
  </w:style>
  <w:style w:type="paragraph" w:styleId="FootnoteText">
    <w:name w:val="footnote text"/>
    <w:basedOn w:val="Normal"/>
    <w:link w:val="FootnoteTextChar"/>
    <w:rPr>
      <w:lang w:val="x-none" w:eastAsia="x-none"/>
    </w:rPr>
  </w:style>
  <w:style w:type="character" w:customStyle="1" w:styleId="FootnoteTextChar">
    <w:name w:val="Footnote Text Char"/>
    <w:link w:val="FootnoteText"/>
    <w:rPr>
      <w:rFonts w:ascii="Book Antiqua" w:hAnsi="Book Antiqua"/>
    </w:rPr>
  </w:style>
  <w:style w:type="character" w:styleId="FootnoteReference">
    <w:name w:val="footnote reference"/>
    <w:rPr>
      <w:vertAlign w:val="superscript"/>
    </w:r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Pr>
      <w:color w:val="0000FF"/>
      <w:u w:val="single"/>
    </w:rPr>
  </w:style>
  <w:style w:type="character" w:styleId="UnresolvedMention">
    <w:name w:val="Unresolved Mention"/>
    <w:uiPriority w:val="99"/>
    <w:semiHidden/>
    <w:unhideWhenUsed/>
    <w:rsid w:val="00DF133E"/>
    <w:rPr>
      <w:color w:val="605E5C"/>
      <w:shd w:val="clear" w:color="auto" w:fill="E1DFDD"/>
    </w:rPr>
  </w:style>
  <w:style w:type="numbering" w:customStyle="1" w:styleId="CurrentList1">
    <w:name w:val="Current List1"/>
    <w:rsid w:val="00E97663"/>
    <w:pPr>
      <w:numPr>
        <w:numId w:val="32"/>
      </w:numPr>
    </w:pPr>
  </w:style>
  <w:style w:type="numbering" w:customStyle="1" w:styleId="CurrentList2">
    <w:name w:val="Current List2"/>
    <w:rsid w:val="00E97663"/>
    <w:pPr>
      <w:numPr>
        <w:numId w:val="33"/>
      </w:numPr>
    </w:pPr>
  </w:style>
  <w:style w:type="numbering" w:customStyle="1" w:styleId="CurrentList3">
    <w:name w:val="Current List3"/>
    <w:rsid w:val="004C25B5"/>
    <w:pPr>
      <w:numPr>
        <w:numId w:val="34"/>
      </w:numPr>
    </w:pPr>
  </w:style>
  <w:style w:type="numbering" w:customStyle="1" w:styleId="CurrentList4">
    <w:name w:val="Current List4"/>
    <w:rsid w:val="004C25B5"/>
    <w:pPr>
      <w:numPr>
        <w:numId w:val="35"/>
      </w:numPr>
    </w:pPr>
  </w:style>
  <w:style w:type="numbering" w:customStyle="1" w:styleId="CurrentList5">
    <w:name w:val="Current List5"/>
    <w:rsid w:val="004C25B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88190">
      <w:bodyDiv w:val="1"/>
      <w:marLeft w:val="0"/>
      <w:marRight w:val="0"/>
      <w:marTop w:val="0"/>
      <w:marBottom w:val="0"/>
      <w:divBdr>
        <w:top w:val="none" w:sz="0" w:space="0" w:color="auto"/>
        <w:left w:val="none" w:sz="0" w:space="0" w:color="auto"/>
        <w:bottom w:val="none" w:sz="0" w:space="0" w:color="auto"/>
        <w:right w:val="none" w:sz="0" w:space="0" w:color="auto"/>
      </w:divBdr>
    </w:div>
    <w:div w:id="1073819334">
      <w:bodyDiv w:val="1"/>
      <w:marLeft w:val="0"/>
      <w:marRight w:val="0"/>
      <w:marTop w:val="0"/>
      <w:marBottom w:val="0"/>
      <w:divBdr>
        <w:top w:val="none" w:sz="0" w:space="0" w:color="auto"/>
        <w:left w:val="none" w:sz="0" w:space="0" w:color="auto"/>
        <w:bottom w:val="none" w:sz="0" w:space="0" w:color="auto"/>
        <w:right w:val="none" w:sz="0" w:space="0" w:color="auto"/>
      </w:divBdr>
    </w:div>
    <w:div w:id="1090933841">
      <w:bodyDiv w:val="1"/>
      <w:marLeft w:val="0"/>
      <w:marRight w:val="0"/>
      <w:marTop w:val="0"/>
      <w:marBottom w:val="0"/>
      <w:divBdr>
        <w:top w:val="none" w:sz="0" w:space="0" w:color="auto"/>
        <w:left w:val="none" w:sz="0" w:space="0" w:color="auto"/>
        <w:bottom w:val="none" w:sz="0" w:space="0" w:color="auto"/>
        <w:right w:val="none" w:sz="0" w:space="0" w:color="auto"/>
      </w:divBdr>
    </w:div>
    <w:div w:id="1287659669">
      <w:bodyDiv w:val="1"/>
      <w:marLeft w:val="0"/>
      <w:marRight w:val="0"/>
      <w:marTop w:val="0"/>
      <w:marBottom w:val="0"/>
      <w:divBdr>
        <w:top w:val="none" w:sz="0" w:space="0" w:color="auto"/>
        <w:left w:val="none" w:sz="0" w:space="0" w:color="auto"/>
        <w:bottom w:val="none" w:sz="0" w:space="0" w:color="auto"/>
        <w:right w:val="none" w:sz="0" w:space="0" w:color="auto"/>
      </w:divBdr>
    </w:div>
    <w:div w:id="16316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3233-16DD-4285-B87A-95D86F49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4037</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_</vt:lpstr>
    </vt:vector>
  </TitlesOfParts>
  <Company>Microsoft</Company>
  <LinksUpToDate>false</LinksUpToDate>
  <CharactersWithSpaces>26995</CharactersWithSpaces>
  <SharedDoc>false</SharedDoc>
  <HLinks>
    <vt:vector size="6" baseType="variant">
      <vt:variant>
        <vt:i4>1441863</vt:i4>
      </vt:variant>
      <vt:variant>
        <vt:i4>0</vt:i4>
      </vt:variant>
      <vt:variant>
        <vt:i4>0</vt:i4>
      </vt:variant>
      <vt:variant>
        <vt:i4>5</vt:i4>
      </vt:variant>
      <vt:variant>
        <vt:lpwstr>https://www.mass.gov/lists/massdot-financial-information</vt:lpwstr>
      </vt:variant>
      <vt:variant>
        <vt:lpwstr>debt-management-policies-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James J Rust</dc:creator>
  <cp:keywords/>
  <cp:lastModifiedBy>Kelly, Lynne (A&amp;F)</cp:lastModifiedBy>
  <cp:revision>2</cp:revision>
  <cp:lastPrinted>2020-03-03T20:31:00Z</cp:lastPrinted>
  <dcterms:created xsi:type="dcterms:W3CDTF">2025-11-18T00:16:00Z</dcterms:created>
  <dcterms:modified xsi:type="dcterms:W3CDTF">2025-11-18T00:16:00Z</dcterms:modified>
</cp:coreProperties>
</file>