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1C01E" w14:textId="6AEC1F3E" w:rsidR="004612C4" w:rsidRDefault="002374C3" w:rsidP="00DC1122">
      <w:pPr>
        <w:widowControl w:val="0"/>
        <w:spacing w:after="0" w:line="240" w:lineRule="auto"/>
        <w:rPr>
          <w:rFonts w:ascii="Arial" w:hAnsi="Arial" w:cs="Arial"/>
          <w:sz w:val="20"/>
          <w:szCs w:val="20"/>
        </w:rPr>
      </w:pPr>
      <w:r>
        <w:rPr>
          <w:rFonts w:ascii="Arial" w:hAnsi="Arial" w:cs="Arial"/>
          <w:sz w:val="20"/>
          <w:szCs w:val="20"/>
        </w:rPr>
        <w:t>Decem</w:t>
      </w:r>
      <w:r w:rsidR="004612C4">
        <w:rPr>
          <w:rFonts w:ascii="Arial" w:hAnsi="Arial" w:cs="Arial"/>
          <w:sz w:val="20"/>
          <w:szCs w:val="20"/>
        </w:rPr>
        <w:t>ber 2021</w:t>
      </w:r>
    </w:p>
    <w:p w14:paraId="45BD5CD7" w14:textId="5238EA16" w:rsidR="004612C4" w:rsidRDefault="004612C4" w:rsidP="00DC1122">
      <w:pPr>
        <w:widowControl w:val="0"/>
        <w:spacing w:after="0" w:line="240" w:lineRule="auto"/>
        <w:rPr>
          <w:rFonts w:ascii="Arial" w:hAnsi="Arial" w:cs="Arial"/>
          <w:sz w:val="20"/>
          <w:szCs w:val="20"/>
        </w:rPr>
      </w:pPr>
      <w:r>
        <w:rPr>
          <w:rFonts w:ascii="Arial" w:hAnsi="Arial" w:cs="Arial"/>
          <w:sz w:val="20"/>
          <w:szCs w:val="20"/>
        </w:rPr>
        <w:t>2018-2019 Massachusetts Fatal Injuries at work</w:t>
      </w:r>
    </w:p>
    <w:p w14:paraId="6C7928A7" w14:textId="7F1986A0" w:rsidR="004612C4" w:rsidRDefault="004612C4" w:rsidP="00DC1122">
      <w:pPr>
        <w:widowControl w:val="0"/>
        <w:spacing w:after="0" w:line="240" w:lineRule="auto"/>
        <w:rPr>
          <w:rFonts w:ascii="Arial" w:hAnsi="Arial" w:cs="Arial"/>
          <w:sz w:val="20"/>
          <w:szCs w:val="20"/>
        </w:rPr>
      </w:pPr>
    </w:p>
    <w:p w14:paraId="114EA0FD" w14:textId="12CC16E1" w:rsidR="004612C4" w:rsidRDefault="004612C4" w:rsidP="00DC1122">
      <w:pPr>
        <w:widowControl w:val="0"/>
        <w:spacing w:after="0" w:line="240" w:lineRule="auto"/>
        <w:rPr>
          <w:rFonts w:ascii="Arial" w:hAnsi="Arial" w:cs="Arial"/>
          <w:sz w:val="20"/>
          <w:szCs w:val="20"/>
        </w:rPr>
      </w:pPr>
      <w:r>
        <w:rPr>
          <w:rFonts w:ascii="Arial" w:hAnsi="Arial" w:cs="Arial"/>
          <w:sz w:val="20"/>
          <w:szCs w:val="20"/>
        </w:rPr>
        <w:t>Massachusetts Department of Public Health</w:t>
      </w:r>
    </w:p>
    <w:p w14:paraId="3A96677E" w14:textId="2DC3ED16" w:rsidR="004612C4" w:rsidRDefault="004612C4" w:rsidP="00DC1122">
      <w:pPr>
        <w:widowControl w:val="0"/>
        <w:spacing w:after="0" w:line="240" w:lineRule="auto"/>
        <w:rPr>
          <w:rFonts w:ascii="Arial" w:hAnsi="Arial" w:cs="Arial"/>
          <w:sz w:val="20"/>
          <w:szCs w:val="20"/>
        </w:rPr>
      </w:pPr>
      <w:r>
        <w:rPr>
          <w:rFonts w:ascii="Arial" w:hAnsi="Arial" w:cs="Arial"/>
          <w:sz w:val="20"/>
          <w:szCs w:val="20"/>
        </w:rPr>
        <w:t>Report by: Occupational Health S</w:t>
      </w:r>
      <w:r w:rsidR="008A5909">
        <w:rPr>
          <w:rFonts w:ascii="Arial" w:hAnsi="Arial" w:cs="Arial"/>
          <w:sz w:val="20"/>
          <w:szCs w:val="20"/>
        </w:rPr>
        <w:t>urveillance Program</w:t>
      </w:r>
    </w:p>
    <w:p w14:paraId="506B22CF" w14:textId="7081917C" w:rsidR="008A5909" w:rsidRDefault="008A5909" w:rsidP="00DC1122">
      <w:pPr>
        <w:widowControl w:val="0"/>
        <w:spacing w:after="0" w:line="240" w:lineRule="auto"/>
        <w:rPr>
          <w:rFonts w:ascii="Arial" w:hAnsi="Arial" w:cs="Arial"/>
          <w:sz w:val="20"/>
          <w:szCs w:val="20"/>
        </w:rPr>
      </w:pPr>
      <w:r>
        <w:rPr>
          <w:rFonts w:ascii="Arial" w:hAnsi="Arial" w:cs="Arial"/>
          <w:sz w:val="20"/>
          <w:szCs w:val="20"/>
        </w:rPr>
        <w:tab/>
        <w:t xml:space="preserve">     Census of Fatal Occupational Injuries</w:t>
      </w:r>
    </w:p>
    <w:p w14:paraId="35B73211" w14:textId="00FF228B" w:rsidR="008A5909" w:rsidRDefault="008A5909" w:rsidP="00DC1122">
      <w:pPr>
        <w:widowControl w:val="0"/>
        <w:spacing w:after="0" w:line="240" w:lineRule="auto"/>
        <w:rPr>
          <w:rFonts w:ascii="Arial" w:hAnsi="Arial" w:cs="Arial"/>
          <w:sz w:val="20"/>
          <w:szCs w:val="20"/>
        </w:rPr>
      </w:pPr>
      <w:r>
        <w:rPr>
          <w:rFonts w:ascii="Arial" w:hAnsi="Arial" w:cs="Arial"/>
          <w:sz w:val="20"/>
          <w:szCs w:val="20"/>
        </w:rPr>
        <w:tab/>
        <w:t xml:space="preserve">     Fatality Assessment and Control Evaluation</w:t>
      </w:r>
    </w:p>
    <w:p w14:paraId="56DCD396" w14:textId="70ADF7F5" w:rsidR="008A5909" w:rsidRDefault="008A5909" w:rsidP="00DC1122">
      <w:pPr>
        <w:widowControl w:val="0"/>
        <w:spacing w:after="0" w:line="240" w:lineRule="auto"/>
        <w:rPr>
          <w:rFonts w:ascii="Arial" w:hAnsi="Arial" w:cs="Arial"/>
          <w:sz w:val="20"/>
          <w:szCs w:val="20"/>
        </w:rPr>
      </w:pPr>
    </w:p>
    <w:p w14:paraId="5D0E6ED5" w14:textId="0B3CA4B7" w:rsidR="008A5909" w:rsidRDefault="008A5909" w:rsidP="00DC1122">
      <w:pPr>
        <w:widowControl w:val="0"/>
        <w:spacing w:after="0" w:line="240" w:lineRule="auto"/>
        <w:rPr>
          <w:rFonts w:ascii="Arial" w:hAnsi="Arial" w:cs="Arial"/>
          <w:sz w:val="20"/>
          <w:szCs w:val="20"/>
        </w:rPr>
      </w:pPr>
      <w:r>
        <w:rPr>
          <w:rFonts w:ascii="Arial" w:hAnsi="Arial" w:cs="Arial"/>
          <w:sz w:val="20"/>
          <w:szCs w:val="20"/>
        </w:rPr>
        <w:t xml:space="preserve">Find this report </w:t>
      </w:r>
      <w:proofErr w:type="gramStart"/>
      <w:r>
        <w:rPr>
          <w:rFonts w:ascii="Arial" w:hAnsi="Arial" w:cs="Arial"/>
          <w:sz w:val="20"/>
          <w:szCs w:val="20"/>
        </w:rPr>
        <w:t>at:https://www.mass.gov/lists/fatal-work-related-injury-reports-and-publications</w:t>
      </w:r>
      <w:proofErr w:type="gramEnd"/>
    </w:p>
    <w:p w14:paraId="3087B3F5" w14:textId="610F8FAD" w:rsidR="008A5909" w:rsidRDefault="008A5909" w:rsidP="00DC1122">
      <w:pPr>
        <w:widowControl w:val="0"/>
        <w:spacing w:after="0" w:line="240" w:lineRule="auto"/>
        <w:rPr>
          <w:rFonts w:ascii="Arial" w:hAnsi="Arial" w:cs="Arial"/>
          <w:sz w:val="20"/>
          <w:szCs w:val="20"/>
        </w:rPr>
      </w:pPr>
    </w:p>
    <w:p w14:paraId="2D07B93D" w14:textId="23E5A32F" w:rsidR="008A5909" w:rsidRDefault="000455A5" w:rsidP="00DC1122">
      <w:pPr>
        <w:widowControl w:val="0"/>
        <w:spacing w:after="0" w:line="240" w:lineRule="auto"/>
        <w:rPr>
          <w:rFonts w:ascii="Arial" w:hAnsi="Arial" w:cs="Arial"/>
          <w:sz w:val="20"/>
          <w:szCs w:val="20"/>
        </w:rPr>
      </w:pPr>
      <w:hyperlink r:id="rId8" w:history="1">
        <w:r w:rsidR="008A5909" w:rsidRPr="007B6A41">
          <w:rPr>
            <w:rStyle w:val="Hyperlink"/>
            <w:rFonts w:ascii="Arial" w:hAnsi="Arial" w:cs="Arial"/>
            <w:sz w:val="20"/>
            <w:szCs w:val="20"/>
          </w:rPr>
          <w:t>Ma.face@mass.gov</w:t>
        </w:r>
      </w:hyperlink>
    </w:p>
    <w:p w14:paraId="0ECC78D5" w14:textId="61BDE684" w:rsidR="008A5909" w:rsidRDefault="008A5909" w:rsidP="00DC1122">
      <w:pPr>
        <w:widowControl w:val="0"/>
        <w:spacing w:after="0" w:line="240" w:lineRule="auto"/>
        <w:rPr>
          <w:rFonts w:ascii="Arial" w:hAnsi="Arial" w:cs="Arial"/>
          <w:sz w:val="20"/>
          <w:szCs w:val="20"/>
        </w:rPr>
      </w:pPr>
      <w:r>
        <w:rPr>
          <w:rFonts w:ascii="Arial" w:hAnsi="Arial" w:cs="Arial"/>
          <w:sz w:val="20"/>
          <w:szCs w:val="20"/>
        </w:rPr>
        <w:t>1-800-338-5223</w:t>
      </w:r>
    </w:p>
    <w:p w14:paraId="4D412E98" w14:textId="7DE9B753" w:rsidR="008A5909" w:rsidRDefault="008A5909" w:rsidP="00DC1122">
      <w:pPr>
        <w:widowControl w:val="0"/>
        <w:spacing w:after="0" w:line="240" w:lineRule="auto"/>
        <w:rPr>
          <w:rFonts w:ascii="Arial" w:hAnsi="Arial" w:cs="Arial"/>
          <w:sz w:val="20"/>
          <w:szCs w:val="20"/>
        </w:rPr>
      </w:pPr>
      <w:r>
        <w:rPr>
          <w:rFonts w:ascii="Arial" w:hAnsi="Arial" w:cs="Arial"/>
          <w:sz w:val="20"/>
          <w:szCs w:val="20"/>
        </w:rPr>
        <w:t>Massachusetts State FACE Program</w:t>
      </w:r>
    </w:p>
    <w:p w14:paraId="0A2AE907" w14:textId="51D6B293" w:rsidR="008A5909" w:rsidRDefault="008A5909" w:rsidP="00DC1122">
      <w:pPr>
        <w:widowControl w:val="0"/>
        <w:spacing w:after="0" w:line="240" w:lineRule="auto"/>
        <w:rPr>
          <w:rFonts w:ascii="Arial" w:hAnsi="Arial" w:cs="Arial"/>
          <w:sz w:val="20"/>
          <w:szCs w:val="20"/>
        </w:rPr>
      </w:pPr>
      <w:r>
        <w:rPr>
          <w:rFonts w:ascii="Arial" w:hAnsi="Arial" w:cs="Arial"/>
          <w:sz w:val="20"/>
          <w:szCs w:val="20"/>
        </w:rPr>
        <w:t>Fatality Assessment &amp; Control Evaluation</w:t>
      </w:r>
    </w:p>
    <w:p w14:paraId="348D9788" w14:textId="46984684" w:rsidR="008A5909" w:rsidRDefault="008A5909" w:rsidP="00DC1122">
      <w:pPr>
        <w:widowControl w:val="0"/>
        <w:spacing w:after="0" w:line="240" w:lineRule="auto"/>
        <w:rPr>
          <w:rFonts w:ascii="Arial" w:hAnsi="Arial" w:cs="Arial"/>
          <w:sz w:val="20"/>
          <w:szCs w:val="20"/>
        </w:rPr>
      </w:pPr>
    </w:p>
    <w:p w14:paraId="7CE8B1D6" w14:textId="77777777" w:rsidR="00246739" w:rsidRDefault="00246739" w:rsidP="00DC1122">
      <w:pPr>
        <w:widowControl w:val="0"/>
        <w:spacing w:after="0" w:line="240" w:lineRule="auto"/>
        <w:rPr>
          <w:rFonts w:ascii="Arial" w:hAnsi="Arial" w:cs="Arial"/>
          <w:sz w:val="20"/>
          <w:szCs w:val="20"/>
        </w:rPr>
      </w:pPr>
    </w:p>
    <w:p w14:paraId="15E98D83" w14:textId="77777777" w:rsidR="00246739" w:rsidRDefault="00246739" w:rsidP="00DC1122">
      <w:pPr>
        <w:widowControl w:val="0"/>
        <w:spacing w:after="0" w:line="240" w:lineRule="auto"/>
        <w:rPr>
          <w:rFonts w:ascii="Arial" w:hAnsi="Arial" w:cs="Arial"/>
          <w:sz w:val="20"/>
          <w:szCs w:val="20"/>
        </w:rPr>
      </w:pPr>
    </w:p>
    <w:p w14:paraId="16DC543D" w14:textId="77777777" w:rsidR="00246739" w:rsidRDefault="00246739" w:rsidP="00DC1122">
      <w:pPr>
        <w:widowControl w:val="0"/>
        <w:spacing w:after="0" w:line="240" w:lineRule="auto"/>
        <w:rPr>
          <w:rFonts w:ascii="Arial" w:hAnsi="Arial" w:cs="Arial"/>
          <w:sz w:val="20"/>
          <w:szCs w:val="20"/>
        </w:rPr>
      </w:pPr>
    </w:p>
    <w:p w14:paraId="7AC95952" w14:textId="77777777" w:rsidR="00246739" w:rsidRDefault="00246739" w:rsidP="00DC1122">
      <w:pPr>
        <w:widowControl w:val="0"/>
        <w:spacing w:after="0" w:line="240" w:lineRule="auto"/>
        <w:rPr>
          <w:rFonts w:ascii="Arial" w:hAnsi="Arial" w:cs="Arial"/>
          <w:sz w:val="20"/>
          <w:szCs w:val="20"/>
        </w:rPr>
      </w:pPr>
    </w:p>
    <w:p w14:paraId="297D2E06" w14:textId="77777777" w:rsidR="00246739" w:rsidRDefault="00246739" w:rsidP="00DC1122">
      <w:pPr>
        <w:widowControl w:val="0"/>
        <w:spacing w:after="0" w:line="240" w:lineRule="auto"/>
        <w:rPr>
          <w:rFonts w:ascii="Arial" w:hAnsi="Arial" w:cs="Arial"/>
          <w:sz w:val="20"/>
          <w:szCs w:val="20"/>
        </w:rPr>
      </w:pPr>
    </w:p>
    <w:p w14:paraId="4A020D08" w14:textId="77777777" w:rsidR="00246739" w:rsidRDefault="00246739" w:rsidP="00DC1122">
      <w:pPr>
        <w:widowControl w:val="0"/>
        <w:spacing w:after="0" w:line="240" w:lineRule="auto"/>
        <w:rPr>
          <w:rFonts w:ascii="Arial" w:hAnsi="Arial" w:cs="Arial"/>
          <w:sz w:val="20"/>
          <w:szCs w:val="20"/>
        </w:rPr>
      </w:pPr>
    </w:p>
    <w:p w14:paraId="56F3658D" w14:textId="77777777" w:rsidR="00246739" w:rsidRDefault="00246739" w:rsidP="00DC1122">
      <w:pPr>
        <w:widowControl w:val="0"/>
        <w:spacing w:after="0" w:line="240" w:lineRule="auto"/>
        <w:rPr>
          <w:rFonts w:ascii="Arial" w:hAnsi="Arial" w:cs="Arial"/>
          <w:sz w:val="20"/>
          <w:szCs w:val="20"/>
        </w:rPr>
      </w:pPr>
    </w:p>
    <w:p w14:paraId="52B0DADB" w14:textId="77777777" w:rsidR="00246739" w:rsidRDefault="00246739" w:rsidP="00DC1122">
      <w:pPr>
        <w:widowControl w:val="0"/>
        <w:spacing w:after="0" w:line="240" w:lineRule="auto"/>
        <w:rPr>
          <w:rFonts w:ascii="Arial" w:hAnsi="Arial" w:cs="Arial"/>
          <w:sz w:val="20"/>
          <w:szCs w:val="20"/>
        </w:rPr>
      </w:pPr>
    </w:p>
    <w:p w14:paraId="66863C5A" w14:textId="77777777" w:rsidR="00246739" w:rsidRDefault="00246739" w:rsidP="00DC1122">
      <w:pPr>
        <w:widowControl w:val="0"/>
        <w:spacing w:after="0" w:line="240" w:lineRule="auto"/>
        <w:rPr>
          <w:rFonts w:ascii="Arial" w:hAnsi="Arial" w:cs="Arial"/>
          <w:sz w:val="20"/>
          <w:szCs w:val="20"/>
        </w:rPr>
      </w:pPr>
    </w:p>
    <w:p w14:paraId="3F211A26" w14:textId="77777777" w:rsidR="00246739" w:rsidRDefault="00246739" w:rsidP="00DC1122">
      <w:pPr>
        <w:widowControl w:val="0"/>
        <w:spacing w:after="0" w:line="240" w:lineRule="auto"/>
        <w:rPr>
          <w:rFonts w:ascii="Arial" w:hAnsi="Arial" w:cs="Arial"/>
          <w:sz w:val="20"/>
          <w:szCs w:val="20"/>
        </w:rPr>
      </w:pPr>
    </w:p>
    <w:p w14:paraId="1B00BA1B" w14:textId="77777777" w:rsidR="00246739" w:rsidRDefault="00246739" w:rsidP="00DC1122">
      <w:pPr>
        <w:widowControl w:val="0"/>
        <w:spacing w:after="0" w:line="240" w:lineRule="auto"/>
        <w:rPr>
          <w:rFonts w:ascii="Arial" w:hAnsi="Arial" w:cs="Arial"/>
          <w:sz w:val="20"/>
          <w:szCs w:val="20"/>
        </w:rPr>
      </w:pPr>
    </w:p>
    <w:p w14:paraId="6F3D3142" w14:textId="77777777" w:rsidR="00246739" w:rsidRDefault="00246739" w:rsidP="00DC1122">
      <w:pPr>
        <w:widowControl w:val="0"/>
        <w:spacing w:after="0" w:line="240" w:lineRule="auto"/>
        <w:rPr>
          <w:rFonts w:ascii="Arial" w:hAnsi="Arial" w:cs="Arial"/>
          <w:sz w:val="20"/>
          <w:szCs w:val="20"/>
        </w:rPr>
      </w:pPr>
    </w:p>
    <w:p w14:paraId="69C5D6DB" w14:textId="77777777" w:rsidR="00246739" w:rsidRDefault="00246739" w:rsidP="00DC1122">
      <w:pPr>
        <w:widowControl w:val="0"/>
        <w:spacing w:after="0" w:line="240" w:lineRule="auto"/>
        <w:rPr>
          <w:rFonts w:ascii="Arial" w:hAnsi="Arial" w:cs="Arial"/>
          <w:sz w:val="20"/>
          <w:szCs w:val="20"/>
        </w:rPr>
      </w:pPr>
    </w:p>
    <w:p w14:paraId="09090CFA" w14:textId="77777777" w:rsidR="00246739" w:rsidRDefault="00246739" w:rsidP="00DC1122">
      <w:pPr>
        <w:widowControl w:val="0"/>
        <w:spacing w:after="0" w:line="240" w:lineRule="auto"/>
        <w:rPr>
          <w:rFonts w:ascii="Arial" w:hAnsi="Arial" w:cs="Arial"/>
          <w:sz w:val="20"/>
          <w:szCs w:val="20"/>
        </w:rPr>
      </w:pPr>
    </w:p>
    <w:p w14:paraId="2AE267FF" w14:textId="77777777" w:rsidR="00246739" w:rsidRDefault="00246739" w:rsidP="00DC1122">
      <w:pPr>
        <w:widowControl w:val="0"/>
        <w:spacing w:after="0" w:line="240" w:lineRule="auto"/>
        <w:rPr>
          <w:rFonts w:ascii="Arial" w:hAnsi="Arial" w:cs="Arial"/>
          <w:sz w:val="20"/>
          <w:szCs w:val="20"/>
        </w:rPr>
      </w:pPr>
    </w:p>
    <w:p w14:paraId="37F455DE" w14:textId="77777777" w:rsidR="00246739" w:rsidRDefault="00246739" w:rsidP="00DC1122">
      <w:pPr>
        <w:widowControl w:val="0"/>
        <w:spacing w:after="0" w:line="240" w:lineRule="auto"/>
        <w:rPr>
          <w:rFonts w:ascii="Arial" w:hAnsi="Arial" w:cs="Arial"/>
          <w:sz w:val="20"/>
          <w:szCs w:val="20"/>
        </w:rPr>
      </w:pPr>
    </w:p>
    <w:p w14:paraId="11703EA0" w14:textId="77777777" w:rsidR="00246739" w:rsidRDefault="00246739" w:rsidP="00DC1122">
      <w:pPr>
        <w:widowControl w:val="0"/>
        <w:spacing w:after="0" w:line="240" w:lineRule="auto"/>
        <w:rPr>
          <w:rFonts w:ascii="Arial" w:hAnsi="Arial" w:cs="Arial"/>
          <w:sz w:val="20"/>
          <w:szCs w:val="20"/>
        </w:rPr>
      </w:pPr>
    </w:p>
    <w:p w14:paraId="3CD72C6A" w14:textId="77777777" w:rsidR="00246739" w:rsidRDefault="00246739" w:rsidP="00DC1122">
      <w:pPr>
        <w:widowControl w:val="0"/>
        <w:spacing w:after="0" w:line="240" w:lineRule="auto"/>
        <w:rPr>
          <w:rFonts w:ascii="Arial" w:hAnsi="Arial" w:cs="Arial"/>
          <w:sz w:val="20"/>
          <w:szCs w:val="20"/>
        </w:rPr>
      </w:pPr>
    </w:p>
    <w:p w14:paraId="2E419019" w14:textId="77777777" w:rsidR="00246739" w:rsidRDefault="00246739" w:rsidP="00DC1122">
      <w:pPr>
        <w:widowControl w:val="0"/>
        <w:spacing w:after="0" w:line="240" w:lineRule="auto"/>
        <w:rPr>
          <w:rFonts w:ascii="Arial" w:hAnsi="Arial" w:cs="Arial"/>
          <w:sz w:val="20"/>
          <w:szCs w:val="20"/>
        </w:rPr>
      </w:pPr>
    </w:p>
    <w:p w14:paraId="0E46E648" w14:textId="77777777" w:rsidR="00246739" w:rsidRDefault="00246739" w:rsidP="00DC1122">
      <w:pPr>
        <w:widowControl w:val="0"/>
        <w:spacing w:after="0" w:line="240" w:lineRule="auto"/>
        <w:rPr>
          <w:rFonts w:ascii="Arial" w:hAnsi="Arial" w:cs="Arial"/>
          <w:sz w:val="20"/>
          <w:szCs w:val="20"/>
        </w:rPr>
      </w:pPr>
    </w:p>
    <w:p w14:paraId="18AB20E5" w14:textId="77777777" w:rsidR="00246739" w:rsidRDefault="00246739" w:rsidP="00DC1122">
      <w:pPr>
        <w:widowControl w:val="0"/>
        <w:spacing w:after="0" w:line="240" w:lineRule="auto"/>
        <w:rPr>
          <w:rFonts w:ascii="Arial" w:hAnsi="Arial" w:cs="Arial"/>
          <w:sz w:val="20"/>
          <w:szCs w:val="20"/>
        </w:rPr>
      </w:pPr>
    </w:p>
    <w:p w14:paraId="0BE5D940" w14:textId="77777777" w:rsidR="00246739" w:rsidRDefault="00246739" w:rsidP="00DC1122">
      <w:pPr>
        <w:widowControl w:val="0"/>
        <w:spacing w:after="0" w:line="240" w:lineRule="auto"/>
        <w:rPr>
          <w:rFonts w:ascii="Arial" w:hAnsi="Arial" w:cs="Arial"/>
          <w:sz w:val="20"/>
          <w:szCs w:val="20"/>
        </w:rPr>
      </w:pPr>
    </w:p>
    <w:p w14:paraId="34314E7B" w14:textId="77777777" w:rsidR="00246739" w:rsidRDefault="00246739" w:rsidP="00DC1122">
      <w:pPr>
        <w:widowControl w:val="0"/>
        <w:spacing w:after="0" w:line="240" w:lineRule="auto"/>
        <w:rPr>
          <w:rFonts w:ascii="Arial" w:hAnsi="Arial" w:cs="Arial"/>
          <w:sz w:val="20"/>
          <w:szCs w:val="20"/>
        </w:rPr>
      </w:pPr>
    </w:p>
    <w:p w14:paraId="2B4CA571" w14:textId="77777777" w:rsidR="00246739" w:rsidRDefault="00246739" w:rsidP="00DC1122">
      <w:pPr>
        <w:widowControl w:val="0"/>
        <w:spacing w:after="0" w:line="240" w:lineRule="auto"/>
        <w:rPr>
          <w:rFonts w:ascii="Arial" w:hAnsi="Arial" w:cs="Arial"/>
          <w:sz w:val="20"/>
          <w:szCs w:val="20"/>
        </w:rPr>
      </w:pPr>
    </w:p>
    <w:p w14:paraId="0FB23CE2" w14:textId="77777777" w:rsidR="00246739" w:rsidRDefault="00246739" w:rsidP="00DC1122">
      <w:pPr>
        <w:widowControl w:val="0"/>
        <w:spacing w:after="0" w:line="240" w:lineRule="auto"/>
        <w:rPr>
          <w:rFonts w:ascii="Arial" w:hAnsi="Arial" w:cs="Arial"/>
          <w:sz w:val="20"/>
          <w:szCs w:val="20"/>
        </w:rPr>
      </w:pPr>
    </w:p>
    <w:p w14:paraId="145A6B36" w14:textId="77777777" w:rsidR="00246739" w:rsidRDefault="00246739" w:rsidP="00DC1122">
      <w:pPr>
        <w:widowControl w:val="0"/>
        <w:spacing w:after="0" w:line="240" w:lineRule="auto"/>
        <w:rPr>
          <w:rFonts w:ascii="Arial" w:hAnsi="Arial" w:cs="Arial"/>
          <w:sz w:val="20"/>
          <w:szCs w:val="20"/>
        </w:rPr>
      </w:pPr>
    </w:p>
    <w:p w14:paraId="1CD37D52" w14:textId="77777777" w:rsidR="00246739" w:rsidRDefault="00246739" w:rsidP="00DC1122">
      <w:pPr>
        <w:widowControl w:val="0"/>
        <w:spacing w:after="0" w:line="240" w:lineRule="auto"/>
        <w:rPr>
          <w:rFonts w:ascii="Arial" w:hAnsi="Arial" w:cs="Arial"/>
          <w:sz w:val="20"/>
          <w:szCs w:val="20"/>
        </w:rPr>
      </w:pPr>
    </w:p>
    <w:p w14:paraId="306E179E" w14:textId="77777777" w:rsidR="00246739" w:rsidRDefault="00246739" w:rsidP="00DC1122">
      <w:pPr>
        <w:widowControl w:val="0"/>
        <w:spacing w:after="0" w:line="240" w:lineRule="auto"/>
        <w:rPr>
          <w:rFonts w:ascii="Arial" w:hAnsi="Arial" w:cs="Arial"/>
          <w:sz w:val="20"/>
          <w:szCs w:val="20"/>
        </w:rPr>
      </w:pPr>
    </w:p>
    <w:p w14:paraId="59DB8F50" w14:textId="77777777" w:rsidR="00246739" w:rsidRDefault="00246739" w:rsidP="00DC1122">
      <w:pPr>
        <w:widowControl w:val="0"/>
        <w:spacing w:after="0" w:line="240" w:lineRule="auto"/>
        <w:rPr>
          <w:rFonts w:ascii="Arial" w:hAnsi="Arial" w:cs="Arial"/>
          <w:sz w:val="20"/>
          <w:szCs w:val="20"/>
        </w:rPr>
      </w:pPr>
    </w:p>
    <w:p w14:paraId="7D258F99" w14:textId="77777777" w:rsidR="00246739" w:rsidRDefault="00246739" w:rsidP="00DC1122">
      <w:pPr>
        <w:widowControl w:val="0"/>
        <w:spacing w:after="0" w:line="240" w:lineRule="auto"/>
        <w:rPr>
          <w:rFonts w:ascii="Arial" w:hAnsi="Arial" w:cs="Arial"/>
          <w:sz w:val="20"/>
          <w:szCs w:val="20"/>
        </w:rPr>
      </w:pPr>
    </w:p>
    <w:p w14:paraId="7BFD3F2D" w14:textId="77777777" w:rsidR="00246739" w:rsidRDefault="00246739" w:rsidP="00DC1122">
      <w:pPr>
        <w:widowControl w:val="0"/>
        <w:spacing w:after="0" w:line="240" w:lineRule="auto"/>
        <w:rPr>
          <w:rFonts w:ascii="Arial" w:hAnsi="Arial" w:cs="Arial"/>
          <w:sz w:val="20"/>
          <w:szCs w:val="20"/>
        </w:rPr>
      </w:pPr>
    </w:p>
    <w:p w14:paraId="2F54AD25" w14:textId="77777777" w:rsidR="00246739" w:rsidRDefault="00246739" w:rsidP="00DC1122">
      <w:pPr>
        <w:widowControl w:val="0"/>
        <w:spacing w:after="0" w:line="240" w:lineRule="auto"/>
        <w:rPr>
          <w:rFonts w:ascii="Arial" w:hAnsi="Arial" w:cs="Arial"/>
          <w:sz w:val="20"/>
          <w:szCs w:val="20"/>
        </w:rPr>
      </w:pPr>
    </w:p>
    <w:p w14:paraId="6938E183" w14:textId="77777777" w:rsidR="00246739" w:rsidRDefault="00246739" w:rsidP="00DC1122">
      <w:pPr>
        <w:widowControl w:val="0"/>
        <w:spacing w:after="0" w:line="240" w:lineRule="auto"/>
        <w:rPr>
          <w:rFonts w:ascii="Arial" w:hAnsi="Arial" w:cs="Arial"/>
          <w:sz w:val="20"/>
          <w:szCs w:val="20"/>
        </w:rPr>
      </w:pPr>
    </w:p>
    <w:p w14:paraId="44B4F154" w14:textId="77777777" w:rsidR="00246739" w:rsidRDefault="00246739" w:rsidP="00DC1122">
      <w:pPr>
        <w:widowControl w:val="0"/>
        <w:spacing w:after="0" w:line="240" w:lineRule="auto"/>
        <w:rPr>
          <w:rFonts w:ascii="Arial" w:hAnsi="Arial" w:cs="Arial"/>
          <w:sz w:val="20"/>
          <w:szCs w:val="20"/>
        </w:rPr>
      </w:pPr>
    </w:p>
    <w:p w14:paraId="11AB7596" w14:textId="77777777" w:rsidR="00246739" w:rsidRDefault="00246739" w:rsidP="00DC1122">
      <w:pPr>
        <w:widowControl w:val="0"/>
        <w:spacing w:after="0" w:line="240" w:lineRule="auto"/>
        <w:rPr>
          <w:rFonts w:ascii="Arial" w:hAnsi="Arial" w:cs="Arial"/>
          <w:sz w:val="20"/>
          <w:szCs w:val="20"/>
        </w:rPr>
      </w:pPr>
    </w:p>
    <w:p w14:paraId="70EEE305" w14:textId="77777777" w:rsidR="00246739" w:rsidRDefault="00246739" w:rsidP="00DC1122">
      <w:pPr>
        <w:widowControl w:val="0"/>
        <w:spacing w:after="0" w:line="240" w:lineRule="auto"/>
        <w:rPr>
          <w:rFonts w:ascii="Arial" w:hAnsi="Arial" w:cs="Arial"/>
          <w:sz w:val="20"/>
          <w:szCs w:val="20"/>
        </w:rPr>
      </w:pPr>
    </w:p>
    <w:p w14:paraId="5E381DA2" w14:textId="77777777" w:rsidR="00246739" w:rsidRDefault="00246739" w:rsidP="00DC1122">
      <w:pPr>
        <w:widowControl w:val="0"/>
        <w:spacing w:after="0" w:line="240" w:lineRule="auto"/>
        <w:rPr>
          <w:rFonts w:ascii="Arial" w:hAnsi="Arial" w:cs="Arial"/>
          <w:sz w:val="20"/>
          <w:szCs w:val="20"/>
        </w:rPr>
      </w:pPr>
    </w:p>
    <w:p w14:paraId="06DE45D4" w14:textId="77777777" w:rsidR="00246739" w:rsidRDefault="00246739" w:rsidP="00DC1122">
      <w:pPr>
        <w:widowControl w:val="0"/>
        <w:spacing w:after="0" w:line="240" w:lineRule="auto"/>
        <w:rPr>
          <w:rFonts w:ascii="Arial" w:hAnsi="Arial" w:cs="Arial"/>
          <w:sz w:val="20"/>
          <w:szCs w:val="20"/>
        </w:rPr>
      </w:pPr>
    </w:p>
    <w:p w14:paraId="0B2AE85B" w14:textId="77777777" w:rsidR="00246739" w:rsidRDefault="00246739" w:rsidP="00DC1122">
      <w:pPr>
        <w:widowControl w:val="0"/>
        <w:spacing w:after="0" w:line="240" w:lineRule="auto"/>
        <w:rPr>
          <w:rFonts w:ascii="Arial" w:hAnsi="Arial" w:cs="Arial"/>
          <w:sz w:val="20"/>
          <w:szCs w:val="20"/>
        </w:rPr>
      </w:pPr>
    </w:p>
    <w:p w14:paraId="6796D21E" w14:textId="77777777" w:rsidR="00246739" w:rsidRDefault="00246739" w:rsidP="00DC1122">
      <w:pPr>
        <w:widowControl w:val="0"/>
        <w:spacing w:after="0" w:line="240" w:lineRule="auto"/>
        <w:rPr>
          <w:rFonts w:ascii="Arial" w:hAnsi="Arial" w:cs="Arial"/>
          <w:sz w:val="20"/>
          <w:szCs w:val="20"/>
        </w:rPr>
      </w:pPr>
    </w:p>
    <w:p w14:paraId="0749EADB" w14:textId="39C399EB" w:rsidR="00F61B9E" w:rsidRDefault="00F61B9E" w:rsidP="00DC1122">
      <w:pPr>
        <w:widowControl w:val="0"/>
        <w:spacing w:after="0" w:line="240" w:lineRule="auto"/>
        <w:rPr>
          <w:rFonts w:ascii="Arial" w:hAnsi="Arial" w:cs="Arial"/>
          <w:sz w:val="20"/>
          <w:szCs w:val="20"/>
        </w:rPr>
      </w:pPr>
    </w:p>
    <w:p w14:paraId="1FF4955B" w14:textId="59E6D613" w:rsidR="00F61B9E" w:rsidRPr="00D05FC3" w:rsidRDefault="00F61B9E" w:rsidP="00DC1122">
      <w:pPr>
        <w:widowControl w:val="0"/>
        <w:spacing w:after="0" w:line="240" w:lineRule="auto"/>
        <w:rPr>
          <w:rFonts w:ascii="Arial" w:hAnsi="Arial" w:cs="Arial"/>
          <w:b/>
          <w:bCs/>
          <w:sz w:val="20"/>
          <w:szCs w:val="20"/>
        </w:rPr>
      </w:pPr>
      <w:r w:rsidRPr="00D05FC3">
        <w:rPr>
          <w:rFonts w:ascii="Arial" w:hAnsi="Arial" w:cs="Arial"/>
          <w:b/>
          <w:bCs/>
          <w:sz w:val="20"/>
          <w:szCs w:val="20"/>
        </w:rPr>
        <w:lastRenderedPageBreak/>
        <w:t>Foreword</w:t>
      </w:r>
    </w:p>
    <w:p w14:paraId="0185C259" w14:textId="77777777" w:rsidR="00290A35" w:rsidRPr="00290A35" w:rsidRDefault="00290A35" w:rsidP="00290A35">
      <w:pPr>
        <w:widowControl w:val="0"/>
        <w:spacing w:after="0" w:line="240" w:lineRule="auto"/>
        <w:rPr>
          <w:rFonts w:ascii="Arial" w:hAnsi="Arial" w:cs="Arial"/>
          <w:sz w:val="20"/>
          <w:szCs w:val="20"/>
        </w:rPr>
      </w:pPr>
      <w:r w:rsidRPr="00290A35">
        <w:rPr>
          <w:rFonts w:ascii="Arial" w:hAnsi="Arial" w:cs="Arial"/>
          <w:sz w:val="20"/>
          <w:szCs w:val="20"/>
        </w:rPr>
        <w:t>This update provides an overview of fatal injuries at work that occurred in Massachusetts in 2018-2019, before the COVID-19 pandemic profoundly impacted work, and life outside of work, worldwide.</w:t>
      </w:r>
    </w:p>
    <w:p w14:paraId="037D926C" w14:textId="77777777" w:rsidR="00290A35" w:rsidRPr="00290A35" w:rsidRDefault="00290A35" w:rsidP="00290A35">
      <w:pPr>
        <w:widowControl w:val="0"/>
        <w:spacing w:after="0" w:line="240" w:lineRule="auto"/>
        <w:rPr>
          <w:rFonts w:ascii="Arial" w:hAnsi="Arial" w:cs="Arial"/>
          <w:sz w:val="20"/>
          <w:szCs w:val="20"/>
        </w:rPr>
      </w:pPr>
    </w:p>
    <w:p w14:paraId="0366F4A8" w14:textId="77777777" w:rsidR="00290A35" w:rsidRPr="00290A35" w:rsidRDefault="00290A35" w:rsidP="00290A35">
      <w:pPr>
        <w:widowControl w:val="0"/>
        <w:spacing w:after="0" w:line="240" w:lineRule="auto"/>
        <w:rPr>
          <w:rFonts w:ascii="Arial" w:hAnsi="Arial" w:cs="Arial"/>
          <w:sz w:val="20"/>
          <w:szCs w:val="20"/>
        </w:rPr>
      </w:pPr>
      <w:r w:rsidRPr="00290A35">
        <w:rPr>
          <w:rFonts w:ascii="Arial" w:hAnsi="Arial" w:cs="Arial"/>
          <w:sz w:val="20"/>
          <w:szCs w:val="20"/>
        </w:rPr>
        <w:t>During COVID-19, work did not change in the same way for all. For some, work slowed or halted as businesses responded to the virus and to policies implemented to protect the public health. Many workers lost their jobs. For others, work increased or changed, whether they were involved in directly caring for patients with the virus, or performing other work that was deemed essential, from worksites, or remotely from home.</w:t>
      </w:r>
    </w:p>
    <w:p w14:paraId="1FC49194" w14:textId="77777777" w:rsidR="00290A35" w:rsidRPr="00290A35" w:rsidRDefault="00290A35" w:rsidP="00290A35">
      <w:pPr>
        <w:widowControl w:val="0"/>
        <w:spacing w:after="0" w:line="240" w:lineRule="auto"/>
        <w:rPr>
          <w:rFonts w:ascii="Arial" w:hAnsi="Arial" w:cs="Arial"/>
          <w:sz w:val="20"/>
          <w:szCs w:val="20"/>
        </w:rPr>
      </w:pPr>
    </w:p>
    <w:p w14:paraId="5311AC57" w14:textId="77777777" w:rsidR="00290A35" w:rsidRPr="00290A35" w:rsidRDefault="00290A35" w:rsidP="00290A35">
      <w:pPr>
        <w:widowControl w:val="0"/>
        <w:spacing w:after="0" w:line="240" w:lineRule="auto"/>
        <w:rPr>
          <w:rFonts w:ascii="Arial" w:hAnsi="Arial" w:cs="Arial"/>
          <w:sz w:val="20"/>
          <w:szCs w:val="20"/>
        </w:rPr>
      </w:pPr>
      <w:r w:rsidRPr="00290A35">
        <w:rPr>
          <w:rFonts w:ascii="Arial" w:hAnsi="Arial" w:cs="Arial"/>
          <w:sz w:val="20"/>
          <w:szCs w:val="20"/>
        </w:rPr>
        <w:t>In Massachusetts, the systems that we use to identify, and document traumatic workplace deaths remained active. Surveillance of 2020 workplace trauma deaths continues,  and  while the official data is expected to be released, on schedule, in late 2021, we know that throughout the pandemic, workers continued to be killed by hazards and in industries that are familiar to us. Our preliminary analysis of the unofficial 2020data indicates that while some new trends emerged, many of the same hazards that we saw pre-pandemic continued, despite the unique circumstances of 2020.The2018-2019 fatality data reflect what was normal before the pandemic: some trends  that have been seen for years, hazards that we know how to prevent, yet which still need attention, and hazards that continued through the pandemic. We believe that many of the lessons learned from trends in workplace fatalities in the pre-pandemic period remain critical for understanding and preventing fatal injuries during the pandemic, as well as once it is over.</w:t>
      </w:r>
    </w:p>
    <w:p w14:paraId="680D5840" w14:textId="77777777" w:rsidR="00290A35" w:rsidRPr="00290A35" w:rsidRDefault="00290A35" w:rsidP="00290A35">
      <w:pPr>
        <w:widowControl w:val="0"/>
        <w:spacing w:after="0" w:line="240" w:lineRule="auto"/>
        <w:rPr>
          <w:rFonts w:ascii="Arial" w:hAnsi="Arial" w:cs="Arial"/>
          <w:sz w:val="20"/>
          <w:szCs w:val="20"/>
        </w:rPr>
      </w:pPr>
    </w:p>
    <w:p w14:paraId="07AF7E9B" w14:textId="7B15828C" w:rsidR="00F61B9E" w:rsidRDefault="00290A35" w:rsidP="00290A35">
      <w:pPr>
        <w:widowControl w:val="0"/>
        <w:spacing w:after="0" w:line="240" w:lineRule="auto"/>
        <w:rPr>
          <w:rFonts w:ascii="Arial" w:hAnsi="Arial" w:cs="Arial"/>
          <w:sz w:val="20"/>
          <w:szCs w:val="20"/>
        </w:rPr>
      </w:pPr>
      <w:r w:rsidRPr="00290A35">
        <w:rPr>
          <w:rFonts w:ascii="Arial" w:hAnsi="Arial" w:cs="Arial"/>
          <w:sz w:val="20"/>
          <w:szCs w:val="20"/>
        </w:rPr>
        <w:t>The Occupational Health Surveillance Program's (OHSP) Workplace Fatality Program acknowledges the interest and importance of understanding how COVID-19 continues to affect workers in Massachusetts. In the forthcoming 2020 report, OHSP will share information about work and changing work in 2020, which workforces experienced increased risk in fatal injury throughout the year and describe the industries and occupations of Massachusetts residents who died at work.</w:t>
      </w:r>
    </w:p>
    <w:p w14:paraId="033E4134" w14:textId="0658239D" w:rsidR="00246739" w:rsidRDefault="00246739" w:rsidP="00290A35">
      <w:pPr>
        <w:widowControl w:val="0"/>
        <w:spacing w:after="0" w:line="240" w:lineRule="auto"/>
        <w:rPr>
          <w:rFonts w:ascii="Arial" w:hAnsi="Arial" w:cs="Arial"/>
          <w:sz w:val="20"/>
          <w:szCs w:val="20"/>
        </w:rPr>
      </w:pPr>
    </w:p>
    <w:p w14:paraId="7E5AE898" w14:textId="009A06A6" w:rsidR="00246739" w:rsidRDefault="00246739" w:rsidP="00290A35">
      <w:pPr>
        <w:widowControl w:val="0"/>
        <w:spacing w:after="0" w:line="240" w:lineRule="auto"/>
        <w:rPr>
          <w:rFonts w:ascii="Arial" w:hAnsi="Arial" w:cs="Arial"/>
          <w:sz w:val="20"/>
          <w:szCs w:val="20"/>
        </w:rPr>
      </w:pPr>
    </w:p>
    <w:p w14:paraId="2FFDC72D" w14:textId="35CEDE05" w:rsidR="00246739" w:rsidRDefault="00246739" w:rsidP="00290A35">
      <w:pPr>
        <w:widowControl w:val="0"/>
        <w:spacing w:after="0" w:line="240" w:lineRule="auto"/>
        <w:rPr>
          <w:rFonts w:ascii="Arial" w:hAnsi="Arial" w:cs="Arial"/>
          <w:sz w:val="20"/>
          <w:szCs w:val="20"/>
        </w:rPr>
      </w:pPr>
    </w:p>
    <w:p w14:paraId="5C282E88" w14:textId="0C8E0F4C" w:rsidR="00246739" w:rsidRDefault="00246739" w:rsidP="00290A35">
      <w:pPr>
        <w:widowControl w:val="0"/>
        <w:spacing w:after="0" w:line="240" w:lineRule="auto"/>
        <w:rPr>
          <w:rFonts w:ascii="Arial" w:hAnsi="Arial" w:cs="Arial"/>
          <w:sz w:val="20"/>
          <w:szCs w:val="20"/>
        </w:rPr>
      </w:pPr>
    </w:p>
    <w:p w14:paraId="40ED7BB3" w14:textId="71AF587E" w:rsidR="00246739" w:rsidRDefault="00246739" w:rsidP="00290A35">
      <w:pPr>
        <w:widowControl w:val="0"/>
        <w:spacing w:after="0" w:line="240" w:lineRule="auto"/>
        <w:rPr>
          <w:rFonts w:ascii="Arial" w:hAnsi="Arial" w:cs="Arial"/>
          <w:sz w:val="20"/>
          <w:szCs w:val="20"/>
        </w:rPr>
      </w:pPr>
    </w:p>
    <w:p w14:paraId="6EE2CB23" w14:textId="0D97F72D" w:rsidR="00246739" w:rsidRDefault="00246739" w:rsidP="00290A35">
      <w:pPr>
        <w:widowControl w:val="0"/>
        <w:spacing w:after="0" w:line="240" w:lineRule="auto"/>
        <w:rPr>
          <w:rFonts w:ascii="Arial" w:hAnsi="Arial" w:cs="Arial"/>
          <w:sz w:val="20"/>
          <w:szCs w:val="20"/>
        </w:rPr>
      </w:pPr>
    </w:p>
    <w:p w14:paraId="19F23DC3" w14:textId="7D380F18" w:rsidR="00246739" w:rsidRDefault="00246739" w:rsidP="00290A35">
      <w:pPr>
        <w:widowControl w:val="0"/>
        <w:spacing w:after="0" w:line="240" w:lineRule="auto"/>
        <w:rPr>
          <w:rFonts w:ascii="Arial" w:hAnsi="Arial" w:cs="Arial"/>
          <w:sz w:val="20"/>
          <w:szCs w:val="20"/>
        </w:rPr>
      </w:pPr>
    </w:p>
    <w:p w14:paraId="6AA800D4" w14:textId="4A34C19F" w:rsidR="00246739" w:rsidRDefault="00246739" w:rsidP="00290A35">
      <w:pPr>
        <w:widowControl w:val="0"/>
        <w:spacing w:after="0" w:line="240" w:lineRule="auto"/>
        <w:rPr>
          <w:rFonts w:ascii="Arial" w:hAnsi="Arial" w:cs="Arial"/>
          <w:sz w:val="20"/>
          <w:szCs w:val="20"/>
        </w:rPr>
      </w:pPr>
    </w:p>
    <w:p w14:paraId="64F4CD39" w14:textId="1E71E318" w:rsidR="00246739" w:rsidRDefault="00246739" w:rsidP="00290A35">
      <w:pPr>
        <w:widowControl w:val="0"/>
        <w:spacing w:after="0" w:line="240" w:lineRule="auto"/>
        <w:rPr>
          <w:rFonts w:ascii="Arial" w:hAnsi="Arial" w:cs="Arial"/>
          <w:sz w:val="20"/>
          <w:szCs w:val="20"/>
        </w:rPr>
      </w:pPr>
    </w:p>
    <w:p w14:paraId="1221CBF7" w14:textId="359A77B5" w:rsidR="00246739" w:rsidRDefault="00246739" w:rsidP="00290A35">
      <w:pPr>
        <w:widowControl w:val="0"/>
        <w:spacing w:after="0" w:line="240" w:lineRule="auto"/>
        <w:rPr>
          <w:rFonts w:ascii="Arial" w:hAnsi="Arial" w:cs="Arial"/>
          <w:sz w:val="20"/>
          <w:szCs w:val="20"/>
        </w:rPr>
      </w:pPr>
    </w:p>
    <w:p w14:paraId="01EF1E58" w14:textId="4D6BC34D" w:rsidR="00246739" w:rsidRDefault="00246739" w:rsidP="00290A35">
      <w:pPr>
        <w:widowControl w:val="0"/>
        <w:spacing w:after="0" w:line="240" w:lineRule="auto"/>
        <w:rPr>
          <w:rFonts w:ascii="Arial" w:hAnsi="Arial" w:cs="Arial"/>
          <w:sz w:val="20"/>
          <w:szCs w:val="20"/>
        </w:rPr>
      </w:pPr>
    </w:p>
    <w:p w14:paraId="3A3036B2" w14:textId="66AF0D59" w:rsidR="00246739" w:rsidRDefault="00246739" w:rsidP="00290A35">
      <w:pPr>
        <w:widowControl w:val="0"/>
        <w:spacing w:after="0" w:line="240" w:lineRule="auto"/>
        <w:rPr>
          <w:rFonts w:ascii="Arial" w:hAnsi="Arial" w:cs="Arial"/>
          <w:sz w:val="20"/>
          <w:szCs w:val="20"/>
        </w:rPr>
      </w:pPr>
    </w:p>
    <w:p w14:paraId="64A0027F" w14:textId="698CA2F1" w:rsidR="00246739" w:rsidRDefault="00246739" w:rsidP="00290A35">
      <w:pPr>
        <w:widowControl w:val="0"/>
        <w:spacing w:after="0" w:line="240" w:lineRule="auto"/>
        <w:rPr>
          <w:rFonts w:ascii="Arial" w:hAnsi="Arial" w:cs="Arial"/>
          <w:sz w:val="20"/>
          <w:szCs w:val="20"/>
        </w:rPr>
      </w:pPr>
    </w:p>
    <w:p w14:paraId="5353EB77" w14:textId="557D0DFE" w:rsidR="00246739" w:rsidRDefault="00246739" w:rsidP="00290A35">
      <w:pPr>
        <w:widowControl w:val="0"/>
        <w:spacing w:after="0" w:line="240" w:lineRule="auto"/>
        <w:rPr>
          <w:rFonts w:ascii="Arial" w:hAnsi="Arial" w:cs="Arial"/>
          <w:sz w:val="20"/>
          <w:szCs w:val="20"/>
        </w:rPr>
      </w:pPr>
    </w:p>
    <w:p w14:paraId="398EBA57" w14:textId="338F791E" w:rsidR="00246739" w:rsidRDefault="00246739" w:rsidP="00290A35">
      <w:pPr>
        <w:widowControl w:val="0"/>
        <w:spacing w:after="0" w:line="240" w:lineRule="auto"/>
        <w:rPr>
          <w:rFonts w:ascii="Arial" w:hAnsi="Arial" w:cs="Arial"/>
          <w:sz w:val="20"/>
          <w:szCs w:val="20"/>
        </w:rPr>
      </w:pPr>
    </w:p>
    <w:p w14:paraId="222641C0" w14:textId="30B53207" w:rsidR="00246739" w:rsidRDefault="00246739" w:rsidP="00290A35">
      <w:pPr>
        <w:widowControl w:val="0"/>
        <w:spacing w:after="0" w:line="240" w:lineRule="auto"/>
        <w:rPr>
          <w:rFonts w:ascii="Arial" w:hAnsi="Arial" w:cs="Arial"/>
          <w:sz w:val="20"/>
          <w:szCs w:val="20"/>
        </w:rPr>
      </w:pPr>
    </w:p>
    <w:p w14:paraId="324CF0C3" w14:textId="4CBD47D9" w:rsidR="00246739" w:rsidRDefault="00246739" w:rsidP="00290A35">
      <w:pPr>
        <w:widowControl w:val="0"/>
        <w:spacing w:after="0" w:line="240" w:lineRule="auto"/>
        <w:rPr>
          <w:rFonts w:ascii="Arial" w:hAnsi="Arial" w:cs="Arial"/>
          <w:sz w:val="20"/>
          <w:szCs w:val="20"/>
        </w:rPr>
      </w:pPr>
    </w:p>
    <w:p w14:paraId="147A35F6" w14:textId="2F74E7F3" w:rsidR="00246739" w:rsidRDefault="00246739" w:rsidP="00290A35">
      <w:pPr>
        <w:widowControl w:val="0"/>
        <w:spacing w:after="0" w:line="240" w:lineRule="auto"/>
        <w:rPr>
          <w:rFonts w:ascii="Arial" w:hAnsi="Arial" w:cs="Arial"/>
          <w:sz w:val="20"/>
          <w:szCs w:val="20"/>
        </w:rPr>
      </w:pPr>
    </w:p>
    <w:p w14:paraId="32F316FE" w14:textId="32C5CD37" w:rsidR="00246739" w:rsidRDefault="00246739" w:rsidP="00290A35">
      <w:pPr>
        <w:widowControl w:val="0"/>
        <w:spacing w:after="0" w:line="240" w:lineRule="auto"/>
        <w:rPr>
          <w:rFonts w:ascii="Arial" w:hAnsi="Arial" w:cs="Arial"/>
          <w:sz w:val="20"/>
          <w:szCs w:val="20"/>
        </w:rPr>
      </w:pPr>
    </w:p>
    <w:p w14:paraId="695E80A2" w14:textId="6979B5E5" w:rsidR="00246739" w:rsidRDefault="00246739" w:rsidP="00290A35">
      <w:pPr>
        <w:widowControl w:val="0"/>
        <w:spacing w:after="0" w:line="240" w:lineRule="auto"/>
        <w:rPr>
          <w:rFonts w:ascii="Arial" w:hAnsi="Arial" w:cs="Arial"/>
          <w:sz w:val="20"/>
          <w:szCs w:val="20"/>
        </w:rPr>
      </w:pPr>
    </w:p>
    <w:p w14:paraId="7D43F35F" w14:textId="32DC73E8" w:rsidR="00246739" w:rsidRDefault="00246739" w:rsidP="00290A35">
      <w:pPr>
        <w:widowControl w:val="0"/>
        <w:spacing w:after="0" w:line="240" w:lineRule="auto"/>
        <w:rPr>
          <w:rFonts w:ascii="Arial" w:hAnsi="Arial" w:cs="Arial"/>
          <w:sz w:val="20"/>
          <w:szCs w:val="20"/>
        </w:rPr>
      </w:pPr>
    </w:p>
    <w:p w14:paraId="4E575071" w14:textId="06B5CBA2" w:rsidR="00246739" w:rsidRDefault="00246739" w:rsidP="00290A35">
      <w:pPr>
        <w:widowControl w:val="0"/>
        <w:spacing w:after="0" w:line="240" w:lineRule="auto"/>
        <w:rPr>
          <w:rFonts w:ascii="Arial" w:hAnsi="Arial" w:cs="Arial"/>
          <w:sz w:val="20"/>
          <w:szCs w:val="20"/>
        </w:rPr>
      </w:pPr>
    </w:p>
    <w:p w14:paraId="0751AB65" w14:textId="6328F53E" w:rsidR="00246739" w:rsidRDefault="00246739" w:rsidP="00290A35">
      <w:pPr>
        <w:widowControl w:val="0"/>
        <w:spacing w:after="0" w:line="240" w:lineRule="auto"/>
        <w:rPr>
          <w:rFonts w:ascii="Arial" w:hAnsi="Arial" w:cs="Arial"/>
          <w:sz w:val="20"/>
          <w:szCs w:val="20"/>
        </w:rPr>
      </w:pPr>
    </w:p>
    <w:p w14:paraId="3555242A" w14:textId="1E593487" w:rsidR="00246739" w:rsidRDefault="00246739" w:rsidP="00290A35">
      <w:pPr>
        <w:widowControl w:val="0"/>
        <w:spacing w:after="0" w:line="240" w:lineRule="auto"/>
        <w:rPr>
          <w:rFonts w:ascii="Arial" w:hAnsi="Arial" w:cs="Arial"/>
          <w:sz w:val="20"/>
          <w:szCs w:val="20"/>
        </w:rPr>
      </w:pPr>
    </w:p>
    <w:p w14:paraId="5F40EDA4" w14:textId="58E99B2C" w:rsidR="00246739" w:rsidRDefault="00246739" w:rsidP="00290A35">
      <w:pPr>
        <w:widowControl w:val="0"/>
        <w:spacing w:after="0" w:line="240" w:lineRule="auto"/>
        <w:rPr>
          <w:rFonts w:ascii="Arial" w:hAnsi="Arial" w:cs="Arial"/>
          <w:sz w:val="20"/>
          <w:szCs w:val="20"/>
        </w:rPr>
      </w:pPr>
    </w:p>
    <w:p w14:paraId="14F2C4B9" w14:textId="4071A999" w:rsidR="00246739" w:rsidRDefault="00246739" w:rsidP="00290A35">
      <w:pPr>
        <w:widowControl w:val="0"/>
        <w:spacing w:after="0" w:line="240" w:lineRule="auto"/>
        <w:rPr>
          <w:rFonts w:ascii="Arial" w:hAnsi="Arial" w:cs="Arial"/>
          <w:sz w:val="20"/>
          <w:szCs w:val="20"/>
        </w:rPr>
      </w:pPr>
    </w:p>
    <w:p w14:paraId="5AD4DE12" w14:textId="3358384C" w:rsidR="00246739" w:rsidRDefault="00246739" w:rsidP="00290A35">
      <w:pPr>
        <w:widowControl w:val="0"/>
        <w:spacing w:after="0" w:line="240" w:lineRule="auto"/>
        <w:rPr>
          <w:rFonts w:ascii="Arial" w:hAnsi="Arial" w:cs="Arial"/>
          <w:sz w:val="20"/>
          <w:szCs w:val="20"/>
        </w:rPr>
      </w:pPr>
    </w:p>
    <w:p w14:paraId="6A2ABDF0" w14:textId="77777777" w:rsidR="00D05FC3" w:rsidRDefault="00D05FC3" w:rsidP="00290A35">
      <w:pPr>
        <w:widowControl w:val="0"/>
        <w:spacing w:after="0" w:line="240" w:lineRule="auto"/>
        <w:rPr>
          <w:rFonts w:ascii="Arial" w:hAnsi="Arial" w:cs="Arial"/>
          <w:sz w:val="20"/>
          <w:szCs w:val="20"/>
        </w:rPr>
      </w:pPr>
    </w:p>
    <w:p w14:paraId="28CA1A7D" w14:textId="77777777" w:rsidR="00D05FC3" w:rsidRDefault="00D05FC3" w:rsidP="00290A35">
      <w:pPr>
        <w:widowControl w:val="0"/>
        <w:spacing w:after="0" w:line="240" w:lineRule="auto"/>
        <w:rPr>
          <w:rFonts w:ascii="Arial" w:hAnsi="Arial" w:cs="Arial"/>
          <w:sz w:val="20"/>
          <w:szCs w:val="20"/>
        </w:rPr>
      </w:pPr>
    </w:p>
    <w:p w14:paraId="5A749AB1" w14:textId="04C5869E" w:rsidR="00246739" w:rsidRPr="00D05FC3" w:rsidRDefault="00246739" w:rsidP="00290A35">
      <w:pPr>
        <w:widowControl w:val="0"/>
        <w:spacing w:after="0" w:line="240" w:lineRule="auto"/>
        <w:rPr>
          <w:rFonts w:ascii="Arial" w:hAnsi="Arial" w:cs="Arial"/>
          <w:b/>
          <w:bCs/>
          <w:sz w:val="20"/>
          <w:szCs w:val="20"/>
        </w:rPr>
      </w:pPr>
      <w:r w:rsidRPr="00D05FC3">
        <w:rPr>
          <w:rFonts w:ascii="Arial" w:hAnsi="Arial" w:cs="Arial"/>
          <w:b/>
          <w:bCs/>
          <w:sz w:val="20"/>
          <w:szCs w:val="20"/>
        </w:rPr>
        <w:lastRenderedPageBreak/>
        <w:t>Executive summary</w:t>
      </w:r>
    </w:p>
    <w:p w14:paraId="62CB4575" w14:textId="77777777" w:rsidR="00246739" w:rsidRPr="00246739" w:rsidRDefault="00246739" w:rsidP="00246739">
      <w:pPr>
        <w:widowControl w:val="0"/>
        <w:spacing w:after="0" w:line="240" w:lineRule="auto"/>
        <w:rPr>
          <w:rFonts w:ascii="Arial" w:hAnsi="Arial" w:cs="Arial"/>
          <w:sz w:val="20"/>
          <w:szCs w:val="20"/>
        </w:rPr>
      </w:pPr>
      <w:r w:rsidRPr="00246739">
        <w:rPr>
          <w:rFonts w:ascii="Arial" w:hAnsi="Arial" w:cs="Arial"/>
          <w:sz w:val="20"/>
          <w:szCs w:val="20"/>
        </w:rPr>
        <w:t>Fatal injuries at work are preventable. Information about where and how they occur is essential to develop effective prevention programs. This update provides an overview of fatal injuries at work that occurred in Massachusetts in 2018-2019 and includes details collected by both the Fatality Assessment and Control Evaluation (FACE) and the Census of Fatal Occupational Injuries (CFOI) projects. Included are deaths traditionally linked to the work environment such as falls, electrocutions, and exposure to toxic chemicals. Also included are workplace opioid overdoses, homicides and suicides, and motor vehicle-related fatalities that occurred during travel on the job. Deaths from occupational illnesses and heart attacks at work are excluded.</w:t>
      </w:r>
    </w:p>
    <w:p w14:paraId="2B34918A" w14:textId="77777777" w:rsidR="00246739" w:rsidRPr="00246739" w:rsidRDefault="00246739" w:rsidP="00246739">
      <w:pPr>
        <w:widowControl w:val="0"/>
        <w:spacing w:after="0" w:line="240" w:lineRule="auto"/>
        <w:rPr>
          <w:rFonts w:ascii="Arial" w:hAnsi="Arial" w:cs="Arial"/>
          <w:sz w:val="20"/>
          <w:szCs w:val="20"/>
        </w:rPr>
      </w:pPr>
    </w:p>
    <w:p w14:paraId="17C81756" w14:textId="76700AB9" w:rsidR="000A640C" w:rsidRPr="004B621F" w:rsidRDefault="00246739" w:rsidP="00DC1122">
      <w:pPr>
        <w:widowControl w:val="0"/>
        <w:spacing w:after="0" w:line="240" w:lineRule="auto"/>
        <w:rPr>
          <w:rFonts w:ascii="Arial" w:hAnsi="Arial" w:cs="Arial"/>
          <w:sz w:val="20"/>
          <w:szCs w:val="20"/>
        </w:rPr>
      </w:pPr>
      <w:r w:rsidRPr="00246739">
        <w:rPr>
          <w:rFonts w:ascii="Arial" w:hAnsi="Arial" w:cs="Arial"/>
          <w:sz w:val="20"/>
          <w:szCs w:val="20"/>
        </w:rPr>
        <w:t>When reporting statistics about fatal occupational injuries, it is important to acknowledge the individuals that these numbers represent. Continued efforts are needed to reduce both the human and economic tolls of preventable deaths at work in the Commonwealth. The surveillance findings presented here are intended to guide government, industry, labor, and community organizations in developing and implementing strategies to prevent similar tragedies in the future.</w:t>
      </w:r>
    </w:p>
    <w:p w14:paraId="33546923" w14:textId="4E9CA287" w:rsidR="00142950" w:rsidRPr="004B621F" w:rsidRDefault="00142950" w:rsidP="00AB770F">
      <w:pPr>
        <w:widowControl w:val="0"/>
        <w:spacing w:after="0" w:line="240" w:lineRule="auto"/>
        <w:rPr>
          <w:rFonts w:ascii="Arial" w:hAnsi="Arial" w:cs="Arial"/>
          <w:sz w:val="20"/>
          <w:szCs w:val="20"/>
        </w:rPr>
      </w:pPr>
    </w:p>
    <w:p w14:paraId="286F78B3" w14:textId="5D731EDA" w:rsidR="008B418D" w:rsidRPr="004B621F" w:rsidRDefault="008B418D" w:rsidP="00AB770F">
      <w:pPr>
        <w:widowControl w:val="0"/>
        <w:spacing w:after="0" w:line="240" w:lineRule="auto"/>
        <w:rPr>
          <w:rFonts w:ascii="Arial" w:hAnsi="Arial" w:cs="Arial"/>
          <w:b/>
          <w:sz w:val="20"/>
          <w:szCs w:val="20"/>
        </w:rPr>
      </w:pPr>
      <w:r w:rsidRPr="004B621F">
        <w:rPr>
          <w:rFonts w:ascii="Arial" w:hAnsi="Arial" w:cs="Arial"/>
          <w:b/>
          <w:sz w:val="20"/>
          <w:szCs w:val="20"/>
        </w:rPr>
        <w:t xml:space="preserve">Data Highlights </w:t>
      </w:r>
    </w:p>
    <w:p w14:paraId="7A4F6C1C" w14:textId="7BCE8C10" w:rsidR="00A31323" w:rsidRDefault="00246739" w:rsidP="00AB770F">
      <w:pPr>
        <w:widowControl w:val="0"/>
        <w:spacing w:after="0" w:line="240" w:lineRule="auto"/>
        <w:rPr>
          <w:rFonts w:ascii="Arial" w:hAnsi="Arial" w:cs="Arial"/>
          <w:sz w:val="20"/>
          <w:szCs w:val="20"/>
        </w:rPr>
      </w:pPr>
      <w:r>
        <w:rPr>
          <w:rFonts w:ascii="Arial" w:hAnsi="Arial" w:cs="Arial"/>
          <w:sz w:val="20"/>
          <w:szCs w:val="20"/>
        </w:rPr>
        <w:t>184</w:t>
      </w:r>
      <w:r w:rsidR="00A31323" w:rsidRPr="004B621F">
        <w:rPr>
          <w:rFonts w:ascii="Arial" w:hAnsi="Arial" w:cs="Arial"/>
          <w:sz w:val="20"/>
          <w:szCs w:val="20"/>
        </w:rPr>
        <w:t xml:space="preserve"> people died from workplace injuries in Massachusetts in 2018</w:t>
      </w:r>
      <w:r>
        <w:rPr>
          <w:rFonts w:ascii="Arial" w:hAnsi="Arial" w:cs="Arial"/>
          <w:sz w:val="20"/>
          <w:szCs w:val="20"/>
        </w:rPr>
        <w:t xml:space="preserve"> and 2019.</w:t>
      </w:r>
    </w:p>
    <w:p w14:paraId="3DE03607" w14:textId="77777777" w:rsidR="00246739" w:rsidRPr="004B621F" w:rsidRDefault="00246739" w:rsidP="00AB770F">
      <w:pPr>
        <w:widowControl w:val="0"/>
        <w:spacing w:after="0" w:line="240" w:lineRule="auto"/>
        <w:rPr>
          <w:rFonts w:ascii="Arial" w:hAnsi="Arial" w:cs="Arial"/>
          <w:sz w:val="20"/>
          <w:szCs w:val="20"/>
        </w:rPr>
      </w:pPr>
    </w:p>
    <w:p w14:paraId="6B58E3CD" w14:textId="5486DE24" w:rsidR="00A31323" w:rsidRPr="00246739" w:rsidRDefault="00A31323" w:rsidP="00246739">
      <w:pPr>
        <w:widowControl w:val="0"/>
        <w:spacing w:after="0" w:line="240" w:lineRule="auto"/>
        <w:rPr>
          <w:rFonts w:ascii="Arial" w:hAnsi="Arial" w:cs="Arial"/>
          <w:sz w:val="20"/>
          <w:szCs w:val="20"/>
        </w:rPr>
      </w:pPr>
      <w:r w:rsidRPr="00246739">
        <w:rPr>
          <w:rFonts w:ascii="Arial" w:hAnsi="Arial" w:cs="Arial"/>
          <w:sz w:val="20"/>
          <w:szCs w:val="20"/>
        </w:rPr>
        <w:t>The leading causes of fatal workplace injuries were:</w:t>
      </w:r>
    </w:p>
    <w:p w14:paraId="4DA65765" w14:textId="04434B70" w:rsidR="00A31323" w:rsidRPr="004B621F" w:rsidRDefault="00A14572" w:rsidP="00246739">
      <w:pPr>
        <w:pStyle w:val="ListParagraph"/>
        <w:widowControl w:val="0"/>
        <w:numPr>
          <w:ilvl w:val="0"/>
          <w:numId w:val="11"/>
        </w:numPr>
        <w:spacing w:after="0" w:line="240" w:lineRule="auto"/>
        <w:rPr>
          <w:rFonts w:ascii="Arial" w:hAnsi="Arial" w:cs="Arial"/>
          <w:sz w:val="20"/>
          <w:szCs w:val="20"/>
        </w:rPr>
      </w:pPr>
      <w:r w:rsidRPr="004B621F">
        <w:rPr>
          <w:rFonts w:ascii="Arial" w:hAnsi="Arial" w:cs="Arial"/>
          <w:sz w:val="20"/>
          <w:szCs w:val="20"/>
        </w:rPr>
        <w:t>Workplace overdose (</w:t>
      </w:r>
      <w:r w:rsidR="00A31323" w:rsidRPr="004B621F">
        <w:rPr>
          <w:rFonts w:ascii="Arial" w:hAnsi="Arial" w:cs="Arial"/>
          <w:sz w:val="20"/>
          <w:szCs w:val="20"/>
        </w:rPr>
        <w:t>n=</w:t>
      </w:r>
      <w:r w:rsidR="00246739">
        <w:rPr>
          <w:rFonts w:ascii="Arial" w:hAnsi="Arial" w:cs="Arial"/>
          <w:sz w:val="20"/>
          <w:szCs w:val="20"/>
        </w:rPr>
        <w:t>37</w:t>
      </w:r>
      <w:r w:rsidRPr="004B621F">
        <w:rPr>
          <w:rFonts w:ascii="Arial" w:hAnsi="Arial" w:cs="Arial"/>
          <w:sz w:val="20"/>
          <w:szCs w:val="20"/>
        </w:rPr>
        <w:t>)</w:t>
      </w:r>
    </w:p>
    <w:p w14:paraId="1D4268F1" w14:textId="430C2CF8" w:rsidR="00A31323" w:rsidRPr="004B621F" w:rsidRDefault="00A14572" w:rsidP="00246739">
      <w:pPr>
        <w:pStyle w:val="ListParagraph"/>
        <w:widowControl w:val="0"/>
        <w:numPr>
          <w:ilvl w:val="0"/>
          <w:numId w:val="11"/>
        </w:numPr>
        <w:spacing w:after="0" w:line="240" w:lineRule="auto"/>
        <w:rPr>
          <w:rFonts w:ascii="Arial" w:hAnsi="Arial" w:cs="Arial"/>
          <w:sz w:val="20"/>
          <w:szCs w:val="20"/>
        </w:rPr>
      </w:pPr>
      <w:r w:rsidRPr="004B621F">
        <w:rPr>
          <w:rFonts w:ascii="Arial" w:hAnsi="Arial" w:cs="Arial"/>
          <w:sz w:val="20"/>
          <w:szCs w:val="20"/>
        </w:rPr>
        <w:t>Fall to a lower level (</w:t>
      </w:r>
      <w:r w:rsidR="00A31323" w:rsidRPr="004B621F">
        <w:rPr>
          <w:rFonts w:ascii="Arial" w:hAnsi="Arial" w:cs="Arial"/>
          <w:sz w:val="20"/>
          <w:szCs w:val="20"/>
        </w:rPr>
        <w:t>n=</w:t>
      </w:r>
      <w:r w:rsidR="00246739">
        <w:rPr>
          <w:rFonts w:ascii="Arial" w:hAnsi="Arial" w:cs="Arial"/>
          <w:sz w:val="20"/>
          <w:szCs w:val="20"/>
        </w:rPr>
        <w:t>32</w:t>
      </w:r>
      <w:r w:rsidRPr="004B621F">
        <w:rPr>
          <w:rFonts w:ascii="Arial" w:hAnsi="Arial" w:cs="Arial"/>
          <w:sz w:val="20"/>
          <w:szCs w:val="20"/>
        </w:rPr>
        <w:t>)</w:t>
      </w:r>
    </w:p>
    <w:p w14:paraId="44B94D4D" w14:textId="75FD9A29" w:rsidR="00A31323" w:rsidRPr="004B621F" w:rsidRDefault="00A14572" w:rsidP="00246739">
      <w:pPr>
        <w:pStyle w:val="ListParagraph"/>
        <w:widowControl w:val="0"/>
        <w:numPr>
          <w:ilvl w:val="0"/>
          <w:numId w:val="11"/>
        </w:numPr>
        <w:spacing w:after="0" w:line="240" w:lineRule="auto"/>
        <w:rPr>
          <w:rFonts w:ascii="Arial" w:hAnsi="Arial" w:cs="Arial"/>
          <w:sz w:val="20"/>
          <w:szCs w:val="20"/>
        </w:rPr>
      </w:pPr>
      <w:r w:rsidRPr="004B621F">
        <w:rPr>
          <w:rFonts w:ascii="Arial" w:hAnsi="Arial" w:cs="Arial"/>
          <w:sz w:val="20"/>
          <w:szCs w:val="20"/>
        </w:rPr>
        <w:t>Roadway crash (</w:t>
      </w:r>
      <w:r w:rsidR="00A31323" w:rsidRPr="004B621F">
        <w:rPr>
          <w:rFonts w:ascii="Arial" w:hAnsi="Arial" w:cs="Arial"/>
          <w:sz w:val="20"/>
          <w:szCs w:val="20"/>
        </w:rPr>
        <w:t>n=</w:t>
      </w:r>
      <w:r w:rsidR="00246739">
        <w:rPr>
          <w:rFonts w:ascii="Arial" w:hAnsi="Arial" w:cs="Arial"/>
          <w:sz w:val="20"/>
          <w:szCs w:val="20"/>
        </w:rPr>
        <w:t>24</w:t>
      </w:r>
      <w:r w:rsidRPr="004B621F">
        <w:rPr>
          <w:rFonts w:ascii="Arial" w:hAnsi="Arial" w:cs="Arial"/>
          <w:sz w:val="20"/>
          <w:szCs w:val="20"/>
        </w:rPr>
        <w:t>)</w:t>
      </w:r>
    </w:p>
    <w:p w14:paraId="2629F418" w14:textId="765ABEC6" w:rsidR="00A31323" w:rsidRDefault="00A14572" w:rsidP="00246739">
      <w:pPr>
        <w:pStyle w:val="ListParagraph"/>
        <w:widowControl w:val="0"/>
        <w:numPr>
          <w:ilvl w:val="0"/>
          <w:numId w:val="11"/>
        </w:numPr>
        <w:spacing w:after="0" w:line="240" w:lineRule="auto"/>
        <w:rPr>
          <w:rFonts w:ascii="Arial" w:hAnsi="Arial" w:cs="Arial"/>
          <w:sz w:val="20"/>
          <w:szCs w:val="20"/>
        </w:rPr>
      </w:pPr>
      <w:r w:rsidRPr="004B621F">
        <w:rPr>
          <w:rFonts w:ascii="Arial" w:hAnsi="Arial" w:cs="Arial"/>
          <w:sz w:val="20"/>
          <w:szCs w:val="20"/>
        </w:rPr>
        <w:t>Workplace suicide (</w:t>
      </w:r>
      <w:r w:rsidR="00A31323" w:rsidRPr="004B621F">
        <w:rPr>
          <w:rFonts w:ascii="Arial" w:hAnsi="Arial" w:cs="Arial"/>
          <w:sz w:val="20"/>
          <w:szCs w:val="20"/>
        </w:rPr>
        <w:t>n=</w:t>
      </w:r>
      <w:r w:rsidR="00246739">
        <w:rPr>
          <w:rFonts w:ascii="Arial" w:hAnsi="Arial" w:cs="Arial"/>
          <w:sz w:val="20"/>
          <w:szCs w:val="20"/>
        </w:rPr>
        <w:t>16</w:t>
      </w:r>
      <w:r w:rsidRPr="004B621F">
        <w:rPr>
          <w:rFonts w:ascii="Arial" w:hAnsi="Arial" w:cs="Arial"/>
          <w:sz w:val="20"/>
          <w:szCs w:val="20"/>
        </w:rPr>
        <w:t>)</w:t>
      </w:r>
      <w:r w:rsidR="00A31323" w:rsidRPr="004B621F">
        <w:rPr>
          <w:rFonts w:ascii="Arial" w:hAnsi="Arial" w:cs="Arial"/>
          <w:sz w:val="20"/>
          <w:szCs w:val="20"/>
        </w:rPr>
        <w:t xml:space="preserve"> </w:t>
      </w:r>
    </w:p>
    <w:p w14:paraId="125599DC" w14:textId="748A4C0A" w:rsidR="00246739" w:rsidRPr="004B621F" w:rsidRDefault="00246739" w:rsidP="00246739">
      <w:pPr>
        <w:pStyle w:val="ListParagraph"/>
        <w:widowControl w:val="0"/>
        <w:numPr>
          <w:ilvl w:val="0"/>
          <w:numId w:val="11"/>
        </w:numPr>
        <w:spacing w:after="0" w:line="240" w:lineRule="auto"/>
        <w:rPr>
          <w:rFonts w:ascii="Arial" w:hAnsi="Arial" w:cs="Arial"/>
          <w:sz w:val="20"/>
          <w:szCs w:val="20"/>
        </w:rPr>
      </w:pPr>
      <w:r>
        <w:rPr>
          <w:rFonts w:ascii="Arial" w:hAnsi="Arial" w:cs="Arial"/>
          <w:sz w:val="20"/>
          <w:szCs w:val="20"/>
        </w:rPr>
        <w:t>Struck by falling object or equipment (n=11)</w:t>
      </w:r>
    </w:p>
    <w:p w14:paraId="57F46235" w14:textId="7BBC000C" w:rsidR="00A31323" w:rsidRPr="004B621F" w:rsidRDefault="00A14572" w:rsidP="00246739">
      <w:pPr>
        <w:pStyle w:val="ListParagraph"/>
        <w:widowControl w:val="0"/>
        <w:numPr>
          <w:ilvl w:val="0"/>
          <w:numId w:val="11"/>
        </w:numPr>
        <w:spacing w:after="0" w:line="240" w:lineRule="auto"/>
        <w:rPr>
          <w:rFonts w:ascii="Arial" w:hAnsi="Arial" w:cs="Arial"/>
          <w:sz w:val="20"/>
          <w:szCs w:val="20"/>
        </w:rPr>
      </w:pPr>
      <w:r w:rsidRPr="004B621F">
        <w:rPr>
          <w:rFonts w:ascii="Arial" w:hAnsi="Arial" w:cs="Arial"/>
          <w:sz w:val="20"/>
          <w:szCs w:val="20"/>
        </w:rPr>
        <w:t>Workplace homicide (</w:t>
      </w:r>
      <w:r w:rsidR="00A31323" w:rsidRPr="004B621F">
        <w:rPr>
          <w:rFonts w:ascii="Arial" w:hAnsi="Arial" w:cs="Arial"/>
          <w:sz w:val="20"/>
          <w:szCs w:val="20"/>
        </w:rPr>
        <w:t>n=</w:t>
      </w:r>
      <w:r w:rsidR="00246739">
        <w:rPr>
          <w:rFonts w:ascii="Arial" w:hAnsi="Arial" w:cs="Arial"/>
          <w:sz w:val="20"/>
          <w:szCs w:val="20"/>
        </w:rPr>
        <w:t>11</w:t>
      </w:r>
      <w:r w:rsidRPr="004B621F">
        <w:rPr>
          <w:rFonts w:ascii="Arial" w:hAnsi="Arial" w:cs="Arial"/>
          <w:sz w:val="20"/>
          <w:szCs w:val="20"/>
        </w:rPr>
        <w:t>)</w:t>
      </w:r>
    </w:p>
    <w:p w14:paraId="51AA1337" w14:textId="77777777" w:rsidR="00246739" w:rsidRDefault="00246739" w:rsidP="00246739">
      <w:pPr>
        <w:widowControl w:val="0"/>
        <w:spacing w:after="0" w:line="240" w:lineRule="auto"/>
        <w:rPr>
          <w:rFonts w:ascii="Arial" w:hAnsi="Arial" w:cs="Arial"/>
          <w:sz w:val="20"/>
          <w:szCs w:val="20"/>
        </w:rPr>
      </w:pPr>
    </w:p>
    <w:p w14:paraId="6FE0A3AC" w14:textId="17F3F55F" w:rsidR="00246739" w:rsidRPr="00246739" w:rsidRDefault="00A31323" w:rsidP="00246739">
      <w:pPr>
        <w:widowControl w:val="0"/>
        <w:spacing w:after="0" w:line="240" w:lineRule="auto"/>
        <w:rPr>
          <w:rFonts w:ascii="Arial" w:hAnsi="Arial" w:cs="Arial"/>
          <w:sz w:val="20"/>
          <w:szCs w:val="20"/>
        </w:rPr>
      </w:pPr>
      <w:r w:rsidRPr="00246739">
        <w:rPr>
          <w:rFonts w:ascii="Arial" w:hAnsi="Arial" w:cs="Arial"/>
          <w:sz w:val="20"/>
          <w:szCs w:val="20"/>
        </w:rPr>
        <w:t>Based on the rate of injury, the following workers had the highest risk of fatal injury:</w:t>
      </w:r>
    </w:p>
    <w:p w14:paraId="73C151E0" w14:textId="72FB9762" w:rsidR="00A31323" w:rsidRDefault="00A14572" w:rsidP="00246739">
      <w:pPr>
        <w:pStyle w:val="ListParagraph"/>
        <w:widowControl w:val="0"/>
        <w:numPr>
          <w:ilvl w:val="0"/>
          <w:numId w:val="11"/>
        </w:numPr>
        <w:spacing w:after="0" w:line="240" w:lineRule="auto"/>
        <w:rPr>
          <w:rFonts w:ascii="Arial" w:hAnsi="Arial" w:cs="Arial"/>
          <w:sz w:val="20"/>
          <w:szCs w:val="20"/>
        </w:rPr>
      </w:pPr>
      <w:r w:rsidRPr="004B621F">
        <w:rPr>
          <w:rFonts w:ascii="Arial" w:hAnsi="Arial" w:cs="Arial"/>
          <w:sz w:val="20"/>
          <w:szCs w:val="20"/>
        </w:rPr>
        <w:t>Fisher</w:t>
      </w:r>
      <w:r w:rsidR="00246739">
        <w:rPr>
          <w:rFonts w:ascii="Arial" w:hAnsi="Arial" w:cs="Arial"/>
          <w:sz w:val="20"/>
          <w:szCs w:val="20"/>
        </w:rPr>
        <w:t>s</w:t>
      </w:r>
      <w:r w:rsidRPr="004B621F">
        <w:rPr>
          <w:rFonts w:ascii="Arial" w:hAnsi="Arial" w:cs="Arial"/>
          <w:sz w:val="20"/>
          <w:szCs w:val="20"/>
        </w:rPr>
        <w:t xml:space="preserve"> and agricultural</w:t>
      </w:r>
      <w:r w:rsidR="00246739">
        <w:rPr>
          <w:rFonts w:ascii="Arial" w:hAnsi="Arial" w:cs="Arial"/>
          <w:sz w:val="20"/>
          <w:szCs w:val="20"/>
        </w:rPr>
        <w:t>:</w:t>
      </w:r>
      <w:r w:rsidR="00A31323" w:rsidRPr="004B621F">
        <w:rPr>
          <w:rFonts w:ascii="Arial" w:hAnsi="Arial" w:cs="Arial"/>
          <w:sz w:val="20"/>
          <w:szCs w:val="20"/>
        </w:rPr>
        <w:t xml:space="preserve"> </w:t>
      </w:r>
      <w:r w:rsidR="00246739">
        <w:rPr>
          <w:rFonts w:ascii="Arial" w:hAnsi="Arial" w:cs="Arial"/>
          <w:sz w:val="20"/>
          <w:szCs w:val="20"/>
        </w:rPr>
        <w:t>49</w:t>
      </w:r>
      <w:r w:rsidR="00246739" w:rsidRPr="004B621F">
        <w:rPr>
          <w:rFonts w:ascii="Arial" w:hAnsi="Arial" w:cs="Arial"/>
          <w:sz w:val="20"/>
          <w:szCs w:val="20"/>
        </w:rPr>
        <w:t>.</w:t>
      </w:r>
      <w:r w:rsidR="00246739">
        <w:rPr>
          <w:rFonts w:ascii="Arial" w:hAnsi="Arial" w:cs="Arial"/>
          <w:sz w:val="20"/>
          <w:szCs w:val="20"/>
        </w:rPr>
        <w:t>7</w:t>
      </w:r>
      <w:r w:rsidR="00246739" w:rsidRPr="004B621F">
        <w:rPr>
          <w:rFonts w:ascii="Arial" w:hAnsi="Arial" w:cs="Arial"/>
          <w:sz w:val="20"/>
          <w:szCs w:val="20"/>
        </w:rPr>
        <w:t>/100,000</w:t>
      </w:r>
    </w:p>
    <w:p w14:paraId="6AB4EF02" w14:textId="38EB71A1" w:rsidR="00246739" w:rsidRPr="00246739" w:rsidRDefault="00246739" w:rsidP="00246739">
      <w:pPr>
        <w:pStyle w:val="ListParagraph"/>
        <w:widowControl w:val="0"/>
        <w:numPr>
          <w:ilvl w:val="0"/>
          <w:numId w:val="11"/>
        </w:numPr>
        <w:spacing w:after="0" w:line="240" w:lineRule="auto"/>
        <w:rPr>
          <w:rFonts w:ascii="Arial" w:hAnsi="Arial" w:cs="Arial"/>
          <w:sz w:val="20"/>
          <w:szCs w:val="20"/>
        </w:rPr>
      </w:pPr>
      <w:r w:rsidRPr="004B621F">
        <w:rPr>
          <w:rFonts w:ascii="Arial" w:hAnsi="Arial" w:cs="Arial"/>
          <w:sz w:val="20"/>
          <w:szCs w:val="20"/>
        </w:rPr>
        <w:t>Landscaping</w:t>
      </w:r>
      <w:r>
        <w:rPr>
          <w:rFonts w:ascii="Arial" w:hAnsi="Arial" w:cs="Arial"/>
          <w:sz w:val="20"/>
          <w:szCs w:val="20"/>
        </w:rPr>
        <w:t>:</w:t>
      </w:r>
      <w:r w:rsidRPr="004B621F">
        <w:rPr>
          <w:rFonts w:ascii="Arial" w:hAnsi="Arial" w:cs="Arial"/>
          <w:sz w:val="20"/>
          <w:szCs w:val="20"/>
        </w:rPr>
        <w:t xml:space="preserve"> </w:t>
      </w:r>
      <w:r>
        <w:rPr>
          <w:rFonts w:ascii="Arial" w:hAnsi="Arial" w:cs="Arial"/>
          <w:sz w:val="20"/>
          <w:szCs w:val="20"/>
        </w:rPr>
        <w:t>28.6/100,000</w:t>
      </w:r>
    </w:p>
    <w:p w14:paraId="06DFFA12" w14:textId="769301D5" w:rsidR="00A31323" w:rsidRPr="004B621F" w:rsidRDefault="00A14572" w:rsidP="00246739">
      <w:pPr>
        <w:pStyle w:val="ListParagraph"/>
        <w:widowControl w:val="0"/>
        <w:numPr>
          <w:ilvl w:val="0"/>
          <w:numId w:val="11"/>
        </w:numPr>
        <w:spacing w:after="0" w:line="240" w:lineRule="auto"/>
        <w:rPr>
          <w:rFonts w:ascii="Arial" w:hAnsi="Arial" w:cs="Arial"/>
          <w:sz w:val="20"/>
          <w:szCs w:val="20"/>
        </w:rPr>
      </w:pPr>
      <w:r w:rsidRPr="004B621F">
        <w:rPr>
          <w:rFonts w:ascii="Arial" w:hAnsi="Arial" w:cs="Arial"/>
          <w:sz w:val="20"/>
          <w:szCs w:val="20"/>
        </w:rPr>
        <w:t>Construction</w:t>
      </w:r>
      <w:r w:rsidR="00246739">
        <w:rPr>
          <w:rFonts w:ascii="Arial" w:hAnsi="Arial" w:cs="Arial"/>
          <w:sz w:val="20"/>
          <w:szCs w:val="20"/>
        </w:rPr>
        <w:t>:</w:t>
      </w:r>
      <w:r w:rsidRPr="004B621F">
        <w:rPr>
          <w:rFonts w:ascii="Arial" w:hAnsi="Arial" w:cs="Arial"/>
          <w:sz w:val="20"/>
          <w:szCs w:val="20"/>
        </w:rPr>
        <w:t xml:space="preserve"> </w:t>
      </w:r>
      <w:r w:rsidR="00257F63" w:rsidRPr="004B621F">
        <w:rPr>
          <w:rFonts w:ascii="Arial" w:hAnsi="Arial" w:cs="Arial"/>
          <w:sz w:val="20"/>
          <w:szCs w:val="20"/>
        </w:rPr>
        <w:t>1</w:t>
      </w:r>
      <w:r w:rsidR="00E7037E">
        <w:rPr>
          <w:rFonts w:ascii="Arial" w:hAnsi="Arial" w:cs="Arial"/>
          <w:sz w:val="20"/>
          <w:szCs w:val="20"/>
        </w:rPr>
        <w:t>1</w:t>
      </w:r>
      <w:r w:rsidR="00257F63" w:rsidRPr="004B621F">
        <w:rPr>
          <w:rFonts w:ascii="Arial" w:hAnsi="Arial" w:cs="Arial"/>
          <w:sz w:val="20"/>
          <w:szCs w:val="20"/>
        </w:rPr>
        <w:t>.0</w:t>
      </w:r>
      <w:r w:rsidR="00A31323" w:rsidRPr="004B621F">
        <w:rPr>
          <w:rFonts w:ascii="Arial" w:hAnsi="Arial" w:cs="Arial"/>
          <w:sz w:val="20"/>
          <w:szCs w:val="20"/>
        </w:rPr>
        <w:t>/100,000</w:t>
      </w:r>
    </w:p>
    <w:p w14:paraId="7CAE8F54" w14:textId="02ADCE44" w:rsidR="00257F63" w:rsidRPr="004B621F" w:rsidRDefault="00A14572" w:rsidP="00246739">
      <w:pPr>
        <w:pStyle w:val="ListParagraph"/>
        <w:widowControl w:val="0"/>
        <w:numPr>
          <w:ilvl w:val="0"/>
          <w:numId w:val="11"/>
        </w:numPr>
        <w:spacing w:after="0" w:line="240" w:lineRule="auto"/>
        <w:rPr>
          <w:rFonts w:ascii="Arial" w:hAnsi="Arial" w:cs="Arial"/>
          <w:sz w:val="20"/>
          <w:szCs w:val="20"/>
        </w:rPr>
      </w:pPr>
      <w:r w:rsidRPr="004B621F">
        <w:rPr>
          <w:rFonts w:ascii="Arial" w:hAnsi="Arial" w:cs="Arial"/>
          <w:sz w:val="20"/>
          <w:szCs w:val="20"/>
        </w:rPr>
        <w:t>Transportation and material moving</w:t>
      </w:r>
      <w:r w:rsidR="00246739">
        <w:rPr>
          <w:rFonts w:ascii="Arial" w:hAnsi="Arial" w:cs="Arial"/>
          <w:sz w:val="20"/>
          <w:szCs w:val="20"/>
        </w:rPr>
        <w:t>:</w:t>
      </w:r>
      <w:r w:rsidRPr="004B621F">
        <w:rPr>
          <w:rFonts w:ascii="Arial" w:hAnsi="Arial" w:cs="Arial"/>
          <w:sz w:val="20"/>
          <w:szCs w:val="20"/>
        </w:rPr>
        <w:t xml:space="preserve"> </w:t>
      </w:r>
      <w:r w:rsidR="00083C52" w:rsidRPr="004B621F">
        <w:rPr>
          <w:rFonts w:ascii="Arial" w:hAnsi="Arial" w:cs="Arial"/>
          <w:sz w:val="20"/>
          <w:szCs w:val="20"/>
        </w:rPr>
        <w:t>9.</w:t>
      </w:r>
      <w:r w:rsidR="00E7037E">
        <w:rPr>
          <w:rFonts w:ascii="Arial" w:hAnsi="Arial" w:cs="Arial"/>
          <w:sz w:val="20"/>
          <w:szCs w:val="20"/>
        </w:rPr>
        <w:t>8</w:t>
      </w:r>
      <w:r w:rsidR="00A31323" w:rsidRPr="004B621F">
        <w:rPr>
          <w:rFonts w:ascii="Arial" w:hAnsi="Arial" w:cs="Arial"/>
          <w:sz w:val="20"/>
          <w:szCs w:val="20"/>
        </w:rPr>
        <w:t>/100,000</w:t>
      </w:r>
    </w:p>
    <w:p w14:paraId="4FBD8B84" w14:textId="77777777" w:rsidR="00257F63" w:rsidRPr="004B621F" w:rsidRDefault="00257F63" w:rsidP="008E6BFE">
      <w:pPr>
        <w:widowControl w:val="0"/>
        <w:spacing w:after="0" w:line="240" w:lineRule="auto"/>
        <w:rPr>
          <w:rFonts w:ascii="Arial" w:hAnsi="Arial" w:cs="Arial"/>
          <w:sz w:val="20"/>
          <w:szCs w:val="20"/>
        </w:rPr>
      </w:pPr>
    </w:p>
    <w:p w14:paraId="4EB7C71D" w14:textId="1C365DF3" w:rsidR="006D1F7E" w:rsidRPr="004B621F" w:rsidRDefault="006D1F7E" w:rsidP="008E6BFE">
      <w:pPr>
        <w:widowControl w:val="0"/>
        <w:spacing w:after="0" w:line="240" w:lineRule="auto"/>
        <w:rPr>
          <w:rFonts w:ascii="Arial" w:hAnsi="Arial" w:cs="Arial"/>
          <w:b/>
          <w:sz w:val="20"/>
          <w:szCs w:val="20"/>
        </w:rPr>
      </w:pPr>
      <w:r w:rsidRPr="004B621F">
        <w:rPr>
          <w:rFonts w:ascii="Arial" w:hAnsi="Arial" w:cs="Arial"/>
          <w:b/>
          <w:sz w:val="20"/>
          <w:szCs w:val="20"/>
        </w:rPr>
        <w:t xml:space="preserve">Prevention in Massachusetts </w:t>
      </w:r>
    </w:p>
    <w:p w14:paraId="6AC76511" w14:textId="77777777" w:rsidR="00E7037E" w:rsidRPr="00E7037E" w:rsidRDefault="00E7037E" w:rsidP="008E6BFE">
      <w:pPr>
        <w:pStyle w:val="ListParagraph"/>
        <w:widowControl w:val="0"/>
        <w:numPr>
          <w:ilvl w:val="0"/>
          <w:numId w:val="12"/>
        </w:numPr>
        <w:spacing w:after="0" w:line="240" w:lineRule="auto"/>
        <w:rPr>
          <w:rFonts w:ascii="Arial" w:hAnsi="Arial" w:cs="Arial"/>
          <w:b/>
          <w:sz w:val="20"/>
          <w:szCs w:val="20"/>
        </w:rPr>
      </w:pPr>
      <w:proofErr w:type="gramStart"/>
      <w:r w:rsidRPr="00E7037E">
        <w:rPr>
          <w:rFonts w:ascii="Arial" w:eastAsia="Arial" w:hAnsi="Arial" w:cs="Arial"/>
          <w:color w:val="000000" w:themeColor="text1"/>
          <w:sz w:val="20"/>
          <w:szCs w:val="20"/>
        </w:rPr>
        <w:t>Similar to</w:t>
      </w:r>
      <w:proofErr w:type="gramEnd"/>
      <w:r w:rsidRPr="00E7037E">
        <w:rPr>
          <w:rFonts w:ascii="Arial" w:eastAsia="Arial" w:hAnsi="Arial" w:cs="Arial"/>
          <w:color w:val="000000" w:themeColor="text1"/>
          <w:sz w:val="20"/>
          <w:szCs w:val="20"/>
        </w:rPr>
        <w:t xml:space="preserve"> recent years, unintentional overdose at work was the single leading cause of fatal injury at work in 2018-2019, resulting in one fifth of all deaths (n=37). The Occupational Health Surveillance Program (OHSP) is currently working with workplace health and safety stakeholders and substance addiction service providers to provide opioid awareness peer training for high-risk worker groups and to identify additional opportunities to implement worker-oriented opioid overdose prevention strategies. In addition, OHSP is building on a report released in 2018 that analyzed opioid overdoses by industry and occupation from 2011 to 2015, which found that certain groups (notably, workers in construction and fishing) were at higher risk for overdose (https://www.mass.gov /lists/ </w:t>
      </w:r>
      <w:proofErr w:type="spellStart"/>
      <w:r w:rsidRPr="00E7037E">
        <w:rPr>
          <w:rFonts w:ascii="Arial" w:eastAsia="Arial" w:hAnsi="Arial" w:cs="Arial"/>
          <w:color w:val="000000" w:themeColor="text1"/>
          <w:sz w:val="20"/>
          <w:szCs w:val="20"/>
        </w:rPr>
        <w:t>occupational-health-special-topics#opioids-and-work</w:t>
      </w:r>
      <w:proofErr w:type="spellEnd"/>
      <w:r w:rsidRPr="00E7037E">
        <w:rPr>
          <w:rFonts w:ascii="Arial" w:eastAsia="Arial" w:hAnsi="Arial" w:cs="Arial"/>
          <w:color w:val="000000" w:themeColor="text1"/>
          <w:sz w:val="20"/>
          <w:szCs w:val="20"/>
        </w:rPr>
        <w:t xml:space="preserve">-). This is in the process of being updated to include more recent years of data. </w:t>
      </w:r>
    </w:p>
    <w:p w14:paraId="61DC2312" w14:textId="77777777" w:rsidR="00E7037E" w:rsidRPr="00E7037E" w:rsidRDefault="00E7037E" w:rsidP="008E6BFE">
      <w:pPr>
        <w:pStyle w:val="ListParagraph"/>
        <w:widowControl w:val="0"/>
        <w:numPr>
          <w:ilvl w:val="0"/>
          <w:numId w:val="12"/>
        </w:numPr>
        <w:spacing w:after="0" w:line="240" w:lineRule="auto"/>
        <w:rPr>
          <w:rFonts w:ascii="Arial" w:hAnsi="Arial" w:cs="Arial"/>
          <w:b/>
          <w:sz w:val="20"/>
          <w:szCs w:val="20"/>
        </w:rPr>
      </w:pPr>
      <w:r w:rsidRPr="00E7037E">
        <w:rPr>
          <w:rFonts w:ascii="Arial" w:eastAsia="Arial" w:hAnsi="Arial" w:cs="Arial"/>
          <w:color w:val="000000" w:themeColor="text1"/>
          <w:sz w:val="20"/>
          <w:szCs w:val="20"/>
        </w:rPr>
        <w:t xml:space="preserve">Falls to a lower level continue to be a leading cause of workplace death in Massachusetts.  Each year, OHSP supports the national Campaign to Prevent Falls in Construction by providing local outreach to relevant groups in Massachusetts.  New safety handouts, videos, and materials for toolbox talks are available from this </w:t>
      </w:r>
      <w:proofErr w:type="gramStart"/>
      <w:r w:rsidRPr="00E7037E">
        <w:rPr>
          <w:rFonts w:ascii="Arial" w:eastAsia="Arial" w:hAnsi="Arial" w:cs="Arial"/>
          <w:color w:val="000000" w:themeColor="text1"/>
          <w:sz w:val="20"/>
          <w:szCs w:val="20"/>
        </w:rPr>
        <w:t>site:www.stopconstructionfalls.com</w:t>
      </w:r>
      <w:proofErr w:type="gramEnd"/>
      <w:r w:rsidRPr="00E7037E">
        <w:rPr>
          <w:rFonts w:ascii="Arial" w:eastAsia="Arial" w:hAnsi="Arial" w:cs="Arial"/>
          <w:color w:val="000000" w:themeColor="text1"/>
          <w:sz w:val="20"/>
          <w:szCs w:val="20"/>
        </w:rPr>
        <w:t xml:space="preserve">. </w:t>
      </w:r>
    </w:p>
    <w:p w14:paraId="331A0F51" w14:textId="60640319" w:rsidR="00E7037E" w:rsidRPr="00A24E99" w:rsidRDefault="00E7037E" w:rsidP="008E6BFE">
      <w:pPr>
        <w:pStyle w:val="ListParagraph"/>
        <w:widowControl w:val="0"/>
        <w:numPr>
          <w:ilvl w:val="0"/>
          <w:numId w:val="12"/>
        </w:numPr>
        <w:spacing w:after="0" w:line="240" w:lineRule="auto"/>
        <w:rPr>
          <w:rFonts w:ascii="Arial" w:hAnsi="Arial" w:cs="Arial"/>
          <w:b/>
          <w:sz w:val="20"/>
          <w:szCs w:val="20"/>
        </w:rPr>
      </w:pPr>
      <w:r w:rsidRPr="00E7037E">
        <w:rPr>
          <w:rFonts w:ascii="Arial" w:eastAsia="Arial" w:hAnsi="Arial" w:cs="Arial"/>
          <w:color w:val="000000" w:themeColor="text1"/>
          <w:sz w:val="20"/>
          <w:szCs w:val="20"/>
        </w:rPr>
        <w:t xml:space="preserve">OHSP conducts in-depth investigations on select workplace fatalities through the FACE program. These investigations lead to detailed reports documenting the contributing factors of the </w:t>
      </w:r>
      <w:proofErr w:type="gramStart"/>
      <w:r w:rsidRPr="00E7037E">
        <w:rPr>
          <w:rFonts w:ascii="Arial" w:eastAsia="Arial" w:hAnsi="Arial" w:cs="Arial"/>
          <w:color w:val="000000" w:themeColor="text1"/>
          <w:sz w:val="20"/>
          <w:szCs w:val="20"/>
        </w:rPr>
        <w:t>event, and</w:t>
      </w:r>
      <w:proofErr w:type="gramEnd"/>
      <w:r w:rsidRPr="00E7037E">
        <w:rPr>
          <w:rFonts w:ascii="Arial" w:eastAsia="Arial" w:hAnsi="Arial" w:cs="Arial"/>
          <w:color w:val="000000" w:themeColor="text1"/>
          <w:sz w:val="20"/>
          <w:szCs w:val="20"/>
        </w:rPr>
        <w:t xml:space="preserve"> providing recommendations that aim to prevent similar occurrences from happening in the future. A few of these investigations are highlighted in the report below. More can be found at: https://www.mass.gov /resource/fatality-case-reports.</w:t>
      </w:r>
    </w:p>
    <w:p w14:paraId="2FA673AF" w14:textId="77777777" w:rsidR="00A553E6" w:rsidRDefault="00A553E6" w:rsidP="008E6BFE">
      <w:pPr>
        <w:rPr>
          <w:rFonts w:ascii="Arial" w:hAnsi="Arial" w:cs="Arial"/>
          <w:sz w:val="20"/>
          <w:szCs w:val="20"/>
        </w:rPr>
      </w:pPr>
    </w:p>
    <w:p w14:paraId="6D65541A" w14:textId="5D375AE2" w:rsidR="00A14572" w:rsidRPr="00D05FC3" w:rsidRDefault="00E7037E" w:rsidP="008E6BFE">
      <w:pPr>
        <w:rPr>
          <w:rFonts w:ascii="Arial" w:hAnsi="Arial" w:cs="Arial"/>
          <w:b/>
          <w:bCs/>
          <w:sz w:val="20"/>
          <w:szCs w:val="20"/>
        </w:rPr>
      </w:pPr>
      <w:r w:rsidRPr="00D05FC3">
        <w:rPr>
          <w:rFonts w:ascii="Arial" w:hAnsi="Arial" w:cs="Arial"/>
          <w:b/>
          <w:bCs/>
          <w:sz w:val="20"/>
          <w:szCs w:val="20"/>
        </w:rPr>
        <w:lastRenderedPageBreak/>
        <w:t>Overview of Findings</w:t>
      </w:r>
    </w:p>
    <w:p w14:paraId="34A7ED26" w14:textId="65D9AEB2" w:rsidR="00E7037E" w:rsidRPr="00E7037E" w:rsidRDefault="00E7037E" w:rsidP="00E7037E">
      <w:pPr>
        <w:rPr>
          <w:rFonts w:ascii="Arial" w:hAnsi="Arial" w:cs="Arial"/>
          <w:sz w:val="20"/>
          <w:szCs w:val="20"/>
        </w:rPr>
      </w:pPr>
      <w:r w:rsidRPr="00E7037E">
        <w:rPr>
          <w:rFonts w:ascii="Arial" w:hAnsi="Arial" w:cs="Arial"/>
          <w:sz w:val="20"/>
          <w:szCs w:val="20"/>
        </w:rPr>
        <w:t>Fatal injuries at work are preventable. Information about where and how they occur is essential to develop effective prevention programs. This update provides an overview of fatal injuries at work that occurred in Massachusetts in 2018-2019 and includes details collected by both the Fatality Assessment and Control Evaluation (FACE) and the Census of Fatal Occupational Injuries (CFOI) projects. Included are deaths traditionally linked to the work environment such as falls, electrocutions, and exposure to toxic chemicals. Also included are workplace opioids overdoses, homicides and suicides and motor vehicle-related fatalities that occurred during travel on the job. Deaths from occupational illnesses and heart attacks at work are excluded.</w:t>
      </w:r>
    </w:p>
    <w:p w14:paraId="31E384AF" w14:textId="3892260A" w:rsidR="00E7037E" w:rsidRDefault="00E7037E" w:rsidP="00E7037E">
      <w:pPr>
        <w:rPr>
          <w:rFonts w:ascii="Arial" w:hAnsi="Arial" w:cs="Arial"/>
          <w:sz w:val="20"/>
          <w:szCs w:val="20"/>
        </w:rPr>
      </w:pPr>
      <w:r w:rsidRPr="00E7037E">
        <w:rPr>
          <w:rFonts w:ascii="Arial" w:hAnsi="Arial" w:cs="Arial"/>
          <w:sz w:val="20"/>
          <w:szCs w:val="20"/>
        </w:rPr>
        <w:t>When reporting statistics about fatal occupational injuries, it is important to acknowledge the individuals that these numbers represent. Continued efforts are needed to reduce both the human and economic tolls of preventable deaths at work in the Commonwealth. The surveillance findings presented here are intended to guide government, industry, labor, and community organizations in developing and implementing strategies to prevent similar tragedies in the future.</w:t>
      </w:r>
    </w:p>
    <w:p w14:paraId="59CA27EC" w14:textId="14183AA6" w:rsidR="00E7037E" w:rsidRDefault="00E7037E" w:rsidP="00E7037E">
      <w:pPr>
        <w:rPr>
          <w:rFonts w:ascii="Arial" w:hAnsi="Arial" w:cs="Arial"/>
          <w:sz w:val="20"/>
          <w:szCs w:val="20"/>
        </w:rPr>
      </w:pPr>
      <w:r>
        <w:rPr>
          <w:rFonts w:ascii="Arial" w:hAnsi="Arial" w:cs="Arial"/>
          <w:sz w:val="20"/>
          <w:szCs w:val="20"/>
        </w:rPr>
        <w:t xml:space="preserve">184 workers </w:t>
      </w:r>
      <w:proofErr w:type="spellStart"/>
      <w:r w:rsidRPr="00E7037E">
        <w:rPr>
          <w:rFonts w:ascii="Arial" w:hAnsi="Arial" w:cs="Arial"/>
          <w:sz w:val="20"/>
          <w:szCs w:val="20"/>
        </w:rPr>
        <w:t>workers</w:t>
      </w:r>
      <w:proofErr w:type="spellEnd"/>
      <w:r w:rsidRPr="00E7037E">
        <w:rPr>
          <w:rFonts w:ascii="Arial" w:hAnsi="Arial" w:cs="Arial"/>
          <w:sz w:val="20"/>
          <w:szCs w:val="20"/>
        </w:rPr>
        <w:t xml:space="preserve"> died from injuries in 2018-2019</w:t>
      </w:r>
      <w:r>
        <w:rPr>
          <w:rFonts w:ascii="Arial" w:hAnsi="Arial" w:cs="Arial"/>
          <w:sz w:val="20"/>
          <w:szCs w:val="20"/>
        </w:rPr>
        <w:t>.</w:t>
      </w:r>
    </w:p>
    <w:p w14:paraId="008EA7BC" w14:textId="45A8AC8A" w:rsidR="00E7037E" w:rsidRDefault="00E7037E" w:rsidP="00E7037E">
      <w:pPr>
        <w:rPr>
          <w:rFonts w:ascii="Arial" w:hAnsi="Arial" w:cs="Arial"/>
          <w:sz w:val="20"/>
          <w:szCs w:val="20"/>
        </w:rPr>
      </w:pPr>
      <w:r w:rsidRPr="00E7037E">
        <w:rPr>
          <w:rFonts w:ascii="Arial" w:hAnsi="Arial" w:cs="Arial"/>
          <w:sz w:val="20"/>
          <w:szCs w:val="20"/>
        </w:rPr>
        <w:t>What were the leading causes?</w:t>
      </w:r>
    </w:p>
    <w:p w14:paraId="6D26D902" w14:textId="77777777" w:rsidR="00E7037E" w:rsidRPr="00E7037E" w:rsidRDefault="00E7037E" w:rsidP="00E7037E">
      <w:pPr>
        <w:pStyle w:val="ListParagraph"/>
        <w:numPr>
          <w:ilvl w:val="0"/>
          <w:numId w:val="22"/>
        </w:numPr>
        <w:rPr>
          <w:rFonts w:ascii="Arial" w:hAnsi="Arial" w:cs="Arial"/>
          <w:sz w:val="20"/>
          <w:szCs w:val="20"/>
        </w:rPr>
      </w:pPr>
      <w:r w:rsidRPr="00E7037E">
        <w:rPr>
          <w:rFonts w:ascii="Arial" w:hAnsi="Arial" w:cs="Arial"/>
          <w:sz w:val="20"/>
          <w:szCs w:val="20"/>
        </w:rPr>
        <w:t>Workplace overdose (n=37)</w:t>
      </w:r>
    </w:p>
    <w:p w14:paraId="066005D6" w14:textId="77777777" w:rsidR="00E7037E" w:rsidRPr="00E7037E" w:rsidRDefault="00E7037E" w:rsidP="00E7037E">
      <w:pPr>
        <w:pStyle w:val="ListParagraph"/>
        <w:numPr>
          <w:ilvl w:val="0"/>
          <w:numId w:val="22"/>
        </w:numPr>
        <w:rPr>
          <w:rFonts w:ascii="Arial" w:hAnsi="Arial" w:cs="Arial"/>
          <w:sz w:val="20"/>
          <w:szCs w:val="20"/>
        </w:rPr>
      </w:pPr>
      <w:r w:rsidRPr="00E7037E">
        <w:rPr>
          <w:rFonts w:ascii="Arial" w:hAnsi="Arial" w:cs="Arial"/>
          <w:sz w:val="20"/>
          <w:szCs w:val="20"/>
        </w:rPr>
        <w:t>Fall to a lower level (n=32)</w:t>
      </w:r>
    </w:p>
    <w:p w14:paraId="2CCC89A2" w14:textId="77777777" w:rsidR="00E7037E" w:rsidRPr="00E7037E" w:rsidRDefault="00E7037E" w:rsidP="00E7037E">
      <w:pPr>
        <w:pStyle w:val="ListParagraph"/>
        <w:numPr>
          <w:ilvl w:val="0"/>
          <w:numId w:val="22"/>
        </w:numPr>
        <w:rPr>
          <w:rFonts w:ascii="Arial" w:hAnsi="Arial" w:cs="Arial"/>
          <w:sz w:val="20"/>
          <w:szCs w:val="20"/>
        </w:rPr>
      </w:pPr>
      <w:r w:rsidRPr="00E7037E">
        <w:rPr>
          <w:rFonts w:ascii="Arial" w:hAnsi="Arial" w:cs="Arial"/>
          <w:sz w:val="20"/>
          <w:szCs w:val="20"/>
        </w:rPr>
        <w:t>Roadway crash (n=24)</w:t>
      </w:r>
    </w:p>
    <w:p w14:paraId="3DC8C9BE" w14:textId="77777777" w:rsidR="00E7037E" w:rsidRPr="00E7037E" w:rsidRDefault="00E7037E" w:rsidP="00E7037E">
      <w:pPr>
        <w:pStyle w:val="ListParagraph"/>
        <w:numPr>
          <w:ilvl w:val="0"/>
          <w:numId w:val="22"/>
        </w:numPr>
        <w:rPr>
          <w:rFonts w:ascii="Arial" w:hAnsi="Arial" w:cs="Arial"/>
          <w:sz w:val="20"/>
          <w:szCs w:val="20"/>
        </w:rPr>
      </w:pPr>
      <w:r w:rsidRPr="00E7037E">
        <w:rPr>
          <w:rFonts w:ascii="Arial" w:hAnsi="Arial" w:cs="Arial"/>
          <w:sz w:val="20"/>
          <w:szCs w:val="20"/>
        </w:rPr>
        <w:t>Workplace suicide (n=16)</w:t>
      </w:r>
    </w:p>
    <w:p w14:paraId="5AF05936" w14:textId="77777777" w:rsidR="00E7037E" w:rsidRPr="00E7037E" w:rsidRDefault="00E7037E" w:rsidP="00E7037E">
      <w:pPr>
        <w:pStyle w:val="ListParagraph"/>
        <w:numPr>
          <w:ilvl w:val="0"/>
          <w:numId w:val="22"/>
        </w:numPr>
        <w:rPr>
          <w:rFonts w:ascii="Arial" w:hAnsi="Arial" w:cs="Arial"/>
          <w:sz w:val="20"/>
          <w:szCs w:val="20"/>
        </w:rPr>
      </w:pPr>
      <w:r w:rsidRPr="00E7037E">
        <w:rPr>
          <w:rFonts w:ascii="Arial" w:hAnsi="Arial" w:cs="Arial"/>
          <w:sz w:val="20"/>
          <w:szCs w:val="20"/>
        </w:rPr>
        <w:t>Struck by falling object or equipment (n=11)</w:t>
      </w:r>
    </w:p>
    <w:p w14:paraId="72F00E76" w14:textId="2B7B023B" w:rsidR="00E7037E" w:rsidRDefault="00E7037E" w:rsidP="00E7037E">
      <w:pPr>
        <w:pStyle w:val="ListParagraph"/>
        <w:numPr>
          <w:ilvl w:val="0"/>
          <w:numId w:val="22"/>
        </w:numPr>
        <w:rPr>
          <w:rFonts w:ascii="Arial" w:hAnsi="Arial" w:cs="Arial"/>
          <w:sz w:val="20"/>
          <w:szCs w:val="20"/>
        </w:rPr>
      </w:pPr>
      <w:r w:rsidRPr="00E7037E">
        <w:rPr>
          <w:rFonts w:ascii="Arial" w:hAnsi="Arial" w:cs="Arial"/>
          <w:sz w:val="20"/>
          <w:szCs w:val="20"/>
        </w:rPr>
        <w:t>Workplace homicide (n=11)</w:t>
      </w:r>
    </w:p>
    <w:p w14:paraId="6A9D75B2" w14:textId="1B995EB8" w:rsidR="00E7037E" w:rsidRPr="00E7037E" w:rsidRDefault="00E7037E" w:rsidP="00E7037E">
      <w:pPr>
        <w:rPr>
          <w:rFonts w:ascii="Arial" w:hAnsi="Arial" w:cs="Arial"/>
          <w:sz w:val="20"/>
          <w:szCs w:val="20"/>
        </w:rPr>
      </w:pPr>
      <w:r w:rsidRPr="00E7037E">
        <w:rPr>
          <w:rFonts w:ascii="Arial" w:hAnsi="Arial" w:cs="Arial"/>
          <w:sz w:val="20"/>
          <w:szCs w:val="20"/>
        </w:rPr>
        <w:t>Who was at highest risk?</w:t>
      </w:r>
      <w:r>
        <w:rPr>
          <w:rFonts w:ascii="Arial" w:hAnsi="Arial" w:cs="Arial"/>
          <w:sz w:val="20"/>
          <w:szCs w:val="20"/>
        </w:rPr>
        <w:br/>
      </w:r>
      <w:r w:rsidRPr="00E7037E">
        <w:rPr>
          <w:rFonts w:ascii="Arial" w:hAnsi="Arial" w:cs="Arial"/>
          <w:sz w:val="20"/>
          <w:szCs w:val="20"/>
        </w:rPr>
        <w:t xml:space="preserve">(ordered by rate of injury) </w:t>
      </w:r>
    </w:p>
    <w:p w14:paraId="35B92ADF" w14:textId="77777777" w:rsidR="00E7037E" w:rsidRPr="00E7037E" w:rsidRDefault="00E7037E" w:rsidP="00E7037E">
      <w:pPr>
        <w:pStyle w:val="ListParagraph"/>
        <w:numPr>
          <w:ilvl w:val="0"/>
          <w:numId w:val="23"/>
        </w:numPr>
        <w:rPr>
          <w:rFonts w:ascii="Arial" w:hAnsi="Arial" w:cs="Arial"/>
          <w:sz w:val="20"/>
          <w:szCs w:val="20"/>
        </w:rPr>
      </w:pPr>
      <w:r w:rsidRPr="00E7037E">
        <w:rPr>
          <w:rFonts w:ascii="Arial" w:hAnsi="Arial" w:cs="Arial"/>
          <w:sz w:val="20"/>
          <w:szCs w:val="20"/>
        </w:rPr>
        <w:t>Fishing and agricultural: 49.7/100,000 workers</w:t>
      </w:r>
    </w:p>
    <w:p w14:paraId="1BAE747F" w14:textId="77777777" w:rsidR="00E7037E" w:rsidRPr="00E7037E" w:rsidRDefault="00E7037E" w:rsidP="00E7037E">
      <w:pPr>
        <w:pStyle w:val="ListParagraph"/>
        <w:numPr>
          <w:ilvl w:val="0"/>
          <w:numId w:val="23"/>
        </w:numPr>
        <w:rPr>
          <w:rFonts w:ascii="Arial" w:hAnsi="Arial" w:cs="Arial"/>
          <w:sz w:val="20"/>
          <w:szCs w:val="20"/>
        </w:rPr>
      </w:pPr>
      <w:r w:rsidRPr="00E7037E">
        <w:rPr>
          <w:rFonts w:ascii="Arial" w:hAnsi="Arial" w:cs="Arial"/>
          <w:sz w:val="20"/>
          <w:szCs w:val="20"/>
        </w:rPr>
        <w:t>Landscaping: 28.6/100,000 workers</w:t>
      </w:r>
    </w:p>
    <w:p w14:paraId="0EB7EA8E" w14:textId="77777777" w:rsidR="00E7037E" w:rsidRPr="00E7037E" w:rsidRDefault="00E7037E" w:rsidP="00E7037E">
      <w:pPr>
        <w:pStyle w:val="ListParagraph"/>
        <w:numPr>
          <w:ilvl w:val="0"/>
          <w:numId w:val="23"/>
        </w:numPr>
        <w:rPr>
          <w:rFonts w:ascii="Arial" w:hAnsi="Arial" w:cs="Arial"/>
          <w:sz w:val="20"/>
          <w:szCs w:val="20"/>
        </w:rPr>
      </w:pPr>
      <w:r w:rsidRPr="00E7037E">
        <w:rPr>
          <w:rFonts w:ascii="Arial" w:hAnsi="Arial" w:cs="Arial"/>
          <w:sz w:val="20"/>
          <w:szCs w:val="20"/>
        </w:rPr>
        <w:t>Construction: 11.0/100,000 workers</w:t>
      </w:r>
    </w:p>
    <w:p w14:paraId="291165A8" w14:textId="40AE08D3" w:rsidR="00E7037E" w:rsidRPr="00E7037E" w:rsidRDefault="00E7037E" w:rsidP="00E7037E">
      <w:pPr>
        <w:pStyle w:val="ListParagraph"/>
        <w:numPr>
          <w:ilvl w:val="0"/>
          <w:numId w:val="23"/>
        </w:numPr>
        <w:rPr>
          <w:rFonts w:ascii="Arial" w:hAnsi="Arial" w:cs="Arial"/>
          <w:sz w:val="20"/>
          <w:szCs w:val="20"/>
        </w:rPr>
      </w:pPr>
      <w:r w:rsidRPr="00E7037E">
        <w:rPr>
          <w:rFonts w:ascii="Arial" w:hAnsi="Arial" w:cs="Arial"/>
          <w:sz w:val="20"/>
          <w:szCs w:val="20"/>
        </w:rPr>
        <w:t>Transportation and material moving: 9.8/100,000 workers</w:t>
      </w:r>
    </w:p>
    <w:p w14:paraId="01E85E5A" w14:textId="77777777" w:rsidR="00E7037E" w:rsidRDefault="00E7037E" w:rsidP="00914196">
      <w:pPr>
        <w:spacing w:after="120" w:line="240" w:lineRule="auto"/>
        <w:rPr>
          <w:rFonts w:ascii="Arial" w:eastAsia="Arial" w:hAnsi="Arial" w:cs="Arial"/>
          <w:b/>
          <w:color w:val="000000" w:themeColor="text1"/>
          <w:sz w:val="20"/>
          <w:szCs w:val="20"/>
        </w:rPr>
      </w:pPr>
    </w:p>
    <w:p w14:paraId="369164E5" w14:textId="37DBAF7F" w:rsidR="005C2440" w:rsidRPr="00040695" w:rsidRDefault="005C2440" w:rsidP="00914196">
      <w:pPr>
        <w:spacing w:after="120" w:line="240" w:lineRule="auto"/>
        <w:rPr>
          <w:rFonts w:ascii="Arial" w:eastAsia="Arial" w:hAnsi="Arial" w:cs="Arial"/>
          <w:b/>
          <w:color w:val="000000" w:themeColor="text1"/>
          <w:sz w:val="20"/>
          <w:szCs w:val="20"/>
        </w:rPr>
      </w:pPr>
      <w:r w:rsidRPr="00040695">
        <w:rPr>
          <w:rFonts w:ascii="Arial" w:eastAsia="Arial" w:hAnsi="Arial" w:cs="Arial"/>
          <w:b/>
          <w:color w:val="000000" w:themeColor="text1"/>
          <w:sz w:val="20"/>
          <w:szCs w:val="20"/>
        </w:rPr>
        <w:t>Workplace Overdose</w:t>
      </w:r>
    </w:p>
    <w:p w14:paraId="13ACC470" w14:textId="02F75738" w:rsidR="00E7037E" w:rsidRPr="00E7037E" w:rsidRDefault="00E7037E" w:rsidP="00E7037E">
      <w:pPr>
        <w:widowControl w:val="0"/>
        <w:spacing w:line="240" w:lineRule="auto"/>
        <w:rPr>
          <w:rFonts w:ascii="Arial" w:eastAsia="Arial" w:hAnsi="Arial" w:cs="Arial"/>
          <w:color w:val="000000" w:themeColor="text1"/>
          <w:sz w:val="20"/>
          <w:szCs w:val="20"/>
        </w:rPr>
      </w:pPr>
      <w:r w:rsidRPr="00E7037E">
        <w:rPr>
          <w:rFonts w:ascii="Arial" w:eastAsia="Arial" w:hAnsi="Arial" w:cs="Arial"/>
          <w:color w:val="000000" w:themeColor="text1"/>
          <w:sz w:val="20"/>
          <w:szCs w:val="20"/>
        </w:rPr>
        <w:t>Similar to recent years, unintentional overdose at work was the single leading cause of fatal injury at work in 2018-2019, resulting in one fifth of all deaths (n=37).These deaths occurred across most industry sectors, with the leading sectors being Construction (n=9), Administrative and Support and Waste Management and Remediation Services (n=6) and Fishing (n=5). The average age of workplace overdose victims was 39.</w:t>
      </w:r>
    </w:p>
    <w:p w14:paraId="635F350A" w14:textId="749FB47B" w:rsidR="00FF5CC7" w:rsidRDefault="00E7037E" w:rsidP="00A24E99">
      <w:pPr>
        <w:widowControl w:val="0"/>
        <w:spacing w:line="240" w:lineRule="auto"/>
        <w:rPr>
          <w:rFonts w:ascii="Arial" w:eastAsia="Arial" w:hAnsi="Arial" w:cs="Arial"/>
          <w:color w:val="000000" w:themeColor="text1"/>
          <w:sz w:val="20"/>
          <w:szCs w:val="20"/>
        </w:rPr>
      </w:pPr>
      <w:r w:rsidRPr="00E7037E">
        <w:rPr>
          <w:rFonts w:ascii="Arial" w:eastAsia="Arial" w:hAnsi="Arial" w:cs="Arial"/>
          <w:color w:val="000000" w:themeColor="text1"/>
          <w:sz w:val="20"/>
          <w:szCs w:val="20"/>
        </w:rPr>
        <w:t xml:space="preserve">OHSP continues to analyze how work may contribute to overdoses, both inside and outside of the workplace. Building on our 2018 report “Opioid-related Overdose Deaths in Massachusetts by Industry and Occupation, 2011-2015,” we are in the process of adding and analyzing additional years of data </w:t>
      </w:r>
      <w:proofErr w:type="gramStart"/>
      <w:r w:rsidRPr="00E7037E">
        <w:rPr>
          <w:rFonts w:ascii="Arial" w:eastAsia="Arial" w:hAnsi="Arial" w:cs="Arial"/>
          <w:color w:val="000000" w:themeColor="text1"/>
          <w:sz w:val="20"/>
          <w:szCs w:val="20"/>
        </w:rPr>
        <w:t>in order to</w:t>
      </w:r>
      <w:proofErr w:type="gramEnd"/>
      <w:r w:rsidRPr="00E7037E">
        <w:rPr>
          <w:rFonts w:ascii="Arial" w:eastAsia="Arial" w:hAnsi="Arial" w:cs="Arial"/>
          <w:color w:val="000000" w:themeColor="text1"/>
          <w:sz w:val="20"/>
          <w:szCs w:val="20"/>
        </w:rPr>
        <w:t xml:space="preserve"> examine occupations by race and ethnicity</w:t>
      </w:r>
      <w:r w:rsidR="00A553E6">
        <w:rPr>
          <w:rStyle w:val="FootnoteReference"/>
          <w:rFonts w:ascii="Arial" w:eastAsia="Arial" w:hAnsi="Arial" w:cs="Arial"/>
          <w:color w:val="000000" w:themeColor="text1"/>
          <w:sz w:val="20"/>
          <w:szCs w:val="20"/>
        </w:rPr>
        <w:footnoteReference w:id="1"/>
      </w:r>
      <w:r w:rsidRPr="00E7037E">
        <w:rPr>
          <w:rFonts w:ascii="Arial" w:eastAsia="Arial" w:hAnsi="Arial" w:cs="Arial"/>
          <w:color w:val="000000" w:themeColor="text1"/>
          <w:sz w:val="20"/>
          <w:szCs w:val="20"/>
        </w:rPr>
        <w:t>.</w:t>
      </w:r>
    </w:p>
    <w:p w14:paraId="5B456DE2" w14:textId="11954FAC" w:rsidR="00A553E6" w:rsidRDefault="00A553E6" w:rsidP="00A24E99">
      <w:pPr>
        <w:widowControl w:val="0"/>
        <w:spacing w:line="240" w:lineRule="auto"/>
        <w:rPr>
          <w:rFonts w:ascii="Arial" w:eastAsia="Arial" w:hAnsi="Arial" w:cs="Arial"/>
          <w:color w:val="000000" w:themeColor="text1"/>
          <w:sz w:val="20"/>
          <w:szCs w:val="20"/>
        </w:rPr>
      </w:pPr>
    </w:p>
    <w:p w14:paraId="281E216C" w14:textId="26F4FEF5" w:rsidR="00A553E6" w:rsidRDefault="00A553E6" w:rsidP="00A24E99">
      <w:pPr>
        <w:widowControl w:val="0"/>
        <w:spacing w:line="240" w:lineRule="auto"/>
        <w:rPr>
          <w:rFonts w:ascii="Arial" w:eastAsia="Arial" w:hAnsi="Arial" w:cs="Arial"/>
          <w:color w:val="000000" w:themeColor="text1"/>
          <w:sz w:val="20"/>
          <w:szCs w:val="20"/>
        </w:rPr>
      </w:pPr>
    </w:p>
    <w:p w14:paraId="3E71427E" w14:textId="664B8743" w:rsidR="00FF5CC7" w:rsidRPr="00FF5CC7" w:rsidRDefault="00FF5CC7" w:rsidP="00FF5CC7">
      <w:pPr>
        <w:spacing w:after="120" w:line="240" w:lineRule="auto"/>
        <w:rPr>
          <w:rFonts w:ascii="Arial" w:eastAsia="Arial" w:hAnsi="Arial" w:cs="Arial"/>
          <w:b/>
          <w:color w:val="000000" w:themeColor="text1"/>
          <w:sz w:val="20"/>
          <w:szCs w:val="20"/>
        </w:rPr>
      </w:pPr>
      <w:r w:rsidRPr="00040695">
        <w:rPr>
          <w:rFonts w:ascii="Arial" w:eastAsia="Arial" w:hAnsi="Arial" w:cs="Arial"/>
          <w:b/>
          <w:color w:val="000000" w:themeColor="text1"/>
          <w:sz w:val="20"/>
          <w:szCs w:val="20"/>
        </w:rPr>
        <w:lastRenderedPageBreak/>
        <w:t>Workplace Overdose</w:t>
      </w:r>
      <w:r>
        <w:rPr>
          <w:rFonts w:ascii="Arial" w:eastAsia="Arial" w:hAnsi="Arial" w:cs="Arial"/>
          <w:b/>
          <w:color w:val="000000" w:themeColor="text1"/>
          <w:sz w:val="20"/>
          <w:szCs w:val="20"/>
        </w:rPr>
        <w:t xml:space="preserve"> continued</w:t>
      </w:r>
    </w:p>
    <w:p w14:paraId="49A2F0BA" w14:textId="532E9E07" w:rsidR="00E7037E" w:rsidRPr="00E7037E" w:rsidRDefault="00E7037E" w:rsidP="00E7037E">
      <w:pPr>
        <w:widowControl w:val="0"/>
        <w:spacing w:after="0" w:line="240" w:lineRule="auto"/>
        <w:rPr>
          <w:rFonts w:ascii="Arial" w:hAnsi="Arial" w:cs="Arial"/>
          <w:sz w:val="20"/>
          <w:szCs w:val="20"/>
        </w:rPr>
      </w:pPr>
      <w:r w:rsidRPr="00E7037E">
        <w:rPr>
          <w:rFonts w:ascii="Arial" w:hAnsi="Arial" w:cs="Arial"/>
          <w:sz w:val="20"/>
          <w:szCs w:val="20"/>
        </w:rPr>
        <w:t>These findings continue to underscore the need for educational and policy interventions targeting worker populations to prevent opioid-related overdose deaths. Interventions should address workplace hazards that cause injuries for which opioids are prescribed, as well as appropriate pain management following injury, including safer opioid prescribing, access to evidence-based treatment for opioid use disorders, and overdose prevention education.</w:t>
      </w:r>
    </w:p>
    <w:p w14:paraId="0AF9EF8F" w14:textId="77777777" w:rsidR="00E7037E" w:rsidRPr="00E7037E" w:rsidRDefault="00E7037E" w:rsidP="00E7037E">
      <w:pPr>
        <w:widowControl w:val="0"/>
        <w:spacing w:after="0" w:line="240" w:lineRule="auto"/>
        <w:rPr>
          <w:rFonts w:ascii="Arial" w:hAnsi="Arial" w:cs="Arial"/>
          <w:sz w:val="20"/>
          <w:szCs w:val="20"/>
        </w:rPr>
      </w:pPr>
    </w:p>
    <w:p w14:paraId="27658348" w14:textId="77777777" w:rsidR="00E7037E" w:rsidRDefault="00E7037E" w:rsidP="00E7037E">
      <w:pPr>
        <w:widowControl w:val="0"/>
        <w:spacing w:after="0" w:line="240" w:lineRule="auto"/>
        <w:rPr>
          <w:rFonts w:ascii="Arial" w:hAnsi="Arial" w:cs="Arial"/>
          <w:sz w:val="20"/>
          <w:szCs w:val="20"/>
        </w:rPr>
      </w:pPr>
      <w:r w:rsidRPr="00E7037E">
        <w:rPr>
          <w:rFonts w:ascii="Arial" w:hAnsi="Arial" w:cs="Arial"/>
          <w:sz w:val="20"/>
          <w:szCs w:val="20"/>
        </w:rPr>
        <w:t>In Massachusetts, workplace health and safety stakeholders are working with substance addiction service providers and policy makers to provide opioid awareness peer training for high-risk worker groups and to identify additional opportunities to implement worker-oriented opioid overdose prevention strategies.</w:t>
      </w:r>
    </w:p>
    <w:p w14:paraId="0D475549" w14:textId="77777777" w:rsidR="00E7037E" w:rsidRDefault="00E7037E" w:rsidP="00E7037E">
      <w:pPr>
        <w:widowControl w:val="0"/>
        <w:spacing w:after="0" w:line="240" w:lineRule="auto"/>
        <w:rPr>
          <w:rFonts w:ascii="Arial" w:hAnsi="Arial" w:cs="Arial"/>
          <w:sz w:val="20"/>
          <w:szCs w:val="20"/>
        </w:rPr>
      </w:pPr>
    </w:p>
    <w:p w14:paraId="4E347735" w14:textId="7C6A18D3" w:rsidR="005C2440" w:rsidRPr="00040695" w:rsidRDefault="005C2440" w:rsidP="00E7037E">
      <w:pPr>
        <w:widowControl w:val="0"/>
        <w:spacing w:after="0" w:line="240" w:lineRule="auto"/>
        <w:rPr>
          <w:rFonts w:ascii="Arial" w:hAnsi="Arial" w:cs="Arial"/>
          <w:b/>
          <w:sz w:val="20"/>
          <w:szCs w:val="20"/>
        </w:rPr>
      </w:pPr>
      <w:r w:rsidRPr="00040695">
        <w:rPr>
          <w:rFonts w:ascii="Arial" w:hAnsi="Arial" w:cs="Arial"/>
          <w:b/>
          <w:sz w:val="20"/>
          <w:szCs w:val="20"/>
        </w:rPr>
        <w:t xml:space="preserve">Landscaping </w:t>
      </w:r>
      <w:r w:rsidRPr="005C2440">
        <w:rPr>
          <w:rFonts w:ascii="Arial" w:hAnsi="Arial" w:cs="Arial"/>
          <w:b/>
          <w:sz w:val="20"/>
          <w:szCs w:val="20"/>
        </w:rPr>
        <w:t>Industry</w:t>
      </w:r>
      <w:r w:rsidRPr="00040695">
        <w:rPr>
          <w:rFonts w:ascii="Arial" w:hAnsi="Arial" w:cs="Arial"/>
          <w:b/>
          <w:sz w:val="20"/>
          <w:szCs w:val="20"/>
        </w:rPr>
        <w:t xml:space="preserve"> </w:t>
      </w:r>
    </w:p>
    <w:p w14:paraId="67A1CDEF" w14:textId="4C41D593" w:rsidR="00E7037E" w:rsidRDefault="00E7037E" w:rsidP="00B8681B">
      <w:pPr>
        <w:widowControl w:val="0"/>
        <w:spacing w:line="240" w:lineRule="auto"/>
        <w:rPr>
          <w:noProof/>
        </w:rPr>
      </w:pPr>
      <w:r w:rsidRPr="00E7037E">
        <w:rPr>
          <w:rFonts w:ascii="Arial" w:hAnsi="Arial" w:cs="Arial"/>
          <w:sz w:val="20"/>
          <w:szCs w:val="20"/>
        </w:rPr>
        <w:t xml:space="preserve">The landscaping services industry had a fatality rate of 28.6 deaths per 100,000 workers (14 deaths); this is ten times the statewide occupational fatality rate. Thirteen of these fourteen workers worked for tree companies or were performing tree work. Six died in falls and four died from workplace overdose. OSHA and the tree care industry are working together to improve awareness of standards that apply to tree care  operations: </w:t>
      </w:r>
      <w:hyperlink r:id="rId9" w:history="1">
        <w:r w:rsidRPr="007B6A41">
          <w:rPr>
            <w:rStyle w:val="Hyperlink"/>
            <w:rFonts w:ascii="Arial" w:hAnsi="Arial" w:cs="Arial"/>
            <w:sz w:val="20"/>
            <w:szCs w:val="20"/>
          </w:rPr>
          <w:t>https://www.osha.gov/tree-care</w:t>
        </w:r>
      </w:hyperlink>
      <w:r w:rsidR="00A553E6">
        <w:rPr>
          <w:rStyle w:val="FootnoteReference"/>
          <w:rFonts w:ascii="Arial" w:hAnsi="Arial" w:cs="Arial"/>
          <w:sz w:val="20"/>
          <w:szCs w:val="20"/>
        </w:rPr>
        <w:footnoteReference w:id="2"/>
      </w:r>
      <w:r w:rsidRPr="00E7037E">
        <w:rPr>
          <w:rFonts w:ascii="Arial" w:hAnsi="Arial" w:cs="Arial"/>
          <w:sz w:val="20"/>
          <w:szCs w:val="20"/>
        </w:rPr>
        <w:t>.</w:t>
      </w:r>
    </w:p>
    <w:p w14:paraId="4F3E3CC4" w14:textId="3D632E22" w:rsidR="00B8681B" w:rsidRDefault="00B8681B" w:rsidP="00B8681B">
      <w:pPr>
        <w:widowControl w:val="0"/>
        <w:spacing w:line="240" w:lineRule="auto"/>
        <w:rPr>
          <w:rFonts w:ascii="Arial" w:hAnsi="Arial" w:cs="Arial"/>
          <w:sz w:val="20"/>
          <w:szCs w:val="20"/>
        </w:rPr>
      </w:pPr>
    </w:p>
    <w:p w14:paraId="7E0C29AE" w14:textId="33A80288" w:rsidR="005C2440" w:rsidRPr="009538C0" w:rsidRDefault="005C2440" w:rsidP="00B8681B">
      <w:pPr>
        <w:widowControl w:val="0"/>
        <w:spacing w:line="240" w:lineRule="auto"/>
        <w:rPr>
          <w:rFonts w:ascii="Arial" w:hAnsi="Arial" w:cs="Arial"/>
          <w:b/>
          <w:sz w:val="20"/>
          <w:szCs w:val="20"/>
        </w:rPr>
      </w:pPr>
      <w:r w:rsidRPr="009538C0">
        <w:rPr>
          <w:rFonts w:ascii="Arial" w:hAnsi="Arial" w:cs="Arial"/>
          <w:b/>
          <w:sz w:val="20"/>
          <w:szCs w:val="20"/>
        </w:rPr>
        <w:t>Falls</w:t>
      </w:r>
    </w:p>
    <w:p w14:paraId="14170CD8" w14:textId="5E2CD8E1" w:rsidR="00E7037E" w:rsidRDefault="00E7037E" w:rsidP="00B8681B">
      <w:pPr>
        <w:widowControl w:val="0"/>
        <w:spacing w:line="240" w:lineRule="auto"/>
        <w:rPr>
          <w:rFonts w:ascii="Arial" w:hAnsi="Arial" w:cs="Arial"/>
          <w:sz w:val="20"/>
          <w:szCs w:val="20"/>
        </w:rPr>
      </w:pPr>
      <w:r w:rsidRPr="00E7037E">
        <w:rPr>
          <w:rFonts w:ascii="Arial" w:hAnsi="Arial" w:cs="Arial"/>
          <w:sz w:val="20"/>
          <w:szCs w:val="20"/>
        </w:rPr>
        <w:t xml:space="preserve">Falls to a lower level at work claimed 32 lives in 2018-2019. Falls in construction continue to be a priority for prevention in Massachusetts and nationwide. The national Campaign to Prevent Falls in Construction is now in its eighth year. New safety handouts, videos, and materials for toolbox talks are available from this site: www.stopconstructionfalls.com. </w:t>
      </w:r>
    </w:p>
    <w:p w14:paraId="7989285F" w14:textId="77777777" w:rsidR="00D05FC3" w:rsidRDefault="00D05FC3" w:rsidP="00B8681B">
      <w:pPr>
        <w:widowControl w:val="0"/>
        <w:spacing w:line="240" w:lineRule="auto"/>
        <w:rPr>
          <w:rFonts w:ascii="Arial" w:hAnsi="Arial" w:cs="Arial"/>
          <w:sz w:val="20"/>
          <w:szCs w:val="20"/>
        </w:rPr>
      </w:pPr>
    </w:p>
    <w:p w14:paraId="2A1A453C" w14:textId="4CDECF03" w:rsidR="005C2440" w:rsidRPr="008E2FFE" w:rsidRDefault="005C2440" w:rsidP="00B8681B">
      <w:pPr>
        <w:widowControl w:val="0"/>
        <w:spacing w:line="240" w:lineRule="auto"/>
        <w:rPr>
          <w:rFonts w:ascii="Arial" w:hAnsi="Arial" w:cs="Arial"/>
          <w:b/>
          <w:sz w:val="20"/>
          <w:szCs w:val="20"/>
        </w:rPr>
      </w:pPr>
      <w:r w:rsidRPr="008E2FFE">
        <w:rPr>
          <w:rFonts w:ascii="Arial" w:hAnsi="Arial" w:cs="Arial"/>
          <w:b/>
          <w:sz w:val="20"/>
          <w:szCs w:val="20"/>
        </w:rPr>
        <w:t>Motor vehicle crashes</w:t>
      </w:r>
    </w:p>
    <w:p w14:paraId="6B13A76E" w14:textId="6C4ABAA3" w:rsidR="00AE2CA7" w:rsidRDefault="00AE2CA7" w:rsidP="00042CDA">
      <w:pPr>
        <w:widowControl w:val="0"/>
        <w:spacing w:line="273" w:lineRule="auto"/>
        <w:rPr>
          <w:rFonts w:ascii="Arial" w:hAnsi="Arial" w:cs="Arial"/>
          <w:sz w:val="20"/>
          <w:szCs w:val="20"/>
        </w:rPr>
      </w:pPr>
      <w:r w:rsidRPr="00AE2CA7">
        <w:rPr>
          <w:rFonts w:ascii="Arial" w:hAnsi="Arial" w:cs="Arial"/>
          <w:sz w:val="20"/>
          <w:szCs w:val="20"/>
        </w:rPr>
        <w:t>Work-related motor vehicle crashes were the third leading cause of death of workers in Massachusetts in 2018-2019. Many workers need to drive as a core function of their job, whether they work in a transportation industry or perform work for clients. A new hands-free law took effect in Massachusetts in early 2020, with a goal of improving roadway safety for everyone</w:t>
      </w:r>
      <w:r w:rsidR="00A553E6">
        <w:rPr>
          <w:rStyle w:val="FootnoteReference"/>
          <w:rFonts w:ascii="Arial" w:hAnsi="Arial" w:cs="Arial"/>
          <w:sz w:val="20"/>
          <w:szCs w:val="20"/>
        </w:rPr>
        <w:footnoteReference w:id="3"/>
      </w:r>
      <w:r w:rsidRPr="00AE2CA7">
        <w:rPr>
          <w:rFonts w:ascii="Arial" w:hAnsi="Arial" w:cs="Arial"/>
          <w:sz w:val="20"/>
          <w:szCs w:val="20"/>
        </w:rPr>
        <w:t xml:space="preserve">. Additional resources on motor vehicle safety for workers can be found at: </w:t>
      </w:r>
      <w:hyperlink r:id="rId10" w:history="1">
        <w:r w:rsidRPr="007B6A41">
          <w:rPr>
            <w:rStyle w:val="Hyperlink"/>
            <w:rFonts w:ascii="Arial" w:hAnsi="Arial" w:cs="Arial"/>
            <w:sz w:val="20"/>
            <w:szCs w:val="20"/>
          </w:rPr>
          <w:t>https://www.cdc.gov/niosh/motorvehicle</w:t>
        </w:r>
      </w:hyperlink>
      <w:r w:rsidRPr="00AE2CA7">
        <w:rPr>
          <w:rFonts w:ascii="Arial" w:hAnsi="Arial" w:cs="Arial"/>
          <w:sz w:val="20"/>
          <w:szCs w:val="20"/>
        </w:rPr>
        <w:t>.</w:t>
      </w:r>
    </w:p>
    <w:p w14:paraId="31C9C073" w14:textId="1DDEAF49" w:rsidR="00042CDA" w:rsidRDefault="00042CDA" w:rsidP="00042CDA">
      <w:pPr>
        <w:widowControl w:val="0"/>
        <w:spacing w:line="273" w:lineRule="auto"/>
        <w:rPr>
          <w:rFonts w:ascii="Arial" w:hAnsi="Arial" w:cs="Arial"/>
          <w:sz w:val="20"/>
          <w:szCs w:val="20"/>
        </w:rPr>
      </w:pPr>
    </w:p>
    <w:p w14:paraId="3CCF4D23" w14:textId="263EEAD3" w:rsidR="00FD48CE" w:rsidRDefault="00FD48CE" w:rsidP="00042CDA">
      <w:pPr>
        <w:widowControl w:val="0"/>
        <w:spacing w:line="273" w:lineRule="auto"/>
        <w:rPr>
          <w:rFonts w:ascii="Arial" w:hAnsi="Arial" w:cs="Arial"/>
          <w:sz w:val="20"/>
          <w:szCs w:val="20"/>
        </w:rPr>
      </w:pPr>
    </w:p>
    <w:p w14:paraId="56C36669" w14:textId="2A7E2117" w:rsidR="00AE2CA7" w:rsidRDefault="00AE2CA7" w:rsidP="00042CDA">
      <w:pPr>
        <w:widowControl w:val="0"/>
        <w:spacing w:line="273" w:lineRule="auto"/>
        <w:rPr>
          <w:rFonts w:ascii="Arial" w:hAnsi="Arial" w:cs="Arial"/>
          <w:sz w:val="20"/>
          <w:szCs w:val="20"/>
        </w:rPr>
      </w:pPr>
    </w:p>
    <w:p w14:paraId="43C82FA5" w14:textId="71D8A0EF" w:rsidR="000A1328" w:rsidRDefault="000A1328" w:rsidP="00042CDA">
      <w:pPr>
        <w:widowControl w:val="0"/>
        <w:spacing w:line="273" w:lineRule="auto"/>
        <w:rPr>
          <w:rFonts w:ascii="Arial" w:hAnsi="Arial" w:cs="Arial"/>
          <w:sz w:val="20"/>
          <w:szCs w:val="20"/>
        </w:rPr>
      </w:pPr>
    </w:p>
    <w:p w14:paraId="1EA2E26B" w14:textId="69D4E46E" w:rsidR="000A1328" w:rsidRDefault="000A1328" w:rsidP="00042CDA">
      <w:pPr>
        <w:widowControl w:val="0"/>
        <w:spacing w:line="273" w:lineRule="auto"/>
        <w:rPr>
          <w:rFonts w:ascii="Arial" w:hAnsi="Arial" w:cs="Arial"/>
          <w:sz w:val="20"/>
          <w:szCs w:val="20"/>
        </w:rPr>
      </w:pPr>
    </w:p>
    <w:p w14:paraId="274C4DB1" w14:textId="354D5133" w:rsidR="000A1328" w:rsidRDefault="000A1328" w:rsidP="00042CDA">
      <w:pPr>
        <w:widowControl w:val="0"/>
        <w:spacing w:line="273" w:lineRule="auto"/>
        <w:rPr>
          <w:rFonts w:ascii="Arial" w:hAnsi="Arial" w:cs="Arial"/>
          <w:sz w:val="20"/>
          <w:szCs w:val="20"/>
        </w:rPr>
      </w:pPr>
    </w:p>
    <w:p w14:paraId="7230D975" w14:textId="14C295E8" w:rsidR="000A1328" w:rsidRDefault="000A1328" w:rsidP="00042CDA">
      <w:pPr>
        <w:widowControl w:val="0"/>
        <w:spacing w:line="273" w:lineRule="auto"/>
        <w:rPr>
          <w:rFonts w:ascii="Arial" w:hAnsi="Arial" w:cs="Arial"/>
          <w:sz w:val="20"/>
          <w:szCs w:val="20"/>
        </w:rPr>
      </w:pPr>
    </w:p>
    <w:p w14:paraId="07FD9816" w14:textId="26C03D50" w:rsidR="00D05FC3" w:rsidRDefault="00D05FC3" w:rsidP="00042CDA">
      <w:pPr>
        <w:widowControl w:val="0"/>
        <w:spacing w:line="273" w:lineRule="auto"/>
        <w:rPr>
          <w:rFonts w:ascii="Arial" w:hAnsi="Arial" w:cs="Arial"/>
          <w:sz w:val="20"/>
          <w:szCs w:val="20"/>
        </w:rPr>
      </w:pPr>
    </w:p>
    <w:p w14:paraId="37FCFE2E" w14:textId="7FAFF590" w:rsidR="00D05FC3" w:rsidRDefault="00D05FC3" w:rsidP="00042CDA">
      <w:pPr>
        <w:widowControl w:val="0"/>
        <w:spacing w:line="273" w:lineRule="auto"/>
        <w:rPr>
          <w:rFonts w:ascii="Arial" w:hAnsi="Arial" w:cs="Arial"/>
          <w:sz w:val="20"/>
          <w:szCs w:val="20"/>
        </w:rPr>
      </w:pPr>
    </w:p>
    <w:p w14:paraId="1C6C80C3" w14:textId="09947E9A" w:rsidR="00D05FC3" w:rsidRDefault="00D05FC3" w:rsidP="00042CDA">
      <w:pPr>
        <w:widowControl w:val="0"/>
        <w:spacing w:line="273" w:lineRule="auto"/>
        <w:rPr>
          <w:rFonts w:ascii="Arial" w:hAnsi="Arial" w:cs="Arial"/>
          <w:sz w:val="20"/>
          <w:szCs w:val="20"/>
        </w:rPr>
      </w:pPr>
    </w:p>
    <w:p w14:paraId="20C9918B" w14:textId="6FE152CA" w:rsidR="00D05FC3" w:rsidRDefault="00D05FC3" w:rsidP="00042CDA">
      <w:pPr>
        <w:widowControl w:val="0"/>
        <w:spacing w:line="273" w:lineRule="auto"/>
        <w:rPr>
          <w:rFonts w:ascii="Arial" w:hAnsi="Arial" w:cs="Arial"/>
          <w:sz w:val="20"/>
          <w:szCs w:val="20"/>
        </w:rPr>
      </w:pPr>
    </w:p>
    <w:p w14:paraId="323212A9" w14:textId="77777777" w:rsidR="00D05FC3" w:rsidRDefault="00D05FC3" w:rsidP="00042CDA">
      <w:pPr>
        <w:widowControl w:val="0"/>
        <w:spacing w:line="273" w:lineRule="auto"/>
        <w:rPr>
          <w:rFonts w:ascii="Arial" w:hAnsi="Arial" w:cs="Arial"/>
          <w:sz w:val="20"/>
          <w:szCs w:val="20"/>
        </w:rPr>
      </w:pPr>
    </w:p>
    <w:p w14:paraId="2BC4A965" w14:textId="7D2CA87A" w:rsidR="00BE19C8" w:rsidRPr="00FF5CC7" w:rsidRDefault="00FF5CC7" w:rsidP="00FF5CC7">
      <w:pPr>
        <w:widowControl w:val="0"/>
        <w:spacing w:line="273" w:lineRule="auto"/>
        <w:rPr>
          <w:rFonts w:ascii="Arial" w:hAnsi="Arial" w:cs="Arial"/>
          <w:sz w:val="20"/>
          <w:szCs w:val="20"/>
        </w:rPr>
      </w:pPr>
      <w:r w:rsidRPr="00FF5CC7">
        <w:rPr>
          <w:rFonts w:ascii="Arial" w:hAnsi="Arial" w:cs="Arial"/>
          <w:sz w:val="20"/>
          <w:szCs w:val="20"/>
        </w:rPr>
        <w:t>The workers: Demographics</w:t>
      </w:r>
    </w:p>
    <w:p w14:paraId="2CE9937E" w14:textId="6B1AB876" w:rsidR="00BE19C8" w:rsidRPr="00AB18D1" w:rsidRDefault="002C0B8C" w:rsidP="00BE19C8">
      <w:pPr>
        <w:widowControl w:val="0"/>
        <w:spacing w:after="0"/>
        <w:rPr>
          <w:rFonts w:ascii="Arial" w:hAnsi="Arial" w:cs="Arial"/>
          <w:b/>
          <w:bCs/>
        </w:rPr>
      </w:pPr>
      <w:r>
        <w:rPr>
          <w:rFonts w:ascii="Arial" w:hAnsi="Arial" w:cs="Arial"/>
          <w:b/>
          <w:bCs/>
        </w:rPr>
        <w:t xml:space="preserve">Figure 1. </w:t>
      </w:r>
      <w:r w:rsidR="00BE19C8" w:rsidRPr="00AB18D1">
        <w:rPr>
          <w:rFonts w:ascii="Arial" w:hAnsi="Arial" w:cs="Arial"/>
          <w:b/>
          <w:bCs/>
        </w:rPr>
        <w:t>Rate of Fatal Occupational Injury by Year</w:t>
      </w:r>
    </w:p>
    <w:p w14:paraId="17CC08B1" w14:textId="5B78163C" w:rsidR="00BE19C8" w:rsidRPr="00AB18D1" w:rsidRDefault="00BE19C8" w:rsidP="00BE19C8">
      <w:pPr>
        <w:widowControl w:val="0"/>
        <w:rPr>
          <w:rFonts w:ascii="Arial" w:hAnsi="Arial" w:cs="Arial"/>
          <w:sz w:val="20"/>
          <w:szCs w:val="20"/>
        </w:rPr>
      </w:pPr>
      <w:r w:rsidRPr="00AB18D1">
        <w:rPr>
          <w:rFonts w:ascii="Arial" w:hAnsi="Arial" w:cs="Arial"/>
        </w:rPr>
        <w:t>Deaths per 100,000 full-time workers</w:t>
      </w:r>
    </w:p>
    <w:p w14:paraId="19D1A625" w14:textId="28665D71" w:rsidR="004D294C" w:rsidRPr="00AB18D1" w:rsidRDefault="004D294C" w:rsidP="00E40BF8">
      <w:pPr>
        <w:widowControl w:val="0"/>
        <w:spacing w:after="0"/>
        <w:ind w:left="720" w:hanging="720"/>
        <w:rPr>
          <w:rFonts w:ascii="Arial" w:hAnsi="Arial" w:cs="Arial"/>
        </w:rPr>
      </w:pPr>
      <w:r>
        <w:rPr>
          <w:noProof/>
        </w:rPr>
        <w:drawing>
          <wp:inline distT="0" distB="0" distL="0" distR="0" wp14:anchorId="7A1B6DEC" wp14:editId="5A9A506B">
            <wp:extent cx="4130040" cy="1668780"/>
            <wp:effectExtent l="0" t="0" r="3810" b="7620"/>
            <wp:docPr id="1" name="Chart 1" descr="2015 2016 2017 2018 2019&#10;2.2 3.3 3.3 2.8 2.4&#10;">
              <a:extLst xmlns:a="http://schemas.openxmlformats.org/drawingml/2006/main">
                <a:ext uri="{FF2B5EF4-FFF2-40B4-BE49-F238E27FC236}">
                  <a16:creationId xmlns:a16="http://schemas.microsoft.com/office/drawing/2014/main" id="{258F1A78-33E5-4893-9366-C8DB8AFCB87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D425802" w14:textId="592D7CB4" w:rsidR="000A640C" w:rsidRPr="00AB18D1" w:rsidRDefault="000A640C" w:rsidP="00CE1F2A">
      <w:pPr>
        <w:widowControl w:val="0"/>
        <w:spacing w:after="0"/>
        <w:ind w:left="720" w:hanging="360"/>
        <w:rPr>
          <w:rFonts w:ascii="Arial" w:hAnsi="Arial" w:cs="Arial"/>
        </w:rPr>
      </w:pPr>
    </w:p>
    <w:p w14:paraId="70B58B67" w14:textId="77777777" w:rsidR="00FF5CC7" w:rsidRDefault="00CE1F2A" w:rsidP="00FF5CC7">
      <w:pPr>
        <w:pStyle w:val="BodyTextIndent"/>
        <w:widowControl w:val="0"/>
        <w:spacing w:after="0"/>
        <w:rPr>
          <w:rFonts w:ascii="Arial" w:hAnsi="Arial" w:cs="Arial"/>
          <w:color w:val="auto"/>
          <w14:ligatures w14:val="none"/>
        </w:rPr>
      </w:pPr>
      <w:r w:rsidRPr="00097195">
        <w:rPr>
          <w:rFonts w:ascii="Arial" w:hAnsi="Arial" w:cs="Arial"/>
          <w:color w:val="auto"/>
          <w14:ligatures w14:val="none"/>
        </w:rPr>
        <w:t>In Massachusetts, 98 individuals were fatally injured at work in 2018</w:t>
      </w:r>
      <w:r w:rsidR="00FF5CC7">
        <w:rPr>
          <w:rFonts w:ascii="Arial" w:hAnsi="Arial" w:cs="Arial"/>
          <w:color w:val="auto"/>
          <w14:ligatures w14:val="none"/>
        </w:rPr>
        <w:t xml:space="preserve"> and 86 were fatally injured in 2019</w:t>
      </w:r>
      <w:r w:rsidRPr="00097195">
        <w:rPr>
          <w:rFonts w:ascii="Arial" w:hAnsi="Arial" w:cs="Arial"/>
          <w:color w:val="auto"/>
          <w14:ligatures w14:val="none"/>
        </w:rPr>
        <w:t xml:space="preserve">.  </w:t>
      </w:r>
    </w:p>
    <w:p w14:paraId="6D833CCE" w14:textId="01137666" w:rsidR="00FF5CC7" w:rsidRDefault="00FF5CC7" w:rsidP="00CE1F2A">
      <w:pPr>
        <w:pStyle w:val="BodyTextIndent"/>
        <w:widowControl w:val="0"/>
        <w:numPr>
          <w:ilvl w:val="0"/>
          <w:numId w:val="4"/>
        </w:numPr>
        <w:spacing w:after="0"/>
        <w:rPr>
          <w:rFonts w:ascii="Arial" w:hAnsi="Arial" w:cs="Arial"/>
          <w:color w:val="auto"/>
          <w14:ligatures w14:val="none"/>
        </w:rPr>
      </w:pPr>
      <w:r w:rsidRPr="00FF5CC7">
        <w:rPr>
          <w:rFonts w:ascii="Arial" w:hAnsi="Arial" w:cs="Arial"/>
          <w:color w:val="auto"/>
          <w14:ligatures w14:val="none"/>
        </w:rPr>
        <w:t>This included 174 men and 10 women. The fatal occupational injury rate for this period was 2.6 deaths per 100,000 full-time workers. This rate is lower than the prior two years (2016-2017)</w:t>
      </w:r>
      <w:r w:rsidR="00A553E6">
        <w:rPr>
          <w:rStyle w:val="FootnoteReference"/>
          <w:rFonts w:ascii="Arial" w:hAnsi="Arial" w:cs="Arial"/>
          <w:color w:val="auto"/>
          <w14:ligatures w14:val="none"/>
        </w:rPr>
        <w:footnoteReference w:id="4"/>
      </w:r>
      <w:r w:rsidRPr="00FF5CC7">
        <w:rPr>
          <w:rFonts w:ascii="Arial" w:hAnsi="Arial" w:cs="Arial"/>
          <w:color w:val="auto"/>
          <w14:ligatures w14:val="none"/>
        </w:rPr>
        <w:t>. This is due partly to a decrease in motor vehicle deaths (67 to 46) and workplace overdoses (54 to 37).</w:t>
      </w:r>
    </w:p>
    <w:p w14:paraId="5250837C" w14:textId="77777777" w:rsidR="00FF5CC7" w:rsidRPr="00FF5CC7" w:rsidRDefault="00FF5CC7" w:rsidP="00CE1F2A">
      <w:pPr>
        <w:pStyle w:val="ListParagraph"/>
        <w:numPr>
          <w:ilvl w:val="0"/>
          <w:numId w:val="4"/>
        </w:numPr>
        <w:spacing w:after="200" w:line="240" w:lineRule="auto"/>
        <w:rPr>
          <w:rFonts w:ascii="Arial" w:hAnsi="Arial" w:cs="Arial"/>
          <w:sz w:val="20"/>
          <w:szCs w:val="20"/>
        </w:rPr>
      </w:pPr>
      <w:r w:rsidRPr="00FF5CC7">
        <w:rPr>
          <w:rFonts w:ascii="Arial" w:eastAsia="Times New Roman" w:hAnsi="Arial" w:cs="Arial"/>
          <w:kern w:val="28"/>
          <w:sz w:val="20"/>
          <w:szCs w:val="20"/>
          <w14:cntxtAlts/>
        </w:rPr>
        <w:t xml:space="preserve">These workers ranged in age from 14 to 91 years, with a mean age of 48 and a median age of 49. The fatalities resulted in a total of 5,084 potential life years lost (difference between the worker’s age and 75 years), an average of 28 potential life years lost per victim. </w:t>
      </w:r>
    </w:p>
    <w:p w14:paraId="0B256728" w14:textId="77777777" w:rsidR="00FF5CC7" w:rsidRDefault="00FF5CC7" w:rsidP="00CE1F2A">
      <w:pPr>
        <w:pStyle w:val="ListParagraph"/>
        <w:spacing w:line="240" w:lineRule="auto"/>
        <w:rPr>
          <w:rFonts w:ascii="Arial" w:hAnsi="Arial" w:cs="Arial"/>
          <w:sz w:val="20"/>
          <w:szCs w:val="20"/>
        </w:rPr>
      </w:pPr>
      <w:r w:rsidRPr="00FF5CC7">
        <w:rPr>
          <w:rFonts w:ascii="Arial" w:hAnsi="Arial" w:cs="Arial"/>
          <w:sz w:val="20"/>
          <w:szCs w:val="20"/>
        </w:rPr>
        <w:t>A total of 146 (79%) of the workers were White non-Hispanic; 21 were Hispanic; nine were Black or African American non-Hispanic; and eight were other races. The fatality rate (deaths per 100,000 full-time workers) for each of these demographic groups was:</w:t>
      </w:r>
    </w:p>
    <w:p w14:paraId="17F53FDB" w14:textId="7C7E4037" w:rsidR="00CE1F2A" w:rsidRPr="00097195" w:rsidRDefault="00CE1F2A" w:rsidP="00CE1F2A">
      <w:pPr>
        <w:pStyle w:val="ListParagraph"/>
        <w:spacing w:line="240" w:lineRule="auto"/>
        <w:rPr>
          <w:rFonts w:ascii="Arial" w:hAnsi="Arial" w:cs="Arial"/>
          <w:sz w:val="20"/>
          <w:szCs w:val="20"/>
        </w:rPr>
      </w:pPr>
      <w:r w:rsidRPr="00097195">
        <w:rPr>
          <w:rFonts w:ascii="Arial" w:hAnsi="Arial" w:cs="Arial"/>
          <w:sz w:val="20"/>
          <w:szCs w:val="20"/>
        </w:rPr>
        <w:t xml:space="preserve">Hispanic: </w:t>
      </w:r>
      <w:r w:rsidR="00FF5CC7">
        <w:rPr>
          <w:rFonts w:ascii="Arial" w:hAnsi="Arial" w:cs="Arial"/>
          <w:sz w:val="20"/>
          <w:szCs w:val="20"/>
        </w:rPr>
        <w:t>3.0</w:t>
      </w:r>
      <w:r w:rsidRPr="00097195">
        <w:rPr>
          <w:rFonts w:ascii="Arial" w:hAnsi="Arial" w:cs="Arial"/>
          <w:sz w:val="20"/>
          <w:szCs w:val="20"/>
        </w:rPr>
        <w:t xml:space="preserve">      White non-Hispanic: 2.</w:t>
      </w:r>
      <w:r w:rsidR="00FF5CC7">
        <w:rPr>
          <w:rFonts w:ascii="Arial" w:hAnsi="Arial" w:cs="Arial"/>
          <w:sz w:val="20"/>
          <w:szCs w:val="20"/>
        </w:rPr>
        <w:t>8</w:t>
      </w:r>
      <w:r w:rsidRPr="00097195">
        <w:rPr>
          <w:rFonts w:ascii="Arial" w:hAnsi="Arial" w:cs="Arial"/>
          <w:sz w:val="20"/>
          <w:szCs w:val="20"/>
        </w:rPr>
        <w:t xml:space="preserve">      Black non-Hispanic: 1.</w:t>
      </w:r>
      <w:r w:rsidR="00FF5CC7">
        <w:rPr>
          <w:rFonts w:ascii="Arial" w:hAnsi="Arial" w:cs="Arial"/>
          <w:sz w:val="20"/>
          <w:szCs w:val="20"/>
        </w:rPr>
        <w:t>7</w:t>
      </w:r>
      <w:r w:rsidRPr="00097195">
        <w:rPr>
          <w:rFonts w:ascii="Arial" w:hAnsi="Arial" w:cs="Arial"/>
          <w:sz w:val="20"/>
          <w:szCs w:val="20"/>
        </w:rPr>
        <w:t xml:space="preserve"> </w:t>
      </w:r>
    </w:p>
    <w:p w14:paraId="30C078A5" w14:textId="55ADEAD9" w:rsidR="00FF5CC7" w:rsidRDefault="00FF5CC7" w:rsidP="00FF5CC7">
      <w:pPr>
        <w:pStyle w:val="BodyTextIndent"/>
        <w:widowControl w:val="0"/>
        <w:numPr>
          <w:ilvl w:val="1"/>
          <w:numId w:val="4"/>
        </w:numPr>
        <w:spacing w:after="0"/>
        <w:rPr>
          <w:rFonts w:ascii="Arial" w:hAnsi="Arial" w:cs="Arial"/>
          <w:color w:val="auto"/>
          <w14:ligatures w14:val="none"/>
        </w:rPr>
      </w:pPr>
      <w:r w:rsidRPr="00FF5CC7">
        <w:rPr>
          <w:rFonts w:ascii="Arial" w:eastAsiaTheme="minorHAnsi" w:hAnsi="Arial" w:cs="Arial"/>
          <w:color w:val="auto"/>
          <w:kern w:val="0"/>
          <w14:ligatures w14:val="none"/>
          <w14:cntxtAlts w14:val="0"/>
        </w:rPr>
        <w:t>Hispanic workers disproportionately work in more dangerous jobs and suffer more workplace injuries and deaths</w:t>
      </w:r>
      <w:r w:rsidR="00A553E6">
        <w:rPr>
          <w:rStyle w:val="FootnoteReference"/>
          <w:rFonts w:ascii="Arial" w:eastAsiaTheme="minorHAnsi" w:hAnsi="Arial" w:cs="Arial"/>
          <w:color w:val="auto"/>
          <w:kern w:val="0"/>
          <w14:ligatures w14:val="none"/>
          <w14:cntxtAlts w14:val="0"/>
        </w:rPr>
        <w:footnoteReference w:id="5"/>
      </w:r>
      <w:r w:rsidRPr="00FF5CC7">
        <w:rPr>
          <w:rFonts w:ascii="Arial" w:eastAsiaTheme="minorHAnsi" w:hAnsi="Arial" w:cs="Arial"/>
          <w:color w:val="auto"/>
          <w:kern w:val="0"/>
          <w14:ligatures w14:val="none"/>
          <w14:cntxtAlts w14:val="0"/>
        </w:rPr>
        <w:t>. Factors contributing to the increased risk of work-related injury and illness include: lack of training or supervision; language, literacy and cultural barriers in the workplace; fear of discrimination in and outside of the workplace; and economic pressures that deter workers from speaking up about workplace hazards. In high-risk industries such as construction, Hispanic workers are more likely to be placed in positions where the hazards are less likely to be controlled. OHSP continues to work to reduce these disparities by providing detailed data to stakeholders and performing outreach activities to Hispanic workforces.</w:t>
      </w:r>
      <w:r>
        <w:rPr>
          <w:rFonts w:ascii="Arial" w:eastAsiaTheme="minorHAnsi" w:hAnsi="Arial" w:cs="Arial"/>
          <w:color w:val="auto"/>
          <w:kern w:val="0"/>
          <w14:ligatures w14:val="none"/>
          <w14:cntxtAlts w14:val="0"/>
        </w:rPr>
        <w:t xml:space="preserve"> </w:t>
      </w:r>
    </w:p>
    <w:p w14:paraId="1AA1E8F8" w14:textId="77777777" w:rsidR="00FF5CC7" w:rsidRDefault="00FF5CC7" w:rsidP="00CE1F2A">
      <w:pPr>
        <w:pStyle w:val="BodyTextIndent"/>
        <w:widowControl w:val="0"/>
        <w:numPr>
          <w:ilvl w:val="0"/>
          <w:numId w:val="4"/>
        </w:numPr>
        <w:spacing w:after="0"/>
        <w:rPr>
          <w:rFonts w:ascii="Arial" w:hAnsi="Arial" w:cs="Arial"/>
          <w:color w:val="auto"/>
          <w14:ligatures w14:val="none"/>
        </w:rPr>
      </w:pPr>
      <w:r w:rsidRPr="00FF5CC7">
        <w:rPr>
          <w:rFonts w:ascii="Arial" w:hAnsi="Arial" w:cs="Arial"/>
          <w:color w:val="auto"/>
          <w14:ligatures w14:val="none"/>
        </w:rPr>
        <w:lastRenderedPageBreak/>
        <w:t>Twenty-nine workers (12%) were born outside of the U.S. and worked in a range of industries. Among these workers, the leading sector for employment was construction (n=10), and the leading country of birth was Brazil (n=5). The rate of fatal injury among foreign-born workers was 1.8 per 100,000 and the rate among U.S.-born workers was 2.8 per 100,000 workers.</w:t>
      </w:r>
    </w:p>
    <w:p w14:paraId="7561FC51" w14:textId="64C26E72" w:rsidR="00FF5CC7" w:rsidRDefault="00FF5CC7" w:rsidP="004D34D6">
      <w:pPr>
        <w:pStyle w:val="BodyTextIndent"/>
        <w:widowControl w:val="0"/>
        <w:numPr>
          <w:ilvl w:val="0"/>
          <w:numId w:val="4"/>
        </w:numPr>
        <w:spacing w:after="0"/>
        <w:rPr>
          <w:rFonts w:ascii="Arial" w:hAnsi="Arial" w:cs="Arial"/>
          <w:color w:val="auto"/>
          <w14:ligatures w14:val="none"/>
        </w:rPr>
      </w:pPr>
      <w:r w:rsidRPr="00FF5CC7">
        <w:rPr>
          <w:rFonts w:ascii="Arial" w:hAnsi="Arial" w:cs="Arial"/>
          <w:color w:val="auto"/>
          <w14:ligatures w14:val="none"/>
        </w:rPr>
        <w:t>Thirty-three workers were self-employed</w:t>
      </w:r>
      <w:r w:rsidR="00A553E6">
        <w:rPr>
          <w:rStyle w:val="FootnoteReference"/>
          <w:rFonts w:ascii="Arial" w:hAnsi="Arial" w:cs="Arial"/>
          <w:color w:val="auto"/>
          <w14:ligatures w14:val="none"/>
        </w:rPr>
        <w:footnoteReference w:id="6"/>
      </w:r>
      <w:r w:rsidRPr="00FF5CC7">
        <w:rPr>
          <w:rFonts w:ascii="Arial" w:hAnsi="Arial" w:cs="Arial"/>
          <w:color w:val="auto"/>
          <w14:ligatures w14:val="none"/>
        </w:rPr>
        <w:t>. The fatal injury rate among self-employed workers was 9.0 per 100,000</w:t>
      </w:r>
      <w:r>
        <w:rPr>
          <w:rFonts w:ascii="Arial" w:hAnsi="Arial" w:cs="Arial"/>
          <w:color w:val="auto"/>
          <w14:ligatures w14:val="none"/>
        </w:rPr>
        <w:t xml:space="preserve"> </w:t>
      </w:r>
      <w:r w:rsidRPr="00FF5CC7">
        <w:rPr>
          <w:rFonts w:ascii="Arial" w:hAnsi="Arial" w:cs="Arial"/>
          <w:color w:val="auto"/>
          <w14:ligatures w14:val="none"/>
        </w:rPr>
        <w:t>workers, more than four times the rate of 2.2 among wage/salary earners. While the self-employed are often not subject to OSHA enforcement, OHSP plays an important role in ensuring that these workers' deaths are counted and continuing to promote and support workplace policies that will help protect these workers.</w:t>
      </w:r>
    </w:p>
    <w:p w14:paraId="6ED65AE7" w14:textId="571345BA" w:rsidR="00FF5CC7" w:rsidRDefault="00FF5CC7" w:rsidP="00A24E99">
      <w:pPr>
        <w:pStyle w:val="ListParagraph"/>
        <w:widowControl w:val="0"/>
        <w:spacing w:after="0"/>
        <w:rPr>
          <w:rFonts w:ascii="Arial" w:eastAsia="Times New Roman" w:hAnsi="Arial" w:cs="Arial"/>
          <w:kern w:val="28"/>
          <w:sz w:val="20"/>
          <w:szCs w:val="20"/>
          <w14:cntxtAlts/>
        </w:rPr>
      </w:pPr>
      <w:r w:rsidRPr="00FF5CC7">
        <w:rPr>
          <w:rFonts w:ascii="Arial" w:eastAsia="Times New Roman" w:hAnsi="Arial" w:cs="Arial"/>
          <w:kern w:val="28"/>
          <w:sz w:val="20"/>
          <w:szCs w:val="20"/>
          <w14:cntxtAlts/>
        </w:rPr>
        <w:t xml:space="preserve">The largest number of fatal injuries occurred in Middlesex County, followed by Hampden, Essex, </w:t>
      </w:r>
      <w:proofErr w:type="gramStart"/>
      <w:r w:rsidRPr="00FF5CC7">
        <w:rPr>
          <w:rFonts w:ascii="Arial" w:eastAsia="Times New Roman" w:hAnsi="Arial" w:cs="Arial"/>
          <w:kern w:val="28"/>
          <w:sz w:val="20"/>
          <w:szCs w:val="20"/>
          <w14:cntxtAlts/>
        </w:rPr>
        <w:t>Bristol</w:t>
      </w:r>
      <w:proofErr w:type="gramEnd"/>
      <w:r w:rsidRPr="00FF5CC7">
        <w:rPr>
          <w:rFonts w:ascii="Arial" w:eastAsia="Times New Roman" w:hAnsi="Arial" w:cs="Arial"/>
          <w:kern w:val="28"/>
          <w:sz w:val="20"/>
          <w:szCs w:val="20"/>
          <w14:cntxtAlts/>
        </w:rPr>
        <w:t xml:space="preserve"> and Norfolk Counties. Hampden County, which has the largest proportion of Hispanic residents, had eight Hispanic worker deaths.</w:t>
      </w:r>
    </w:p>
    <w:p w14:paraId="1966E3E3" w14:textId="776E5103" w:rsidR="000A1328" w:rsidRDefault="000A1328" w:rsidP="000A1328">
      <w:pPr>
        <w:widowControl w:val="0"/>
        <w:spacing w:after="0"/>
        <w:rPr>
          <w:rFonts w:ascii="Arial" w:eastAsia="Times New Roman" w:hAnsi="Arial" w:cs="Arial"/>
          <w:kern w:val="28"/>
          <w:sz w:val="20"/>
          <w:szCs w:val="20"/>
          <w14:cntxtAlts/>
        </w:rPr>
      </w:pPr>
    </w:p>
    <w:p w14:paraId="5E26D8DF" w14:textId="77777777" w:rsidR="000A1328" w:rsidRPr="000A1328" w:rsidRDefault="000A1328" w:rsidP="000A1328">
      <w:pPr>
        <w:widowControl w:val="0"/>
        <w:spacing w:after="0"/>
        <w:rPr>
          <w:rFonts w:ascii="Arial" w:eastAsia="Times New Roman" w:hAnsi="Arial" w:cs="Arial"/>
          <w:kern w:val="28"/>
          <w:sz w:val="20"/>
          <w:szCs w:val="20"/>
          <w14:cntxtAlts/>
        </w:rPr>
      </w:pPr>
    </w:p>
    <w:tbl>
      <w:tblPr>
        <w:tblW w:w="4198" w:type="dxa"/>
        <w:tblCellMar>
          <w:left w:w="0" w:type="dxa"/>
          <w:right w:w="0" w:type="dxa"/>
        </w:tblCellMar>
        <w:tblLook w:val="04A0" w:firstRow="1" w:lastRow="0" w:firstColumn="1" w:lastColumn="0" w:noHBand="0" w:noVBand="1"/>
      </w:tblPr>
      <w:tblGrid>
        <w:gridCol w:w="1361"/>
        <w:gridCol w:w="450"/>
        <w:gridCol w:w="454"/>
        <w:gridCol w:w="1260"/>
        <w:gridCol w:w="673"/>
      </w:tblGrid>
      <w:tr w:rsidR="004D34D6" w:rsidRPr="00AB18D1" w14:paraId="01D9D424" w14:textId="77777777" w:rsidTr="00AD2768">
        <w:trPr>
          <w:trHeight w:val="431"/>
        </w:trPr>
        <w:tc>
          <w:tcPr>
            <w:tcW w:w="4198" w:type="dxa"/>
            <w:gridSpan w:val="5"/>
            <w:shd w:val="clear" w:color="auto" w:fill="B4C6E7" w:themeFill="accent1" w:themeFillTint="66"/>
            <w:tcMar>
              <w:top w:w="58" w:type="dxa"/>
              <w:left w:w="58" w:type="dxa"/>
              <w:bottom w:w="58" w:type="dxa"/>
              <w:right w:w="58" w:type="dxa"/>
            </w:tcMar>
            <w:hideMark/>
          </w:tcPr>
          <w:p w14:paraId="3240FA94" w14:textId="2130EA76" w:rsidR="004D34D6" w:rsidRPr="00AB18D1" w:rsidRDefault="004D34D6" w:rsidP="007F0B48">
            <w:pPr>
              <w:widowControl w:val="0"/>
              <w:spacing w:after="0"/>
              <w:jc w:val="center"/>
              <w:rPr>
                <w:rFonts w:ascii="Arial" w:hAnsi="Arial" w:cs="Arial"/>
                <w:b/>
                <w:bCs/>
                <w:color w:val="2A2623"/>
                <w:kern w:val="28"/>
                <w:u w:val="single"/>
                <w14:cntxtAlts/>
              </w:rPr>
            </w:pPr>
            <w:r w:rsidRPr="00AB18D1">
              <w:rPr>
                <w:rFonts w:ascii="Arial" w:hAnsi="Arial" w:cs="Arial"/>
                <w:b/>
                <w:bCs/>
                <w:u w:val="single"/>
              </w:rPr>
              <w:t>Deaths by County of Injury, 2018</w:t>
            </w:r>
            <w:r w:rsidR="00AD2768">
              <w:rPr>
                <w:rFonts w:ascii="Arial" w:hAnsi="Arial" w:cs="Arial"/>
                <w:b/>
                <w:bCs/>
                <w:u w:val="single"/>
              </w:rPr>
              <w:t>-2019</w:t>
            </w:r>
          </w:p>
        </w:tc>
      </w:tr>
      <w:tr w:rsidR="004D34D6" w:rsidRPr="00AB18D1" w14:paraId="490A358F" w14:textId="77777777" w:rsidTr="00AD2768">
        <w:trPr>
          <w:trHeight w:val="1846"/>
        </w:trPr>
        <w:tc>
          <w:tcPr>
            <w:tcW w:w="1361" w:type="dxa"/>
            <w:shd w:val="clear" w:color="auto" w:fill="B4C6E7" w:themeFill="accent1" w:themeFillTint="66"/>
            <w:tcMar>
              <w:top w:w="58" w:type="dxa"/>
              <w:left w:w="58" w:type="dxa"/>
              <w:bottom w:w="58" w:type="dxa"/>
              <w:right w:w="58" w:type="dxa"/>
            </w:tcMar>
            <w:hideMark/>
          </w:tcPr>
          <w:p w14:paraId="1CAC0A6C" w14:textId="77777777" w:rsidR="004D34D6" w:rsidRPr="00AB18D1" w:rsidRDefault="004D34D6" w:rsidP="007F0B48">
            <w:pPr>
              <w:widowControl w:val="0"/>
              <w:spacing w:after="0"/>
              <w:rPr>
                <w:rFonts w:ascii="Arial" w:hAnsi="Arial" w:cs="Arial"/>
                <w:b/>
                <w:bCs/>
                <w:kern w:val="28"/>
                <w:sz w:val="21"/>
                <w:szCs w:val="21"/>
                <w14:cntxtAlts/>
              </w:rPr>
            </w:pPr>
            <w:r w:rsidRPr="00AB18D1">
              <w:rPr>
                <w:rFonts w:ascii="Arial" w:hAnsi="Arial" w:cs="Arial"/>
                <w:b/>
                <w:bCs/>
                <w:sz w:val="21"/>
                <w:szCs w:val="21"/>
              </w:rPr>
              <w:t>Middlesex</w:t>
            </w:r>
          </w:p>
          <w:p w14:paraId="0F18A48F" w14:textId="77777777" w:rsidR="004D34D6" w:rsidRPr="00AB18D1" w:rsidRDefault="004D34D6" w:rsidP="007F0B48">
            <w:pPr>
              <w:widowControl w:val="0"/>
              <w:spacing w:after="0"/>
              <w:rPr>
                <w:rFonts w:ascii="Arial" w:hAnsi="Arial" w:cs="Arial"/>
                <w:b/>
                <w:bCs/>
                <w:kern w:val="28"/>
                <w:sz w:val="21"/>
                <w:szCs w:val="21"/>
                <w14:cntxtAlts/>
              </w:rPr>
            </w:pPr>
            <w:r w:rsidRPr="00AB18D1">
              <w:rPr>
                <w:rFonts w:ascii="Arial" w:hAnsi="Arial" w:cs="Arial"/>
                <w:b/>
                <w:bCs/>
                <w:sz w:val="21"/>
                <w:szCs w:val="21"/>
              </w:rPr>
              <w:t>Hampden</w:t>
            </w:r>
          </w:p>
          <w:p w14:paraId="3F6DCBD4" w14:textId="77777777" w:rsidR="004D34D6" w:rsidRPr="00AB18D1" w:rsidRDefault="004D34D6" w:rsidP="007F0B48">
            <w:pPr>
              <w:widowControl w:val="0"/>
              <w:spacing w:after="0"/>
              <w:rPr>
                <w:rFonts w:ascii="Arial" w:hAnsi="Arial" w:cs="Arial"/>
                <w:b/>
                <w:bCs/>
                <w:sz w:val="21"/>
                <w:szCs w:val="21"/>
              </w:rPr>
            </w:pPr>
            <w:r w:rsidRPr="00AB18D1">
              <w:rPr>
                <w:rFonts w:ascii="Arial" w:hAnsi="Arial" w:cs="Arial"/>
                <w:b/>
                <w:bCs/>
                <w:sz w:val="21"/>
                <w:szCs w:val="21"/>
              </w:rPr>
              <w:t>Essex</w:t>
            </w:r>
          </w:p>
          <w:p w14:paraId="720EF43E" w14:textId="5CE40700" w:rsidR="00FF5CC7" w:rsidRDefault="00FF5CC7" w:rsidP="007F0B48">
            <w:pPr>
              <w:widowControl w:val="0"/>
              <w:spacing w:after="0"/>
              <w:rPr>
                <w:rFonts w:ascii="Arial" w:hAnsi="Arial" w:cs="Arial"/>
                <w:b/>
                <w:bCs/>
                <w:sz w:val="21"/>
                <w:szCs w:val="21"/>
              </w:rPr>
            </w:pPr>
            <w:r w:rsidRPr="00AB18D1">
              <w:rPr>
                <w:rFonts w:ascii="Arial" w:hAnsi="Arial" w:cs="Arial"/>
                <w:b/>
                <w:bCs/>
                <w:sz w:val="21"/>
                <w:szCs w:val="21"/>
              </w:rPr>
              <w:t>Bristol</w:t>
            </w:r>
          </w:p>
          <w:p w14:paraId="72316199" w14:textId="6E0FDFF0" w:rsidR="004D34D6" w:rsidRPr="00AB18D1" w:rsidRDefault="004D34D6" w:rsidP="007F0B48">
            <w:pPr>
              <w:widowControl w:val="0"/>
              <w:spacing w:after="0"/>
              <w:rPr>
                <w:rFonts w:ascii="Arial" w:hAnsi="Arial" w:cs="Arial"/>
                <w:b/>
                <w:bCs/>
                <w:sz w:val="21"/>
                <w:szCs w:val="21"/>
              </w:rPr>
            </w:pPr>
            <w:r w:rsidRPr="00AB18D1">
              <w:rPr>
                <w:rFonts w:ascii="Arial" w:hAnsi="Arial" w:cs="Arial"/>
                <w:b/>
                <w:bCs/>
                <w:sz w:val="21"/>
                <w:szCs w:val="21"/>
              </w:rPr>
              <w:t>Norfolk</w:t>
            </w:r>
          </w:p>
          <w:p w14:paraId="48079B5B" w14:textId="58117FFA" w:rsidR="004D34D6" w:rsidRDefault="004D34D6" w:rsidP="007F0B48">
            <w:pPr>
              <w:widowControl w:val="0"/>
              <w:spacing w:after="0"/>
              <w:rPr>
                <w:rFonts w:ascii="Arial" w:hAnsi="Arial" w:cs="Arial"/>
                <w:b/>
                <w:bCs/>
                <w:sz w:val="21"/>
                <w:szCs w:val="21"/>
              </w:rPr>
            </w:pPr>
            <w:r w:rsidRPr="00AB18D1">
              <w:rPr>
                <w:rFonts w:ascii="Arial" w:hAnsi="Arial" w:cs="Arial"/>
                <w:b/>
                <w:bCs/>
                <w:sz w:val="21"/>
                <w:szCs w:val="21"/>
              </w:rPr>
              <w:t>Suffolk</w:t>
            </w:r>
          </w:p>
          <w:p w14:paraId="44BBD85A" w14:textId="77777777" w:rsidR="00D06405" w:rsidRPr="00AB18D1" w:rsidRDefault="00D06405" w:rsidP="00D06405">
            <w:pPr>
              <w:widowControl w:val="0"/>
              <w:spacing w:after="0"/>
              <w:rPr>
                <w:rFonts w:ascii="Arial" w:hAnsi="Arial" w:cs="Arial"/>
                <w:b/>
                <w:bCs/>
                <w:sz w:val="21"/>
                <w:szCs w:val="21"/>
              </w:rPr>
            </w:pPr>
            <w:r w:rsidRPr="00AB18D1">
              <w:rPr>
                <w:rFonts w:ascii="Arial" w:hAnsi="Arial" w:cs="Arial"/>
                <w:b/>
                <w:bCs/>
                <w:sz w:val="21"/>
                <w:szCs w:val="21"/>
              </w:rPr>
              <w:t>Worcester</w:t>
            </w:r>
          </w:p>
          <w:p w14:paraId="32676C8B" w14:textId="77777777" w:rsidR="00D06405" w:rsidRPr="00AB18D1" w:rsidRDefault="00D06405" w:rsidP="007F0B48">
            <w:pPr>
              <w:widowControl w:val="0"/>
              <w:spacing w:after="0"/>
              <w:rPr>
                <w:rFonts w:ascii="Arial" w:hAnsi="Arial" w:cs="Arial"/>
                <w:b/>
                <w:bCs/>
                <w:sz w:val="21"/>
                <w:szCs w:val="21"/>
              </w:rPr>
            </w:pPr>
          </w:p>
          <w:p w14:paraId="33B1FBD0" w14:textId="77777777" w:rsidR="004D34D6" w:rsidRPr="00AB18D1" w:rsidRDefault="004D34D6" w:rsidP="00FF5CC7">
            <w:pPr>
              <w:widowControl w:val="0"/>
              <w:spacing w:after="0"/>
              <w:rPr>
                <w:rFonts w:ascii="Arial" w:hAnsi="Arial" w:cs="Arial"/>
                <w:b/>
                <w:bCs/>
                <w:kern w:val="28"/>
                <w:sz w:val="21"/>
                <w:szCs w:val="21"/>
                <w14:cntxtAlts/>
              </w:rPr>
            </w:pPr>
          </w:p>
        </w:tc>
        <w:tc>
          <w:tcPr>
            <w:tcW w:w="450" w:type="dxa"/>
            <w:shd w:val="clear" w:color="auto" w:fill="B4C6E7" w:themeFill="accent1" w:themeFillTint="66"/>
            <w:tcMar>
              <w:top w:w="58" w:type="dxa"/>
              <w:left w:w="58" w:type="dxa"/>
              <w:bottom w:w="58" w:type="dxa"/>
              <w:right w:w="115" w:type="dxa"/>
            </w:tcMar>
            <w:hideMark/>
          </w:tcPr>
          <w:p w14:paraId="4E1627F7" w14:textId="3CBCE9C6" w:rsidR="004D34D6" w:rsidRPr="00AB18D1" w:rsidRDefault="00FF5CC7" w:rsidP="007F0B48">
            <w:pPr>
              <w:widowControl w:val="0"/>
              <w:spacing w:after="0"/>
              <w:jc w:val="right"/>
              <w:rPr>
                <w:rFonts w:ascii="Arial" w:hAnsi="Arial" w:cs="Arial"/>
                <w:b/>
                <w:bCs/>
                <w:kern w:val="28"/>
                <w:sz w:val="21"/>
                <w:szCs w:val="21"/>
                <w14:cntxtAlts/>
              </w:rPr>
            </w:pPr>
            <w:r>
              <w:rPr>
                <w:rFonts w:ascii="Arial" w:hAnsi="Arial" w:cs="Arial"/>
                <w:b/>
                <w:bCs/>
                <w:kern w:val="28"/>
                <w:sz w:val="21"/>
                <w:szCs w:val="21"/>
                <w14:cntxtAlts/>
              </w:rPr>
              <w:t>30</w:t>
            </w:r>
          </w:p>
          <w:p w14:paraId="4307FA8F" w14:textId="49F76AA0" w:rsidR="004D34D6" w:rsidRPr="00AB18D1" w:rsidRDefault="004D34D6" w:rsidP="007F0B48">
            <w:pPr>
              <w:widowControl w:val="0"/>
              <w:spacing w:after="0"/>
              <w:jc w:val="right"/>
              <w:rPr>
                <w:rFonts w:ascii="Arial" w:hAnsi="Arial" w:cs="Arial"/>
                <w:b/>
                <w:bCs/>
                <w:sz w:val="21"/>
                <w:szCs w:val="21"/>
              </w:rPr>
            </w:pPr>
            <w:r w:rsidRPr="00AB18D1">
              <w:rPr>
                <w:rFonts w:ascii="Arial" w:hAnsi="Arial" w:cs="Arial"/>
                <w:b/>
                <w:bCs/>
                <w:sz w:val="21"/>
                <w:szCs w:val="21"/>
              </w:rPr>
              <w:t>2</w:t>
            </w:r>
            <w:r w:rsidR="00FF5CC7">
              <w:rPr>
                <w:rFonts w:ascii="Arial" w:hAnsi="Arial" w:cs="Arial"/>
                <w:b/>
                <w:bCs/>
                <w:sz w:val="21"/>
                <w:szCs w:val="21"/>
              </w:rPr>
              <w:t>8</w:t>
            </w:r>
          </w:p>
          <w:p w14:paraId="242412E6" w14:textId="408B605C" w:rsidR="004D34D6" w:rsidRPr="00AB18D1" w:rsidRDefault="00FF5CC7" w:rsidP="007F0B48">
            <w:pPr>
              <w:widowControl w:val="0"/>
              <w:spacing w:after="0"/>
              <w:jc w:val="right"/>
              <w:rPr>
                <w:rFonts w:ascii="Arial" w:hAnsi="Arial" w:cs="Arial"/>
                <w:b/>
                <w:bCs/>
                <w:sz w:val="21"/>
                <w:szCs w:val="21"/>
              </w:rPr>
            </w:pPr>
            <w:r>
              <w:rPr>
                <w:rFonts w:ascii="Arial" w:hAnsi="Arial" w:cs="Arial"/>
                <w:b/>
                <w:bCs/>
                <w:sz w:val="21"/>
                <w:szCs w:val="21"/>
              </w:rPr>
              <w:t>2</w:t>
            </w:r>
            <w:r w:rsidR="004D34D6" w:rsidRPr="00AB18D1">
              <w:rPr>
                <w:rFonts w:ascii="Arial" w:hAnsi="Arial" w:cs="Arial"/>
                <w:b/>
                <w:bCs/>
                <w:sz w:val="21"/>
                <w:szCs w:val="21"/>
              </w:rPr>
              <w:t>1</w:t>
            </w:r>
          </w:p>
          <w:p w14:paraId="16F5B7F5" w14:textId="1CC2C1D0" w:rsidR="004D34D6" w:rsidRPr="00AB18D1" w:rsidRDefault="004D34D6" w:rsidP="007F0B48">
            <w:pPr>
              <w:widowControl w:val="0"/>
              <w:spacing w:after="0"/>
              <w:jc w:val="right"/>
              <w:rPr>
                <w:rFonts w:ascii="Arial" w:hAnsi="Arial" w:cs="Arial"/>
                <w:b/>
                <w:bCs/>
                <w:sz w:val="21"/>
                <w:szCs w:val="21"/>
              </w:rPr>
            </w:pPr>
            <w:r w:rsidRPr="00AB18D1">
              <w:rPr>
                <w:rFonts w:ascii="Arial" w:hAnsi="Arial" w:cs="Arial"/>
                <w:b/>
                <w:bCs/>
                <w:sz w:val="21"/>
                <w:szCs w:val="21"/>
              </w:rPr>
              <w:t>1</w:t>
            </w:r>
            <w:r w:rsidR="00FF5CC7">
              <w:rPr>
                <w:rFonts w:ascii="Arial" w:hAnsi="Arial" w:cs="Arial"/>
                <w:b/>
                <w:bCs/>
                <w:sz w:val="21"/>
                <w:szCs w:val="21"/>
              </w:rPr>
              <w:t>8</w:t>
            </w:r>
          </w:p>
          <w:p w14:paraId="6B9EE088" w14:textId="17BB518D" w:rsidR="004D34D6" w:rsidRPr="00AB18D1" w:rsidRDefault="00FF5CC7" w:rsidP="007F0B48">
            <w:pPr>
              <w:widowControl w:val="0"/>
              <w:spacing w:after="0"/>
              <w:jc w:val="right"/>
              <w:rPr>
                <w:rFonts w:ascii="Arial" w:hAnsi="Arial" w:cs="Arial"/>
                <w:b/>
                <w:bCs/>
                <w:sz w:val="21"/>
                <w:szCs w:val="21"/>
              </w:rPr>
            </w:pPr>
            <w:r>
              <w:rPr>
                <w:rFonts w:ascii="Arial" w:hAnsi="Arial" w:cs="Arial"/>
                <w:b/>
                <w:bCs/>
                <w:sz w:val="21"/>
                <w:szCs w:val="21"/>
              </w:rPr>
              <w:t>18</w:t>
            </w:r>
          </w:p>
          <w:p w14:paraId="4918B9E4" w14:textId="3B19C5E1" w:rsidR="004D34D6" w:rsidRPr="00AB18D1" w:rsidRDefault="00FF5CC7" w:rsidP="007F0B48">
            <w:pPr>
              <w:widowControl w:val="0"/>
              <w:spacing w:after="0"/>
              <w:jc w:val="right"/>
              <w:rPr>
                <w:rFonts w:ascii="Arial" w:hAnsi="Arial" w:cs="Arial"/>
                <w:b/>
                <w:bCs/>
                <w:sz w:val="21"/>
                <w:szCs w:val="21"/>
              </w:rPr>
            </w:pPr>
            <w:r>
              <w:rPr>
                <w:rFonts w:ascii="Arial" w:hAnsi="Arial" w:cs="Arial"/>
                <w:b/>
                <w:bCs/>
                <w:sz w:val="21"/>
                <w:szCs w:val="21"/>
              </w:rPr>
              <w:t>16</w:t>
            </w:r>
          </w:p>
          <w:p w14:paraId="54A03CAA" w14:textId="2757B84A" w:rsidR="004D34D6" w:rsidRPr="00AB18D1" w:rsidRDefault="00FF5CC7" w:rsidP="007F0B48">
            <w:pPr>
              <w:widowControl w:val="0"/>
              <w:spacing w:after="0"/>
              <w:jc w:val="right"/>
              <w:rPr>
                <w:rFonts w:ascii="Arial" w:hAnsi="Arial" w:cs="Arial"/>
                <w:b/>
                <w:bCs/>
                <w:kern w:val="28"/>
                <w:sz w:val="21"/>
                <w:szCs w:val="21"/>
                <w14:cntxtAlts/>
              </w:rPr>
            </w:pPr>
            <w:r>
              <w:rPr>
                <w:rFonts w:ascii="Arial" w:hAnsi="Arial" w:cs="Arial"/>
                <w:b/>
                <w:bCs/>
                <w:kern w:val="28"/>
                <w:sz w:val="21"/>
                <w:szCs w:val="21"/>
                <w14:cntxtAlts/>
              </w:rPr>
              <w:t>15</w:t>
            </w:r>
          </w:p>
        </w:tc>
        <w:tc>
          <w:tcPr>
            <w:tcW w:w="454" w:type="dxa"/>
            <w:shd w:val="clear" w:color="auto" w:fill="B4C6E7" w:themeFill="accent1" w:themeFillTint="66"/>
            <w:tcMar>
              <w:top w:w="58" w:type="dxa"/>
              <w:left w:w="58" w:type="dxa"/>
              <w:bottom w:w="58" w:type="dxa"/>
              <w:right w:w="115" w:type="dxa"/>
            </w:tcMar>
            <w:hideMark/>
          </w:tcPr>
          <w:p w14:paraId="2244219F" w14:textId="77777777" w:rsidR="004D34D6" w:rsidRPr="00AB18D1" w:rsidRDefault="004D34D6" w:rsidP="007F0B48">
            <w:pPr>
              <w:widowControl w:val="0"/>
              <w:spacing w:after="0"/>
              <w:jc w:val="right"/>
              <w:rPr>
                <w:rFonts w:ascii="Arial" w:hAnsi="Arial" w:cs="Arial"/>
                <w:b/>
                <w:bCs/>
                <w:kern w:val="28"/>
                <w:sz w:val="21"/>
                <w:szCs w:val="21"/>
                <w14:cntxtAlts/>
              </w:rPr>
            </w:pPr>
            <w:r w:rsidRPr="00AB18D1">
              <w:rPr>
                <w:rFonts w:ascii="Arial" w:hAnsi="Arial" w:cs="Arial"/>
                <w:b/>
                <w:bCs/>
                <w:sz w:val="21"/>
                <w:szCs w:val="21"/>
              </w:rPr>
              <w:t> </w:t>
            </w:r>
          </w:p>
        </w:tc>
        <w:tc>
          <w:tcPr>
            <w:tcW w:w="1260" w:type="dxa"/>
            <w:shd w:val="clear" w:color="auto" w:fill="B4C6E7" w:themeFill="accent1" w:themeFillTint="66"/>
            <w:tcMar>
              <w:top w:w="58" w:type="dxa"/>
              <w:left w:w="58" w:type="dxa"/>
              <w:bottom w:w="58" w:type="dxa"/>
              <w:right w:w="115" w:type="dxa"/>
            </w:tcMar>
            <w:hideMark/>
          </w:tcPr>
          <w:p w14:paraId="28003039" w14:textId="2A46BEF8" w:rsidR="00D06405" w:rsidRDefault="00D06405" w:rsidP="007F0B48">
            <w:pPr>
              <w:widowControl w:val="0"/>
              <w:spacing w:after="0"/>
              <w:rPr>
                <w:rFonts w:ascii="Arial" w:hAnsi="Arial" w:cs="Arial"/>
                <w:b/>
                <w:bCs/>
                <w:sz w:val="21"/>
                <w:szCs w:val="21"/>
              </w:rPr>
            </w:pPr>
            <w:r w:rsidRPr="00AB18D1">
              <w:rPr>
                <w:rFonts w:ascii="Arial" w:hAnsi="Arial" w:cs="Arial"/>
                <w:b/>
                <w:bCs/>
                <w:sz w:val="21"/>
                <w:szCs w:val="21"/>
              </w:rPr>
              <w:t>Barnstable</w:t>
            </w:r>
          </w:p>
          <w:p w14:paraId="2ACA9EC4" w14:textId="1242CEB2" w:rsidR="004D34D6" w:rsidRPr="00AB18D1" w:rsidRDefault="004D34D6" w:rsidP="007F0B48">
            <w:pPr>
              <w:widowControl w:val="0"/>
              <w:spacing w:after="0"/>
              <w:rPr>
                <w:rFonts w:ascii="Arial" w:hAnsi="Arial" w:cs="Arial"/>
                <w:b/>
                <w:bCs/>
                <w:sz w:val="21"/>
                <w:szCs w:val="21"/>
              </w:rPr>
            </w:pPr>
            <w:r w:rsidRPr="00AB18D1">
              <w:rPr>
                <w:rFonts w:ascii="Arial" w:hAnsi="Arial" w:cs="Arial"/>
                <w:b/>
                <w:bCs/>
                <w:sz w:val="21"/>
                <w:szCs w:val="21"/>
              </w:rPr>
              <w:t xml:space="preserve">Plymouth </w:t>
            </w:r>
          </w:p>
          <w:p w14:paraId="09268804" w14:textId="77777777" w:rsidR="00D06405" w:rsidRPr="00AB18D1" w:rsidRDefault="00D06405" w:rsidP="00D06405">
            <w:pPr>
              <w:widowControl w:val="0"/>
              <w:spacing w:after="0"/>
              <w:rPr>
                <w:rFonts w:ascii="Arial" w:hAnsi="Arial" w:cs="Arial"/>
                <w:b/>
                <w:bCs/>
                <w:sz w:val="21"/>
                <w:szCs w:val="21"/>
              </w:rPr>
            </w:pPr>
            <w:r w:rsidRPr="00AB18D1">
              <w:rPr>
                <w:rFonts w:ascii="Arial" w:hAnsi="Arial" w:cs="Arial"/>
                <w:b/>
                <w:bCs/>
                <w:sz w:val="21"/>
                <w:szCs w:val="21"/>
              </w:rPr>
              <w:t>Dukes</w:t>
            </w:r>
          </w:p>
          <w:p w14:paraId="3A397C0D" w14:textId="77777777" w:rsidR="004D34D6" w:rsidRPr="00AB18D1" w:rsidRDefault="004D34D6" w:rsidP="007F0B48">
            <w:pPr>
              <w:widowControl w:val="0"/>
              <w:spacing w:after="0"/>
              <w:rPr>
                <w:rFonts w:ascii="Arial" w:hAnsi="Arial" w:cs="Arial"/>
                <w:b/>
                <w:bCs/>
                <w:sz w:val="21"/>
                <w:szCs w:val="21"/>
              </w:rPr>
            </w:pPr>
            <w:r w:rsidRPr="00AB18D1">
              <w:rPr>
                <w:rFonts w:ascii="Arial" w:hAnsi="Arial" w:cs="Arial"/>
                <w:b/>
                <w:bCs/>
                <w:sz w:val="21"/>
                <w:szCs w:val="21"/>
              </w:rPr>
              <w:t>Berkshire</w:t>
            </w:r>
          </w:p>
          <w:p w14:paraId="0368AF74" w14:textId="77777777" w:rsidR="00D06405" w:rsidRPr="00AB18D1" w:rsidRDefault="00D06405" w:rsidP="00D06405">
            <w:pPr>
              <w:widowControl w:val="0"/>
              <w:spacing w:after="0"/>
              <w:rPr>
                <w:rFonts w:ascii="Arial" w:hAnsi="Arial" w:cs="Arial"/>
                <w:b/>
                <w:bCs/>
                <w:sz w:val="21"/>
                <w:szCs w:val="21"/>
              </w:rPr>
            </w:pPr>
            <w:r w:rsidRPr="00AB18D1">
              <w:rPr>
                <w:rFonts w:ascii="Arial" w:hAnsi="Arial" w:cs="Arial"/>
                <w:b/>
                <w:bCs/>
                <w:sz w:val="21"/>
                <w:szCs w:val="21"/>
              </w:rPr>
              <w:t>Franklin</w:t>
            </w:r>
          </w:p>
          <w:p w14:paraId="74551E67" w14:textId="77777777" w:rsidR="00D06405" w:rsidRPr="00AB18D1" w:rsidRDefault="00D06405" w:rsidP="00D06405">
            <w:pPr>
              <w:widowControl w:val="0"/>
              <w:spacing w:after="0"/>
              <w:rPr>
                <w:rFonts w:ascii="Arial" w:hAnsi="Arial" w:cs="Arial"/>
                <w:b/>
                <w:bCs/>
                <w:sz w:val="21"/>
                <w:szCs w:val="21"/>
              </w:rPr>
            </w:pPr>
            <w:r w:rsidRPr="00AB18D1">
              <w:rPr>
                <w:rFonts w:ascii="Arial" w:hAnsi="Arial" w:cs="Arial"/>
                <w:b/>
                <w:bCs/>
                <w:sz w:val="21"/>
                <w:szCs w:val="21"/>
              </w:rPr>
              <w:t>Hampshire</w:t>
            </w:r>
          </w:p>
          <w:p w14:paraId="4D3F6092" w14:textId="77777777" w:rsidR="004D34D6" w:rsidRPr="00AB18D1" w:rsidRDefault="004D34D6" w:rsidP="007F0B48">
            <w:pPr>
              <w:widowControl w:val="0"/>
              <w:spacing w:after="0"/>
              <w:rPr>
                <w:rFonts w:ascii="Arial" w:hAnsi="Arial" w:cs="Arial"/>
                <w:b/>
                <w:bCs/>
                <w:sz w:val="21"/>
                <w:szCs w:val="21"/>
              </w:rPr>
            </w:pPr>
            <w:r w:rsidRPr="00AB18D1">
              <w:rPr>
                <w:rFonts w:ascii="Arial" w:hAnsi="Arial" w:cs="Arial"/>
                <w:b/>
                <w:bCs/>
                <w:sz w:val="21"/>
                <w:szCs w:val="21"/>
              </w:rPr>
              <w:t>Nantucket</w:t>
            </w:r>
          </w:p>
          <w:p w14:paraId="676E38E1" w14:textId="77777777" w:rsidR="004D34D6" w:rsidRPr="00AB18D1" w:rsidRDefault="004D34D6" w:rsidP="007F0B48">
            <w:pPr>
              <w:widowControl w:val="0"/>
              <w:spacing w:after="0"/>
              <w:rPr>
                <w:rFonts w:ascii="Arial" w:hAnsi="Arial" w:cs="Arial"/>
                <w:b/>
                <w:bCs/>
                <w:kern w:val="28"/>
                <w:sz w:val="21"/>
                <w:szCs w:val="21"/>
                <w14:cntxtAlts/>
              </w:rPr>
            </w:pPr>
            <w:r w:rsidRPr="00AB18D1">
              <w:rPr>
                <w:rFonts w:ascii="Arial" w:hAnsi="Arial" w:cs="Arial"/>
                <w:b/>
                <w:bCs/>
                <w:sz w:val="21"/>
                <w:szCs w:val="21"/>
              </w:rPr>
              <w:t> </w:t>
            </w:r>
          </w:p>
        </w:tc>
        <w:tc>
          <w:tcPr>
            <w:tcW w:w="673" w:type="dxa"/>
            <w:shd w:val="clear" w:color="auto" w:fill="B4C6E7" w:themeFill="accent1" w:themeFillTint="66"/>
            <w:tcMar>
              <w:top w:w="58" w:type="dxa"/>
              <w:left w:w="58" w:type="dxa"/>
              <w:bottom w:w="58" w:type="dxa"/>
              <w:right w:w="115" w:type="dxa"/>
            </w:tcMar>
            <w:hideMark/>
          </w:tcPr>
          <w:p w14:paraId="0A88F831" w14:textId="67DCE769" w:rsidR="004D34D6" w:rsidRPr="00AB18D1" w:rsidRDefault="00D06405" w:rsidP="007F0B48">
            <w:pPr>
              <w:widowControl w:val="0"/>
              <w:spacing w:after="0"/>
              <w:jc w:val="right"/>
              <w:rPr>
                <w:rFonts w:ascii="Arial" w:hAnsi="Arial" w:cs="Arial"/>
                <w:b/>
                <w:bCs/>
                <w:kern w:val="28"/>
                <w:sz w:val="21"/>
                <w:szCs w:val="21"/>
                <w14:cntxtAlts/>
              </w:rPr>
            </w:pPr>
            <w:r>
              <w:rPr>
                <w:rFonts w:ascii="Arial" w:hAnsi="Arial" w:cs="Arial"/>
                <w:b/>
                <w:bCs/>
                <w:kern w:val="28"/>
                <w:sz w:val="21"/>
                <w:szCs w:val="21"/>
                <w14:cntxtAlts/>
              </w:rPr>
              <w:t>12</w:t>
            </w:r>
          </w:p>
          <w:p w14:paraId="43A62B38" w14:textId="55C14F7C" w:rsidR="004D34D6" w:rsidRPr="00AB18D1" w:rsidRDefault="00D06405" w:rsidP="007F0B48">
            <w:pPr>
              <w:widowControl w:val="0"/>
              <w:spacing w:after="0"/>
              <w:jc w:val="right"/>
              <w:rPr>
                <w:rFonts w:ascii="Arial" w:hAnsi="Arial" w:cs="Arial"/>
                <w:b/>
                <w:bCs/>
                <w:sz w:val="21"/>
                <w:szCs w:val="21"/>
              </w:rPr>
            </w:pPr>
            <w:r>
              <w:rPr>
                <w:rFonts w:ascii="Arial" w:hAnsi="Arial" w:cs="Arial"/>
                <w:b/>
                <w:bCs/>
                <w:sz w:val="21"/>
                <w:szCs w:val="21"/>
              </w:rPr>
              <w:t>12</w:t>
            </w:r>
          </w:p>
          <w:p w14:paraId="58D4DEC1" w14:textId="1FA2B523" w:rsidR="004D34D6" w:rsidRPr="00AB18D1" w:rsidRDefault="00D06405" w:rsidP="007F0B48">
            <w:pPr>
              <w:widowControl w:val="0"/>
              <w:spacing w:after="0"/>
              <w:jc w:val="right"/>
              <w:rPr>
                <w:rFonts w:ascii="Arial" w:hAnsi="Arial" w:cs="Arial"/>
                <w:b/>
                <w:bCs/>
                <w:sz w:val="21"/>
                <w:szCs w:val="21"/>
              </w:rPr>
            </w:pPr>
            <w:r>
              <w:rPr>
                <w:rFonts w:ascii="Arial" w:hAnsi="Arial" w:cs="Arial"/>
                <w:b/>
                <w:bCs/>
                <w:sz w:val="21"/>
                <w:szCs w:val="21"/>
              </w:rPr>
              <w:t>5</w:t>
            </w:r>
          </w:p>
          <w:p w14:paraId="79728307" w14:textId="77777777" w:rsidR="004D34D6" w:rsidRPr="00AB18D1" w:rsidRDefault="004D34D6" w:rsidP="007F0B48">
            <w:pPr>
              <w:widowControl w:val="0"/>
              <w:spacing w:after="0"/>
              <w:jc w:val="right"/>
              <w:rPr>
                <w:rFonts w:ascii="Arial" w:hAnsi="Arial" w:cs="Arial"/>
                <w:b/>
                <w:bCs/>
                <w:sz w:val="21"/>
                <w:szCs w:val="21"/>
              </w:rPr>
            </w:pPr>
            <w:r w:rsidRPr="00AB18D1">
              <w:rPr>
                <w:rFonts w:ascii="Arial" w:hAnsi="Arial" w:cs="Arial"/>
                <w:b/>
                <w:bCs/>
                <w:sz w:val="21"/>
                <w:szCs w:val="21"/>
              </w:rPr>
              <w:t>2</w:t>
            </w:r>
          </w:p>
          <w:p w14:paraId="3919997B" w14:textId="77777777" w:rsidR="004D34D6" w:rsidRPr="00AB18D1" w:rsidRDefault="004D34D6" w:rsidP="007F0B48">
            <w:pPr>
              <w:widowControl w:val="0"/>
              <w:spacing w:after="0"/>
              <w:jc w:val="right"/>
              <w:rPr>
                <w:rFonts w:ascii="Arial" w:hAnsi="Arial" w:cs="Arial"/>
                <w:b/>
                <w:bCs/>
                <w:sz w:val="21"/>
                <w:szCs w:val="21"/>
              </w:rPr>
            </w:pPr>
            <w:r w:rsidRPr="00AB18D1">
              <w:rPr>
                <w:rFonts w:ascii="Arial" w:hAnsi="Arial" w:cs="Arial"/>
                <w:b/>
                <w:bCs/>
                <w:sz w:val="21"/>
                <w:szCs w:val="21"/>
              </w:rPr>
              <w:t>2</w:t>
            </w:r>
          </w:p>
          <w:p w14:paraId="2621D9EE" w14:textId="1C4DABD2" w:rsidR="004D34D6" w:rsidRPr="00AB18D1" w:rsidRDefault="00D06405" w:rsidP="007F0B48">
            <w:pPr>
              <w:widowControl w:val="0"/>
              <w:spacing w:after="0"/>
              <w:jc w:val="right"/>
              <w:rPr>
                <w:rFonts w:ascii="Arial" w:hAnsi="Arial" w:cs="Arial"/>
                <w:b/>
                <w:bCs/>
                <w:sz w:val="21"/>
                <w:szCs w:val="21"/>
              </w:rPr>
            </w:pPr>
            <w:r>
              <w:rPr>
                <w:rFonts w:ascii="Arial" w:hAnsi="Arial" w:cs="Arial"/>
                <w:b/>
                <w:bCs/>
                <w:sz w:val="21"/>
                <w:szCs w:val="21"/>
              </w:rPr>
              <w:t>2</w:t>
            </w:r>
          </w:p>
          <w:p w14:paraId="7BB2358E" w14:textId="2E844ADC" w:rsidR="004D34D6" w:rsidRPr="00AB18D1" w:rsidRDefault="00D06405" w:rsidP="007F0B48">
            <w:pPr>
              <w:widowControl w:val="0"/>
              <w:spacing w:after="0"/>
              <w:jc w:val="right"/>
              <w:rPr>
                <w:rFonts w:ascii="Arial" w:hAnsi="Arial" w:cs="Arial"/>
                <w:b/>
                <w:bCs/>
                <w:sz w:val="21"/>
                <w:szCs w:val="21"/>
              </w:rPr>
            </w:pPr>
            <w:r>
              <w:rPr>
                <w:rFonts w:ascii="Arial" w:hAnsi="Arial" w:cs="Arial"/>
                <w:b/>
                <w:bCs/>
                <w:sz w:val="21"/>
                <w:szCs w:val="21"/>
              </w:rPr>
              <w:t>2</w:t>
            </w:r>
          </w:p>
          <w:p w14:paraId="7EBD8E54" w14:textId="77777777" w:rsidR="004D34D6" w:rsidRPr="00AB18D1" w:rsidRDefault="004D34D6" w:rsidP="007F0B48">
            <w:pPr>
              <w:widowControl w:val="0"/>
              <w:spacing w:after="0"/>
              <w:jc w:val="right"/>
              <w:rPr>
                <w:rFonts w:ascii="Arial" w:hAnsi="Arial" w:cs="Arial"/>
                <w:b/>
                <w:bCs/>
                <w:kern w:val="28"/>
                <w:sz w:val="21"/>
                <w:szCs w:val="21"/>
                <w14:cntxtAlts/>
              </w:rPr>
            </w:pPr>
            <w:r w:rsidRPr="00AB18D1">
              <w:rPr>
                <w:rFonts w:ascii="Arial" w:hAnsi="Arial" w:cs="Arial"/>
                <w:b/>
                <w:bCs/>
                <w:sz w:val="21"/>
                <w:szCs w:val="21"/>
              </w:rPr>
              <w:t> </w:t>
            </w:r>
          </w:p>
        </w:tc>
      </w:tr>
    </w:tbl>
    <w:p w14:paraId="73C925B6" w14:textId="6E4677AE" w:rsidR="5B4397C7" w:rsidRPr="00D06405" w:rsidRDefault="00D06405" w:rsidP="00D06405">
      <w:pPr>
        <w:pStyle w:val="ListParagraph"/>
        <w:numPr>
          <w:ilvl w:val="0"/>
          <w:numId w:val="4"/>
        </w:numPr>
        <w:spacing w:before="40" w:after="120" w:line="240" w:lineRule="auto"/>
        <w:ind w:right="-36"/>
        <w:jc w:val="both"/>
        <w:rPr>
          <w:rFonts w:ascii="Arial" w:hAnsi="Arial" w:cs="Arial"/>
        </w:rPr>
      </w:pPr>
      <w:r w:rsidRPr="00D06405">
        <w:rPr>
          <w:rFonts w:ascii="Arial" w:eastAsia="Times New Roman" w:hAnsi="Arial" w:cs="Arial"/>
          <w:kern w:val="28"/>
          <w:sz w:val="20"/>
          <w:szCs w:val="20"/>
          <w14:cntxtAlts/>
        </w:rPr>
        <w:t xml:space="preserve">Nationwide, 5,250 workers died from fatal occupational injuries in 2018 and 5,333 died in 2019. This translates to a rate of 3.5 per 100,000 workers for the period, which is higher than the Massachusetts rate of 2.6. Compared to the </w:t>
      </w:r>
      <w:proofErr w:type="gramStart"/>
      <w:r w:rsidRPr="00D06405">
        <w:rPr>
          <w:rFonts w:ascii="Arial" w:eastAsia="Times New Roman" w:hAnsi="Arial" w:cs="Arial"/>
          <w:kern w:val="28"/>
          <w:sz w:val="20"/>
          <w:szCs w:val="20"/>
          <w14:cntxtAlts/>
        </w:rPr>
        <w:t>nation as a whole, Massachusetts</w:t>
      </w:r>
      <w:proofErr w:type="gramEnd"/>
      <w:r w:rsidRPr="00D06405">
        <w:rPr>
          <w:rFonts w:ascii="Arial" w:eastAsia="Times New Roman" w:hAnsi="Arial" w:cs="Arial"/>
          <w:kern w:val="28"/>
          <w:sz w:val="20"/>
          <w:szCs w:val="20"/>
          <w14:cntxtAlts/>
        </w:rPr>
        <w:t xml:space="preserve"> differs in three important ways. First, Massachusetts has proportionately fewer workers in high-risk industries, such as mining or heavy manufacturing, than the U.S. generally. Second, the proportion of work-related deaths from roadway transportation incidents and workplace homicides was much lower in Massachusetts. These were leading fatal events nationwide, representing 36% of all work-related fatal injuries, while in Massachusetts crashes made up just 19% of the burden. Third, workplace overdoses made up 20% of worker deaths in Massachusetts and compared to only 6% nationwide.</w:t>
      </w:r>
    </w:p>
    <w:p w14:paraId="75BF9E27" w14:textId="3E2FCEA7" w:rsidR="00D06405" w:rsidRPr="00D06405" w:rsidRDefault="00D06405" w:rsidP="00D06405">
      <w:pPr>
        <w:pStyle w:val="ListParagraph"/>
        <w:numPr>
          <w:ilvl w:val="0"/>
          <w:numId w:val="4"/>
        </w:numPr>
        <w:spacing w:before="40" w:after="120" w:line="240" w:lineRule="auto"/>
        <w:ind w:right="-36"/>
        <w:jc w:val="both"/>
        <w:rPr>
          <w:rFonts w:ascii="Arial" w:eastAsia="Times New Roman" w:hAnsi="Arial" w:cs="Arial"/>
          <w:kern w:val="28"/>
          <w:sz w:val="20"/>
          <w:szCs w:val="20"/>
          <w14:cntxtAlts/>
        </w:rPr>
      </w:pPr>
      <w:r w:rsidRPr="00D06405">
        <w:rPr>
          <w:rFonts w:ascii="Arial" w:eastAsia="Times New Roman" w:hAnsi="Arial" w:cs="Arial"/>
          <w:kern w:val="28"/>
          <w:sz w:val="20"/>
          <w:szCs w:val="20"/>
          <w14:cntxtAlts/>
        </w:rPr>
        <w:t>Unintentional overdose at work was the single leading cause of fatal injury at work in 2018-2019, resulting in 37 deaths. These deaths occurred across industry sectors, with the leading sectors being Construction (n=9), Administrative and Support and Waste Management and Remediation Services (n=6) and Agriculture, Forestry, Fishing, and Hunting (n=5). The average age of workplace overdose victims was 39.</w:t>
      </w:r>
    </w:p>
    <w:p w14:paraId="069BBC9D" w14:textId="10FF4279" w:rsidR="00D06405" w:rsidRPr="00D06405" w:rsidRDefault="00D06405" w:rsidP="00D06405">
      <w:pPr>
        <w:pStyle w:val="ListParagraph"/>
        <w:numPr>
          <w:ilvl w:val="0"/>
          <w:numId w:val="4"/>
        </w:numPr>
        <w:spacing w:before="40" w:after="120" w:line="240" w:lineRule="auto"/>
        <w:ind w:right="-36"/>
        <w:jc w:val="both"/>
        <w:rPr>
          <w:rFonts w:ascii="Arial" w:eastAsia="Times New Roman" w:hAnsi="Arial" w:cs="Arial"/>
          <w:kern w:val="28"/>
          <w:sz w:val="20"/>
          <w:szCs w:val="20"/>
          <w14:cntxtAlts/>
        </w:rPr>
      </w:pPr>
      <w:r w:rsidRPr="00D06405">
        <w:rPr>
          <w:rFonts w:ascii="Arial" w:eastAsia="Times New Roman" w:hAnsi="Arial" w:cs="Arial"/>
          <w:kern w:val="28"/>
          <w:sz w:val="20"/>
          <w:szCs w:val="20"/>
          <w14:cntxtAlts/>
        </w:rPr>
        <w:t>Falls to a lower level resulted in 32 worker deaths. Twenty (63%) of these were in the construction industry sector. Nineteen of the falls to a lower level were from heights of 20 feet or less; the overall range was three to 90 feet. Six workers died in falls while performing tree work.</w:t>
      </w:r>
    </w:p>
    <w:p w14:paraId="44295615" w14:textId="620BFA41" w:rsidR="00D06405" w:rsidRPr="00D06405" w:rsidRDefault="00D06405" w:rsidP="00D06405">
      <w:pPr>
        <w:pStyle w:val="ListParagraph"/>
        <w:numPr>
          <w:ilvl w:val="0"/>
          <w:numId w:val="4"/>
        </w:numPr>
        <w:spacing w:before="40" w:after="120" w:line="240" w:lineRule="auto"/>
        <w:ind w:right="-36"/>
        <w:jc w:val="both"/>
        <w:rPr>
          <w:rFonts w:ascii="Arial" w:eastAsia="Times New Roman" w:hAnsi="Arial" w:cs="Arial"/>
          <w:kern w:val="28"/>
          <w:sz w:val="20"/>
          <w:szCs w:val="20"/>
          <w14:cntxtAlts/>
        </w:rPr>
      </w:pPr>
      <w:r w:rsidRPr="00D06405">
        <w:rPr>
          <w:rFonts w:ascii="Arial" w:eastAsia="Times New Roman" w:hAnsi="Arial" w:cs="Arial"/>
          <w:kern w:val="28"/>
          <w:sz w:val="20"/>
          <w:szCs w:val="20"/>
          <w14:cntxtAlts/>
        </w:rPr>
        <w:t>Roadway motor vehicle collisions and rollovers contributed to the fatal injuries of 24 workers. Eleven additional deaths involved a worker struck by a vehicle (e.g. worker struck while working in roadways, work zones, parking lots, or other work locations.</w:t>
      </w:r>
    </w:p>
    <w:p w14:paraId="206A4C78" w14:textId="00D84856" w:rsidR="00D06405" w:rsidRPr="00D06405" w:rsidRDefault="00D06405" w:rsidP="00D06405">
      <w:pPr>
        <w:pStyle w:val="ListParagraph"/>
        <w:numPr>
          <w:ilvl w:val="0"/>
          <w:numId w:val="4"/>
        </w:numPr>
        <w:spacing w:before="40" w:after="120" w:line="240" w:lineRule="auto"/>
        <w:ind w:right="-36"/>
        <w:jc w:val="both"/>
        <w:rPr>
          <w:rFonts w:ascii="Arial" w:eastAsia="Times New Roman" w:hAnsi="Arial" w:cs="Arial"/>
          <w:kern w:val="28"/>
          <w:sz w:val="20"/>
          <w:szCs w:val="20"/>
          <w14:cntxtAlts/>
        </w:rPr>
      </w:pPr>
      <w:r w:rsidRPr="00D06405">
        <w:rPr>
          <w:rFonts w:ascii="Arial" w:eastAsia="Times New Roman" w:hAnsi="Arial" w:cs="Arial"/>
          <w:kern w:val="28"/>
          <w:sz w:val="20"/>
          <w:szCs w:val="20"/>
          <w14:cntxtAlts/>
        </w:rPr>
        <w:t xml:space="preserve">Workplace suicide accounted for 16 deaths. Eight of these workers were self-employed or were owners/operators of small firms. OHSP continues to work with OSHA, NIOSH, and the DPH Suicide Prevention Program to identify workforces that are at greater risk of suicide in Massachusetts </w:t>
      </w:r>
      <w:proofErr w:type="gramStart"/>
      <w:r w:rsidRPr="00D06405">
        <w:rPr>
          <w:rFonts w:ascii="Arial" w:eastAsia="Times New Roman" w:hAnsi="Arial" w:cs="Arial"/>
          <w:kern w:val="28"/>
          <w:sz w:val="20"/>
          <w:szCs w:val="20"/>
          <w14:cntxtAlts/>
        </w:rPr>
        <w:t>in order to</w:t>
      </w:r>
      <w:proofErr w:type="gramEnd"/>
      <w:r w:rsidRPr="00D06405">
        <w:rPr>
          <w:rFonts w:ascii="Arial" w:eastAsia="Times New Roman" w:hAnsi="Arial" w:cs="Arial"/>
          <w:kern w:val="28"/>
          <w:sz w:val="20"/>
          <w:szCs w:val="20"/>
          <w14:cntxtAlts/>
        </w:rPr>
        <w:t xml:space="preserve"> help create effective prevention programs.</w:t>
      </w:r>
    </w:p>
    <w:p w14:paraId="1FAC1396" w14:textId="127ECEB4" w:rsidR="000A1328" w:rsidRPr="000A1328" w:rsidRDefault="00C90DF8" w:rsidP="000A1328">
      <w:pPr>
        <w:spacing w:after="200" w:line="276" w:lineRule="auto"/>
        <w:rPr>
          <w:rFonts w:ascii="Arial" w:eastAsia="Arial" w:hAnsi="Arial" w:cs="Arial"/>
          <w:b/>
          <w:bCs/>
          <w:color w:val="000000" w:themeColor="text1"/>
          <w:sz w:val="18"/>
          <w:szCs w:val="18"/>
        </w:rPr>
      </w:pPr>
      <w:r w:rsidRPr="00AB18D1">
        <w:rPr>
          <w:rFonts w:ascii="Arial" w:eastAsia="Arial" w:hAnsi="Arial" w:cs="Arial"/>
          <w:b/>
          <w:bCs/>
          <w:color w:val="000000" w:themeColor="text1"/>
          <w:sz w:val="18"/>
          <w:szCs w:val="18"/>
        </w:rPr>
        <w:lastRenderedPageBreak/>
        <w:t>Types of Events Causing Worker Deaths</w:t>
      </w:r>
    </w:p>
    <w:tbl>
      <w:tblPr>
        <w:tblpPr w:leftFromText="180" w:rightFromText="180" w:bottomFromText="200" w:vertAnchor="text" w:horzAnchor="page" w:tblpX="1528" w:tblpY="52"/>
        <w:tblW w:w="9468" w:type="dxa"/>
        <w:tblLook w:val="04A0" w:firstRow="1" w:lastRow="0" w:firstColumn="1" w:lastColumn="0" w:noHBand="0" w:noVBand="1"/>
      </w:tblPr>
      <w:tblGrid>
        <w:gridCol w:w="5328"/>
        <w:gridCol w:w="2070"/>
        <w:gridCol w:w="2070"/>
      </w:tblGrid>
      <w:tr w:rsidR="00C90DF8" w:rsidRPr="00AB18D1" w14:paraId="55C76D5C" w14:textId="77777777" w:rsidTr="001D6591">
        <w:trPr>
          <w:trHeight w:val="885"/>
        </w:trPr>
        <w:tc>
          <w:tcPr>
            <w:tcW w:w="9468" w:type="dxa"/>
            <w:gridSpan w:val="3"/>
            <w:vAlign w:val="center"/>
            <w:hideMark/>
          </w:tcPr>
          <w:p w14:paraId="4605562A" w14:textId="1081DFA1" w:rsidR="00C90DF8" w:rsidRPr="00AB18D1" w:rsidRDefault="00C90DF8" w:rsidP="001D6591">
            <w:pPr>
              <w:spacing w:after="0" w:line="240" w:lineRule="auto"/>
              <w:rPr>
                <w:rFonts w:ascii="Arial" w:eastAsia="Times New Roman" w:hAnsi="Arial" w:cs="Arial"/>
                <w:b/>
                <w:bCs/>
                <w:sz w:val="20"/>
                <w:szCs w:val="20"/>
              </w:rPr>
            </w:pPr>
            <w:r w:rsidRPr="00AB18D1">
              <w:rPr>
                <w:rFonts w:ascii="Arial" w:eastAsia="Times New Roman" w:hAnsi="Arial" w:cs="Arial"/>
                <w:b/>
                <w:bCs/>
                <w:sz w:val="20"/>
                <w:szCs w:val="20"/>
              </w:rPr>
              <w:t>Table 1. Number and Percent of Fatal Injuries at Work by Event/Exposure, Massachusetts, 2018</w:t>
            </w:r>
            <w:r w:rsidR="00DB1260">
              <w:rPr>
                <w:rFonts w:ascii="Arial" w:eastAsia="Times New Roman" w:hAnsi="Arial" w:cs="Arial"/>
                <w:b/>
                <w:bCs/>
                <w:sz w:val="20"/>
                <w:szCs w:val="20"/>
              </w:rPr>
              <w:t>-2019</w:t>
            </w:r>
            <w:r w:rsidRPr="00AB18D1">
              <w:rPr>
                <w:rFonts w:ascii="Arial" w:eastAsia="Times New Roman" w:hAnsi="Arial" w:cs="Arial"/>
                <w:b/>
                <w:bCs/>
                <w:sz w:val="20"/>
                <w:szCs w:val="20"/>
              </w:rPr>
              <w:t>, N=</w:t>
            </w:r>
            <w:r w:rsidR="00DB1260">
              <w:rPr>
                <w:rFonts w:ascii="Arial" w:eastAsia="Times New Roman" w:hAnsi="Arial" w:cs="Arial"/>
                <w:b/>
                <w:bCs/>
                <w:sz w:val="20"/>
                <w:szCs w:val="20"/>
              </w:rPr>
              <w:t>184</w:t>
            </w:r>
          </w:p>
        </w:tc>
      </w:tr>
      <w:tr w:rsidR="00C90DF8" w:rsidRPr="00AB18D1" w14:paraId="34AE86A9" w14:textId="77777777" w:rsidTr="001D6591">
        <w:trPr>
          <w:trHeight w:val="900"/>
        </w:trPr>
        <w:tc>
          <w:tcPr>
            <w:tcW w:w="5328" w:type="dxa"/>
            <w:tcBorders>
              <w:top w:val="nil"/>
              <w:left w:val="nil"/>
              <w:bottom w:val="single" w:sz="8" w:space="0" w:color="FFFFFF"/>
              <w:right w:val="single" w:sz="8" w:space="0" w:color="FFFFFF"/>
            </w:tcBorders>
            <w:shd w:val="clear" w:color="auto" w:fill="0F243E"/>
            <w:vAlign w:val="center"/>
            <w:hideMark/>
          </w:tcPr>
          <w:p w14:paraId="5EBB5609" w14:textId="77777777" w:rsidR="00C90DF8" w:rsidRPr="00AB18D1" w:rsidRDefault="00C90DF8" w:rsidP="001D6591">
            <w:pPr>
              <w:spacing w:after="0" w:line="240" w:lineRule="auto"/>
              <w:rPr>
                <w:rFonts w:ascii="Arial" w:eastAsia="Times New Roman" w:hAnsi="Arial" w:cs="Arial"/>
                <w:b/>
                <w:bCs/>
                <w:color w:val="FFFFFF"/>
                <w:sz w:val="20"/>
                <w:szCs w:val="20"/>
              </w:rPr>
            </w:pPr>
            <w:r w:rsidRPr="00AB18D1">
              <w:rPr>
                <w:rFonts w:ascii="Arial" w:eastAsia="Times New Roman" w:hAnsi="Arial" w:cs="Arial"/>
                <w:b/>
                <w:bCs/>
                <w:color w:val="FFFFFF"/>
                <w:sz w:val="20"/>
                <w:szCs w:val="20"/>
              </w:rPr>
              <w:t>Event/Exposure</w:t>
            </w:r>
          </w:p>
        </w:tc>
        <w:tc>
          <w:tcPr>
            <w:tcW w:w="2070" w:type="dxa"/>
            <w:tcBorders>
              <w:top w:val="nil"/>
              <w:left w:val="nil"/>
              <w:right w:val="single" w:sz="8" w:space="0" w:color="FFFFFF"/>
            </w:tcBorders>
            <w:shd w:val="clear" w:color="auto" w:fill="0F243E"/>
            <w:vAlign w:val="center"/>
            <w:hideMark/>
          </w:tcPr>
          <w:p w14:paraId="085035A5" w14:textId="77777777" w:rsidR="00C90DF8" w:rsidRPr="00AB18D1" w:rsidRDefault="00C90DF8" w:rsidP="001D6591">
            <w:pPr>
              <w:spacing w:after="0" w:line="240" w:lineRule="auto"/>
              <w:jc w:val="center"/>
              <w:rPr>
                <w:rFonts w:ascii="Arial" w:eastAsia="Times New Roman" w:hAnsi="Arial" w:cs="Arial"/>
                <w:b/>
                <w:bCs/>
                <w:color w:val="FFFFFF"/>
                <w:sz w:val="20"/>
                <w:szCs w:val="20"/>
              </w:rPr>
            </w:pPr>
            <w:r w:rsidRPr="00AB18D1">
              <w:rPr>
                <w:rFonts w:ascii="Arial" w:eastAsia="Times New Roman" w:hAnsi="Arial" w:cs="Arial"/>
                <w:b/>
                <w:bCs/>
                <w:color w:val="FFFFFF"/>
                <w:sz w:val="20"/>
                <w:szCs w:val="20"/>
              </w:rPr>
              <w:t>Number of</w:t>
            </w:r>
          </w:p>
          <w:p w14:paraId="53E07B86" w14:textId="0826AC19" w:rsidR="00C90DF8" w:rsidRPr="00AB18D1" w:rsidRDefault="00C90DF8" w:rsidP="001D6591">
            <w:pPr>
              <w:spacing w:after="0" w:line="240" w:lineRule="auto"/>
              <w:jc w:val="center"/>
              <w:rPr>
                <w:rFonts w:ascii="Arial" w:eastAsia="Times New Roman" w:hAnsi="Arial" w:cs="Arial"/>
                <w:b/>
                <w:bCs/>
                <w:color w:val="FFFFFF"/>
                <w:sz w:val="20"/>
                <w:szCs w:val="20"/>
              </w:rPr>
            </w:pPr>
            <w:r w:rsidRPr="00AB18D1">
              <w:rPr>
                <w:rFonts w:ascii="Arial" w:eastAsia="Times New Roman" w:hAnsi="Arial" w:cs="Arial"/>
                <w:b/>
                <w:bCs/>
                <w:color w:val="FFFFFF"/>
                <w:sz w:val="20"/>
                <w:szCs w:val="20"/>
              </w:rPr>
              <w:t>Fatalities</w:t>
            </w:r>
          </w:p>
        </w:tc>
        <w:tc>
          <w:tcPr>
            <w:tcW w:w="2070" w:type="dxa"/>
            <w:tcBorders>
              <w:top w:val="nil"/>
              <w:left w:val="single" w:sz="8" w:space="0" w:color="FFFFFF"/>
              <w:bottom w:val="single" w:sz="8" w:space="0" w:color="FFFFFF"/>
              <w:right w:val="nil"/>
            </w:tcBorders>
            <w:shd w:val="clear" w:color="auto" w:fill="0F243E"/>
            <w:vAlign w:val="center"/>
            <w:hideMark/>
          </w:tcPr>
          <w:p w14:paraId="65EF9EDE" w14:textId="77777777" w:rsidR="00C90DF8" w:rsidRPr="00AB18D1" w:rsidRDefault="00C90DF8" w:rsidP="001D6591">
            <w:pPr>
              <w:spacing w:after="0" w:line="240" w:lineRule="auto"/>
              <w:jc w:val="center"/>
              <w:rPr>
                <w:rFonts w:ascii="Arial" w:eastAsia="Times New Roman" w:hAnsi="Arial" w:cs="Arial"/>
                <w:b/>
                <w:bCs/>
                <w:color w:val="FFFFFF"/>
                <w:sz w:val="20"/>
                <w:szCs w:val="20"/>
              </w:rPr>
            </w:pPr>
            <w:r w:rsidRPr="00AB18D1">
              <w:rPr>
                <w:rFonts w:ascii="Arial" w:eastAsia="Times New Roman" w:hAnsi="Arial" w:cs="Arial"/>
                <w:b/>
                <w:bCs/>
                <w:color w:val="FFFFFF"/>
                <w:sz w:val="20"/>
                <w:szCs w:val="20"/>
              </w:rPr>
              <w:t>Percent</w:t>
            </w:r>
          </w:p>
        </w:tc>
      </w:tr>
      <w:tr w:rsidR="00C90DF8" w:rsidRPr="00AB18D1" w14:paraId="44909740" w14:textId="77777777" w:rsidTr="001D6591">
        <w:trPr>
          <w:trHeight w:val="450"/>
        </w:trPr>
        <w:tc>
          <w:tcPr>
            <w:tcW w:w="5328" w:type="dxa"/>
            <w:tcBorders>
              <w:top w:val="nil"/>
              <w:left w:val="nil"/>
              <w:bottom w:val="single" w:sz="8" w:space="0" w:color="FFFFFF"/>
              <w:right w:val="single" w:sz="8" w:space="0" w:color="FFFFFF"/>
            </w:tcBorders>
            <w:shd w:val="clear" w:color="auto" w:fill="8DB3E2"/>
            <w:vAlign w:val="center"/>
            <w:hideMark/>
          </w:tcPr>
          <w:p w14:paraId="49C3FD04" w14:textId="77777777" w:rsidR="00C90DF8" w:rsidRPr="00AB18D1" w:rsidRDefault="00C90DF8" w:rsidP="001D6591">
            <w:pPr>
              <w:spacing w:after="0" w:line="240" w:lineRule="auto"/>
              <w:rPr>
                <w:rFonts w:ascii="Arial" w:eastAsia="Times New Roman" w:hAnsi="Arial" w:cs="Arial"/>
                <w:b/>
                <w:bCs/>
                <w:sz w:val="20"/>
                <w:szCs w:val="20"/>
              </w:rPr>
            </w:pPr>
            <w:r w:rsidRPr="00AB18D1">
              <w:rPr>
                <w:rFonts w:ascii="Arial" w:eastAsia="Times New Roman" w:hAnsi="Arial" w:cs="Arial"/>
                <w:b/>
                <w:bCs/>
                <w:sz w:val="20"/>
                <w:szCs w:val="20"/>
              </w:rPr>
              <w:t>Exposure to harmful substance or environment</w:t>
            </w:r>
          </w:p>
        </w:tc>
        <w:tc>
          <w:tcPr>
            <w:tcW w:w="2070" w:type="dxa"/>
            <w:tcBorders>
              <w:top w:val="nil"/>
              <w:left w:val="nil"/>
              <w:bottom w:val="single" w:sz="8" w:space="0" w:color="FFFFFF"/>
              <w:right w:val="single" w:sz="8" w:space="0" w:color="FFFFFF"/>
            </w:tcBorders>
            <w:shd w:val="clear" w:color="auto" w:fill="8DB3E2"/>
            <w:vAlign w:val="center"/>
            <w:hideMark/>
          </w:tcPr>
          <w:p w14:paraId="7ECE4CEE" w14:textId="6C3BD665" w:rsidR="00C90DF8" w:rsidRPr="00AB18D1" w:rsidRDefault="00DB1260" w:rsidP="00DB1260">
            <w:pPr>
              <w:spacing w:after="0" w:line="240" w:lineRule="auto"/>
              <w:jc w:val="right"/>
              <w:rPr>
                <w:rFonts w:ascii="Arial" w:eastAsia="Times New Roman" w:hAnsi="Arial" w:cs="Arial"/>
                <w:b/>
                <w:bCs/>
                <w:sz w:val="20"/>
                <w:szCs w:val="20"/>
              </w:rPr>
            </w:pPr>
            <w:r>
              <w:rPr>
                <w:rFonts w:ascii="Arial" w:eastAsia="Times New Roman" w:hAnsi="Arial" w:cs="Arial"/>
                <w:b/>
                <w:bCs/>
                <w:sz w:val="20"/>
                <w:szCs w:val="20"/>
              </w:rPr>
              <w:t>4</w:t>
            </w:r>
            <w:r w:rsidR="00C90DF8" w:rsidRPr="00AB18D1">
              <w:rPr>
                <w:rFonts w:ascii="Arial" w:eastAsia="Times New Roman" w:hAnsi="Arial" w:cs="Arial"/>
                <w:b/>
                <w:bCs/>
                <w:sz w:val="20"/>
                <w:szCs w:val="20"/>
              </w:rPr>
              <w:t>7</w:t>
            </w:r>
          </w:p>
        </w:tc>
        <w:tc>
          <w:tcPr>
            <w:tcW w:w="2070" w:type="dxa"/>
            <w:tcBorders>
              <w:top w:val="nil"/>
              <w:left w:val="nil"/>
              <w:bottom w:val="single" w:sz="8" w:space="0" w:color="FFFFFF"/>
              <w:right w:val="nil"/>
            </w:tcBorders>
            <w:shd w:val="clear" w:color="auto" w:fill="8DB3E2"/>
            <w:vAlign w:val="center"/>
            <w:hideMark/>
          </w:tcPr>
          <w:p w14:paraId="4B6A356E" w14:textId="76DA561E" w:rsidR="00C90DF8" w:rsidRPr="00AB18D1" w:rsidRDefault="00C90DF8" w:rsidP="00DB1260">
            <w:pPr>
              <w:spacing w:after="0" w:line="240" w:lineRule="auto"/>
              <w:jc w:val="right"/>
              <w:rPr>
                <w:rFonts w:ascii="Arial" w:eastAsia="Times New Roman" w:hAnsi="Arial" w:cs="Arial"/>
                <w:b/>
                <w:bCs/>
                <w:sz w:val="20"/>
                <w:szCs w:val="20"/>
              </w:rPr>
            </w:pPr>
            <w:r w:rsidRPr="00AB18D1">
              <w:rPr>
                <w:rFonts w:ascii="Arial" w:eastAsia="Times New Roman" w:hAnsi="Arial" w:cs="Arial"/>
                <w:b/>
                <w:bCs/>
                <w:sz w:val="20"/>
                <w:szCs w:val="20"/>
              </w:rPr>
              <w:t>2</w:t>
            </w:r>
            <w:r w:rsidR="00DB1260">
              <w:rPr>
                <w:rFonts w:ascii="Arial" w:eastAsia="Times New Roman" w:hAnsi="Arial" w:cs="Arial"/>
                <w:b/>
                <w:bCs/>
                <w:sz w:val="20"/>
                <w:szCs w:val="20"/>
              </w:rPr>
              <w:t>6</w:t>
            </w:r>
            <w:r w:rsidRPr="00AB18D1">
              <w:rPr>
                <w:rFonts w:ascii="Arial" w:eastAsia="Times New Roman" w:hAnsi="Arial" w:cs="Arial"/>
                <w:b/>
                <w:bCs/>
                <w:sz w:val="20"/>
                <w:szCs w:val="20"/>
              </w:rPr>
              <w:t>%</w:t>
            </w:r>
          </w:p>
        </w:tc>
      </w:tr>
      <w:tr w:rsidR="00C90DF8" w:rsidRPr="00AB18D1" w14:paraId="66F3D325" w14:textId="77777777" w:rsidTr="001D6591">
        <w:trPr>
          <w:trHeight w:val="310"/>
        </w:trPr>
        <w:tc>
          <w:tcPr>
            <w:tcW w:w="5328" w:type="dxa"/>
            <w:tcBorders>
              <w:top w:val="nil"/>
              <w:left w:val="nil"/>
              <w:bottom w:val="single" w:sz="8" w:space="0" w:color="FFFFFF"/>
              <w:right w:val="single" w:sz="8" w:space="0" w:color="FFFFFF"/>
            </w:tcBorders>
            <w:vAlign w:val="center"/>
            <w:hideMark/>
          </w:tcPr>
          <w:p w14:paraId="7A07475E" w14:textId="77777777" w:rsidR="00C90DF8" w:rsidRPr="00AB18D1" w:rsidRDefault="00C90DF8" w:rsidP="001D6591">
            <w:pPr>
              <w:spacing w:after="0" w:line="240" w:lineRule="auto"/>
              <w:rPr>
                <w:rFonts w:ascii="Arial" w:eastAsia="Times New Roman" w:hAnsi="Arial" w:cs="Arial"/>
                <w:sz w:val="20"/>
                <w:szCs w:val="20"/>
              </w:rPr>
            </w:pPr>
            <w:r w:rsidRPr="00AB18D1">
              <w:rPr>
                <w:rFonts w:ascii="Arial" w:eastAsia="Times New Roman" w:hAnsi="Arial" w:cs="Arial"/>
                <w:sz w:val="20"/>
                <w:szCs w:val="20"/>
              </w:rPr>
              <w:t xml:space="preserve">Unintentional overdose, </w:t>
            </w:r>
            <w:proofErr w:type="gramStart"/>
            <w:r w:rsidRPr="00AB18D1">
              <w:rPr>
                <w:rFonts w:ascii="Arial" w:eastAsia="Times New Roman" w:hAnsi="Arial" w:cs="Arial"/>
                <w:sz w:val="20"/>
                <w:szCs w:val="20"/>
              </w:rPr>
              <w:t>drugs</w:t>
            </w:r>
            <w:proofErr w:type="gramEnd"/>
            <w:r w:rsidRPr="00AB18D1">
              <w:rPr>
                <w:rFonts w:ascii="Arial" w:eastAsia="Times New Roman" w:hAnsi="Arial" w:cs="Arial"/>
                <w:sz w:val="20"/>
                <w:szCs w:val="20"/>
              </w:rPr>
              <w:t xml:space="preserve"> or alcohol</w:t>
            </w:r>
          </w:p>
        </w:tc>
        <w:tc>
          <w:tcPr>
            <w:tcW w:w="2070" w:type="dxa"/>
            <w:tcBorders>
              <w:top w:val="nil"/>
              <w:left w:val="nil"/>
              <w:bottom w:val="single" w:sz="8" w:space="0" w:color="FFFFFF"/>
              <w:right w:val="single" w:sz="8" w:space="0" w:color="FFFFFF"/>
            </w:tcBorders>
            <w:vAlign w:val="center"/>
            <w:hideMark/>
          </w:tcPr>
          <w:p w14:paraId="0449C82E" w14:textId="6E47FE2B" w:rsidR="00C90DF8" w:rsidRPr="001D6591" w:rsidRDefault="00C90DF8" w:rsidP="00DB1260">
            <w:pPr>
              <w:spacing w:after="0"/>
              <w:jc w:val="right"/>
              <w:rPr>
                <w:rFonts w:ascii="Arial" w:hAnsi="Arial" w:cs="Arial"/>
                <w:sz w:val="20"/>
                <w:szCs w:val="20"/>
              </w:rPr>
            </w:pPr>
            <w:r w:rsidRPr="001D6591">
              <w:rPr>
                <w:rFonts w:ascii="Arial" w:hAnsi="Arial" w:cs="Arial"/>
                <w:sz w:val="20"/>
                <w:szCs w:val="20"/>
              </w:rPr>
              <w:t>3</w:t>
            </w:r>
            <w:r w:rsidR="00DB1260">
              <w:rPr>
                <w:rFonts w:ascii="Arial" w:hAnsi="Arial" w:cs="Arial"/>
                <w:sz w:val="20"/>
                <w:szCs w:val="20"/>
              </w:rPr>
              <w:t>7</w:t>
            </w:r>
          </w:p>
        </w:tc>
        <w:tc>
          <w:tcPr>
            <w:tcW w:w="2070" w:type="dxa"/>
            <w:tcBorders>
              <w:top w:val="nil"/>
              <w:left w:val="nil"/>
              <w:bottom w:val="single" w:sz="8" w:space="0" w:color="FFFFFF"/>
              <w:right w:val="nil"/>
            </w:tcBorders>
            <w:vAlign w:val="center"/>
            <w:hideMark/>
          </w:tcPr>
          <w:p w14:paraId="1D9136E6" w14:textId="360C18E1" w:rsidR="00C90DF8" w:rsidRPr="00AB18D1" w:rsidRDefault="00C90DF8" w:rsidP="00DB1260">
            <w:pPr>
              <w:spacing w:after="0" w:line="240" w:lineRule="auto"/>
              <w:jc w:val="right"/>
              <w:rPr>
                <w:rFonts w:ascii="Arial" w:eastAsia="Times New Roman" w:hAnsi="Arial" w:cs="Arial"/>
                <w:sz w:val="20"/>
                <w:szCs w:val="20"/>
              </w:rPr>
            </w:pPr>
            <w:r w:rsidRPr="00AB18D1">
              <w:rPr>
                <w:rFonts w:ascii="Arial" w:eastAsia="Times New Roman" w:hAnsi="Arial" w:cs="Arial"/>
                <w:sz w:val="20"/>
                <w:szCs w:val="20"/>
              </w:rPr>
              <w:t>2</w:t>
            </w:r>
            <w:r w:rsidR="00DB1260">
              <w:rPr>
                <w:rFonts w:ascii="Arial" w:eastAsia="Times New Roman" w:hAnsi="Arial" w:cs="Arial"/>
                <w:sz w:val="20"/>
                <w:szCs w:val="20"/>
              </w:rPr>
              <w:t>0</w:t>
            </w:r>
            <w:r w:rsidRPr="00AB18D1">
              <w:rPr>
                <w:rFonts w:ascii="Arial" w:eastAsia="Times New Roman" w:hAnsi="Arial" w:cs="Arial"/>
                <w:sz w:val="20"/>
                <w:szCs w:val="20"/>
              </w:rPr>
              <w:t>%</w:t>
            </w:r>
          </w:p>
        </w:tc>
      </w:tr>
      <w:tr w:rsidR="001D6591" w:rsidRPr="00AB18D1" w14:paraId="2C2FDB0C" w14:textId="77777777" w:rsidTr="001D6591">
        <w:trPr>
          <w:trHeight w:val="310"/>
        </w:trPr>
        <w:tc>
          <w:tcPr>
            <w:tcW w:w="5328" w:type="dxa"/>
            <w:tcBorders>
              <w:top w:val="nil"/>
              <w:left w:val="nil"/>
              <w:bottom w:val="single" w:sz="8" w:space="0" w:color="FFFFFF"/>
              <w:right w:val="single" w:sz="8" w:space="0" w:color="FFFFFF"/>
            </w:tcBorders>
            <w:vAlign w:val="center"/>
          </w:tcPr>
          <w:p w14:paraId="428202BE" w14:textId="5C1EAF9A" w:rsidR="001D6591" w:rsidRPr="00AB18D1" w:rsidRDefault="001D6591" w:rsidP="001D6591">
            <w:pPr>
              <w:spacing w:after="0"/>
              <w:rPr>
                <w:rFonts w:ascii="Arial" w:eastAsia="Times New Roman" w:hAnsi="Arial" w:cs="Arial"/>
                <w:sz w:val="20"/>
                <w:szCs w:val="20"/>
              </w:rPr>
            </w:pPr>
            <w:r w:rsidRPr="001D6591">
              <w:rPr>
                <w:rFonts w:ascii="Arial" w:hAnsi="Arial" w:cs="Arial"/>
                <w:sz w:val="20"/>
                <w:szCs w:val="20"/>
              </w:rPr>
              <w:t>Inhalation</w:t>
            </w:r>
            <w:r>
              <w:rPr>
                <w:rFonts w:ascii="Arial" w:eastAsia="Times New Roman" w:hAnsi="Arial" w:cs="Arial"/>
                <w:sz w:val="20"/>
                <w:szCs w:val="20"/>
              </w:rPr>
              <w:t xml:space="preserve"> of harmful substance</w:t>
            </w:r>
          </w:p>
        </w:tc>
        <w:tc>
          <w:tcPr>
            <w:tcW w:w="2070" w:type="dxa"/>
            <w:tcBorders>
              <w:top w:val="nil"/>
              <w:left w:val="nil"/>
              <w:bottom w:val="single" w:sz="8" w:space="0" w:color="FFFFFF"/>
              <w:right w:val="single" w:sz="8" w:space="0" w:color="FFFFFF"/>
            </w:tcBorders>
            <w:vAlign w:val="center"/>
          </w:tcPr>
          <w:p w14:paraId="10B0079F" w14:textId="5AEE9F9F" w:rsidR="001D6591" w:rsidRPr="001D6591" w:rsidRDefault="00DB1260" w:rsidP="00DB1260">
            <w:pPr>
              <w:spacing w:after="0"/>
              <w:jc w:val="right"/>
              <w:rPr>
                <w:rFonts w:ascii="Arial" w:hAnsi="Arial" w:cs="Arial"/>
                <w:sz w:val="20"/>
                <w:szCs w:val="20"/>
              </w:rPr>
            </w:pPr>
            <w:r>
              <w:rPr>
                <w:rFonts w:ascii="Arial" w:hAnsi="Arial" w:cs="Arial"/>
                <w:sz w:val="20"/>
                <w:szCs w:val="20"/>
              </w:rPr>
              <w:t>4</w:t>
            </w:r>
          </w:p>
        </w:tc>
        <w:tc>
          <w:tcPr>
            <w:tcW w:w="2070" w:type="dxa"/>
            <w:tcBorders>
              <w:top w:val="nil"/>
              <w:left w:val="nil"/>
              <w:bottom w:val="single" w:sz="8" w:space="0" w:color="FFFFFF"/>
              <w:right w:val="nil"/>
            </w:tcBorders>
            <w:vAlign w:val="center"/>
          </w:tcPr>
          <w:p w14:paraId="4C211502" w14:textId="25F090CC" w:rsidR="001D6591" w:rsidRPr="00AB18D1" w:rsidRDefault="00DB1260" w:rsidP="00DB1260">
            <w:pPr>
              <w:spacing w:after="0" w:line="240" w:lineRule="auto"/>
              <w:jc w:val="right"/>
              <w:rPr>
                <w:rFonts w:ascii="Arial" w:eastAsia="Times New Roman" w:hAnsi="Arial" w:cs="Arial"/>
                <w:sz w:val="20"/>
                <w:szCs w:val="20"/>
              </w:rPr>
            </w:pPr>
            <w:r>
              <w:rPr>
                <w:rFonts w:ascii="Arial" w:eastAsia="Times New Roman" w:hAnsi="Arial" w:cs="Arial"/>
                <w:sz w:val="20"/>
                <w:szCs w:val="20"/>
              </w:rPr>
              <w:t>2%</w:t>
            </w:r>
          </w:p>
        </w:tc>
      </w:tr>
      <w:tr w:rsidR="00C90DF8" w:rsidRPr="00AB18D1" w14:paraId="270F391F" w14:textId="77777777" w:rsidTr="001D6591">
        <w:trPr>
          <w:trHeight w:val="450"/>
        </w:trPr>
        <w:tc>
          <w:tcPr>
            <w:tcW w:w="5328" w:type="dxa"/>
            <w:tcBorders>
              <w:top w:val="nil"/>
              <w:left w:val="nil"/>
              <w:bottom w:val="single" w:sz="8" w:space="0" w:color="FFFFFF"/>
              <w:right w:val="single" w:sz="8" w:space="0" w:color="FFFFFF"/>
            </w:tcBorders>
            <w:shd w:val="clear" w:color="auto" w:fill="8DB3E2"/>
            <w:vAlign w:val="center"/>
          </w:tcPr>
          <w:p w14:paraId="32F8181F" w14:textId="0E93C5DB" w:rsidR="00C90DF8" w:rsidRPr="00AB18D1" w:rsidRDefault="001D6591" w:rsidP="001D6591">
            <w:pPr>
              <w:spacing w:after="0"/>
              <w:rPr>
                <w:rFonts w:ascii="Arial" w:hAnsi="Arial" w:cs="Arial"/>
                <w:b/>
                <w:bCs/>
                <w:sz w:val="20"/>
                <w:szCs w:val="20"/>
              </w:rPr>
            </w:pPr>
            <w:r w:rsidRPr="001D6591">
              <w:rPr>
                <w:rFonts w:ascii="Arial" w:hAnsi="Arial" w:cs="Arial"/>
                <w:b/>
                <w:bCs/>
                <w:sz w:val="20"/>
                <w:szCs w:val="20"/>
              </w:rPr>
              <w:t>Transportation incident</w:t>
            </w:r>
          </w:p>
        </w:tc>
        <w:tc>
          <w:tcPr>
            <w:tcW w:w="2070" w:type="dxa"/>
            <w:tcBorders>
              <w:top w:val="nil"/>
              <w:left w:val="nil"/>
              <w:bottom w:val="single" w:sz="8" w:space="0" w:color="FFFFFF"/>
              <w:right w:val="single" w:sz="8" w:space="0" w:color="FFFFFF"/>
            </w:tcBorders>
            <w:shd w:val="clear" w:color="auto" w:fill="8DB3E2"/>
            <w:vAlign w:val="center"/>
            <w:hideMark/>
          </w:tcPr>
          <w:p w14:paraId="72C22364" w14:textId="381E8AC6" w:rsidR="00C90DF8" w:rsidRPr="00AB18D1" w:rsidRDefault="00DB1260" w:rsidP="00DB1260">
            <w:pPr>
              <w:spacing w:after="0"/>
              <w:jc w:val="right"/>
              <w:rPr>
                <w:rFonts w:ascii="Arial" w:hAnsi="Arial" w:cs="Arial"/>
                <w:b/>
                <w:bCs/>
                <w:sz w:val="20"/>
                <w:szCs w:val="20"/>
              </w:rPr>
            </w:pPr>
            <w:r>
              <w:rPr>
                <w:rFonts w:ascii="Arial" w:hAnsi="Arial" w:cs="Arial"/>
                <w:b/>
                <w:bCs/>
                <w:sz w:val="20"/>
                <w:szCs w:val="20"/>
              </w:rPr>
              <w:t>44</w:t>
            </w:r>
          </w:p>
        </w:tc>
        <w:tc>
          <w:tcPr>
            <w:tcW w:w="2070" w:type="dxa"/>
            <w:tcBorders>
              <w:top w:val="nil"/>
              <w:left w:val="nil"/>
              <w:bottom w:val="single" w:sz="8" w:space="0" w:color="FFFFFF"/>
              <w:right w:val="nil"/>
            </w:tcBorders>
            <w:shd w:val="clear" w:color="auto" w:fill="8DB3E2"/>
            <w:vAlign w:val="center"/>
            <w:hideMark/>
          </w:tcPr>
          <w:p w14:paraId="1CD4B422" w14:textId="3F15D5F1" w:rsidR="00C90DF8" w:rsidRPr="00AB18D1" w:rsidRDefault="00C90DF8" w:rsidP="00DB1260">
            <w:pPr>
              <w:spacing w:after="0"/>
              <w:jc w:val="right"/>
              <w:rPr>
                <w:rFonts w:ascii="Arial" w:hAnsi="Arial" w:cs="Arial"/>
                <w:b/>
                <w:bCs/>
                <w:sz w:val="20"/>
                <w:szCs w:val="20"/>
              </w:rPr>
            </w:pPr>
            <w:r w:rsidRPr="00AB18D1">
              <w:rPr>
                <w:rFonts w:ascii="Arial" w:hAnsi="Arial" w:cs="Arial"/>
                <w:b/>
                <w:bCs/>
                <w:sz w:val="20"/>
                <w:szCs w:val="20"/>
              </w:rPr>
              <w:t>2</w:t>
            </w:r>
            <w:r w:rsidR="00DB1260">
              <w:rPr>
                <w:rFonts w:ascii="Arial" w:hAnsi="Arial" w:cs="Arial"/>
                <w:b/>
                <w:bCs/>
                <w:sz w:val="20"/>
                <w:szCs w:val="20"/>
              </w:rPr>
              <w:t>4</w:t>
            </w:r>
            <w:r w:rsidRPr="00AB18D1">
              <w:rPr>
                <w:rFonts w:ascii="Arial" w:hAnsi="Arial" w:cs="Arial"/>
                <w:b/>
                <w:bCs/>
                <w:sz w:val="20"/>
                <w:szCs w:val="20"/>
              </w:rPr>
              <w:t>%</w:t>
            </w:r>
          </w:p>
        </w:tc>
      </w:tr>
      <w:tr w:rsidR="001D6591" w:rsidRPr="00AB18D1" w14:paraId="0FC75CCC" w14:textId="77777777" w:rsidTr="001D6591">
        <w:trPr>
          <w:trHeight w:val="317"/>
        </w:trPr>
        <w:tc>
          <w:tcPr>
            <w:tcW w:w="5328" w:type="dxa"/>
            <w:tcBorders>
              <w:top w:val="nil"/>
              <w:left w:val="nil"/>
              <w:bottom w:val="single" w:sz="8" w:space="0" w:color="FFFFFF"/>
              <w:right w:val="single" w:sz="8" w:space="0" w:color="FFFFFF"/>
            </w:tcBorders>
            <w:vAlign w:val="center"/>
          </w:tcPr>
          <w:p w14:paraId="47932477" w14:textId="4C57C199" w:rsidR="001D6591" w:rsidRPr="001D6591" w:rsidRDefault="001D6591" w:rsidP="001D6591">
            <w:pPr>
              <w:spacing w:after="0" w:line="240" w:lineRule="auto"/>
              <w:rPr>
                <w:rFonts w:ascii="Arial" w:eastAsia="Times New Roman" w:hAnsi="Arial" w:cs="Arial"/>
                <w:sz w:val="20"/>
                <w:szCs w:val="20"/>
              </w:rPr>
            </w:pPr>
            <w:r w:rsidRPr="001D6591">
              <w:rPr>
                <w:rFonts w:ascii="Arial" w:eastAsia="Times New Roman" w:hAnsi="Arial" w:cs="Arial"/>
                <w:sz w:val="20"/>
                <w:szCs w:val="20"/>
              </w:rPr>
              <w:t xml:space="preserve">Roadway collision or </w:t>
            </w:r>
            <w:proofErr w:type="spellStart"/>
            <w:r w:rsidRPr="001D6591">
              <w:rPr>
                <w:rFonts w:ascii="Arial" w:eastAsia="Times New Roman" w:hAnsi="Arial" w:cs="Arial"/>
                <w:sz w:val="20"/>
                <w:szCs w:val="20"/>
              </w:rPr>
              <w:t>noncollision</w:t>
            </w:r>
            <w:proofErr w:type="spellEnd"/>
            <w:r w:rsidRPr="001D6591">
              <w:rPr>
                <w:rFonts w:ascii="Arial" w:eastAsia="Times New Roman" w:hAnsi="Arial" w:cs="Arial"/>
                <w:sz w:val="20"/>
                <w:szCs w:val="20"/>
              </w:rPr>
              <w:t xml:space="preserve"> (rollover)</w:t>
            </w:r>
          </w:p>
        </w:tc>
        <w:tc>
          <w:tcPr>
            <w:tcW w:w="2070" w:type="dxa"/>
            <w:tcBorders>
              <w:top w:val="nil"/>
              <w:left w:val="nil"/>
              <w:bottom w:val="single" w:sz="8" w:space="0" w:color="FFFFFF"/>
              <w:right w:val="single" w:sz="8" w:space="0" w:color="FFFFFF"/>
            </w:tcBorders>
            <w:shd w:val="clear" w:color="auto" w:fill="FFFFFF" w:themeFill="background1"/>
            <w:vAlign w:val="center"/>
          </w:tcPr>
          <w:p w14:paraId="72EABDE6" w14:textId="5BEEF9F6" w:rsidR="001D6591" w:rsidRPr="00DB1260" w:rsidRDefault="00DB1260" w:rsidP="00DB1260">
            <w:pPr>
              <w:spacing w:after="0"/>
              <w:jc w:val="right"/>
              <w:rPr>
                <w:rFonts w:ascii="Arial" w:hAnsi="Arial" w:cs="Arial"/>
                <w:sz w:val="20"/>
                <w:szCs w:val="20"/>
              </w:rPr>
            </w:pPr>
            <w:r w:rsidRPr="00DB1260">
              <w:rPr>
                <w:rFonts w:ascii="Arial" w:hAnsi="Arial" w:cs="Arial"/>
                <w:sz w:val="20"/>
                <w:szCs w:val="20"/>
              </w:rPr>
              <w:t>24</w:t>
            </w:r>
          </w:p>
        </w:tc>
        <w:tc>
          <w:tcPr>
            <w:tcW w:w="2070" w:type="dxa"/>
            <w:tcBorders>
              <w:top w:val="nil"/>
              <w:left w:val="nil"/>
              <w:bottom w:val="single" w:sz="8" w:space="0" w:color="FFFFFF"/>
              <w:right w:val="nil"/>
            </w:tcBorders>
            <w:shd w:val="clear" w:color="auto" w:fill="FFFFFF" w:themeFill="background1"/>
            <w:vAlign w:val="center"/>
          </w:tcPr>
          <w:p w14:paraId="32841286" w14:textId="7D2402B7" w:rsidR="001D6591" w:rsidRPr="00DB1260" w:rsidRDefault="00DB1260" w:rsidP="00DB1260">
            <w:pPr>
              <w:spacing w:after="0"/>
              <w:jc w:val="right"/>
              <w:rPr>
                <w:rFonts w:ascii="Arial" w:hAnsi="Arial" w:cs="Arial"/>
                <w:sz w:val="20"/>
                <w:szCs w:val="20"/>
              </w:rPr>
            </w:pPr>
            <w:r w:rsidRPr="00DB1260">
              <w:rPr>
                <w:rFonts w:ascii="Arial" w:hAnsi="Arial" w:cs="Arial"/>
                <w:sz w:val="20"/>
                <w:szCs w:val="20"/>
              </w:rPr>
              <w:t>13%</w:t>
            </w:r>
          </w:p>
        </w:tc>
      </w:tr>
      <w:tr w:rsidR="001D6591" w:rsidRPr="00AB18D1" w14:paraId="568B9F6C" w14:textId="77777777" w:rsidTr="001D6591">
        <w:trPr>
          <w:trHeight w:val="317"/>
        </w:trPr>
        <w:tc>
          <w:tcPr>
            <w:tcW w:w="5328" w:type="dxa"/>
            <w:tcBorders>
              <w:top w:val="nil"/>
              <w:left w:val="nil"/>
              <w:bottom w:val="single" w:sz="8" w:space="0" w:color="FFFFFF"/>
              <w:right w:val="single" w:sz="8" w:space="0" w:color="FFFFFF"/>
            </w:tcBorders>
            <w:vAlign w:val="center"/>
          </w:tcPr>
          <w:p w14:paraId="4AA5E480" w14:textId="5DAAF9A0" w:rsidR="001D6591" w:rsidRPr="001D6591" w:rsidRDefault="001D6591" w:rsidP="001D6591">
            <w:pPr>
              <w:spacing w:after="0" w:line="240" w:lineRule="auto"/>
              <w:rPr>
                <w:rFonts w:ascii="Arial" w:eastAsia="Times New Roman" w:hAnsi="Arial" w:cs="Arial"/>
                <w:sz w:val="20"/>
                <w:szCs w:val="20"/>
              </w:rPr>
            </w:pPr>
            <w:r w:rsidRPr="001D6591">
              <w:rPr>
                <w:rFonts w:ascii="Arial" w:eastAsia="Times New Roman" w:hAnsi="Arial" w:cs="Arial"/>
                <w:sz w:val="20"/>
                <w:szCs w:val="20"/>
              </w:rPr>
              <w:t>Worker struck by vehicle</w:t>
            </w:r>
          </w:p>
        </w:tc>
        <w:tc>
          <w:tcPr>
            <w:tcW w:w="2070" w:type="dxa"/>
            <w:tcBorders>
              <w:top w:val="nil"/>
              <w:left w:val="nil"/>
              <w:bottom w:val="single" w:sz="8" w:space="0" w:color="FFFFFF"/>
              <w:right w:val="single" w:sz="8" w:space="0" w:color="FFFFFF"/>
            </w:tcBorders>
            <w:shd w:val="clear" w:color="auto" w:fill="FFFFFF" w:themeFill="background1"/>
            <w:vAlign w:val="center"/>
          </w:tcPr>
          <w:p w14:paraId="593BE674" w14:textId="416B776D" w:rsidR="001D6591" w:rsidRPr="00DB1260" w:rsidRDefault="00DB1260" w:rsidP="00DB1260">
            <w:pPr>
              <w:spacing w:after="0"/>
              <w:jc w:val="right"/>
              <w:rPr>
                <w:rFonts w:ascii="Arial" w:hAnsi="Arial" w:cs="Arial"/>
                <w:sz w:val="20"/>
                <w:szCs w:val="20"/>
              </w:rPr>
            </w:pPr>
            <w:r w:rsidRPr="00DB1260">
              <w:rPr>
                <w:rFonts w:ascii="Arial" w:hAnsi="Arial" w:cs="Arial"/>
                <w:sz w:val="20"/>
                <w:szCs w:val="20"/>
              </w:rPr>
              <w:t>11</w:t>
            </w:r>
          </w:p>
        </w:tc>
        <w:tc>
          <w:tcPr>
            <w:tcW w:w="2070" w:type="dxa"/>
            <w:tcBorders>
              <w:top w:val="nil"/>
              <w:left w:val="nil"/>
              <w:bottom w:val="single" w:sz="8" w:space="0" w:color="FFFFFF"/>
              <w:right w:val="nil"/>
            </w:tcBorders>
            <w:shd w:val="clear" w:color="auto" w:fill="FFFFFF" w:themeFill="background1"/>
            <w:vAlign w:val="center"/>
          </w:tcPr>
          <w:p w14:paraId="6A04D5D1" w14:textId="4F4D05EC" w:rsidR="001D6591" w:rsidRPr="00DB1260" w:rsidRDefault="00DB1260" w:rsidP="00DB1260">
            <w:pPr>
              <w:spacing w:after="0"/>
              <w:jc w:val="right"/>
              <w:rPr>
                <w:rFonts w:ascii="Arial" w:hAnsi="Arial" w:cs="Arial"/>
                <w:sz w:val="20"/>
                <w:szCs w:val="20"/>
              </w:rPr>
            </w:pPr>
            <w:r w:rsidRPr="00DB1260">
              <w:rPr>
                <w:rFonts w:ascii="Arial" w:hAnsi="Arial" w:cs="Arial"/>
                <w:sz w:val="20"/>
                <w:szCs w:val="20"/>
              </w:rPr>
              <w:t>6%</w:t>
            </w:r>
          </w:p>
        </w:tc>
      </w:tr>
      <w:tr w:rsidR="001D6591" w:rsidRPr="00AB18D1" w14:paraId="75E2AB0C" w14:textId="77777777" w:rsidTr="001D6591">
        <w:trPr>
          <w:trHeight w:val="317"/>
        </w:trPr>
        <w:tc>
          <w:tcPr>
            <w:tcW w:w="5328" w:type="dxa"/>
            <w:tcBorders>
              <w:top w:val="nil"/>
              <w:left w:val="nil"/>
              <w:bottom w:val="single" w:sz="8" w:space="0" w:color="FFFFFF"/>
              <w:right w:val="single" w:sz="8" w:space="0" w:color="FFFFFF"/>
            </w:tcBorders>
            <w:shd w:val="clear" w:color="auto" w:fill="FFFFFF" w:themeFill="background1"/>
            <w:vAlign w:val="center"/>
          </w:tcPr>
          <w:p w14:paraId="7A9C4F03" w14:textId="02D25BDC" w:rsidR="001D6591" w:rsidRPr="001D6591" w:rsidRDefault="001D6591" w:rsidP="001D6591">
            <w:pPr>
              <w:spacing w:after="0" w:line="240" w:lineRule="auto"/>
              <w:rPr>
                <w:rFonts w:ascii="Arial" w:eastAsia="Times New Roman" w:hAnsi="Arial" w:cs="Arial"/>
                <w:sz w:val="20"/>
                <w:szCs w:val="20"/>
              </w:rPr>
            </w:pPr>
            <w:r w:rsidRPr="001D6591">
              <w:rPr>
                <w:rFonts w:ascii="Arial" w:eastAsia="Times New Roman" w:hAnsi="Arial" w:cs="Arial"/>
                <w:sz w:val="20"/>
                <w:szCs w:val="20"/>
              </w:rPr>
              <w:t>Water vehicle incident</w:t>
            </w:r>
          </w:p>
        </w:tc>
        <w:tc>
          <w:tcPr>
            <w:tcW w:w="2070" w:type="dxa"/>
            <w:tcBorders>
              <w:top w:val="nil"/>
              <w:left w:val="nil"/>
              <w:bottom w:val="single" w:sz="8" w:space="0" w:color="FFFFFF"/>
              <w:right w:val="single" w:sz="8" w:space="0" w:color="FFFFFF"/>
            </w:tcBorders>
            <w:shd w:val="clear" w:color="auto" w:fill="FFFFFF" w:themeFill="background1"/>
            <w:vAlign w:val="center"/>
          </w:tcPr>
          <w:p w14:paraId="599025EB" w14:textId="52D16125" w:rsidR="001D6591" w:rsidRPr="00DB1260" w:rsidRDefault="00DB1260" w:rsidP="00DB1260">
            <w:pPr>
              <w:spacing w:after="0"/>
              <w:jc w:val="right"/>
              <w:rPr>
                <w:rFonts w:ascii="Arial" w:hAnsi="Arial" w:cs="Arial"/>
                <w:sz w:val="20"/>
                <w:szCs w:val="20"/>
              </w:rPr>
            </w:pPr>
            <w:r w:rsidRPr="00DB1260">
              <w:rPr>
                <w:rFonts w:ascii="Arial" w:hAnsi="Arial" w:cs="Arial"/>
                <w:sz w:val="20"/>
                <w:szCs w:val="20"/>
              </w:rPr>
              <w:t>3</w:t>
            </w:r>
          </w:p>
        </w:tc>
        <w:tc>
          <w:tcPr>
            <w:tcW w:w="2070" w:type="dxa"/>
            <w:tcBorders>
              <w:top w:val="nil"/>
              <w:left w:val="nil"/>
              <w:bottom w:val="single" w:sz="8" w:space="0" w:color="FFFFFF"/>
              <w:right w:val="nil"/>
            </w:tcBorders>
            <w:shd w:val="clear" w:color="auto" w:fill="FFFFFF" w:themeFill="background1"/>
            <w:vAlign w:val="center"/>
          </w:tcPr>
          <w:p w14:paraId="0A0B7DB8" w14:textId="7F4E1D52" w:rsidR="001D6591" w:rsidRPr="00DB1260" w:rsidRDefault="00DB1260" w:rsidP="00DB1260">
            <w:pPr>
              <w:spacing w:after="0"/>
              <w:jc w:val="right"/>
              <w:rPr>
                <w:rFonts w:ascii="Arial" w:hAnsi="Arial" w:cs="Arial"/>
                <w:sz w:val="20"/>
                <w:szCs w:val="20"/>
              </w:rPr>
            </w:pPr>
            <w:r w:rsidRPr="00DB1260">
              <w:rPr>
                <w:rFonts w:ascii="Arial" w:hAnsi="Arial" w:cs="Arial"/>
                <w:sz w:val="20"/>
                <w:szCs w:val="20"/>
              </w:rPr>
              <w:t>2%</w:t>
            </w:r>
          </w:p>
        </w:tc>
      </w:tr>
      <w:tr w:rsidR="001D6591" w:rsidRPr="00AB18D1" w14:paraId="5430AEE9" w14:textId="77777777" w:rsidTr="001D6591">
        <w:trPr>
          <w:trHeight w:val="450"/>
        </w:trPr>
        <w:tc>
          <w:tcPr>
            <w:tcW w:w="5328" w:type="dxa"/>
            <w:tcBorders>
              <w:top w:val="nil"/>
              <w:left w:val="nil"/>
              <w:bottom w:val="single" w:sz="8" w:space="0" w:color="FFFFFF"/>
              <w:right w:val="single" w:sz="8" w:space="0" w:color="FFFFFF"/>
            </w:tcBorders>
            <w:shd w:val="clear" w:color="auto" w:fill="8DB3E2"/>
            <w:vAlign w:val="center"/>
          </w:tcPr>
          <w:p w14:paraId="28F5A61E" w14:textId="23A9F806" w:rsidR="001D6591" w:rsidRPr="00AB18D1" w:rsidRDefault="001D6591" w:rsidP="001D6591">
            <w:pPr>
              <w:spacing w:after="0"/>
              <w:rPr>
                <w:rFonts w:ascii="Arial" w:hAnsi="Arial" w:cs="Arial"/>
                <w:b/>
                <w:bCs/>
                <w:sz w:val="20"/>
                <w:szCs w:val="20"/>
              </w:rPr>
            </w:pPr>
            <w:r w:rsidRPr="001D6591">
              <w:rPr>
                <w:rFonts w:ascii="Arial" w:hAnsi="Arial" w:cs="Arial"/>
                <w:b/>
                <w:bCs/>
                <w:sz w:val="20"/>
                <w:szCs w:val="20"/>
              </w:rPr>
              <w:t>Fall, slip, or trip</w:t>
            </w:r>
          </w:p>
        </w:tc>
        <w:tc>
          <w:tcPr>
            <w:tcW w:w="2070" w:type="dxa"/>
            <w:tcBorders>
              <w:top w:val="nil"/>
              <w:left w:val="nil"/>
              <w:bottom w:val="single" w:sz="8" w:space="0" w:color="FFFFFF"/>
              <w:right w:val="single" w:sz="8" w:space="0" w:color="FFFFFF"/>
            </w:tcBorders>
            <w:shd w:val="clear" w:color="auto" w:fill="8DB3E2"/>
            <w:vAlign w:val="center"/>
          </w:tcPr>
          <w:p w14:paraId="72F28983" w14:textId="274A845F" w:rsidR="001D6591" w:rsidRPr="00AB18D1" w:rsidRDefault="00DB1260" w:rsidP="00DB1260">
            <w:pPr>
              <w:spacing w:after="0"/>
              <w:jc w:val="right"/>
              <w:rPr>
                <w:rFonts w:ascii="Arial" w:hAnsi="Arial" w:cs="Arial"/>
                <w:b/>
                <w:bCs/>
                <w:sz w:val="20"/>
                <w:szCs w:val="20"/>
              </w:rPr>
            </w:pPr>
            <w:r>
              <w:rPr>
                <w:rFonts w:ascii="Arial" w:hAnsi="Arial" w:cs="Arial"/>
                <w:b/>
                <w:bCs/>
                <w:sz w:val="20"/>
                <w:szCs w:val="20"/>
              </w:rPr>
              <w:t>37</w:t>
            </w:r>
          </w:p>
        </w:tc>
        <w:tc>
          <w:tcPr>
            <w:tcW w:w="2070" w:type="dxa"/>
            <w:tcBorders>
              <w:top w:val="nil"/>
              <w:left w:val="nil"/>
              <w:bottom w:val="single" w:sz="8" w:space="0" w:color="FFFFFF"/>
              <w:right w:val="nil"/>
            </w:tcBorders>
            <w:shd w:val="clear" w:color="auto" w:fill="8DB3E2"/>
            <w:vAlign w:val="center"/>
          </w:tcPr>
          <w:p w14:paraId="5D9264C5" w14:textId="5D25993A" w:rsidR="001D6591" w:rsidRPr="00AB18D1" w:rsidRDefault="00DB1260" w:rsidP="00DB1260">
            <w:pPr>
              <w:spacing w:after="0"/>
              <w:jc w:val="right"/>
              <w:rPr>
                <w:rFonts w:ascii="Arial" w:hAnsi="Arial" w:cs="Arial"/>
                <w:b/>
                <w:bCs/>
                <w:sz w:val="20"/>
                <w:szCs w:val="20"/>
              </w:rPr>
            </w:pPr>
            <w:r>
              <w:rPr>
                <w:rFonts w:ascii="Arial" w:hAnsi="Arial" w:cs="Arial"/>
                <w:b/>
                <w:bCs/>
                <w:sz w:val="20"/>
                <w:szCs w:val="20"/>
              </w:rPr>
              <w:t>20%</w:t>
            </w:r>
          </w:p>
        </w:tc>
      </w:tr>
      <w:tr w:rsidR="001D6591" w:rsidRPr="00AB18D1" w14:paraId="1A60F889" w14:textId="77777777" w:rsidTr="001D6591">
        <w:trPr>
          <w:trHeight w:val="328"/>
        </w:trPr>
        <w:tc>
          <w:tcPr>
            <w:tcW w:w="5328" w:type="dxa"/>
            <w:tcBorders>
              <w:top w:val="nil"/>
              <w:left w:val="nil"/>
              <w:bottom w:val="single" w:sz="8" w:space="0" w:color="FFFFFF"/>
              <w:right w:val="single" w:sz="8" w:space="0" w:color="FFFFFF"/>
            </w:tcBorders>
            <w:vAlign w:val="center"/>
          </w:tcPr>
          <w:p w14:paraId="0E0F19A8" w14:textId="6D2D0CCE" w:rsidR="001D6591" w:rsidRPr="001D6591" w:rsidRDefault="001D6591" w:rsidP="001D6591">
            <w:pPr>
              <w:spacing w:after="0" w:line="240" w:lineRule="auto"/>
              <w:rPr>
                <w:rFonts w:ascii="Arial" w:eastAsia="Times New Roman" w:hAnsi="Arial" w:cs="Arial"/>
                <w:sz w:val="20"/>
                <w:szCs w:val="20"/>
              </w:rPr>
            </w:pPr>
            <w:r w:rsidRPr="001D6591">
              <w:rPr>
                <w:rFonts w:ascii="Arial" w:eastAsia="Times New Roman" w:hAnsi="Arial" w:cs="Arial"/>
                <w:sz w:val="20"/>
                <w:szCs w:val="20"/>
              </w:rPr>
              <w:t>Fall to a lower level</w:t>
            </w:r>
          </w:p>
        </w:tc>
        <w:tc>
          <w:tcPr>
            <w:tcW w:w="2070" w:type="dxa"/>
            <w:tcBorders>
              <w:top w:val="nil"/>
              <w:left w:val="nil"/>
              <w:bottom w:val="single" w:sz="8" w:space="0" w:color="FFFFFF"/>
              <w:right w:val="single" w:sz="8" w:space="0" w:color="FFFFFF"/>
            </w:tcBorders>
            <w:vAlign w:val="center"/>
            <w:hideMark/>
          </w:tcPr>
          <w:p w14:paraId="7457E8C4" w14:textId="56E739E6" w:rsidR="001D6591" w:rsidRPr="00AB18D1" w:rsidRDefault="00DB1260" w:rsidP="00DB1260">
            <w:pPr>
              <w:spacing w:after="0"/>
              <w:jc w:val="right"/>
              <w:rPr>
                <w:rFonts w:ascii="Arial" w:hAnsi="Arial" w:cs="Arial"/>
                <w:sz w:val="20"/>
                <w:szCs w:val="20"/>
              </w:rPr>
            </w:pPr>
            <w:r>
              <w:rPr>
                <w:rFonts w:ascii="Arial" w:hAnsi="Arial" w:cs="Arial"/>
                <w:sz w:val="20"/>
                <w:szCs w:val="20"/>
              </w:rPr>
              <w:t>32</w:t>
            </w:r>
          </w:p>
        </w:tc>
        <w:tc>
          <w:tcPr>
            <w:tcW w:w="2070" w:type="dxa"/>
            <w:tcBorders>
              <w:top w:val="nil"/>
              <w:left w:val="nil"/>
              <w:bottom w:val="single" w:sz="8" w:space="0" w:color="FFFFFF"/>
              <w:right w:val="nil"/>
            </w:tcBorders>
            <w:vAlign w:val="center"/>
            <w:hideMark/>
          </w:tcPr>
          <w:p w14:paraId="6B89A3E2" w14:textId="3026FD40" w:rsidR="001D6591" w:rsidRPr="00AB18D1" w:rsidRDefault="001D6591" w:rsidP="00DB1260">
            <w:pPr>
              <w:spacing w:after="0"/>
              <w:jc w:val="right"/>
              <w:rPr>
                <w:rFonts w:ascii="Arial" w:hAnsi="Arial" w:cs="Arial"/>
                <w:sz w:val="20"/>
                <w:szCs w:val="20"/>
              </w:rPr>
            </w:pPr>
            <w:r w:rsidRPr="00AB18D1">
              <w:rPr>
                <w:rFonts w:ascii="Arial" w:hAnsi="Arial" w:cs="Arial"/>
                <w:sz w:val="20"/>
                <w:szCs w:val="20"/>
              </w:rPr>
              <w:t>1</w:t>
            </w:r>
            <w:r w:rsidR="00DB1260">
              <w:rPr>
                <w:rFonts w:ascii="Arial" w:hAnsi="Arial" w:cs="Arial"/>
                <w:sz w:val="20"/>
                <w:szCs w:val="20"/>
              </w:rPr>
              <w:t>7</w:t>
            </w:r>
            <w:r w:rsidRPr="00AB18D1">
              <w:rPr>
                <w:rFonts w:ascii="Arial" w:hAnsi="Arial" w:cs="Arial"/>
                <w:sz w:val="20"/>
                <w:szCs w:val="20"/>
              </w:rPr>
              <w:t>%</w:t>
            </w:r>
          </w:p>
        </w:tc>
      </w:tr>
      <w:tr w:rsidR="001D6591" w:rsidRPr="00AB18D1" w14:paraId="6BF257E2" w14:textId="77777777" w:rsidTr="001D6591">
        <w:trPr>
          <w:trHeight w:val="247"/>
        </w:trPr>
        <w:tc>
          <w:tcPr>
            <w:tcW w:w="5328" w:type="dxa"/>
            <w:tcBorders>
              <w:top w:val="nil"/>
              <w:left w:val="nil"/>
              <w:bottom w:val="single" w:sz="8" w:space="0" w:color="FFFFFF"/>
              <w:right w:val="single" w:sz="8" w:space="0" w:color="FFFFFF"/>
            </w:tcBorders>
            <w:vAlign w:val="center"/>
          </w:tcPr>
          <w:p w14:paraId="152B54BF" w14:textId="2700A260" w:rsidR="001D6591" w:rsidRPr="00AB18D1" w:rsidRDefault="001D6591" w:rsidP="001D6591">
            <w:pPr>
              <w:spacing w:after="0"/>
              <w:rPr>
                <w:rFonts w:ascii="Arial" w:hAnsi="Arial" w:cs="Arial"/>
                <w:sz w:val="20"/>
                <w:szCs w:val="20"/>
              </w:rPr>
            </w:pPr>
            <w:r w:rsidRPr="001D6591">
              <w:rPr>
                <w:rFonts w:ascii="Arial" w:hAnsi="Arial" w:cs="Arial"/>
                <w:sz w:val="20"/>
                <w:szCs w:val="20"/>
              </w:rPr>
              <w:t>Fall o</w:t>
            </w:r>
            <w:r>
              <w:rPr>
                <w:rFonts w:ascii="Arial" w:hAnsi="Arial" w:cs="Arial"/>
                <w:sz w:val="20"/>
                <w:szCs w:val="20"/>
              </w:rPr>
              <w:t>n</w:t>
            </w:r>
            <w:r w:rsidRPr="001D6591">
              <w:rPr>
                <w:rFonts w:ascii="Arial" w:hAnsi="Arial" w:cs="Arial"/>
                <w:sz w:val="20"/>
                <w:szCs w:val="20"/>
              </w:rPr>
              <w:t xml:space="preserve"> </w:t>
            </w:r>
            <w:r>
              <w:rPr>
                <w:rFonts w:ascii="Arial" w:hAnsi="Arial" w:cs="Arial"/>
                <w:sz w:val="20"/>
                <w:szCs w:val="20"/>
              </w:rPr>
              <w:t>same</w:t>
            </w:r>
            <w:r w:rsidRPr="001D6591">
              <w:rPr>
                <w:rFonts w:ascii="Arial" w:hAnsi="Arial" w:cs="Arial"/>
                <w:sz w:val="20"/>
                <w:szCs w:val="20"/>
              </w:rPr>
              <w:t xml:space="preserve"> level</w:t>
            </w:r>
          </w:p>
        </w:tc>
        <w:tc>
          <w:tcPr>
            <w:tcW w:w="2070" w:type="dxa"/>
            <w:tcBorders>
              <w:top w:val="nil"/>
              <w:left w:val="nil"/>
              <w:bottom w:val="single" w:sz="8" w:space="0" w:color="FFFFFF"/>
              <w:right w:val="single" w:sz="8" w:space="0" w:color="FFFFFF"/>
            </w:tcBorders>
            <w:vAlign w:val="center"/>
            <w:hideMark/>
          </w:tcPr>
          <w:p w14:paraId="3A5EE6F9" w14:textId="7CCA3621" w:rsidR="001D6591" w:rsidRPr="00AB18D1" w:rsidRDefault="00DB1260" w:rsidP="00DB1260">
            <w:pPr>
              <w:spacing w:after="0"/>
              <w:jc w:val="right"/>
              <w:rPr>
                <w:rFonts w:ascii="Arial" w:hAnsi="Arial" w:cs="Arial"/>
                <w:sz w:val="20"/>
                <w:szCs w:val="20"/>
              </w:rPr>
            </w:pPr>
            <w:r>
              <w:rPr>
                <w:rFonts w:ascii="Arial" w:hAnsi="Arial" w:cs="Arial"/>
                <w:sz w:val="20"/>
                <w:szCs w:val="20"/>
              </w:rPr>
              <w:t>5</w:t>
            </w:r>
          </w:p>
        </w:tc>
        <w:tc>
          <w:tcPr>
            <w:tcW w:w="2070" w:type="dxa"/>
            <w:tcBorders>
              <w:top w:val="nil"/>
              <w:left w:val="nil"/>
              <w:bottom w:val="single" w:sz="8" w:space="0" w:color="FFFFFF"/>
              <w:right w:val="nil"/>
            </w:tcBorders>
            <w:vAlign w:val="center"/>
            <w:hideMark/>
          </w:tcPr>
          <w:p w14:paraId="65CFB226" w14:textId="1D2FE666" w:rsidR="001D6591" w:rsidRPr="00AB18D1" w:rsidRDefault="00DB1260" w:rsidP="00DB1260">
            <w:pPr>
              <w:spacing w:after="0"/>
              <w:jc w:val="right"/>
              <w:rPr>
                <w:rFonts w:ascii="Arial" w:hAnsi="Arial" w:cs="Arial"/>
                <w:sz w:val="20"/>
                <w:szCs w:val="20"/>
              </w:rPr>
            </w:pPr>
            <w:r>
              <w:rPr>
                <w:rFonts w:ascii="Arial" w:hAnsi="Arial" w:cs="Arial"/>
                <w:sz w:val="20"/>
                <w:szCs w:val="20"/>
              </w:rPr>
              <w:t>3</w:t>
            </w:r>
            <w:r w:rsidR="001D6591" w:rsidRPr="00AB18D1">
              <w:rPr>
                <w:rFonts w:ascii="Arial" w:hAnsi="Arial" w:cs="Arial"/>
                <w:sz w:val="20"/>
                <w:szCs w:val="20"/>
              </w:rPr>
              <w:t>%</w:t>
            </w:r>
          </w:p>
        </w:tc>
      </w:tr>
      <w:tr w:rsidR="001D6591" w:rsidRPr="00AB18D1" w14:paraId="772E5EEC" w14:textId="77777777" w:rsidTr="001D6591">
        <w:trPr>
          <w:trHeight w:val="450"/>
        </w:trPr>
        <w:tc>
          <w:tcPr>
            <w:tcW w:w="5328" w:type="dxa"/>
            <w:tcBorders>
              <w:top w:val="nil"/>
              <w:left w:val="nil"/>
              <w:bottom w:val="single" w:sz="8" w:space="0" w:color="FFFFFF"/>
              <w:right w:val="single" w:sz="8" w:space="0" w:color="FFFFFF"/>
            </w:tcBorders>
            <w:shd w:val="clear" w:color="auto" w:fill="8DB3E2"/>
            <w:vAlign w:val="center"/>
          </w:tcPr>
          <w:p w14:paraId="4B227183" w14:textId="222985AC" w:rsidR="001D6591" w:rsidRPr="00AB18D1" w:rsidRDefault="001D6591" w:rsidP="001D6591">
            <w:pPr>
              <w:spacing w:after="0" w:line="240" w:lineRule="auto"/>
              <w:rPr>
                <w:rFonts w:ascii="Arial" w:hAnsi="Arial" w:cs="Arial"/>
                <w:b/>
                <w:bCs/>
                <w:sz w:val="20"/>
                <w:szCs w:val="20"/>
              </w:rPr>
            </w:pPr>
            <w:r w:rsidRPr="001D6591">
              <w:rPr>
                <w:rFonts w:ascii="Arial" w:hAnsi="Arial" w:cs="Arial"/>
                <w:b/>
                <w:bCs/>
                <w:sz w:val="20"/>
                <w:szCs w:val="20"/>
              </w:rPr>
              <w:t xml:space="preserve">Violence and other </w:t>
            </w:r>
            <w:r w:rsidRPr="001D6591">
              <w:rPr>
                <w:rFonts w:ascii="Arial" w:eastAsia="Times New Roman" w:hAnsi="Arial" w:cs="Arial"/>
                <w:sz w:val="20"/>
                <w:szCs w:val="20"/>
              </w:rPr>
              <w:t>injury</w:t>
            </w:r>
            <w:r w:rsidRPr="001D6591">
              <w:rPr>
                <w:rFonts w:ascii="Arial" w:hAnsi="Arial" w:cs="Arial"/>
                <w:b/>
                <w:bCs/>
                <w:sz w:val="20"/>
                <w:szCs w:val="20"/>
              </w:rPr>
              <w:t xml:space="preserve"> by person or animal</w:t>
            </w:r>
          </w:p>
        </w:tc>
        <w:tc>
          <w:tcPr>
            <w:tcW w:w="2070" w:type="dxa"/>
            <w:tcBorders>
              <w:top w:val="nil"/>
              <w:left w:val="nil"/>
              <w:bottom w:val="single" w:sz="8" w:space="0" w:color="FFFFFF"/>
              <w:right w:val="single" w:sz="8" w:space="0" w:color="FFFFFF"/>
            </w:tcBorders>
            <w:shd w:val="clear" w:color="auto" w:fill="8DB3E2"/>
            <w:vAlign w:val="center"/>
            <w:hideMark/>
          </w:tcPr>
          <w:p w14:paraId="03698489" w14:textId="5E61B845" w:rsidR="001D6591" w:rsidRPr="00AB18D1" w:rsidRDefault="00DB1260" w:rsidP="00DB1260">
            <w:pPr>
              <w:spacing w:after="0"/>
              <w:jc w:val="right"/>
              <w:rPr>
                <w:rFonts w:ascii="Arial" w:hAnsi="Arial" w:cs="Arial"/>
                <w:b/>
                <w:bCs/>
                <w:sz w:val="20"/>
                <w:szCs w:val="20"/>
              </w:rPr>
            </w:pPr>
            <w:r>
              <w:rPr>
                <w:rFonts w:ascii="Arial" w:hAnsi="Arial" w:cs="Arial"/>
                <w:b/>
                <w:bCs/>
                <w:sz w:val="20"/>
                <w:szCs w:val="20"/>
              </w:rPr>
              <w:t>32</w:t>
            </w:r>
          </w:p>
        </w:tc>
        <w:tc>
          <w:tcPr>
            <w:tcW w:w="2070" w:type="dxa"/>
            <w:tcBorders>
              <w:top w:val="nil"/>
              <w:left w:val="nil"/>
              <w:bottom w:val="single" w:sz="8" w:space="0" w:color="FFFFFF"/>
              <w:right w:val="nil"/>
            </w:tcBorders>
            <w:shd w:val="clear" w:color="auto" w:fill="8DB3E2"/>
            <w:vAlign w:val="center"/>
            <w:hideMark/>
          </w:tcPr>
          <w:p w14:paraId="020E3C5D" w14:textId="2DCA815D" w:rsidR="001D6591" w:rsidRPr="00AB18D1" w:rsidRDefault="00DB1260" w:rsidP="00DB1260">
            <w:pPr>
              <w:spacing w:after="0"/>
              <w:jc w:val="right"/>
              <w:rPr>
                <w:rFonts w:ascii="Arial" w:hAnsi="Arial" w:cs="Arial"/>
                <w:b/>
                <w:bCs/>
                <w:sz w:val="20"/>
                <w:szCs w:val="20"/>
              </w:rPr>
            </w:pPr>
            <w:r>
              <w:rPr>
                <w:rFonts w:ascii="Arial" w:hAnsi="Arial" w:cs="Arial"/>
                <w:b/>
                <w:bCs/>
                <w:sz w:val="20"/>
                <w:szCs w:val="20"/>
              </w:rPr>
              <w:t>17</w:t>
            </w:r>
            <w:r w:rsidR="001D6591" w:rsidRPr="00AB18D1">
              <w:rPr>
                <w:rFonts w:ascii="Arial" w:hAnsi="Arial" w:cs="Arial"/>
                <w:b/>
                <w:bCs/>
                <w:sz w:val="20"/>
                <w:szCs w:val="20"/>
              </w:rPr>
              <w:t>%</w:t>
            </w:r>
          </w:p>
        </w:tc>
      </w:tr>
      <w:tr w:rsidR="001D6591" w:rsidRPr="00AB18D1" w14:paraId="75A11947" w14:textId="77777777" w:rsidTr="001D6591">
        <w:trPr>
          <w:trHeight w:val="310"/>
        </w:trPr>
        <w:tc>
          <w:tcPr>
            <w:tcW w:w="5328" w:type="dxa"/>
            <w:tcBorders>
              <w:top w:val="nil"/>
              <w:left w:val="nil"/>
              <w:bottom w:val="single" w:sz="8" w:space="0" w:color="FFFFFF"/>
              <w:right w:val="single" w:sz="8" w:space="0" w:color="FFFFFF"/>
            </w:tcBorders>
            <w:vAlign w:val="center"/>
          </w:tcPr>
          <w:p w14:paraId="48FC8B35" w14:textId="00F16E78" w:rsidR="001D6591" w:rsidRPr="00AB18D1" w:rsidRDefault="001D6591" w:rsidP="001D6591">
            <w:pPr>
              <w:spacing w:after="0"/>
              <w:rPr>
                <w:rFonts w:ascii="Arial" w:hAnsi="Arial" w:cs="Arial"/>
                <w:sz w:val="20"/>
                <w:szCs w:val="20"/>
              </w:rPr>
            </w:pPr>
            <w:r w:rsidRPr="001D6591">
              <w:rPr>
                <w:rFonts w:ascii="Arial" w:hAnsi="Arial" w:cs="Arial"/>
                <w:sz w:val="20"/>
                <w:szCs w:val="20"/>
              </w:rPr>
              <w:t>Suicide or self-inflicted injury</w:t>
            </w:r>
          </w:p>
        </w:tc>
        <w:tc>
          <w:tcPr>
            <w:tcW w:w="2070" w:type="dxa"/>
            <w:tcBorders>
              <w:top w:val="nil"/>
              <w:left w:val="nil"/>
              <w:bottom w:val="single" w:sz="8" w:space="0" w:color="FFFFFF"/>
              <w:right w:val="single" w:sz="8" w:space="0" w:color="FFFFFF"/>
            </w:tcBorders>
            <w:vAlign w:val="center"/>
            <w:hideMark/>
          </w:tcPr>
          <w:p w14:paraId="1B754A65" w14:textId="6FD109F6" w:rsidR="001D6591" w:rsidRPr="00AB18D1" w:rsidRDefault="001D6591" w:rsidP="00DB1260">
            <w:pPr>
              <w:spacing w:after="0"/>
              <w:jc w:val="right"/>
              <w:rPr>
                <w:rFonts w:ascii="Arial" w:hAnsi="Arial" w:cs="Arial"/>
                <w:sz w:val="20"/>
                <w:szCs w:val="20"/>
              </w:rPr>
            </w:pPr>
            <w:r w:rsidRPr="00AB18D1">
              <w:rPr>
                <w:rFonts w:ascii="Arial" w:hAnsi="Arial" w:cs="Arial"/>
                <w:sz w:val="20"/>
                <w:szCs w:val="20"/>
              </w:rPr>
              <w:t>1</w:t>
            </w:r>
            <w:r w:rsidR="00DB1260">
              <w:rPr>
                <w:rFonts w:ascii="Arial" w:hAnsi="Arial" w:cs="Arial"/>
                <w:sz w:val="20"/>
                <w:szCs w:val="20"/>
              </w:rPr>
              <w:t>6</w:t>
            </w:r>
          </w:p>
        </w:tc>
        <w:tc>
          <w:tcPr>
            <w:tcW w:w="2070" w:type="dxa"/>
            <w:tcBorders>
              <w:top w:val="nil"/>
              <w:left w:val="nil"/>
              <w:bottom w:val="single" w:sz="8" w:space="0" w:color="FFFFFF"/>
              <w:right w:val="nil"/>
            </w:tcBorders>
            <w:vAlign w:val="center"/>
            <w:hideMark/>
          </w:tcPr>
          <w:p w14:paraId="7DB3CBDF" w14:textId="34686CB4" w:rsidR="001D6591" w:rsidRPr="00AB18D1" w:rsidRDefault="00DB1260" w:rsidP="00DB1260">
            <w:pPr>
              <w:spacing w:after="0"/>
              <w:jc w:val="right"/>
              <w:rPr>
                <w:rFonts w:ascii="Arial" w:hAnsi="Arial" w:cs="Arial"/>
                <w:sz w:val="20"/>
                <w:szCs w:val="20"/>
              </w:rPr>
            </w:pPr>
            <w:r>
              <w:rPr>
                <w:rFonts w:ascii="Arial" w:hAnsi="Arial" w:cs="Arial"/>
                <w:sz w:val="20"/>
                <w:szCs w:val="20"/>
              </w:rPr>
              <w:t>9</w:t>
            </w:r>
            <w:r w:rsidR="001D6591" w:rsidRPr="00AB18D1">
              <w:rPr>
                <w:rFonts w:ascii="Arial" w:hAnsi="Arial" w:cs="Arial"/>
                <w:sz w:val="20"/>
                <w:szCs w:val="20"/>
              </w:rPr>
              <w:t>%</w:t>
            </w:r>
          </w:p>
        </w:tc>
      </w:tr>
      <w:tr w:rsidR="001D6591" w:rsidRPr="00AB18D1" w14:paraId="22D87F4D" w14:textId="77777777" w:rsidTr="001D6591">
        <w:trPr>
          <w:trHeight w:val="247"/>
        </w:trPr>
        <w:tc>
          <w:tcPr>
            <w:tcW w:w="5328" w:type="dxa"/>
            <w:tcBorders>
              <w:top w:val="nil"/>
              <w:left w:val="nil"/>
              <w:bottom w:val="single" w:sz="8" w:space="0" w:color="FFFFFF"/>
              <w:right w:val="single" w:sz="8" w:space="0" w:color="FFFFFF"/>
            </w:tcBorders>
            <w:vAlign w:val="center"/>
          </w:tcPr>
          <w:p w14:paraId="4053AEF5" w14:textId="34F8A2AD" w:rsidR="001D6591" w:rsidRPr="00AB18D1" w:rsidRDefault="001D6591" w:rsidP="001D6591">
            <w:pPr>
              <w:spacing w:after="0"/>
              <w:rPr>
                <w:rFonts w:ascii="Arial" w:hAnsi="Arial" w:cs="Arial"/>
                <w:sz w:val="20"/>
                <w:szCs w:val="20"/>
              </w:rPr>
            </w:pPr>
            <w:r w:rsidRPr="001D6591">
              <w:rPr>
                <w:rFonts w:ascii="Arial" w:hAnsi="Arial" w:cs="Arial"/>
                <w:sz w:val="20"/>
                <w:szCs w:val="20"/>
              </w:rPr>
              <w:t>Homicide</w:t>
            </w:r>
          </w:p>
        </w:tc>
        <w:tc>
          <w:tcPr>
            <w:tcW w:w="2070" w:type="dxa"/>
            <w:tcBorders>
              <w:top w:val="nil"/>
              <w:left w:val="nil"/>
              <w:bottom w:val="single" w:sz="8" w:space="0" w:color="FFFFFF"/>
              <w:right w:val="single" w:sz="8" w:space="0" w:color="FFFFFF"/>
            </w:tcBorders>
            <w:vAlign w:val="center"/>
            <w:hideMark/>
          </w:tcPr>
          <w:p w14:paraId="656BB1B6" w14:textId="001CFE51" w:rsidR="001D6591" w:rsidRPr="00AB18D1" w:rsidRDefault="00DB1260" w:rsidP="00DB1260">
            <w:pPr>
              <w:spacing w:after="0"/>
              <w:jc w:val="right"/>
              <w:rPr>
                <w:rFonts w:ascii="Arial" w:hAnsi="Arial" w:cs="Arial"/>
                <w:sz w:val="20"/>
                <w:szCs w:val="20"/>
              </w:rPr>
            </w:pPr>
            <w:r>
              <w:rPr>
                <w:rFonts w:ascii="Arial" w:hAnsi="Arial" w:cs="Arial"/>
                <w:sz w:val="20"/>
                <w:szCs w:val="20"/>
              </w:rPr>
              <w:t>11</w:t>
            </w:r>
          </w:p>
        </w:tc>
        <w:tc>
          <w:tcPr>
            <w:tcW w:w="2070" w:type="dxa"/>
            <w:tcBorders>
              <w:top w:val="nil"/>
              <w:left w:val="nil"/>
              <w:bottom w:val="single" w:sz="8" w:space="0" w:color="FFFFFF"/>
              <w:right w:val="nil"/>
            </w:tcBorders>
            <w:vAlign w:val="center"/>
            <w:hideMark/>
          </w:tcPr>
          <w:p w14:paraId="6F8D829C" w14:textId="77777777" w:rsidR="001D6591" w:rsidRPr="00AB18D1" w:rsidRDefault="001D6591" w:rsidP="00DB1260">
            <w:pPr>
              <w:spacing w:after="0"/>
              <w:jc w:val="right"/>
              <w:rPr>
                <w:rFonts w:ascii="Arial" w:hAnsi="Arial" w:cs="Arial"/>
                <w:sz w:val="20"/>
                <w:szCs w:val="20"/>
              </w:rPr>
            </w:pPr>
            <w:r w:rsidRPr="00AB18D1">
              <w:rPr>
                <w:rFonts w:ascii="Arial" w:hAnsi="Arial" w:cs="Arial"/>
                <w:sz w:val="20"/>
                <w:szCs w:val="20"/>
              </w:rPr>
              <w:t>6%</w:t>
            </w:r>
          </w:p>
        </w:tc>
      </w:tr>
      <w:tr w:rsidR="001D6591" w:rsidRPr="00AB18D1" w14:paraId="019197FD" w14:textId="77777777" w:rsidTr="001D6591">
        <w:trPr>
          <w:trHeight w:val="450"/>
        </w:trPr>
        <w:tc>
          <w:tcPr>
            <w:tcW w:w="5328" w:type="dxa"/>
            <w:tcBorders>
              <w:top w:val="nil"/>
              <w:left w:val="nil"/>
              <w:bottom w:val="single" w:sz="8" w:space="0" w:color="FFFFFF"/>
              <w:right w:val="single" w:sz="8" w:space="0" w:color="FFFFFF"/>
            </w:tcBorders>
            <w:shd w:val="clear" w:color="auto" w:fill="8DB3E2"/>
            <w:vAlign w:val="center"/>
          </w:tcPr>
          <w:p w14:paraId="669884B6" w14:textId="01141E61" w:rsidR="001D6591" w:rsidRPr="00AB18D1" w:rsidRDefault="001D6591" w:rsidP="001D6591">
            <w:pPr>
              <w:spacing w:after="0" w:line="240" w:lineRule="auto"/>
              <w:rPr>
                <w:rFonts w:ascii="Arial" w:eastAsia="Times New Roman" w:hAnsi="Arial" w:cs="Arial"/>
                <w:b/>
                <w:bCs/>
                <w:sz w:val="20"/>
                <w:szCs w:val="20"/>
              </w:rPr>
            </w:pPr>
            <w:r w:rsidRPr="001D6591">
              <w:rPr>
                <w:rFonts w:ascii="Arial" w:eastAsia="Times New Roman" w:hAnsi="Arial" w:cs="Arial"/>
                <w:b/>
                <w:bCs/>
                <w:sz w:val="20"/>
                <w:szCs w:val="20"/>
              </w:rPr>
              <w:t>Contact with object or equipment</w:t>
            </w:r>
          </w:p>
        </w:tc>
        <w:tc>
          <w:tcPr>
            <w:tcW w:w="2070" w:type="dxa"/>
            <w:tcBorders>
              <w:top w:val="nil"/>
              <w:left w:val="nil"/>
              <w:bottom w:val="single" w:sz="8" w:space="0" w:color="FFFFFF"/>
              <w:right w:val="single" w:sz="8" w:space="0" w:color="FFFFFF"/>
            </w:tcBorders>
            <w:shd w:val="clear" w:color="auto" w:fill="8DB3E2"/>
            <w:vAlign w:val="center"/>
            <w:hideMark/>
          </w:tcPr>
          <w:p w14:paraId="04282EDC" w14:textId="30F22323" w:rsidR="001D6591" w:rsidRPr="00AB18D1" w:rsidRDefault="00DB1260" w:rsidP="00DB1260">
            <w:pPr>
              <w:spacing w:after="0" w:line="240" w:lineRule="auto"/>
              <w:jc w:val="right"/>
              <w:rPr>
                <w:rFonts w:ascii="Arial" w:eastAsia="Times New Roman" w:hAnsi="Arial" w:cs="Arial"/>
                <w:b/>
                <w:bCs/>
                <w:sz w:val="20"/>
                <w:szCs w:val="20"/>
              </w:rPr>
            </w:pPr>
            <w:r>
              <w:rPr>
                <w:rFonts w:ascii="Arial" w:eastAsia="Times New Roman" w:hAnsi="Arial" w:cs="Arial"/>
                <w:b/>
                <w:bCs/>
                <w:sz w:val="20"/>
                <w:szCs w:val="20"/>
              </w:rPr>
              <w:t>20</w:t>
            </w:r>
          </w:p>
        </w:tc>
        <w:tc>
          <w:tcPr>
            <w:tcW w:w="2070" w:type="dxa"/>
            <w:tcBorders>
              <w:top w:val="nil"/>
              <w:left w:val="nil"/>
              <w:bottom w:val="single" w:sz="8" w:space="0" w:color="FFFFFF"/>
              <w:right w:val="nil"/>
            </w:tcBorders>
            <w:shd w:val="clear" w:color="auto" w:fill="8DB3E2"/>
            <w:vAlign w:val="center"/>
            <w:hideMark/>
          </w:tcPr>
          <w:p w14:paraId="149A6140" w14:textId="34D44DE1" w:rsidR="001D6591" w:rsidRPr="00AB18D1" w:rsidRDefault="001D6591" w:rsidP="00DB1260">
            <w:pPr>
              <w:spacing w:after="0" w:line="240" w:lineRule="auto"/>
              <w:jc w:val="right"/>
              <w:rPr>
                <w:rFonts w:ascii="Arial" w:eastAsia="Times New Roman" w:hAnsi="Arial" w:cs="Arial"/>
                <w:b/>
                <w:bCs/>
                <w:sz w:val="20"/>
                <w:szCs w:val="20"/>
              </w:rPr>
            </w:pPr>
            <w:r w:rsidRPr="00AB18D1">
              <w:rPr>
                <w:rFonts w:ascii="Arial" w:eastAsia="Times New Roman" w:hAnsi="Arial" w:cs="Arial"/>
                <w:b/>
                <w:bCs/>
                <w:sz w:val="20"/>
                <w:szCs w:val="20"/>
              </w:rPr>
              <w:t>1</w:t>
            </w:r>
            <w:r w:rsidR="00DB1260">
              <w:rPr>
                <w:rFonts w:ascii="Arial" w:eastAsia="Times New Roman" w:hAnsi="Arial" w:cs="Arial"/>
                <w:b/>
                <w:bCs/>
                <w:sz w:val="20"/>
                <w:szCs w:val="20"/>
              </w:rPr>
              <w:t>1</w:t>
            </w:r>
            <w:r w:rsidRPr="00AB18D1">
              <w:rPr>
                <w:rFonts w:ascii="Arial" w:eastAsia="Times New Roman" w:hAnsi="Arial" w:cs="Arial"/>
                <w:b/>
                <w:bCs/>
                <w:sz w:val="20"/>
                <w:szCs w:val="20"/>
              </w:rPr>
              <w:t>%</w:t>
            </w:r>
          </w:p>
        </w:tc>
      </w:tr>
      <w:tr w:rsidR="001D6591" w:rsidRPr="00AB18D1" w14:paraId="5A0E4ED5" w14:textId="77777777" w:rsidTr="001D6591">
        <w:trPr>
          <w:trHeight w:val="292"/>
        </w:trPr>
        <w:tc>
          <w:tcPr>
            <w:tcW w:w="5328" w:type="dxa"/>
            <w:tcBorders>
              <w:top w:val="nil"/>
              <w:left w:val="nil"/>
              <w:bottom w:val="single" w:sz="8" w:space="0" w:color="FFFFFF"/>
              <w:right w:val="single" w:sz="8" w:space="0" w:color="FFFFFF"/>
            </w:tcBorders>
            <w:vAlign w:val="center"/>
          </w:tcPr>
          <w:p w14:paraId="4980802E" w14:textId="7D58A685" w:rsidR="001D6591" w:rsidRPr="00AB18D1" w:rsidRDefault="001D6591" w:rsidP="001D6591">
            <w:pPr>
              <w:spacing w:after="0" w:line="240" w:lineRule="auto"/>
              <w:rPr>
                <w:rFonts w:ascii="Arial" w:eastAsia="Times New Roman" w:hAnsi="Arial" w:cs="Arial"/>
                <w:sz w:val="20"/>
                <w:szCs w:val="20"/>
              </w:rPr>
            </w:pPr>
            <w:r w:rsidRPr="001D6591">
              <w:rPr>
                <w:rFonts w:ascii="Arial" w:eastAsia="Times New Roman" w:hAnsi="Arial" w:cs="Arial"/>
                <w:sz w:val="20"/>
                <w:szCs w:val="20"/>
              </w:rPr>
              <w:t>Struck by falling object or equipment, other than vehicle</w:t>
            </w:r>
          </w:p>
        </w:tc>
        <w:tc>
          <w:tcPr>
            <w:tcW w:w="2070" w:type="dxa"/>
            <w:tcBorders>
              <w:top w:val="nil"/>
              <w:left w:val="nil"/>
              <w:bottom w:val="single" w:sz="8" w:space="0" w:color="FFFFFF"/>
              <w:right w:val="single" w:sz="8" w:space="0" w:color="FFFFFF"/>
            </w:tcBorders>
            <w:vAlign w:val="center"/>
            <w:hideMark/>
          </w:tcPr>
          <w:p w14:paraId="61C23230" w14:textId="6A87D951" w:rsidR="001D6591" w:rsidRPr="00AB18D1" w:rsidRDefault="001D6591" w:rsidP="00DB1260">
            <w:pPr>
              <w:spacing w:after="0" w:line="240" w:lineRule="auto"/>
              <w:jc w:val="right"/>
              <w:rPr>
                <w:rFonts w:ascii="Arial" w:eastAsia="Times New Roman" w:hAnsi="Arial" w:cs="Arial"/>
                <w:sz w:val="20"/>
                <w:szCs w:val="20"/>
              </w:rPr>
            </w:pPr>
            <w:r w:rsidRPr="00AB18D1">
              <w:rPr>
                <w:rFonts w:ascii="Arial" w:eastAsia="Times New Roman" w:hAnsi="Arial" w:cs="Arial"/>
                <w:sz w:val="20"/>
                <w:szCs w:val="20"/>
              </w:rPr>
              <w:t>1</w:t>
            </w:r>
            <w:r w:rsidR="00DB1260">
              <w:rPr>
                <w:rFonts w:ascii="Arial" w:eastAsia="Times New Roman" w:hAnsi="Arial" w:cs="Arial"/>
                <w:sz w:val="20"/>
                <w:szCs w:val="20"/>
              </w:rPr>
              <w:t>1</w:t>
            </w:r>
          </w:p>
        </w:tc>
        <w:tc>
          <w:tcPr>
            <w:tcW w:w="2070" w:type="dxa"/>
            <w:tcBorders>
              <w:top w:val="nil"/>
              <w:left w:val="nil"/>
              <w:bottom w:val="single" w:sz="8" w:space="0" w:color="FFFFFF"/>
              <w:right w:val="nil"/>
            </w:tcBorders>
            <w:vAlign w:val="center"/>
            <w:hideMark/>
          </w:tcPr>
          <w:p w14:paraId="720C39B2" w14:textId="53CD0574" w:rsidR="001D6591" w:rsidRPr="00AB18D1" w:rsidRDefault="00DB1260" w:rsidP="00DB1260">
            <w:pPr>
              <w:spacing w:after="0" w:line="240" w:lineRule="auto"/>
              <w:jc w:val="right"/>
              <w:rPr>
                <w:rFonts w:ascii="Arial" w:eastAsia="Times New Roman" w:hAnsi="Arial" w:cs="Arial"/>
                <w:sz w:val="20"/>
                <w:szCs w:val="20"/>
              </w:rPr>
            </w:pPr>
            <w:r>
              <w:rPr>
                <w:rFonts w:ascii="Arial" w:eastAsia="Times New Roman" w:hAnsi="Arial" w:cs="Arial"/>
                <w:sz w:val="20"/>
                <w:szCs w:val="20"/>
              </w:rPr>
              <w:t>6</w:t>
            </w:r>
            <w:r w:rsidR="001D6591" w:rsidRPr="00AB18D1">
              <w:rPr>
                <w:rFonts w:ascii="Arial" w:eastAsia="Times New Roman" w:hAnsi="Arial" w:cs="Arial"/>
                <w:sz w:val="20"/>
                <w:szCs w:val="20"/>
              </w:rPr>
              <w:t>%</w:t>
            </w:r>
          </w:p>
        </w:tc>
      </w:tr>
      <w:tr w:rsidR="001D6591" w:rsidRPr="00AB18D1" w14:paraId="1C5D20B1" w14:textId="77777777" w:rsidTr="001D6591">
        <w:trPr>
          <w:trHeight w:val="292"/>
        </w:trPr>
        <w:tc>
          <w:tcPr>
            <w:tcW w:w="5328" w:type="dxa"/>
            <w:tcBorders>
              <w:top w:val="nil"/>
              <w:left w:val="nil"/>
              <w:bottom w:val="single" w:sz="8" w:space="0" w:color="FFFFFF"/>
              <w:right w:val="single" w:sz="8" w:space="0" w:color="FFFFFF"/>
            </w:tcBorders>
            <w:vAlign w:val="center"/>
          </w:tcPr>
          <w:p w14:paraId="7124AE13" w14:textId="4982AB11" w:rsidR="001D6591" w:rsidRPr="00AB18D1" w:rsidRDefault="001D6591" w:rsidP="001D6591">
            <w:pPr>
              <w:spacing w:after="0" w:line="240" w:lineRule="auto"/>
              <w:rPr>
                <w:rFonts w:ascii="Arial" w:eastAsia="Times New Roman" w:hAnsi="Arial" w:cs="Arial"/>
                <w:sz w:val="20"/>
                <w:szCs w:val="20"/>
              </w:rPr>
            </w:pPr>
            <w:r w:rsidRPr="001D6591">
              <w:rPr>
                <w:rFonts w:ascii="Arial" w:eastAsia="Times New Roman" w:hAnsi="Arial" w:cs="Arial"/>
                <w:sz w:val="20"/>
                <w:szCs w:val="20"/>
              </w:rPr>
              <w:t>Struck by</w:t>
            </w:r>
            <w:r>
              <w:rPr>
                <w:rFonts w:ascii="Arial" w:eastAsia="Times New Roman" w:hAnsi="Arial" w:cs="Arial"/>
                <w:sz w:val="20"/>
                <w:szCs w:val="20"/>
              </w:rPr>
              <w:t xml:space="preserve"> powered vehicle, non-transit (e.g. excavator boom or door struck worker)</w:t>
            </w:r>
          </w:p>
        </w:tc>
        <w:tc>
          <w:tcPr>
            <w:tcW w:w="2070" w:type="dxa"/>
            <w:tcBorders>
              <w:top w:val="nil"/>
              <w:left w:val="nil"/>
              <w:bottom w:val="single" w:sz="8" w:space="0" w:color="FFFFFF"/>
              <w:right w:val="single" w:sz="8" w:space="0" w:color="FFFFFF"/>
            </w:tcBorders>
            <w:vAlign w:val="center"/>
          </w:tcPr>
          <w:p w14:paraId="2737091D" w14:textId="78A8EB5D" w:rsidR="001D6591" w:rsidRPr="00AB18D1" w:rsidRDefault="00DB1260" w:rsidP="00DB1260">
            <w:pPr>
              <w:spacing w:after="0" w:line="240" w:lineRule="auto"/>
              <w:jc w:val="right"/>
              <w:rPr>
                <w:rFonts w:ascii="Arial" w:eastAsia="Times New Roman" w:hAnsi="Arial" w:cs="Arial"/>
                <w:sz w:val="20"/>
                <w:szCs w:val="20"/>
              </w:rPr>
            </w:pPr>
            <w:r>
              <w:rPr>
                <w:rFonts w:ascii="Arial" w:eastAsia="Times New Roman" w:hAnsi="Arial" w:cs="Arial"/>
                <w:sz w:val="20"/>
                <w:szCs w:val="20"/>
              </w:rPr>
              <w:t>4</w:t>
            </w:r>
          </w:p>
        </w:tc>
        <w:tc>
          <w:tcPr>
            <w:tcW w:w="2070" w:type="dxa"/>
            <w:tcBorders>
              <w:top w:val="nil"/>
              <w:left w:val="nil"/>
              <w:bottom w:val="single" w:sz="8" w:space="0" w:color="FFFFFF"/>
              <w:right w:val="nil"/>
            </w:tcBorders>
            <w:vAlign w:val="center"/>
          </w:tcPr>
          <w:p w14:paraId="05655AE8" w14:textId="58CD05FF" w:rsidR="001D6591" w:rsidRPr="00AB18D1" w:rsidRDefault="00DB1260" w:rsidP="00DB1260">
            <w:pPr>
              <w:spacing w:after="0" w:line="240" w:lineRule="auto"/>
              <w:jc w:val="right"/>
              <w:rPr>
                <w:rFonts w:ascii="Arial" w:eastAsia="Times New Roman" w:hAnsi="Arial" w:cs="Arial"/>
                <w:sz w:val="20"/>
                <w:szCs w:val="20"/>
              </w:rPr>
            </w:pPr>
            <w:r>
              <w:rPr>
                <w:rFonts w:ascii="Arial" w:eastAsia="Times New Roman" w:hAnsi="Arial" w:cs="Arial"/>
                <w:sz w:val="20"/>
                <w:szCs w:val="20"/>
              </w:rPr>
              <w:t>2%</w:t>
            </w:r>
          </w:p>
        </w:tc>
      </w:tr>
      <w:tr w:rsidR="001D6591" w:rsidRPr="00AB18D1" w14:paraId="74838FEF" w14:textId="77777777" w:rsidTr="001D6591">
        <w:trPr>
          <w:trHeight w:val="292"/>
        </w:trPr>
        <w:tc>
          <w:tcPr>
            <w:tcW w:w="5328" w:type="dxa"/>
            <w:tcBorders>
              <w:top w:val="nil"/>
              <w:left w:val="nil"/>
              <w:bottom w:val="single" w:sz="8" w:space="0" w:color="FFFFFF"/>
              <w:right w:val="single" w:sz="8" w:space="0" w:color="FFFFFF"/>
            </w:tcBorders>
            <w:vAlign w:val="center"/>
          </w:tcPr>
          <w:p w14:paraId="11B17D91" w14:textId="6BFC4A68" w:rsidR="001D6591" w:rsidRPr="00AB18D1" w:rsidRDefault="001D6591" w:rsidP="001D6591">
            <w:pPr>
              <w:spacing w:after="0" w:line="240" w:lineRule="auto"/>
              <w:rPr>
                <w:rFonts w:ascii="Arial" w:eastAsia="Times New Roman" w:hAnsi="Arial" w:cs="Arial"/>
                <w:sz w:val="20"/>
                <w:szCs w:val="20"/>
              </w:rPr>
            </w:pPr>
            <w:r>
              <w:rPr>
                <w:rFonts w:ascii="Arial" w:eastAsia="Times New Roman" w:hAnsi="Arial" w:cs="Arial"/>
                <w:sz w:val="20"/>
                <w:szCs w:val="20"/>
              </w:rPr>
              <w:t>Caught in running equipment or machinery</w:t>
            </w:r>
          </w:p>
        </w:tc>
        <w:tc>
          <w:tcPr>
            <w:tcW w:w="2070" w:type="dxa"/>
            <w:tcBorders>
              <w:top w:val="nil"/>
              <w:left w:val="nil"/>
              <w:bottom w:val="single" w:sz="8" w:space="0" w:color="FFFFFF"/>
              <w:right w:val="single" w:sz="8" w:space="0" w:color="FFFFFF"/>
            </w:tcBorders>
            <w:vAlign w:val="center"/>
          </w:tcPr>
          <w:p w14:paraId="612AE071" w14:textId="035A410E" w:rsidR="001D6591" w:rsidRPr="00AB18D1" w:rsidRDefault="00DB1260" w:rsidP="00DB1260">
            <w:pPr>
              <w:spacing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2070" w:type="dxa"/>
            <w:tcBorders>
              <w:top w:val="nil"/>
              <w:left w:val="nil"/>
              <w:bottom w:val="single" w:sz="8" w:space="0" w:color="FFFFFF"/>
              <w:right w:val="nil"/>
            </w:tcBorders>
            <w:vAlign w:val="center"/>
          </w:tcPr>
          <w:p w14:paraId="44F134CE" w14:textId="63DDBE29" w:rsidR="001D6591" w:rsidRPr="00AB18D1" w:rsidRDefault="00DB1260" w:rsidP="00DB1260">
            <w:pPr>
              <w:spacing w:after="0" w:line="240" w:lineRule="auto"/>
              <w:jc w:val="right"/>
              <w:rPr>
                <w:rFonts w:ascii="Arial" w:eastAsia="Times New Roman" w:hAnsi="Arial" w:cs="Arial"/>
                <w:sz w:val="20"/>
                <w:szCs w:val="20"/>
              </w:rPr>
            </w:pPr>
            <w:r>
              <w:rPr>
                <w:rFonts w:ascii="Arial" w:eastAsia="Times New Roman" w:hAnsi="Arial" w:cs="Arial"/>
                <w:sz w:val="20"/>
                <w:szCs w:val="20"/>
              </w:rPr>
              <w:t>2%</w:t>
            </w:r>
          </w:p>
        </w:tc>
      </w:tr>
      <w:tr w:rsidR="001D6591" w:rsidRPr="00AB18D1" w14:paraId="59E9276B" w14:textId="77777777" w:rsidTr="001D6591">
        <w:trPr>
          <w:trHeight w:val="450"/>
        </w:trPr>
        <w:tc>
          <w:tcPr>
            <w:tcW w:w="5328" w:type="dxa"/>
            <w:tcBorders>
              <w:top w:val="nil"/>
              <w:left w:val="nil"/>
              <w:bottom w:val="single" w:sz="8" w:space="0" w:color="FFFFFF"/>
              <w:right w:val="single" w:sz="8" w:space="0" w:color="FFFFFF"/>
            </w:tcBorders>
            <w:shd w:val="clear" w:color="auto" w:fill="8DB3E2"/>
            <w:vAlign w:val="center"/>
          </w:tcPr>
          <w:p w14:paraId="71F3343E" w14:textId="0B213917" w:rsidR="001D6591" w:rsidRPr="00AB18D1" w:rsidRDefault="001D6591" w:rsidP="001D6591">
            <w:pPr>
              <w:spacing w:after="0" w:line="240" w:lineRule="auto"/>
              <w:rPr>
                <w:rFonts w:ascii="Arial" w:eastAsia="Times New Roman" w:hAnsi="Arial" w:cs="Arial"/>
                <w:b/>
                <w:bCs/>
                <w:sz w:val="20"/>
                <w:szCs w:val="20"/>
              </w:rPr>
            </w:pPr>
            <w:r>
              <w:rPr>
                <w:rFonts w:ascii="Arial" w:eastAsia="Times New Roman" w:hAnsi="Arial" w:cs="Arial"/>
                <w:b/>
                <w:bCs/>
                <w:sz w:val="20"/>
                <w:szCs w:val="20"/>
              </w:rPr>
              <w:t>Fires and explosions</w:t>
            </w:r>
          </w:p>
        </w:tc>
        <w:tc>
          <w:tcPr>
            <w:tcW w:w="2070" w:type="dxa"/>
            <w:tcBorders>
              <w:top w:val="nil"/>
              <w:left w:val="nil"/>
              <w:bottom w:val="single" w:sz="8" w:space="0" w:color="FFFFFF"/>
              <w:right w:val="single" w:sz="8" w:space="0" w:color="FFFFFF"/>
            </w:tcBorders>
            <w:shd w:val="clear" w:color="auto" w:fill="8DB3E2"/>
            <w:vAlign w:val="center"/>
            <w:hideMark/>
          </w:tcPr>
          <w:p w14:paraId="1A2819D3" w14:textId="740192B7" w:rsidR="001D6591" w:rsidRPr="00AB18D1" w:rsidRDefault="00DB1260" w:rsidP="00DB1260">
            <w:pPr>
              <w:spacing w:after="0" w:line="240" w:lineRule="auto"/>
              <w:jc w:val="right"/>
              <w:rPr>
                <w:rFonts w:ascii="Arial" w:eastAsia="Times New Roman" w:hAnsi="Arial" w:cs="Arial"/>
                <w:b/>
                <w:bCs/>
                <w:sz w:val="20"/>
                <w:szCs w:val="20"/>
              </w:rPr>
            </w:pPr>
            <w:r>
              <w:rPr>
                <w:rFonts w:ascii="Arial" w:eastAsia="Times New Roman" w:hAnsi="Arial" w:cs="Arial"/>
                <w:b/>
                <w:bCs/>
                <w:sz w:val="20"/>
                <w:szCs w:val="20"/>
              </w:rPr>
              <w:t>4</w:t>
            </w:r>
          </w:p>
        </w:tc>
        <w:tc>
          <w:tcPr>
            <w:tcW w:w="2070" w:type="dxa"/>
            <w:tcBorders>
              <w:top w:val="nil"/>
              <w:left w:val="nil"/>
              <w:bottom w:val="single" w:sz="8" w:space="0" w:color="FFFFFF"/>
              <w:right w:val="nil"/>
            </w:tcBorders>
            <w:shd w:val="clear" w:color="auto" w:fill="8DB3E2"/>
            <w:vAlign w:val="center"/>
            <w:hideMark/>
          </w:tcPr>
          <w:p w14:paraId="0F736B54" w14:textId="41010026" w:rsidR="001D6591" w:rsidRPr="00AB18D1" w:rsidRDefault="00DB1260" w:rsidP="00DB1260">
            <w:pPr>
              <w:spacing w:after="0" w:line="240" w:lineRule="auto"/>
              <w:jc w:val="right"/>
              <w:rPr>
                <w:rFonts w:ascii="Arial" w:eastAsia="Times New Roman" w:hAnsi="Arial" w:cs="Arial"/>
                <w:b/>
                <w:bCs/>
                <w:sz w:val="20"/>
                <w:szCs w:val="20"/>
              </w:rPr>
            </w:pPr>
            <w:r>
              <w:rPr>
                <w:rFonts w:ascii="Arial" w:eastAsia="Times New Roman" w:hAnsi="Arial" w:cs="Arial"/>
                <w:b/>
                <w:bCs/>
                <w:sz w:val="20"/>
                <w:szCs w:val="20"/>
              </w:rPr>
              <w:t>2</w:t>
            </w:r>
            <w:r w:rsidR="001D6591" w:rsidRPr="00AB18D1">
              <w:rPr>
                <w:rFonts w:ascii="Arial" w:eastAsia="Times New Roman" w:hAnsi="Arial" w:cs="Arial"/>
                <w:b/>
                <w:bCs/>
                <w:sz w:val="20"/>
                <w:szCs w:val="20"/>
              </w:rPr>
              <w:t>%</w:t>
            </w:r>
          </w:p>
        </w:tc>
      </w:tr>
      <w:tr w:rsidR="001D6591" w:rsidRPr="00AB18D1" w14:paraId="36F3026A" w14:textId="77777777" w:rsidTr="001D6591">
        <w:trPr>
          <w:trHeight w:val="450"/>
        </w:trPr>
        <w:tc>
          <w:tcPr>
            <w:tcW w:w="5328" w:type="dxa"/>
            <w:tcBorders>
              <w:top w:val="nil"/>
              <w:left w:val="nil"/>
              <w:bottom w:val="single" w:sz="8" w:space="0" w:color="FFFFFF"/>
              <w:right w:val="single" w:sz="8" w:space="0" w:color="FFFFFF"/>
            </w:tcBorders>
            <w:shd w:val="clear" w:color="auto" w:fill="949291"/>
            <w:vAlign w:val="center"/>
            <w:hideMark/>
          </w:tcPr>
          <w:p w14:paraId="3E91F31E" w14:textId="77777777" w:rsidR="001D6591" w:rsidRPr="00AB18D1" w:rsidRDefault="001D6591" w:rsidP="001D6591">
            <w:pPr>
              <w:spacing w:after="0" w:line="240" w:lineRule="auto"/>
              <w:rPr>
                <w:rFonts w:ascii="Arial" w:eastAsia="Times New Roman" w:hAnsi="Arial" w:cs="Arial"/>
                <w:b/>
                <w:bCs/>
                <w:sz w:val="20"/>
                <w:szCs w:val="20"/>
              </w:rPr>
            </w:pPr>
            <w:r w:rsidRPr="00AB18D1">
              <w:rPr>
                <w:rFonts w:ascii="Arial" w:eastAsia="Times New Roman" w:hAnsi="Arial" w:cs="Arial"/>
                <w:b/>
                <w:bCs/>
                <w:sz w:val="20"/>
                <w:szCs w:val="20"/>
              </w:rPr>
              <w:t>Total</w:t>
            </w:r>
          </w:p>
        </w:tc>
        <w:tc>
          <w:tcPr>
            <w:tcW w:w="2070" w:type="dxa"/>
            <w:tcBorders>
              <w:top w:val="nil"/>
              <w:left w:val="nil"/>
              <w:bottom w:val="single" w:sz="8" w:space="0" w:color="FFFFFF"/>
              <w:right w:val="single" w:sz="8" w:space="0" w:color="FFFFFF"/>
            </w:tcBorders>
            <w:shd w:val="clear" w:color="auto" w:fill="949291"/>
            <w:vAlign w:val="center"/>
            <w:hideMark/>
          </w:tcPr>
          <w:p w14:paraId="0028A5D0" w14:textId="61E0AA5C" w:rsidR="001D6591" w:rsidRPr="00AB18D1" w:rsidRDefault="00DB1260" w:rsidP="00DB1260">
            <w:pPr>
              <w:spacing w:after="0" w:line="240" w:lineRule="auto"/>
              <w:jc w:val="right"/>
              <w:rPr>
                <w:rFonts w:ascii="Arial" w:eastAsia="Times New Roman" w:hAnsi="Arial" w:cs="Arial"/>
                <w:b/>
                <w:bCs/>
                <w:sz w:val="20"/>
                <w:szCs w:val="20"/>
              </w:rPr>
            </w:pPr>
            <w:r>
              <w:rPr>
                <w:rFonts w:ascii="Arial" w:eastAsia="Times New Roman" w:hAnsi="Arial" w:cs="Arial"/>
                <w:b/>
                <w:bCs/>
                <w:sz w:val="20"/>
                <w:szCs w:val="20"/>
              </w:rPr>
              <w:t>184</w:t>
            </w:r>
          </w:p>
        </w:tc>
        <w:tc>
          <w:tcPr>
            <w:tcW w:w="2070" w:type="dxa"/>
            <w:tcBorders>
              <w:top w:val="nil"/>
              <w:left w:val="nil"/>
              <w:bottom w:val="single" w:sz="8" w:space="0" w:color="FFFFFF"/>
              <w:right w:val="nil"/>
            </w:tcBorders>
            <w:shd w:val="clear" w:color="auto" w:fill="949291"/>
            <w:vAlign w:val="center"/>
            <w:hideMark/>
          </w:tcPr>
          <w:p w14:paraId="326DBCDC" w14:textId="77777777" w:rsidR="001D6591" w:rsidRPr="00AB18D1" w:rsidRDefault="001D6591" w:rsidP="00DB1260">
            <w:pPr>
              <w:spacing w:after="0" w:line="240" w:lineRule="auto"/>
              <w:jc w:val="right"/>
              <w:rPr>
                <w:rFonts w:ascii="Arial" w:eastAsia="Times New Roman" w:hAnsi="Arial" w:cs="Arial"/>
                <w:b/>
                <w:bCs/>
                <w:sz w:val="20"/>
                <w:szCs w:val="20"/>
              </w:rPr>
            </w:pPr>
            <w:r w:rsidRPr="00AB18D1">
              <w:rPr>
                <w:rFonts w:ascii="Arial" w:eastAsia="Times New Roman" w:hAnsi="Arial" w:cs="Arial"/>
                <w:b/>
                <w:bCs/>
                <w:sz w:val="20"/>
                <w:szCs w:val="20"/>
              </w:rPr>
              <w:t>100%</w:t>
            </w:r>
          </w:p>
        </w:tc>
      </w:tr>
      <w:tr w:rsidR="001D6591" w:rsidRPr="00AB18D1" w14:paraId="42EFCF0F" w14:textId="77777777" w:rsidTr="001D6591">
        <w:trPr>
          <w:trHeight w:val="450"/>
        </w:trPr>
        <w:tc>
          <w:tcPr>
            <w:tcW w:w="9468" w:type="dxa"/>
            <w:gridSpan w:val="3"/>
            <w:tcBorders>
              <w:top w:val="single" w:sz="8" w:space="0" w:color="FFFFFF"/>
              <w:left w:val="nil"/>
              <w:bottom w:val="nil"/>
              <w:right w:val="nil"/>
            </w:tcBorders>
            <w:vAlign w:val="center"/>
            <w:hideMark/>
          </w:tcPr>
          <w:p w14:paraId="23B0711B" w14:textId="77777777" w:rsidR="001D6591" w:rsidRPr="00097195" w:rsidRDefault="001D6591" w:rsidP="001D6591">
            <w:pPr>
              <w:spacing w:after="0" w:line="240" w:lineRule="auto"/>
              <w:rPr>
                <w:rFonts w:ascii="Arial" w:eastAsia="Times New Roman" w:hAnsi="Arial" w:cs="Arial"/>
                <w:sz w:val="18"/>
                <w:szCs w:val="18"/>
              </w:rPr>
            </w:pPr>
            <w:r w:rsidRPr="00097195">
              <w:rPr>
                <w:rFonts w:ascii="Arial" w:eastAsia="Times New Roman" w:hAnsi="Arial" w:cs="Arial"/>
                <w:sz w:val="18"/>
                <w:szCs w:val="18"/>
              </w:rPr>
              <w:t>NOTE: Event/exposure categories and sub-categories with &lt; 3 fatalities are not shown.  Sub-categories may not add up to the bolded category totals. Percentages may not add to 100% due to rounding.</w:t>
            </w:r>
          </w:p>
        </w:tc>
      </w:tr>
      <w:tr w:rsidR="001D6591" w:rsidRPr="00AB18D1" w14:paraId="35922525" w14:textId="77777777" w:rsidTr="001D6591">
        <w:trPr>
          <w:trHeight w:val="258"/>
        </w:trPr>
        <w:tc>
          <w:tcPr>
            <w:tcW w:w="9468" w:type="dxa"/>
            <w:gridSpan w:val="3"/>
            <w:noWrap/>
            <w:vAlign w:val="bottom"/>
            <w:hideMark/>
          </w:tcPr>
          <w:p w14:paraId="04E73969" w14:textId="67433899" w:rsidR="001D6591" w:rsidRPr="00097195" w:rsidRDefault="001D6591" w:rsidP="001D6591">
            <w:pPr>
              <w:spacing w:after="0" w:line="240" w:lineRule="auto"/>
              <w:rPr>
                <w:rFonts w:ascii="Arial" w:eastAsia="Times New Roman" w:hAnsi="Arial" w:cs="Arial"/>
                <w:sz w:val="18"/>
                <w:szCs w:val="18"/>
              </w:rPr>
            </w:pPr>
            <w:r w:rsidRPr="00097195">
              <w:rPr>
                <w:rFonts w:ascii="Arial" w:eastAsia="Times New Roman" w:hAnsi="Arial" w:cs="Arial"/>
                <w:sz w:val="18"/>
                <w:szCs w:val="18"/>
              </w:rPr>
              <w:t>Source: Occupational Health Surveillance Program, Massachusetts FACE and CFOI, 2018</w:t>
            </w:r>
            <w:r w:rsidR="00DB1260">
              <w:rPr>
                <w:rFonts w:ascii="Arial" w:eastAsia="Times New Roman" w:hAnsi="Arial" w:cs="Arial"/>
                <w:sz w:val="18"/>
                <w:szCs w:val="18"/>
              </w:rPr>
              <w:t>-2019</w:t>
            </w:r>
            <w:r w:rsidRPr="00097195">
              <w:rPr>
                <w:rFonts w:ascii="Arial" w:eastAsia="Times New Roman" w:hAnsi="Arial" w:cs="Arial"/>
                <w:sz w:val="18"/>
                <w:szCs w:val="18"/>
              </w:rPr>
              <w:t>.</w:t>
            </w:r>
          </w:p>
        </w:tc>
      </w:tr>
    </w:tbl>
    <w:p w14:paraId="597CD55F" w14:textId="6AD96705" w:rsidR="5B4397C7" w:rsidRDefault="5B4397C7" w:rsidP="37F9FAA2">
      <w:pPr>
        <w:spacing w:before="40" w:after="120" w:line="240" w:lineRule="auto"/>
        <w:ind w:left="155" w:right="-36" w:hanging="90"/>
        <w:jc w:val="both"/>
        <w:rPr>
          <w:rFonts w:ascii="Arial" w:hAnsi="Arial" w:cs="Arial"/>
        </w:rPr>
      </w:pPr>
    </w:p>
    <w:p w14:paraId="31521E22" w14:textId="365AC6CF" w:rsidR="00DB1260" w:rsidRDefault="00DB1260" w:rsidP="37F9FAA2">
      <w:pPr>
        <w:spacing w:before="40" w:after="120" w:line="240" w:lineRule="auto"/>
        <w:ind w:left="155" w:right="-36" w:hanging="90"/>
        <w:jc w:val="both"/>
        <w:rPr>
          <w:rFonts w:ascii="Arial" w:hAnsi="Arial" w:cs="Arial"/>
        </w:rPr>
      </w:pPr>
    </w:p>
    <w:p w14:paraId="5389BF7A" w14:textId="668381B6" w:rsidR="00DB1260" w:rsidRDefault="00DB1260" w:rsidP="37F9FAA2">
      <w:pPr>
        <w:spacing w:before="40" w:after="120" w:line="240" w:lineRule="auto"/>
        <w:ind w:left="155" w:right="-36" w:hanging="90"/>
        <w:jc w:val="both"/>
        <w:rPr>
          <w:rFonts w:ascii="Arial" w:hAnsi="Arial" w:cs="Arial"/>
        </w:rPr>
      </w:pPr>
    </w:p>
    <w:p w14:paraId="5E140D84" w14:textId="42575818" w:rsidR="00DB1260" w:rsidRDefault="00DB1260" w:rsidP="37F9FAA2">
      <w:pPr>
        <w:spacing w:before="40" w:after="120" w:line="240" w:lineRule="auto"/>
        <w:ind w:left="155" w:right="-36" w:hanging="90"/>
        <w:jc w:val="both"/>
        <w:rPr>
          <w:rFonts w:ascii="Arial" w:hAnsi="Arial" w:cs="Arial"/>
        </w:rPr>
      </w:pPr>
    </w:p>
    <w:p w14:paraId="2BDB7413" w14:textId="1D00D133" w:rsidR="00DB1260" w:rsidRDefault="00DB1260" w:rsidP="37F9FAA2">
      <w:pPr>
        <w:spacing w:before="40" w:after="120" w:line="240" w:lineRule="auto"/>
        <w:ind w:left="155" w:right="-36" w:hanging="90"/>
        <w:jc w:val="both"/>
        <w:rPr>
          <w:rFonts w:ascii="Arial" w:hAnsi="Arial" w:cs="Arial"/>
        </w:rPr>
      </w:pPr>
    </w:p>
    <w:p w14:paraId="43665244" w14:textId="77777777" w:rsidR="00DB1260" w:rsidRPr="00AB18D1" w:rsidRDefault="00DB1260" w:rsidP="37F9FAA2">
      <w:pPr>
        <w:spacing w:before="40" w:after="120" w:line="240" w:lineRule="auto"/>
        <w:ind w:left="155" w:right="-36" w:hanging="90"/>
        <w:jc w:val="both"/>
        <w:rPr>
          <w:rFonts w:ascii="Arial" w:hAnsi="Arial" w:cs="Arial"/>
        </w:rPr>
      </w:pPr>
    </w:p>
    <w:p w14:paraId="1A6AF3D5" w14:textId="77777777" w:rsidR="00DB1260" w:rsidRDefault="00DB1260" w:rsidP="37F9FAA2">
      <w:pPr>
        <w:spacing w:after="200" w:line="276" w:lineRule="auto"/>
        <w:rPr>
          <w:rFonts w:ascii="Arial" w:eastAsia="Arial" w:hAnsi="Arial" w:cs="Arial"/>
          <w:b/>
          <w:bCs/>
          <w:color w:val="000000" w:themeColor="text1"/>
          <w:sz w:val="18"/>
          <w:szCs w:val="18"/>
        </w:rPr>
      </w:pPr>
    </w:p>
    <w:p w14:paraId="2CD8B549" w14:textId="40ABD082" w:rsidR="5B4397C7" w:rsidRPr="004B4A78" w:rsidRDefault="37F9FAA2" w:rsidP="37F9FAA2">
      <w:pPr>
        <w:spacing w:after="200" w:line="276" w:lineRule="auto"/>
        <w:rPr>
          <w:rFonts w:ascii="Arial" w:hAnsi="Arial" w:cs="Arial"/>
          <w:sz w:val="20"/>
          <w:szCs w:val="20"/>
        </w:rPr>
      </w:pPr>
      <w:r w:rsidRPr="004B4A78">
        <w:rPr>
          <w:rFonts w:ascii="Arial" w:eastAsia="Arial" w:hAnsi="Arial" w:cs="Arial"/>
          <w:b/>
          <w:bCs/>
          <w:color w:val="000000" w:themeColor="text1"/>
          <w:sz w:val="20"/>
          <w:szCs w:val="20"/>
        </w:rPr>
        <w:t>Fatal Injuries at Work by Industry</w:t>
      </w:r>
    </w:p>
    <w:p w14:paraId="2025742F" w14:textId="29585038" w:rsidR="5B4397C7" w:rsidRPr="004B4A78" w:rsidRDefault="37F9FAA2" w:rsidP="0081139E">
      <w:pPr>
        <w:spacing w:after="200" w:line="276" w:lineRule="auto"/>
        <w:ind w:right="15"/>
        <w:rPr>
          <w:rFonts w:ascii="Arial" w:hAnsi="Arial" w:cs="Arial"/>
          <w:sz w:val="20"/>
          <w:szCs w:val="20"/>
        </w:rPr>
      </w:pPr>
      <w:r w:rsidRPr="004B4A78">
        <w:rPr>
          <w:rFonts w:ascii="Arial" w:eastAsia="Arial" w:hAnsi="Arial" w:cs="Arial"/>
          <w:b/>
          <w:bCs/>
          <w:color w:val="000000" w:themeColor="text1"/>
          <w:sz w:val="20"/>
          <w:szCs w:val="20"/>
        </w:rPr>
        <w:t xml:space="preserve">Figure </w:t>
      </w:r>
      <w:r w:rsidR="0095440D" w:rsidRPr="004B4A78">
        <w:rPr>
          <w:rFonts w:ascii="Arial" w:eastAsia="Arial" w:hAnsi="Arial" w:cs="Arial"/>
          <w:b/>
          <w:bCs/>
          <w:color w:val="000000" w:themeColor="text1"/>
          <w:sz w:val="20"/>
          <w:szCs w:val="20"/>
        </w:rPr>
        <w:t>2</w:t>
      </w:r>
      <w:r w:rsidRPr="004B4A78">
        <w:rPr>
          <w:rFonts w:ascii="Arial" w:eastAsia="Arial" w:hAnsi="Arial" w:cs="Arial"/>
          <w:b/>
          <w:bCs/>
          <w:color w:val="000000" w:themeColor="text1"/>
          <w:sz w:val="20"/>
          <w:szCs w:val="20"/>
        </w:rPr>
        <w:t>. Number and Rate of Fatal Injuries at Work by</w:t>
      </w:r>
      <w:r w:rsidR="00F10FB2" w:rsidRPr="004B4A78">
        <w:rPr>
          <w:rFonts w:ascii="Arial" w:eastAsia="Arial" w:hAnsi="Arial" w:cs="Arial"/>
          <w:b/>
          <w:bCs/>
          <w:color w:val="000000" w:themeColor="text1"/>
          <w:sz w:val="20"/>
          <w:szCs w:val="20"/>
        </w:rPr>
        <w:t xml:space="preserve"> </w:t>
      </w:r>
      <w:r w:rsidRPr="004B4A78">
        <w:rPr>
          <w:rFonts w:ascii="Arial" w:eastAsia="Arial" w:hAnsi="Arial" w:cs="Arial"/>
          <w:b/>
          <w:bCs/>
          <w:color w:val="000000" w:themeColor="text1"/>
          <w:sz w:val="20"/>
          <w:szCs w:val="20"/>
        </w:rPr>
        <w:t>Industry, Massachusetts, 2018</w:t>
      </w:r>
      <w:r w:rsidR="00DB1260" w:rsidRPr="004B4A78">
        <w:rPr>
          <w:rFonts w:ascii="Arial" w:eastAsia="Arial" w:hAnsi="Arial" w:cs="Arial"/>
          <w:b/>
          <w:bCs/>
          <w:color w:val="000000" w:themeColor="text1"/>
          <w:sz w:val="20"/>
          <w:szCs w:val="20"/>
        </w:rPr>
        <w:t>-2019</w:t>
      </w:r>
      <w:r w:rsidRPr="004B4A78">
        <w:rPr>
          <w:rFonts w:ascii="Arial" w:eastAsia="Arial" w:hAnsi="Arial" w:cs="Arial"/>
          <w:b/>
          <w:bCs/>
          <w:color w:val="000000" w:themeColor="text1"/>
          <w:sz w:val="20"/>
          <w:szCs w:val="20"/>
        </w:rPr>
        <w:t>, N=</w:t>
      </w:r>
      <w:r w:rsidR="00DB1260" w:rsidRPr="004B4A78">
        <w:rPr>
          <w:rFonts w:ascii="Arial" w:eastAsia="Arial" w:hAnsi="Arial" w:cs="Arial"/>
          <w:b/>
          <w:bCs/>
          <w:color w:val="000000" w:themeColor="text1"/>
          <w:sz w:val="20"/>
          <w:szCs w:val="20"/>
        </w:rPr>
        <w:t>184</w:t>
      </w:r>
    </w:p>
    <w:p w14:paraId="54943F0C" w14:textId="00961934" w:rsidR="5B4397C7" w:rsidRPr="00AB18D1" w:rsidRDefault="004B4A78" w:rsidP="00A24E99">
      <w:pPr>
        <w:pStyle w:val="ListParagraph"/>
        <w:spacing w:before="40" w:after="120" w:line="240" w:lineRule="auto"/>
        <w:ind w:right="-36"/>
        <w:jc w:val="both"/>
        <w:rPr>
          <w:rFonts w:ascii="Arial" w:eastAsia="Arial" w:hAnsi="Arial" w:cs="Arial"/>
          <w:color w:val="3E3A37"/>
          <w:sz w:val="16"/>
          <w:szCs w:val="16"/>
        </w:rPr>
      </w:pPr>
      <w:r w:rsidRPr="00A24E99">
        <w:rPr>
          <w:rFonts w:ascii="Arial" w:eastAsia="Times New Roman" w:hAnsi="Arial" w:cs="Arial"/>
          <w:noProof/>
          <w:kern w:val="28"/>
          <w:sz w:val="20"/>
          <w:szCs w:val="20"/>
          <w14:cntxtAlts/>
        </w:rPr>
        <w:drawing>
          <wp:inline distT="0" distB="0" distL="0" distR="0" wp14:anchorId="3BAE0F59" wp14:editId="7DB8C9CE">
            <wp:extent cx="5943600" cy="4000500"/>
            <wp:effectExtent l="0" t="0" r="0" b="0"/>
            <wp:docPr id="9" name="Picture 9" descr="Chart, bar chart&#10;&#10;Industry group Number of Fatalities Fatality Rate (per 100,000 full-time workers)&#10;Educational Services, and Health Care and Social Assistance 6 0.3&#10;Other Services, Except Public Administration 5 1.0&#10;Finance and Insurance, and Real Estate, and Rental and Leasing 7 1.3&#10;Arts, Entertainment, and Recreation, and Accommodation and Food Services 8 1.5&#10;Government* 14 1.7&#10;Professional, Scientific, and Management, and Administrative, and Waste Management Services 19 1.8&#10;Wholesale and Retail Trade 19 2.4&#10;Manufacturing 18 2.8&#10;Transportation and Warehousing and Utilities      20 8.5&#10;Construction 54 11.0&#10;Agriculture, Forestry, Fishing, and Hunting 14 49.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hart, bar chart&#10;&#10;Industry group Number of Fatalities Fatality Rate (per 100,000 full-time workers)&#10;Educational Services, and Health Care and Social Assistance 6 0.3&#10;Other Services, Except Public Administration 5 1.0&#10;Finance and Insurance, and Real Estate, and Rental and Leasing 7 1.3&#10;Arts, Entertainment, and Recreation, and Accommodation and Food Services 8 1.5&#10;Government* 14 1.7&#10;Professional, Scientific, and Management, and Administrative, and Waste Management Services 19 1.8&#10;Wholesale and Retail Trade 19 2.4&#10;Manufacturing 18 2.8&#10;Transportation and Warehousing and Utilities      20 8.5&#10;Construction 54 11.0&#10;Agriculture, Forestry, Fishing, and Hunting 14 49.7&#10;"/>
                    <pic:cNvPicPr/>
                  </pic:nvPicPr>
                  <pic:blipFill>
                    <a:blip r:embed="rId12"/>
                    <a:stretch>
                      <a:fillRect/>
                    </a:stretch>
                  </pic:blipFill>
                  <pic:spPr>
                    <a:xfrm>
                      <a:off x="0" y="0"/>
                      <a:ext cx="5943600" cy="4000500"/>
                    </a:xfrm>
                    <a:prstGeom prst="rect">
                      <a:avLst/>
                    </a:prstGeom>
                  </pic:spPr>
                </pic:pic>
              </a:graphicData>
            </a:graphic>
          </wp:inline>
        </w:drawing>
      </w:r>
    </w:p>
    <w:p w14:paraId="1A1BBBAB" w14:textId="0C76004D" w:rsidR="004B4A78" w:rsidRDefault="00A24E99" w:rsidP="00132205">
      <w:pPr>
        <w:spacing w:before="40" w:after="0" w:line="240" w:lineRule="auto"/>
        <w:ind w:left="155" w:right="-36" w:hanging="90"/>
        <w:jc w:val="both"/>
        <w:rPr>
          <w:rFonts w:ascii="Arial" w:eastAsia="Arial" w:hAnsi="Arial" w:cs="Arial"/>
          <w:color w:val="3E3A37"/>
          <w:sz w:val="18"/>
          <w:szCs w:val="18"/>
        </w:rPr>
      </w:pPr>
      <w:r w:rsidRPr="00A24E99">
        <w:rPr>
          <w:rFonts w:ascii="Arial" w:eastAsia="Arial" w:hAnsi="Arial" w:cs="Arial"/>
          <w:noProof/>
          <w:color w:val="000000" w:themeColor="text1"/>
          <w:sz w:val="20"/>
          <w:szCs w:val="20"/>
        </w:rPr>
        <mc:AlternateContent>
          <mc:Choice Requires="wps">
            <w:drawing>
              <wp:anchor distT="45720" distB="45720" distL="114300" distR="114300" simplePos="0" relativeHeight="251660800" behindDoc="0" locked="0" layoutInCell="1" allowOverlap="1" wp14:anchorId="2BECA749" wp14:editId="6B1FE32B">
                <wp:simplePos x="0" y="0"/>
                <wp:positionH relativeFrom="column">
                  <wp:posOffset>3329940</wp:posOffset>
                </wp:positionH>
                <wp:positionV relativeFrom="paragraph">
                  <wp:posOffset>75565</wp:posOffset>
                </wp:positionV>
                <wp:extent cx="3467100" cy="281940"/>
                <wp:effectExtent l="0" t="0" r="1905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281940"/>
                        </a:xfrm>
                        <a:prstGeom prst="rect">
                          <a:avLst/>
                        </a:prstGeom>
                        <a:solidFill>
                          <a:srgbClr val="FFFFFF"/>
                        </a:solidFill>
                        <a:ln w="9525">
                          <a:solidFill>
                            <a:srgbClr val="000000"/>
                          </a:solidFill>
                          <a:miter lim="800000"/>
                          <a:headEnd/>
                          <a:tailEnd/>
                        </a:ln>
                      </wps:spPr>
                      <wps:txbx>
                        <w:txbxContent>
                          <w:p w14:paraId="12BCA617" w14:textId="4C73977F" w:rsidR="00A24E99" w:rsidRPr="00A24E99" w:rsidRDefault="00A24E99">
                            <w:pPr>
                              <w:rPr>
                                <w:sz w:val="16"/>
                                <w:szCs w:val="16"/>
                              </w:rPr>
                            </w:pPr>
                            <w:r w:rsidRPr="00A24E99">
                              <w:rPr>
                                <w:sz w:val="16"/>
                                <w:szCs w:val="16"/>
                              </w:rPr>
                              <w:t xml:space="preserve">Number of fatalities        </w:t>
                            </w:r>
                            <w:r>
                              <w:rPr>
                                <w:sz w:val="16"/>
                                <w:szCs w:val="16"/>
                              </w:rPr>
                              <w:t xml:space="preserve">                 </w:t>
                            </w:r>
                            <w:r w:rsidRPr="00A24E99">
                              <w:rPr>
                                <w:sz w:val="16"/>
                                <w:szCs w:val="16"/>
                              </w:rPr>
                              <w:t xml:space="preserve"> Fatality Rate (per 100,000 full-time workers)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ECA749" id="_x0000_t202" coordsize="21600,21600" o:spt="202" path="m,l,21600r21600,l21600,xe">
                <v:stroke joinstyle="miter"/>
                <v:path gradientshapeok="t" o:connecttype="rect"/>
              </v:shapetype>
              <v:shape id="Text Box 2" o:spid="_x0000_s1026" type="#_x0000_t202" style="position:absolute;left:0;text-align:left;margin-left:262.2pt;margin-top:5.95pt;width:273pt;height:22.2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">
                <v:textbox>
                  <w:txbxContent>
                    <w:p w14:paraId="12BCA617" w14:textId="4C73977F" w:rsidR="00A24E99" w:rsidRPr="00A24E99" w:rsidRDefault="00A24E99">
                      <w:pPr>
                        <w:rPr>
                          <w:sz w:val="16"/>
                          <w:szCs w:val="16"/>
                        </w:rPr>
                      </w:pPr>
                      <w:r w:rsidRPr="00A24E99">
                        <w:rPr>
                          <w:sz w:val="16"/>
                          <w:szCs w:val="16"/>
                        </w:rPr>
                        <w:t xml:space="preserve">Number of fatalities        </w:t>
                      </w:r>
                      <w:r>
                        <w:rPr>
                          <w:sz w:val="16"/>
                          <w:szCs w:val="16"/>
                        </w:rPr>
                        <w:t xml:space="preserve">                 </w:t>
                      </w:r>
                      <w:r w:rsidRPr="00A24E99">
                        <w:rPr>
                          <w:sz w:val="16"/>
                          <w:szCs w:val="16"/>
                        </w:rPr>
                        <w:t xml:space="preserve"> Fatality Rate (per 100,000 full-time workers)</w:t>
                      </w:r>
                    </w:p>
                  </w:txbxContent>
                </v:textbox>
                <w10:wrap type="square"/>
              </v:shape>
            </w:pict>
          </mc:Fallback>
        </mc:AlternateContent>
      </w:r>
    </w:p>
    <w:p w14:paraId="695A7D98" w14:textId="77777777" w:rsidR="00A24E99" w:rsidRDefault="00A24E99" w:rsidP="00132205">
      <w:pPr>
        <w:spacing w:before="40" w:after="0" w:line="240" w:lineRule="auto"/>
        <w:ind w:left="155" w:right="-36" w:hanging="90"/>
        <w:jc w:val="both"/>
        <w:rPr>
          <w:rFonts w:ascii="Arial" w:eastAsia="Arial" w:hAnsi="Arial" w:cs="Arial"/>
          <w:color w:val="3E3A37"/>
          <w:sz w:val="18"/>
          <w:szCs w:val="18"/>
        </w:rPr>
      </w:pPr>
    </w:p>
    <w:p w14:paraId="0ECD9E7D" w14:textId="77777777" w:rsidR="00A24E99" w:rsidRDefault="00A24E99" w:rsidP="00132205">
      <w:pPr>
        <w:spacing w:before="40" w:after="0" w:line="240" w:lineRule="auto"/>
        <w:ind w:left="155" w:right="-36" w:hanging="90"/>
        <w:jc w:val="both"/>
        <w:rPr>
          <w:rFonts w:ascii="Arial" w:eastAsia="Arial" w:hAnsi="Arial" w:cs="Arial"/>
          <w:color w:val="3E3A37"/>
          <w:sz w:val="18"/>
          <w:szCs w:val="18"/>
        </w:rPr>
      </w:pPr>
    </w:p>
    <w:p w14:paraId="2576EEBE" w14:textId="4F91288E" w:rsidR="5B4397C7" w:rsidRPr="00132205" w:rsidRDefault="37F9FAA2" w:rsidP="00132205">
      <w:pPr>
        <w:spacing w:before="40" w:after="0" w:line="240" w:lineRule="auto"/>
        <w:ind w:left="155" w:right="-36" w:hanging="90"/>
        <w:jc w:val="both"/>
        <w:rPr>
          <w:rFonts w:ascii="Arial" w:eastAsia="Arial" w:hAnsi="Arial" w:cs="Arial"/>
          <w:color w:val="3E3A37"/>
          <w:sz w:val="18"/>
          <w:szCs w:val="18"/>
        </w:rPr>
      </w:pPr>
      <w:r w:rsidRPr="00132205">
        <w:rPr>
          <w:rFonts w:ascii="Arial" w:eastAsia="Arial" w:hAnsi="Arial" w:cs="Arial"/>
          <w:color w:val="3E3A37"/>
          <w:sz w:val="18"/>
          <w:szCs w:val="18"/>
        </w:rPr>
        <w:t xml:space="preserve">Note: Data not presented for industry divisions with fewer than three fatalities (N = </w:t>
      </w:r>
      <w:r w:rsidR="004B4A78">
        <w:rPr>
          <w:rFonts w:ascii="Arial" w:eastAsia="Arial" w:hAnsi="Arial" w:cs="Arial"/>
          <w:color w:val="3E3A37"/>
          <w:sz w:val="18"/>
          <w:szCs w:val="18"/>
        </w:rPr>
        <w:t>1</w:t>
      </w:r>
      <w:r w:rsidRPr="00132205">
        <w:rPr>
          <w:rFonts w:ascii="Arial" w:eastAsia="Arial" w:hAnsi="Arial" w:cs="Arial"/>
          <w:color w:val="3E3A37"/>
          <w:sz w:val="18"/>
          <w:szCs w:val="18"/>
        </w:rPr>
        <w:t xml:space="preserve"> deaths).</w:t>
      </w:r>
    </w:p>
    <w:p w14:paraId="3129B77C" w14:textId="76C2D1DD" w:rsidR="5B4397C7" w:rsidRPr="00132205" w:rsidRDefault="37F9FAA2" w:rsidP="00132205">
      <w:pPr>
        <w:spacing w:after="0" w:line="240" w:lineRule="auto"/>
        <w:ind w:left="155" w:right="-36" w:hanging="90"/>
        <w:jc w:val="both"/>
        <w:rPr>
          <w:rFonts w:ascii="Arial" w:eastAsia="Arial" w:hAnsi="Arial" w:cs="Arial"/>
          <w:color w:val="3E3A37"/>
          <w:sz w:val="18"/>
          <w:szCs w:val="18"/>
        </w:rPr>
      </w:pPr>
      <w:r w:rsidRPr="00132205">
        <w:rPr>
          <w:rFonts w:ascii="Arial" w:eastAsia="Arial" w:hAnsi="Arial" w:cs="Arial"/>
          <w:color w:val="3E3A37"/>
          <w:sz w:val="18"/>
          <w:szCs w:val="18"/>
        </w:rPr>
        <w:t xml:space="preserve">*The Government category includes fatalities sustained by public sector workers regardless of industry.  </w:t>
      </w:r>
    </w:p>
    <w:p w14:paraId="236A24BE" w14:textId="60112C9B" w:rsidR="5B4397C7" w:rsidRPr="00132205" w:rsidRDefault="37F9FAA2" w:rsidP="00132205">
      <w:pPr>
        <w:spacing w:after="0" w:line="240" w:lineRule="auto"/>
        <w:ind w:left="155" w:right="-36" w:hanging="90"/>
        <w:jc w:val="both"/>
        <w:rPr>
          <w:rFonts w:ascii="Arial" w:eastAsia="Arial" w:hAnsi="Arial" w:cs="Arial"/>
          <w:color w:val="3E3A37"/>
          <w:sz w:val="18"/>
          <w:szCs w:val="18"/>
        </w:rPr>
      </w:pPr>
      <w:r w:rsidRPr="00132205">
        <w:rPr>
          <w:rFonts w:ascii="Arial" w:eastAsia="Arial" w:hAnsi="Arial" w:cs="Arial"/>
          <w:color w:val="3E3A37"/>
          <w:sz w:val="18"/>
          <w:szCs w:val="18"/>
        </w:rPr>
        <w:t>Source: Occupational Health Surveillance Program, Massachusetts FACE and CFOI, 2018</w:t>
      </w:r>
      <w:r w:rsidR="004B4A78">
        <w:rPr>
          <w:rFonts w:ascii="Arial" w:eastAsia="Arial" w:hAnsi="Arial" w:cs="Arial"/>
          <w:color w:val="3E3A37"/>
          <w:sz w:val="18"/>
          <w:szCs w:val="18"/>
        </w:rPr>
        <w:t>-2019</w:t>
      </w:r>
      <w:r w:rsidRPr="00132205">
        <w:rPr>
          <w:rFonts w:ascii="Arial" w:eastAsia="Arial" w:hAnsi="Arial" w:cs="Arial"/>
          <w:color w:val="3E3A37"/>
          <w:sz w:val="18"/>
          <w:szCs w:val="18"/>
        </w:rPr>
        <w:t>.</w:t>
      </w:r>
    </w:p>
    <w:p w14:paraId="28F199EE" w14:textId="7E34DDCC" w:rsidR="5B4397C7" w:rsidRPr="00AB18D1" w:rsidRDefault="5B4397C7" w:rsidP="00A24E99">
      <w:pPr>
        <w:pStyle w:val="ListParagraph"/>
        <w:spacing w:before="40" w:after="120" w:line="240" w:lineRule="auto"/>
        <w:ind w:right="-36"/>
        <w:jc w:val="both"/>
        <w:rPr>
          <w:rFonts w:ascii="Arial" w:eastAsia="Arial" w:hAnsi="Arial" w:cs="Arial"/>
          <w:color w:val="000000" w:themeColor="text1"/>
          <w:sz w:val="20"/>
          <w:szCs w:val="20"/>
        </w:rPr>
      </w:pPr>
    </w:p>
    <w:p w14:paraId="3224F286" w14:textId="122C0FF9" w:rsidR="00A24E99" w:rsidRPr="00A24E99" w:rsidRDefault="00A24E99" w:rsidP="00A24E99">
      <w:pPr>
        <w:pStyle w:val="ListParagraph"/>
        <w:numPr>
          <w:ilvl w:val="0"/>
          <w:numId w:val="4"/>
        </w:numPr>
        <w:spacing w:before="40" w:after="120" w:line="240" w:lineRule="auto"/>
        <w:ind w:right="-36"/>
        <w:jc w:val="both"/>
        <w:rPr>
          <w:rFonts w:ascii="Arial" w:eastAsia="Times New Roman" w:hAnsi="Arial" w:cs="Arial"/>
          <w:kern w:val="28"/>
          <w:sz w:val="20"/>
          <w:szCs w:val="20"/>
          <w14:cntxtAlts/>
        </w:rPr>
      </w:pPr>
      <w:r w:rsidRPr="00A24E99">
        <w:rPr>
          <w:rFonts w:ascii="Arial" w:eastAsia="Times New Roman" w:hAnsi="Arial" w:cs="Arial"/>
          <w:kern w:val="28"/>
          <w:sz w:val="20"/>
          <w:szCs w:val="20"/>
          <w14:cntxtAlts/>
        </w:rPr>
        <w:t>The Agriculture, Forestry, Fishing and Hunting industry group had the highest occupational fatality rate in 2018- 2019 (n=14; 49.7 per 100,000 full-time workers). Eleven of these 14 were workers on commercial fishing vessels. OHSP works closely with NIOSH, the Northeast Center for Occupational Health and Safety in Agriculture, Forestry, and Fishing, and local fishing industry support organizations to ensure these deaths inform policy and prevention</w:t>
      </w:r>
      <w:r w:rsidR="00A553E6">
        <w:rPr>
          <w:rStyle w:val="FootnoteReference"/>
          <w:rFonts w:ascii="Arial" w:eastAsia="Times New Roman" w:hAnsi="Arial" w:cs="Arial"/>
          <w:kern w:val="28"/>
          <w:sz w:val="20"/>
          <w:szCs w:val="20"/>
          <w14:cntxtAlts/>
        </w:rPr>
        <w:footnoteReference w:id="7"/>
      </w:r>
      <w:r w:rsidRPr="00A24E99">
        <w:rPr>
          <w:rFonts w:ascii="Arial" w:eastAsia="Times New Roman" w:hAnsi="Arial" w:cs="Arial"/>
          <w:kern w:val="28"/>
          <w:sz w:val="20"/>
          <w:szCs w:val="20"/>
          <w14:cntxtAlts/>
        </w:rPr>
        <w:t>.</w:t>
      </w:r>
    </w:p>
    <w:p w14:paraId="4E78D200" w14:textId="77777777" w:rsidR="00A24E99" w:rsidRPr="00A24E99" w:rsidRDefault="00A24E99" w:rsidP="00A24E99">
      <w:pPr>
        <w:pStyle w:val="ListParagraph"/>
        <w:numPr>
          <w:ilvl w:val="0"/>
          <w:numId w:val="4"/>
        </w:numPr>
        <w:spacing w:before="40" w:after="120" w:line="240" w:lineRule="auto"/>
        <w:ind w:right="-36"/>
        <w:jc w:val="both"/>
        <w:rPr>
          <w:rFonts w:ascii="Arial" w:eastAsia="Times New Roman" w:hAnsi="Arial" w:cs="Arial"/>
          <w:kern w:val="28"/>
          <w:sz w:val="20"/>
          <w:szCs w:val="20"/>
          <w14:cntxtAlts/>
        </w:rPr>
      </w:pPr>
      <w:r w:rsidRPr="00A24E99">
        <w:rPr>
          <w:rFonts w:ascii="Arial" w:eastAsia="Times New Roman" w:hAnsi="Arial" w:cs="Arial"/>
          <w:kern w:val="28"/>
          <w:sz w:val="20"/>
          <w:szCs w:val="20"/>
          <w14:cntxtAlts/>
        </w:rPr>
        <w:t>Construction continued to be a high-risk industry, with the second highest fatality rate (11.0 per 100,000workers) and the highest number of deaths (n=54). Twenty died from a fall to a lower level and nine died from workplace overdose.</w:t>
      </w:r>
    </w:p>
    <w:p w14:paraId="0C1D233E" w14:textId="77777777" w:rsidR="00A24E99" w:rsidRPr="00A24E99" w:rsidRDefault="00A24E99" w:rsidP="00A24E99">
      <w:pPr>
        <w:pStyle w:val="ListParagraph"/>
        <w:numPr>
          <w:ilvl w:val="0"/>
          <w:numId w:val="4"/>
        </w:numPr>
        <w:spacing w:before="40" w:after="120" w:line="240" w:lineRule="auto"/>
        <w:ind w:right="-36"/>
        <w:jc w:val="both"/>
        <w:rPr>
          <w:rFonts w:ascii="Arial" w:eastAsia="Times New Roman" w:hAnsi="Arial" w:cs="Arial"/>
          <w:kern w:val="28"/>
          <w:sz w:val="20"/>
          <w:szCs w:val="20"/>
          <w14:cntxtAlts/>
        </w:rPr>
      </w:pPr>
      <w:r w:rsidRPr="00A24E99">
        <w:rPr>
          <w:rFonts w:ascii="Arial" w:eastAsia="Times New Roman" w:hAnsi="Arial" w:cs="Arial"/>
          <w:kern w:val="28"/>
          <w:sz w:val="20"/>
          <w:szCs w:val="20"/>
          <w14:cntxtAlts/>
        </w:rPr>
        <w:t xml:space="preserve">The Transportation and Warehousing and Utilities industry group had 20 deaths and the third-highest workplace fatality rate of 8.5 deaths per 100,000 full-time workers. Seventeen of these workers were drivers and drove heavy trucks, light delivery vehicles, or taxis. Of the 20, 18 were killed in or near their work vehicles and 14 were killed while operating their vehicles. The </w:t>
      </w:r>
      <w:r w:rsidRPr="00A24E99">
        <w:rPr>
          <w:rFonts w:ascii="Arial" w:eastAsia="Times New Roman" w:hAnsi="Arial" w:cs="Arial"/>
          <w:kern w:val="28"/>
          <w:sz w:val="20"/>
          <w:szCs w:val="20"/>
          <w14:cntxtAlts/>
        </w:rPr>
        <w:lastRenderedPageBreak/>
        <w:t>Transportation and Warehousing industry sector, a component of this group, had a fatality rate of 9.8 deaths per 100,000 workers.</w:t>
      </w:r>
    </w:p>
    <w:p w14:paraId="54DDC1D0" w14:textId="77777777" w:rsidR="00A24E99" w:rsidRPr="00A24E99" w:rsidRDefault="00A24E99" w:rsidP="00A24E99">
      <w:pPr>
        <w:pStyle w:val="ListParagraph"/>
        <w:numPr>
          <w:ilvl w:val="0"/>
          <w:numId w:val="4"/>
        </w:numPr>
        <w:spacing w:before="40" w:after="120" w:line="240" w:lineRule="auto"/>
        <w:ind w:right="-36"/>
        <w:jc w:val="both"/>
        <w:rPr>
          <w:rFonts w:ascii="Arial" w:eastAsia="Times New Roman" w:hAnsi="Arial" w:cs="Arial"/>
          <w:kern w:val="28"/>
          <w:sz w:val="20"/>
          <w:szCs w:val="20"/>
          <w14:cntxtAlts/>
        </w:rPr>
      </w:pPr>
      <w:r w:rsidRPr="00A24E99">
        <w:rPr>
          <w:rFonts w:ascii="Arial" w:eastAsia="Times New Roman" w:hAnsi="Arial" w:cs="Arial"/>
          <w:kern w:val="28"/>
          <w:sz w:val="20"/>
          <w:szCs w:val="20"/>
          <w14:cntxtAlts/>
        </w:rPr>
        <w:t xml:space="preserve">The Manufacturing industry group had 18 deaths, a fatality rate of 2.8, </w:t>
      </w:r>
      <w:proofErr w:type="gramStart"/>
      <w:r w:rsidRPr="00A24E99">
        <w:rPr>
          <w:rFonts w:ascii="Arial" w:eastAsia="Times New Roman" w:hAnsi="Arial" w:cs="Arial"/>
          <w:kern w:val="28"/>
          <w:sz w:val="20"/>
          <w:szCs w:val="20"/>
          <w14:cntxtAlts/>
        </w:rPr>
        <w:t>and also</w:t>
      </w:r>
      <w:proofErr w:type="gramEnd"/>
      <w:r w:rsidRPr="00A24E99">
        <w:rPr>
          <w:rFonts w:ascii="Arial" w:eastAsia="Times New Roman" w:hAnsi="Arial" w:cs="Arial"/>
          <w:kern w:val="28"/>
          <w:sz w:val="20"/>
          <w:szCs w:val="20"/>
          <w14:cntxtAlts/>
        </w:rPr>
        <w:t xml:space="preserve"> has a workplace fatality rate above the statewide average of 2.6. Five of these workers were injured from contact with objects or equipment.</w:t>
      </w:r>
    </w:p>
    <w:p w14:paraId="01164894" w14:textId="65D396CC" w:rsidR="00D92FEF" w:rsidRDefault="00A24E99" w:rsidP="00D05FC3">
      <w:pPr>
        <w:pStyle w:val="ListParagraph"/>
        <w:numPr>
          <w:ilvl w:val="0"/>
          <w:numId w:val="4"/>
        </w:numPr>
        <w:spacing w:before="40" w:after="120" w:line="240" w:lineRule="auto"/>
        <w:ind w:right="-36"/>
        <w:jc w:val="both"/>
        <w:rPr>
          <w:rFonts w:ascii="Arial" w:eastAsia="Times New Roman" w:hAnsi="Arial" w:cs="Arial"/>
          <w:kern w:val="28"/>
          <w:sz w:val="20"/>
          <w:szCs w:val="20"/>
          <w14:cntxtAlts/>
        </w:rPr>
      </w:pPr>
      <w:r w:rsidRPr="00A24E99">
        <w:rPr>
          <w:rFonts w:ascii="Arial" w:eastAsia="Times New Roman" w:hAnsi="Arial" w:cs="Arial"/>
          <w:kern w:val="28"/>
          <w:sz w:val="20"/>
          <w:szCs w:val="20"/>
          <w14:cntxtAlts/>
        </w:rPr>
        <w:t>While the Professional, Scientific, and Management and Administrative and Waste Management Services group had an overall rate below the statewide average, within this group there were 14 deaths in the Landscaping Services industry, which had a fatality rate of 28.6 deaths per 100,000 workers. Twelve of these workers were tree trimmers or arborists or were otherwise performing tree work.</w:t>
      </w:r>
    </w:p>
    <w:p w14:paraId="014D0274" w14:textId="4B2EE5EA" w:rsidR="00D05FC3" w:rsidRPr="00D05FC3" w:rsidRDefault="00D05FC3" w:rsidP="00D05FC3">
      <w:pPr>
        <w:spacing w:before="40" w:after="120" w:line="240" w:lineRule="auto"/>
        <w:ind w:right="-36"/>
        <w:jc w:val="both"/>
        <w:rPr>
          <w:rFonts w:ascii="Arial" w:eastAsia="Times New Roman" w:hAnsi="Arial" w:cs="Arial"/>
          <w:kern w:val="28"/>
          <w:sz w:val="20"/>
          <w:szCs w:val="20"/>
          <w14:cntxtAlts/>
        </w:rPr>
      </w:pPr>
    </w:p>
    <w:p w14:paraId="1163F91C" w14:textId="77777777" w:rsidR="000A1328" w:rsidRDefault="000A1328" w:rsidP="00630C53">
      <w:pPr>
        <w:spacing w:after="0" w:line="240" w:lineRule="auto"/>
        <w:rPr>
          <w:rFonts w:ascii="Arial" w:eastAsia="Arial" w:hAnsi="Arial" w:cs="Arial"/>
          <w:b/>
          <w:bCs/>
          <w:color w:val="000000" w:themeColor="text1"/>
          <w:sz w:val="20"/>
          <w:szCs w:val="20"/>
        </w:rPr>
      </w:pPr>
      <w:r w:rsidRPr="000A1328">
        <w:rPr>
          <w:rFonts w:ascii="Arial" w:eastAsia="Arial" w:hAnsi="Arial" w:cs="Arial"/>
          <w:b/>
          <w:bCs/>
          <w:color w:val="000000" w:themeColor="text1"/>
          <w:sz w:val="20"/>
          <w:szCs w:val="20"/>
        </w:rPr>
        <w:t>Case Reports from the Fatality Assessment and Control Evaluation (FACE) Project</w:t>
      </w:r>
    </w:p>
    <w:p w14:paraId="748DD93C" w14:textId="77777777" w:rsidR="000A1328" w:rsidRPr="000A1328" w:rsidRDefault="000A1328" w:rsidP="000A1328">
      <w:pPr>
        <w:spacing w:after="0" w:line="240" w:lineRule="auto"/>
        <w:rPr>
          <w:rFonts w:ascii="Arial" w:eastAsia="Times New Roman" w:hAnsi="Arial" w:cs="Arial"/>
          <w:b/>
          <w:bCs/>
          <w:sz w:val="20"/>
          <w:szCs w:val="20"/>
        </w:rPr>
      </w:pPr>
      <w:r w:rsidRPr="000A1328">
        <w:rPr>
          <w:rFonts w:ascii="Arial" w:eastAsia="Times New Roman" w:hAnsi="Arial" w:cs="Arial"/>
          <w:b/>
          <w:bCs/>
          <w:sz w:val="20"/>
          <w:szCs w:val="20"/>
        </w:rPr>
        <w:t xml:space="preserve">Landscape construction laborer compressed between compact excavator and steel beam at residential site - Massachusetts 2018MA001 </w:t>
      </w:r>
    </w:p>
    <w:p w14:paraId="00D3BC73" w14:textId="77777777" w:rsidR="000A1328" w:rsidRPr="000A1328" w:rsidRDefault="000A1328" w:rsidP="000A1328">
      <w:pPr>
        <w:spacing w:after="0" w:line="240" w:lineRule="auto"/>
        <w:rPr>
          <w:rFonts w:ascii="Arial" w:eastAsia="Times New Roman" w:hAnsi="Arial" w:cs="Arial"/>
          <w:sz w:val="20"/>
          <w:szCs w:val="20"/>
        </w:rPr>
      </w:pPr>
      <w:r w:rsidRPr="000A1328">
        <w:rPr>
          <w:rFonts w:ascii="Arial" w:eastAsia="Times New Roman" w:hAnsi="Arial" w:cs="Arial"/>
          <w:sz w:val="20"/>
          <w:szCs w:val="20"/>
        </w:rPr>
        <w:t>On January 18, 2018, a 27-year-old laborer was killed while operating a compact excavator. He was using the equipment to excavate the existing crawlspace underneath a home to make space for a poured concrete foundation and a full basement. While operating the compact excavator alone, he became pinned between the excavator and an overhead beam. The victim was eventually discovered by the company owner. The company owner flagged down a passing motorist and a call was placed for emergency medical services (EMS). The victim was pronounced at the scene.</w:t>
      </w:r>
    </w:p>
    <w:p w14:paraId="55F13FBF" w14:textId="77777777" w:rsidR="000A1328" w:rsidRPr="000A1328" w:rsidRDefault="000A1328" w:rsidP="000A1328">
      <w:pPr>
        <w:spacing w:after="0" w:line="240" w:lineRule="auto"/>
        <w:rPr>
          <w:rFonts w:ascii="Arial" w:eastAsia="Times New Roman" w:hAnsi="Arial" w:cs="Arial"/>
          <w:b/>
          <w:bCs/>
          <w:sz w:val="20"/>
          <w:szCs w:val="20"/>
        </w:rPr>
      </w:pPr>
      <w:r w:rsidRPr="000A1328">
        <w:rPr>
          <w:rFonts w:ascii="Arial" w:eastAsia="Times New Roman" w:hAnsi="Arial" w:cs="Arial"/>
          <w:b/>
          <w:bCs/>
          <w:sz w:val="20"/>
          <w:szCs w:val="20"/>
        </w:rPr>
        <w:t>Massachusetts FACE Program concluded that, to help prevent similar occurrences, employers should:</w:t>
      </w:r>
    </w:p>
    <w:p w14:paraId="23277687" w14:textId="77777777" w:rsidR="000A1328" w:rsidRPr="000A1328" w:rsidRDefault="000A1328" w:rsidP="000A1328">
      <w:pPr>
        <w:pStyle w:val="ListParagraph"/>
        <w:numPr>
          <w:ilvl w:val="0"/>
          <w:numId w:val="24"/>
        </w:numPr>
        <w:spacing w:after="0" w:line="240" w:lineRule="auto"/>
        <w:rPr>
          <w:rFonts w:ascii="Arial" w:eastAsia="Times New Roman" w:hAnsi="Arial" w:cs="Arial"/>
          <w:sz w:val="20"/>
          <w:szCs w:val="20"/>
        </w:rPr>
      </w:pPr>
      <w:r w:rsidRPr="000A1328">
        <w:rPr>
          <w:rFonts w:ascii="Arial" w:eastAsia="Times New Roman" w:hAnsi="Arial" w:cs="Arial"/>
          <w:sz w:val="20"/>
          <w:szCs w:val="20"/>
        </w:rPr>
        <w:t>Ensure that only workers with required training and license are permitted to operate compact excavators and other regulated equipment.</w:t>
      </w:r>
    </w:p>
    <w:p w14:paraId="3BFAECD0" w14:textId="77777777" w:rsidR="000A1328" w:rsidRPr="000A1328" w:rsidRDefault="000A1328" w:rsidP="000A1328">
      <w:pPr>
        <w:pStyle w:val="ListParagraph"/>
        <w:numPr>
          <w:ilvl w:val="0"/>
          <w:numId w:val="24"/>
        </w:numPr>
        <w:spacing w:after="0" w:line="240" w:lineRule="auto"/>
        <w:rPr>
          <w:rFonts w:ascii="Arial" w:eastAsia="Times New Roman" w:hAnsi="Arial" w:cs="Arial"/>
          <w:sz w:val="20"/>
          <w:szCs w:val="20"/>
        </w:rPr>
      </w:pPr>
      <w:r w:rsidRPr="000A1328">
        <w:rPr>
          <w:rFonts w:ascii="Arial" w:eastAsia="Times New Roman" w:hAnsi="Arial" w:cs="Arial"/>
          <w:sz w:val="20"/>
          <w:szCs w:val="20"/>
        </w:rPr>
        <w:t>Ensure that ride-on equipment without a protective cab are not operated in the vicinity of overhead obstructions.</w:t>
      </w:r>
    </w:p>
    <w:p w14:paraId="245BC440" w14:textId="77777777" w:rsidR="000A1328" w:rsidRPr="000A1328" w:rsidRDefault="000A1328" w:rsidP="000A1328">
      <w:pPr>
        <w:pStyle w:val="ListParagraph"/>
        <w:numPr>
          <w:ilvl w:val="0"/>
          <w:numId w:val="24"/>
        </w:numPr>
        <w:spacing w:after="0" w:line="240" w:lineRule="auto"/>
        <w:rPr>
          <w:rFonts w:ascii="Arial" w:eastAsia="Times New Roman" w:hAnsi="Arial" w:cs="Arial"/>
          <w:sz w:val="20"/>
          <w:szCs w:val="20"/>
        </w:rPr>
      </w:pPr>
      <w:r w:rsidRPr="000A1328">
        <w:rPr>
          <w:rFonts w:ascii="Arial" w:eastAsia="Times New Roman" w:hAnsi="Arial" w:cs="Arial"/>
          <w:sz w:val="20"/>
          <w:szCs w:val="20"/>
        </w:rPr>
        <w:t>Develop, implement, and enforce a policy that prevents employees from working alone in certain situations.</w:t>
      </w:r>
    </w:p>
    <w:p w14:paraId="6F84992C" w14:textId="77777777" w:rsidR="000A1328" w:rsidRPr="000A1328" w:rsidRDefault="000A1328" w:rsidP="000A1328">
      <w:pPr>
        <w:pStyle w:val="ListParagraph"/>
        <w:numPr>
          <w:ilvl w:val="0"/>
          <w:numId w:val="24"/>
        </w:numPr>
        <w:spacing w:after="0" w:line="240" w:lineRule="auto"/>
        <w:rPr>
          <w:rFonts w:ascii="Arial" w:eastAsia="Times New Roman" w:hAnsi="Arial" w:cs="Arial"/>
          <w:sz w:val="20"/>
          <w:szCs w:val="20"/>
        </w:rPr>
      </w:pPr>
      <w:r w:rsidRPr="000A1328">
        <w:rPr>
          <w:rFonts w:ascii="Arial" w:eastAsia="Times New Roman" w:hAnsi="Arial" w:cs="Arial"/>
          <w:sz w:val="20"/>
          <w:szCs w:val="20"/>
        </w:rPr>
        <w:t>Ensure that a job hazard analysis is performed prior to the start of each project and is updated if there is a major change in the scope of the project.</w:t>
      </w:r>
    </w:p>
    <w:p w14:paraId="4CF52997" w14:textId="77777777" w:rsidR="000A1328" w:rsidRPr="000A1328" w:rsidRDefault="000A1328" w:rsidP="000A1328">
      <w:pPr>
        <w:pStyle w:val="ListParagraph"/>
        <w:numPr>
          <w:ilvl w:val="0"/>
          <w:numId w:val="24"/>
        </w:numPr>
        <w:spacing w:after="0" w:line="240" w:lineRule="auto"/>
        <w:rPr>
          <w:rFonts w:ascii="Arial" w:eastAsia="Times New Roman" w:hAnsi="Arial" w:cs="Arial"/>
          <w:sz w:val="20"/>
          <w:szCs w:val="20"/>
        </w:rPr>
      </w:pPr>
      <w:r w:rsidRPr="000A1328">
        <w:rPr>
          <w:rFonts w:ascii="Arial" w:eastAsia="Times New Roman" w:hAnsi="Arial" w:cs="Arial"/>
          <w:sz w:val="20"/>
          <w:szCs w:val="20"/>
        </w:rPr>
        <w:t>Develop and implement a comprehensive safety and health program that addresses hazard recognition, avoidance of unsafe conditions, and proper use of equipment.</w:t>
      </w:r>
    </w:p>
    <w:p w14:paraId="74496264" w14:textId="77777777" w:rsidR="000A1328" w:rsidRPr="000A1328" w:rsidRDefault="000A1328" w:rsidP="000A1328">
      <w:pPr>
        <w:spacing w:after="0" w:line="240" w:lineRule="auto"/>
        <w:rPr>
          <w:rFonts w:ascii="Arial" w:eastAsia="Times New Roman" w:hAnsi="Arial" w:cs="Arial"/>
          <w:b/>
          <w:bCs/>
          <w:sz w:val="20"/>
          <w:szCs w:val="20"/>
        </w:rPr>
      </w:pPr>
      <w:r w:rsidRPr="000A1328">
        <w:rPr>
          <w:rFonts w:ascii="Arial" w:eastAsia="Times New Roman" w:hAnsi="Arial" w:cs="Arial"/>
          <w:b/>
          <w:bCs/>
          <w:sz w:val="20"/>
          <w:szCs w:val="20"/>
        </w:rPr>
        <w:t>In addition, equipment manufacturers should:</w:t>
      </w:r>
    </w:p>
    <w:p w14:paraId="3E507CAE" w14:textId="77777777" w:rsidR="000A1328" w:rsidRPr="000A1328" w:rsidRDefault="000A1328" w:rsidP="000A1328">
      <w:pPr>
        <w:pStyle w:val="ListParagraph"/>
        <w:numPr>
          <w:ilvl w:val="0"/>
          <w:numId w:val="25"/>
        </w:numPr>
        <w:spacing w:after="0" w:line="240" w:lineRule="auto"/>
        <w:rPr>
          <w:rFonts w:ascii="Arial" w:eastAsia="Times New Roman" w:hAnsi="Arial" w:cs="Arial"/>
          <w:sz w:val="20"/>
          <w:szCs w:val="20"/>
        </w:rPr>
      </w:pPr>
      <w:r w:rsidRPr="000A1328">
        <w:rPr>
          <w:rFonts w:ascii="Arial" w:eastAsia="Times New Roman" w:hAnsi="Arial" w:cs="Arial"/>
          <w:sz w:val="20"/>
          <w:szCs w:val="20"/>
        </w:rPr>
        <w:t>Adopt and implement the concept of Prevention through Design (</w:t>
      </w:r>
      <w:proofErr w:type="spellStart"/>
      <w:r w:rsidRPr="000A1328">
        <w:rPr>
          <w:rFonts w:ascii="Arial" w:eastAsia="Times New Roman" w:hAnsi="Arial" w:cs="Arial"/>
          <w:sz w:val="20"/>
          <w:szCs w:val="20"/>
        </w:rPr>
        <w:t>PtD</w:t>
      </w:r>
      <w:proofErr w:type="spellEnd"/>
      <w:r w:rsidRPr="000A1328">
        <w:rPr>
          <w:rFonts w:ascii="Arial" w:eastAsia="Times New Roman" w:hAnsi="Arial" w:cs="Arial"/>
          <w:sz w:val="20"/>
          <w:szCs w:val="20"/>
        </w:rPr>
        <w:t>) to identify potential hazards associated with equipment and eliminate these hazards through design changes.</w:t>
      </w:r>
    </w:p>
    <w:p w14:paraId="30CBFDD9" w14:textId="77777777" w:rsidR="000A1328" w:rsidRPr="000A1328" w:rsidRDefault="000A1328" w:rsidP="000A1328">
      <w:pPr>
        <w:pStyle w:val="ListParagraph"/>
        <w:numPr>
          <w:ilvl w:val="0"/>
          <w:numId w:val="25"/>
        </w:numPr>
        <w:spacing w:after="0" w:line="240" w:lineRule="auto"/>
        <w:rPr>
          <w:rFonts w:ascii="Arial" w:eastAsia="Times New Roman" w:hAnsi="Arial" w:cs="Arial"/>
          <w:sz w:val="20"/>
          <w:szCs w:val="20"/>
        </w:rPr>
      </w:pPr>
      <w:r w:rsidRPr="000A1328">
        <w:rPr>
          <w:rFonts w:ascii="Arial" w:eastAsia="Times New Roman" w:hAnsi="Arial" w:cs="Arial"/>
          <w:sz w:val="20"/>
          <w:szCs w:val="20"/>
        </w:rPr>
        <w:t>Develop a pictograph of the overhead crushing hazard and set a minimum height clearance for operating the excavator.</w:t>
      </w:r>
    </w:p>
    <w:p w14:paraId="1CD6311F" w14:textId="77777777" w:rsidR="000A1328" w:rsidRPr="000A1328" w:rsidRDefault="000A1328" w:rsidP="000A1328">
      <w:pPr>
        <w:spacing w:after="0" w:line="240" w:lineRule="auto"/>
        <w:rPr>
          <w:rFonts w:ascii="Arial" w:eastAsia="Times New Roman" w:hAnsi="Arial" w:cs="Arial"/>
          <w:sz w:val="20"/>
          <w:szCs w:val="20"/>
        </w:rPr>
      </w:pPr>
      <w:r w:rsidRPr="000A1328">
        <w:rPr>
          <w:rFonts w:ascii="Arial" w:eastAsia="Times New Roman" w:hAnsi="Arial" w:cs="Arial"/>
          <w:sz w:val="20"/>
          <w:szCs w:val="20"/>
        </w:rPr>
        <w:t>Find the entire report at: https://www.mass.gov/info-details/landscape-construction-laborer-compressed-between-compact-excavator-and-steel-beam-at</w:t>
      </w:r>
    </w:p>
    <w:p w14:paraId="080B0367" w14:textId="7DB61E71" w:rsidR="005C69BF" w:rsidRDefault="005C69BF" w:rsidP="00630C53">
      <w:pPr>
        <w:spacing w:after="0" w:line="240" w:lineRule="auto"/>
        <w:rPr>
          <w:rFonts w:ascii="Arial" w:eastAsia="Arial" w:hAnsi="Arial" w:cs="Arial"/>
          <w:b/>
          <w:bCs/>
          <w:color w:val="000000" w:themeColor="text1"/>
          <w:sz w:val="20"/>
          <w:szCs w:val="20"/>
        </w:rPr>
      </w:pPr>
    </w:p>
    <w:p w14:paraId="6E7A5035" w14:textId="33BC83A5" w:rsidR="000A1328" w:rsidRPr="000A1328" w:rsidRDefault="000A1328" w:rsidP="000A1328">
      <w:pPr>
        <w:spacing w:after="0" w:line="240" w:lineRule="auto"/>
        <w:rPr>
          <w:rFonts w:ascii="Arial" w:eastAsia="Times New Roman" w:hAnsi="Arial" w:cs="Arial"/>
          <w:b/>
          <w:bCs/>
          <w:sz w:val="20"/>
          <w:szCs w:val="20"/>
        </w:rPr>
      </w:pPr>
      <w:r w:rsidRPr="000A1328">
        <w:rPr>
          <w:rFonts w:ascii="Arial" w:eastAsia="Times New Roman" w:hAnsi="Arial" w:cs="Arial"/>
          <w:b/>
          <w:bCs/>
          <w:sz w:val="20"/>
          <w:szCs w:val="20"/>
        </w:rPr>
        <w:t xml:space="preserve">Municipal public works foreman dies after falling from a dump truck - Massachusetts 2018MA050 </w:t>
      </w:r>
    </w:p>
    <w:p w14:paraId="6563E9ED" w14:textId="77777777" w:rsidR="000A1328" w:rsidRPr="000A1328" w:rsidRDefault="000A1328" w:rsidP="000A1328">
      <w:pPr>
        <w:spacing w:after="0" w:line="240" w:lineRule="auto"/>
        <w:rPr>
          <w:rFonts w:ascii="Arial" w:eastAsia="Times New Roman" w:hAnsi="Arial" w:cs="Arial"/>
          <w:sz w:val="20"/>
          <w:szCs w:val="20"/>
        </w:rPr>
      </w:pPr>
    </w:p>
    <w:p w14:paraId="45121FDC" w14:textId="77777777" w:rsidR="000A1328" w:rsidRPr="000A1328" w:rsidRDefault="000A1328" w:rsidP="000A1328">
      <w:pPr>
        <w:spacing w:after="0" w:line="240" w:lineRule="auto"/>
        <w:rPr>
          <w:rFonts w:ascii="Arial" w:eastAsia="Times New Roman" w:hAnsi="Arial" w:cs="Arial"/>
          <w:sz w:val="20"/>
          <w:szCs w:val="20"/>
        </w:rPr>
      </w:pPr>
      <w:r w:rsidRPr="000A1328">
        <w:rPr>
          <w:rFonts w:ascii="Arial" w:eastAsia="Times New Roman" w:hAnsi="Arial" w:cs="Arial"/>
          <w:sz w:val="20"/>
          <w:szCs w:val="20"/>
        </w:rPr>
        <w:t>On September 11, 2018, a 59-year-old male municipal foreman died after falling from a dump truck bed. At the time of the incident, the foreman and a co-worker were unloading a sod cutter that was located on the truck’s bed. Wood planks were being used as a ramp to help with this task. The victim climbed the wood planks and as he was stepping onto the dump truck’s bed, one of the wood planks slipped out and fell to the ground. The victim also fell, striking his head on the ground. The co-worker, who witnessed the incident, placed a call for emergency medical services (EMS) and assisted the victim. EMS arrived quickly and the victim was transported to the hospital.</w:t>
      </w:r>
    </w:p>
    <w:p w14:paraId="635D10F0" w14:textId="77777777" w:rsidR="000A1328" w:rsidRPr="000A1328" w:rsidRDefault="000A1328" w:rsidP="000A1328">
      <w:pPr>
        <w:spacing w:after="0" w:line="240" w:lineRule="auto"/>
        <w:rPr>
          <w:rFonts w:ascii="Arial" w:eastAsia="Times New Roman" w:hAnsi="Arial" w:cs="Arial"/>
          <w:sz w:val="20"/>
          <w:szCs w:val="20"/>
        </w:rPr>
      </w:pPr>
    </w:p>
    <w:p w14:paraId="045FB51C" w14:textId="77777777" w:rsidR="000A1328" w:rsidRPr="000A1328" w:rsidRDefault="000A1328" w:rsidP="000A1328">
      <w:pPr>
        <w:spacing w:after="0" w:line="240" w:lineRule="auto"/>
        <w:rPr>
          <w:rFonts w:ascii="Arial" w:eastAsia="Times New Roman" w:hAnsi="Arial" w:cs="Arial"/>
          <w:b/>
          <w:bCs/>
          <w:sz w:val="20"/>
          <w:szCs w:val="20"/>
        </w:rPr>
      </w:pPr>
      <w:r w:rsidRPr="000A1328">
        <w:rPr>
          <w:rFonts w:ascii="Arial" w:eastAsia="Times New Roman" w:hAnsi="Arial" w:cs="Arial"/>
          <w:b/>
          <w:bCs/>
          <w:sz w:val="20"/>
          <w:szCs w:val="20"/>
        </w:rPr>
        <w:t>Massachusetts FACE Program concluded that, to help prevent similar occurrences, employers should:</w:t>
      </w:r>
    </w:p>
    <w:p w14:paraId="66B3B88E" w14:textId="77777777" w:rsidR="000A1328" w:rsidRPr="000A1328" w:rsidRDefault="000A1328" w:rsidP="000A1328">
      <w:pPr>
        <w:pStyle w:val="ListParagraph"/>
        <w:numPr>
          <w:ilvl w:val="0"/>
          <w:numId w:val="26"/>
        </w:numPr>
        <w:spacing w:after="0" w:line="240" w:lineRule="auto"/>
        <w:rPr>
          <w:rFonts w:ascii="Arial" w:eastAsia="Times New Roman" w:hAnsi="Arial" w:cs="Arial"/>
          <w:sz w:val="20"/>
          <w:szCs w:val="20"/>
        </w:rPr>
      </w:pPr>
      <w:r w:rsidRPr="000A1328">
        <w:rPr>
          <w:rFonts w:ascii="Arial" w:eastAsia="Times New Roman" w:hAnsi="Arial" w:cs="Arial"/>
          <w:sz w:val="20"/>
          <w:szCs w:val="20"/>
        </w:rPr>
        <w:t>Ensure the appropriate equipment is available and used for each assigned task.</w:t>
      </w:r>
    </w:p>
    <w:p w14:paraId="17BC0112" w14:textId="77777777" w:rsidR="000A1328" w:rsidRPr="000A1328" w:rsidRDefault="000A1328" w:rsidP="000A1328">
      <w:pPr>
        <w:pStyle w:val="ListParagraph"/>
        <w:numPr>
          <w:ilvl w:val="0"/>
          <w:numId w:val="26"/>
        </w:numPr>
        <w:spacing w:after="0" w:line="240" w:lineRule="auto"/>
        <w:rPr>
          <w:rFonts w:ascii="Arial" w:eastAsia="Times New Roman" w:hAnsi="Arial" w:cs="Arial"/>
          <w:sz w:val="20"/>
          <w:szCs w:val="20"/>
        </w:rPr>
      </w:pPr>
      <w:r w:rsidRPr="000A1328">
        <w:rPr>
          <w:rFonts w:ascii="Arial" w:eastAsia="Times New Roman" w:hAnsi="Arial" w:cs="Arial"/>
          <w:sz w:val="20"/>
          <w:szCs w:val="20"/>
        </w:rPr>
        <w:t>Ensure that a job safety analysis is performed prior to the start of each project.</w:t>
      </w:r>
    </w:p>
    <w:p w14:paraId="2281CF15" w14:textId="77777777" w:rsidR="000A1328" w:rsidRPr="000A1328" w:rsidRDefault="000A1328" w:rsidP="000A1328">
      <w:pPr>
        <w:pStyle w:val="ListParagraph"/>
        <w:numPr>
          <w:ilvl w:val="0"/>
          <w:numId w:val="26"/>
        </w:numPr>
        <w:spacing w:after="0" w:line="240" w:lineRule="auto"/>
        <w:rPr>
          <w:rFonts w:ascii="Arial" w:eastAsia="Times New Roman" w:hAnsi="Arial" w:cs="Arial"/>
          <w:sz w:val="20"/>
          <w:szCs w:val="20"/>
        </w:rPr>
      </w:pPr>
      <w:r w:rsidRPr="000A1328">
        <w:rPr>
          <w:rFonts w:ascii="Arial" w:eastAsia="Times New Roman" w:hAnsi="Arial" w:cs="Arial"/>
          <w:sz w:val="20"/>
          <w:szCs w:val="20"/>
        </w:rPr>
        <w:lastRenderedPageBreak/>
        <w:t>Develop and implement a comprehensive safety and health program that addresses hazard recognition and avoidance of unsafe conditions.</w:t>
      </w:r>
    </w:p>
    <w:p w14:paraId="68F20D4D" w14:textId="77777777" w:rsidR="000A1328" w:rsidRPr="000A1328" w:rsidRDefault="000A1328" w:rsidP="000A1328">
      <w:pPr>
        <w:pStyle w:val="ListParagraph"/>
        <w:numPr>
          <w:ilvl w:val="0"/>
          <w:numId w:val="26"/>
        </w:numPr>
        <w:spacing w:after="0" w:line="240" w:lineRule="auto"/>
        <w:rPr>
          <w:rFonts w:ascii="Arial" w:eastAsia="Times New Roman" w:hAnsi="Arial" w:cs="Arial"/>
          <w:sz w:val="20"/>
          <w:szCs w:val="20"/>
        </w:rPr>
      </w:pPr>
      <w:r w:rsidRPr="000A1328">
        <w:rPr>
          <w:rFonts w:ascii="Arial" w:eastAsia="Times New Roman" w:hAnsi="Arial" w:cs="Arial"/>
          <w:sz w:val="20"/>
          <w:szCs w:val="20"/>
        </w:rPr>
        <w:t>Work towards creating a positive safety culture and safety climate in the workplace.</w:t>
      </w:r>
    </w:p>
    <w:p w14:paraId="28F5376A" w14:textId="77777777" w:rsidR="000A1328" w:rsidRPr="000A1328" w:rsidRDefault="000A1328" w:rsidP="000A1328">
      <w:pPr>
        <w:pStyle w:val="ListParagraph"/>
        <w:numPr>
          <w:ilvl w:val="0"/>
          <w:numId w:val="26"/>
        </w:numPr>
        <w:spacing w:after="0" w:line="240" w:lineRule="auto"/>
        <w:rPr>
          <w:rFonts w:ascii="Arial" w:eastAsia="Times New Roman" w:hAnsi="Arial" w:cs="Arial"/>
          <w:sz w:val="20"/>
          <w:szCs w:val="20"/>
        </w:rPr>
      </w:pPr>
      <w:r w:rsidRPr="000A1328">
        <w:rPr>
          <w:rFonts w:ascii="Arial" w:eastAsia="Times New Roman" w:hAnsi="Arial" w:cs="Arial"/>
          <w:sz w:val="20"/>
          <w:szCs w:val="20"/>
        </w:rPr>
        <w:t>Ensure that all workers assigned to tasks where they will spend time along roadways wear high visibility, reflective clothing.</w:t>
      </w:r>
    </w:p>
    <w:p w14:paraId="625B9B52" w14:textId="77777777" w:rsidR="000A1328" w:rsidRPr="000A1328" w:rsidRDefault="000A1328" w:rsidP="000A1328">
      <w:pPr>
        <w:spacing w:after="0" w:line="240" w:lineRule="auto"/>
        <w:rPr>
          <w:rFonts w:ascii="Arial" w:eastAsia="Times New Roman" w:hAnsi="Arial" w:cs="Arial"/>
          <w:sz w:val="20"/>
          <w:szCs w:val="20"/>
        </w:rPr>
      </w:pPr>
    </w:p>
    <w:p w14:paraId="41BBFCCA" w14:textId="6F62935F" w:rsidR="00630C53" w:rsidRDefault="000A1328" w:rsidP="000A1328">
      <w:pPr>
        <w:spacing w:after="0" w:line="240" w:lineRule="auto"/>
        <w:rPr>
          <w:rFonts w:ascii="Arial" w:eastAsia="Times New Roman" w:hAnsi="Arial" w:cs="Arial"/>
          <w:sz w:val="20"/>
          <w:szCs w:val="20"/>
        </w:rPr>
      </w:pPr>
      <w:r w:rsidRPr="000A1328">
        <w:rPr>
          <w:rFonts w:ascii="Arial" w:eastAsia="Times New Roman" w:hAnsi="Arial" w:cs="Arial"/>
          <w:sz w:val="20"/>
          <w:szCs w:val="20"/>
        </w:rPr>
        <w:t>Find the entire report at: https://www.mass.gov/info-details/municipal-public-works-foreman-dies-after-falling-from-a-dump-truck-massachusetts</w:t>
      </w:r>
    </w:p>
    <w:p w14:paraId="5F2887B4" w14:textId="77777777" w:rsidR="00630C53" w:rsidRPr="00630C53" w:rsidRDefault="00630C53" w:rsidP="00630C53">
      <w:pPr>
        <w:spacing w:after="0" w:line="240" w:lineRule="auto"/>
        <w:rPr>
          <w:rFonts w:ascii="Arial" w:eastAsia="Times New Roman" w:hAnsi="Arial" w:cs="Arial"/>
          <w:sz w:val="20"/>
          <w:szCs w:val="20"/>
        </w:rPr>
      </w:pPr>
    </w:p>
    <w:p w14:paraId="55F5070E" w14:textId="0840DBED" w:rsidR="001A4F87" w:rsidRDefault="001A4F87" w:rsidP="00102092">
      <w:pPr>
        <w:spacing w:after="200" w:line="240" w:lineRule="auto"/>
        <w:rPr>
          <w:rFonts w:ascii="Arial" w:hAnsi="Arial" w:cs="Arial"/>
          <w:sz w:val="20"/>
          <w:szCs w:val="20"/>
        </w:rPr>
      </w:pPr>
      <w:r>
        <w:rPr>
          <w:rFonts w:ascii="Arial" w:eastAsia="Arial" w:hAnsi="Arial" w:cs="Arial"/>
          <w:b/>
          <w:bCs/>
          <w:color w:val="000000" w:themeColor="text1"/>
          <w:sz w:val="20"/>
          <w:szCs w:val="20"/>
        </w:rPr>
        <w:t xml:space="preserve">State and Federal </w:t>
      </w:r>
      <w:r w:rsidR="00667C7C">
        <w:rPr>
          <w:rFonts w:ascii="Arial" w:eastAsia="Arial" w:hAnsi="Arial" w:cs="Arial"/>
          <w:b/>
          <w:bCs/>
          <w:color w:val="000000" w:themeColor="text1"/>
          <w:sz w:val="20"/>
          <w:szCs w:val="20"/>
        </w:rPr>
        <w:t>Role</w:t>
      </w:r>
      <w:r w:rsidR="000A1328">
        <w:rPr>
          <w:rFonts w:ascii="Arial" w:eastAsia="Arial" w:hAnsi="Arial" w:cs="Arial"/>
          <w:b/>
          <w:bCs/>
          <w:color w:val="000000" w:themeColor="text1"/>
          <w:sz w:val="20"/>
          <w:szCs w:val="20"/>
        </w:rPr>
        <w:t>s</w:t>
      </w:r>
      <w:r w:rsidR="00667C7C">
        <w:rPr>
          <w:rFonts w:ascii="Arial" w:eastAsia="Arial" w:hAnsi="Arial" w:cs="Arial"/>
          <w:b/>
          <w:bCs/>
          <w:color w:val="000000" w:themeColor="text1"/>
          <w:sz w:val="20"/>
          <w:szCs w:val="20"/>
        </w:rPr>
        <w:t xml:space="preserve"> in Occupational Health and Safety </w:t>
      </w:r>
    </w:p>
    <w:p w14:paraId="137D3BE7" w14:textId="48EB0425" w:rsidR="000A1328" w:rsidRPr="000A1328" w:rsidRDefault="000A1328" w:rsidP="000A1328">
      <w:pPr>
        <w:spacing w:after="200" w:line="276" w:lineRule="auto"/>
        <w:rPr>
          <w:rFonts w:ascii="Arial" w:hAnsi="Arial" w:cs="Arial"/>
          <w:sz w:val="20"/>
          <w:szCs w:val="20"/>
        </w:rPr>
      </w:pPr>
      <w:r w:rsidRPr="000A1328">
        <w:rPr>
          <w:rFonts w:ascii="Arial" w:hAnsi="Arial" w:cs="Arial"/>
          <w:sz w:val="20"/>
          <w:szCs w:val="20"/>
        </w:rPr>
        <w:t>As there is no agency that has sole jurisdiction over all workplaces and workers in Massachusetts, OHSP plays an important role in connecting workers and employers with the various agencies that support workplaces.</w:t>
      </w:r>
    </w:p>
    <w:p w14:paraId="48F82B92" w14:textId="7B0AEC9C" w:rsidR="000A1328" w:rsidRPr="000A1328" w:rsidRDefault="000A1328" w:rsidP="000A1328">
      <w:pPr>
        <w:spacing w:after="200" w:line="276" w:lineRule="auto"/>
        <w:rPr>
          <w:rFonts w:ascii="Arial" w:hAnsi="Arial" w:cs="Arial"/>
          <w:sz w:val="20"/>
          <w:szCs w:val="20"/>
        </w:rPr>
      </w:pPr>
      <w:r w:rsidRPr="000A1328">
        <w:rPr>
          <w:rFonts w:ascii="Arial" w:hAnsi="Arial" w:cs="Arial"/>
          <w:sz w:val="20"/>
          <w:szCs w:val="20"/>
        </w:rPr>
        <w:t>The Occupational Safety and Health Administration (OSHA) is the main federal agency that is responsible for creating workplace health and safety standards, providing compliance assistance, and enforcing these standards. OSHA standards apply to private sector employers and employees. In Massachusetts, the Department of Labor Standards uses OSHA standards to protect state and local public sector workers. Self-employed workers or independent contractors are not covered by OSHA, nor are workers on family farms that employ only immediate family members.</w:t>
      </w:r>
    </w:p>
    <w:p w14:paraId="342F335D" w14:textId="1A3D5041" w:rsidR="000A1328" w:rsidRPr="000A1328" w:rsidRDefault="000A1328" w:rsidP="000A1328">
      <w:pPr>
        <w:spacing w:after="200" w:line="276" w:lineRule="auto"/>
        <w:rPr>
          <w:rFonts w:ascii="Arial" w:hAnsi="Arial" w:cs="Arial"/>
          <w:sz w:val="20"/>
          <w:szCs w:val="20"/>
        </w:rPr>
      </w:pPr>
      <w:r w:rsidRPr="000A1328">
        <w:rPr>
          <w:rFonts w:ascii="Arial" w:hAnsi="Arial" w:cs="Arial"/>
          <w:sz w:val="20"/>
          <w:szCs w:val="20"/>
        </w:rPr>
        <w:t>OSHA investigated 66 (39%) of the fatal work-related injuries identified by the Massachusetts FACE and CFOI projects that occurred in 2018 and 2019</w:t>
      </w:r>
      <w:r w:rsidR="00A553E6">
        <w:rPr>
          <w:rStyle w:val="FootnoteReference"/>
          <w:rFonts w:ascii="Arial" w:hAnsi="Arial" w:cs="Arial"/>
          <w:sz w:val="20"/>
          <w:szCs w:val="20"/>
        </w:rPr>
        <w:footnoteReference w:id="8"/>
      </w:r>
      <w:r w:rsidRPr="000A1328">
        <w:rPr>
          <w:rFonts w:ascii="Arial" w:hAnsi="Arial" w:cs="Arial"/>
          <w:sz w:val="20"/>
          <w:szCs w:val="20"/>
        </w:rPr>
        <w:t xml:space="preserve">. Of the remaining incidents, 47 involved workers who fall outside of OSHA jurisdiction, such as public sector employees, sole </w:t>
      </w:r>
      <w:proofErr w:type="gramStart"/>
      <w:r w:rsidRPr="000A1328">
        <w:rPr>
          <w:rFonts w:ascii="Arial" w:hAnsi="Arial" w:cs="Arial"/>
          <w:sz w:val="20"/>
          <w:szCs w:val="20"/>
        </w:rPr>
        <w:t>proprietors</w:t>
      </w:r>
      <w:proofErr w:type="gramEnd"/>
      <w:r w:rsidRPr="000A1328">
        <w:rPr>
          <w:rFonts w:ascii="Arial" w:hAnsi="Arial" w:cs="Arial"/>
          <w:sz w:val="20"/>
          <w:szCs w:val="20"/>
        </w:rPr>
        <w:t xml:space="preserve"> or the self-employed, and commercial fishers. Sixty-six additional deaths were events not routinely addressed by OSHA, such as overdoses, suicides, homicides, or roadway motor vehicle collisions. Thus, OHSP fills an important gap through the information it collects, analyzes, and disseminates.</w:t>
      </w:r>
    </w:p>
    <w:p w14:paraId="22CAB43B" w14:textId="1B720633" w:rsidR="001A4F87" w:rsidRDefault="000A1328" w:rsidP="000A1328">
      <w:pPr>
        <w:spacing w:after="200" w:line="276" w:lineRule="auto"/>
        <w:rPr>
          <w:rFonts w:ascii="Arial" w:hAnsi="Arial" w:cs="Arial"/>
          <w:sz w:val="20"/>
          <w:szCs w:val="20"/>
        </w:rPr>
      </w:pPr>
      <w:r w:rsidRPr="000A1328">
        <w:rPr>
          <w:rFonts w:ascii="Arial" w:hAnsi="Arial" w:cs="Arial"/>
          <w:sz w:val="20"/>
          <w:szCs w:val="20"/>
        </w:rPr>
        <w:t>OSHA levied fines for violations of health and safety standards against at least 42 of the employers they investigated in response to these fatal incidents. The lowest fine assessed was $3,880 and the highest at $311,330.</w:t>
      </w:r>
    </w:p>
    <w:p w14:paraId="7CC76DF6" w14:textId="6CD57D29" w:rsidR="000A1328" w:rsidRPr="00D05FC3" w:rsidRDefault="000A1328" w:rsidP="000A1328">
      <w:pPr>
        <w:spacing w:after="200" w:line="276" w:lineRule="auto"/>
        <w:rPr>
          <w:b/>
          <w:bCs/>
          <w:color w:val="1F1C0D"/>
        </w:rPr>
      </w:pPr>
      <w:r>
        <w:rPr>
          <w:rStyle w:val="jsgrdq"/>
          <w:b/>
          <w:bCs/>
          <w:color w:val="1F1C0D"/>
        </w:rPr>
        <w:t>Celebrating 50 years of health and safety!</w:t>
      </w:r>
      <w:r w:rsidR="00D05FC3">
        <w:rPr>
          <w:rStyle w:val="jsgrdq"/>
          <w:b/>
          <w:bCs/>
          <w:color w:val="1F1C0D"/>
        </w:rPr>
        <w:br/>
      </w:r>
      <w:r w:rsidRPr="000A1328">
        <w:rPr>
          <w:rFonts w:ascii="Arial" w:eastAsia="Arial" w:hAnsi="Arial" w:cs="Arial"/>
          <w:color w:val="000000" w:themeColor="text1"/>
          <w:sz w:val="20"/>
          <w:szCs w:val="20"/>
        </w:rPr>
        <w:t>2021 marks 50 years since the Occupational Safety and Health Act of 1970 (An act to assure safe and healthful working conditions for working men and women) was enacted. This led to the creation of two federal agencies that today provide protection to workers across the country. The Occupational Safety and Health Administration (OSHA) in the U.S. Department of Labor and the National Institute for</w:t>
      </w:r>
      <w:r>
        <w:rPr>
          <w:rFonts w:ascii="Arial" w:eastAsia="Arial" w:hAnsi="Arial" w:cs="Arial"/>
          <w:color w:val="000000" w:themeColor="text1"/>
          <w:sz w:val="20"/>
          <w:szCs w:val="20"/>
        </w:rPr>
        <w:t xml:space="preserve"> </w:t>
      </w:r>
      <w:r w:rsidRPr="000A1328">
        <w:rPr>
          <w:rFonts w:ascii="Arial" w:eastAsia="Arial" w:hAnsi="Arial" w:cs="Arial"/>
          <w:color w:val="000000" w:themeColor="text1"/>
          <w:sz w:val="20"/>
          <w:szCs w:val="20"/>
        </w:rPr>
        <w:t>Occupational Safety and Health (NIOSH) in the Centers for Disease Control and Prevention work together to research worker health and safety, develop and enforce standards, and provide training and consultation for workers. For more information, please visit: https://www.osha.gov/osha50/</w:t>
      </w:r>
    </w:p>
    <w:p w14:paraId="12B3EF42" w14:textId="77777777" w:rsidR="000A1328" w:rsidRDefault="000A1328" w:rsidP="00102092">
      <w:pPr>
        <w:widowControl w:val="0"/>
        <w:spacing w:after="0"/>
        <w:rPr>
          <w:rFonts w:ascii="Arial" w:eastAsia="Arial" w:hAnsi="Arial" w:cs="Arial"/>
          <w:b/>
          <w:bCs/>
          <w:color w:val="000000" w:themeColor="text1"/>
          <w:sz w:val="20"/>
          <w:szCs w:val="20"/>
        </w:rPr>
      </w:pPr>
      <w:r w:rsidRPr="000A1328">
        <w:rPr>
          <w:rFonts w:ascii="Arial" w:eastAsia="Arial" w:hAnsi="Arial" w:cs="Arial"/>
          <w:b/>
          <w:bCs/>
          <w:color w:val="000000" w:themeColor="text1"/>
          <w:sz w:val="20"/>
          <w:szCs w:val="20"/>
        </w:rPr>
        <w:t>State and Federal Roles in Occupational Health and Safety</w:t>
      </w:r>
    </w:p>
    <w:p w14:paraId="6420E935" w14:textId="54573140" w:rsidR="000A1328" w:rsidRPr="000A1328" w:rsidRDefault="000A1328" w:rsidP="000A1328">
      <w:pPr>
        <w:spacing w:after="40" w:line="240" w:lineRule="auto"/>
        <w:rPr>
          <w:rFonts w:ascii="Arial" w:hAnsi="Arial" w:cs="Arial"/>
          <w:sz w:val="20"/>
          <w:szCs w:val="20"/>
          <w:lang w:eastAsia="ko-KR"/>
        </w:rPr>
      </w:pPr>
      <w:r w:rsidRPr="000A1328">
        <w:rPr>
          <w:rFonts w:ascii="Arial" w:hAnsi="Arial" w:cs="Arial"/>
          <w:sz w:val="20"/>
          <w:szCs w:val="20"/>
          <w:lang w:eastAsia="ko-KR"/>
        </w:rPr>
        <w:t>The work-related fatalities in 2018-2019 described in this report were identified by the Massachusetts FACE and CFOI projects. These data may not match data published by the U.S. Bureau of Labor Statistics (BLS).</w:t>
      </w:r>
    </w:p>
    <w:p w14:paraId="1CF3B055" w14:textId="77777777" w:rsidR="000A1328" w:rsidRDefault="000A1328" w:rsidP="000A1328">
      <w:pPr>
        <w:spacing w:after="40" w:line="240" w:lineRule="auto"/>
        <w:rPr>
          <w:rFonts w:ascii="Arial" w:hAnsi="Arial" w:cs="Arial"/>
          <w:sz w:val="20"/>
          <w:szCs w:val="20"/>
          <w:lang w:eastAsia="ko-KR"/>
        </w:rPr>
      </w:pPr>
      <w:r w:rsidRPr="000A1328">
        <w:rPr>
          <w:rFonts w:ascii="Arial" w:hAnsi="Arial" w:cs="Arial"/>
          <w:sz w:val="20"/>
          <w:szCs w:val="20"/>
          <w:lang w:eastAsia="ko-KR"/>
        </w:rPr>
        <w:t xml:space="preserve">The OHSP in the Massachusetts Department of Public Health (MDPH) collects information on all fatal occupational injuries as part of the national Census of Fatal Occupational Injuries (CFOI), conducted in cooperation with the U.S. Bureau of Labor Statistics (BLS). Death certificates, records from the </w:t>
      </w:r>
      <w:r w:rsidRPr="000A1328">
        <w:rPr>
          <w:rFonts w:ascii="Arial" w:hAnsi="Arial" w:cs="Arial"/>
          <w:sz w:val="20"/>
          <w:szCs w:val="20"/>
          <w:lang w:eastAsia="ko-KR"/>
        </w:rPr>
        <w:lastRenderedPageBreak/>
        <w:t xml:space="preserve">Occupational Safety and Health Administration (OSHA), news stories, police reports and other data sources are used to identify these deaths. These source documents are primarily collected by the Fatality Assessment and Control Evaluation (FACE) project, which conducts in-depth investigations of select fatal occupational injuries with support from the National Institute for Occupational Safety and Health (NIOSH). The purpose of the FACE project is to develop a detailed understanding of how fatal injuries occur and to develop recommendations to prevent similar incidents in the future. These recommendations are disseminated to relevant industries, labor organizations, equipment manufacturers, and others in positions to take action to prevent work-related injuries. </w:t>
      </w:r>
    </w:p>
    <w:p w14:paraId="2FE3E1B9" w14:textId="77777777" w:rsidR="000A1328" w:rsidRDefault="000A1328" w:rsidP="000A1328">
      <w:pPr>
        <w:spacing w:after="40" w:line="240" w:lineRule="auto"/>
        <w:rPr>
          <w:rFonts w:ascii="Arial" w:hAnsi="Arial" w:cs="Arial"/>
          <w:sz w:val="20"/>
          <w:szCs w:val="20"/>
          <w:lang w:eastAsia="ko-KR"/>
        </w:rPr>
      </w:pPr>
    </w:p>
    <w:p w14:paraId="7A1CBBD0" w14:textId="4BC06B5E" w:rsidR="5B4397C7" w:rsidRPr="00E42B24" w:rsidRDefault="5B4397C7" w:rsidP="000A1328">
      <w:pPr>
        <w:spacing w:after="40" w:line="240" w:lineRule="auto"/>
        <w:rPr>
          <w:rFonts w:ascii="Arial" w:eastAsia="Arial" w:hAnsi="Arial" w:cs="Arial"/>
          <w:color w:val="000000" w:themeColor="text1"/>
          <w:sz w:val="20"/>
          <w:szCs w:val="20"/>
        </w:rPr>
      </w:pPr>
      <w:r w:rsidRPr="00E42B24">
        <w:rPr>
          <w:rFonts w:ascii="Arial" w:eastAsia="Arial" w:hAnsi="Arial" w:cs="Arial"/>
          <w:b/>
          <w:bCs/>
          <w:color w:val="000000" w:themeColor="text1"/>
          <w:sz w:val="20"/>
          <w:szCs w:val="20"/>
        </w:rPr>
        <w:t>Health and Safety Resources in Massachusetts</w:t>
      </w:r>
    </w:p>
    <w:p w14:paraId="00028CF7" w14:textId="77777777" w:rsidR="000A1328" w:rsidRPr="000A1328" w:rsidRDefault="000A1328" w:rsidP="000A1328">
      <w:pPr>
        <w:spacing w:after="40" w:line="240" w:lineRule="auto"/>
        <w:rPr>
          <w:rFonts w:ascii="Arial" w:eastAsia="Arial" w:hAnsi="Arial" w:cs="Arial"/>
          <w:color w:val="000000" w:themeColor="text1"/>
          <w:sz w:val="20"/>
          <w:szCs w:val="20"/>
        </w:rPr>
      </w:pPr>
      <w:r w:rsidRPr="000A1328">
        <w:rPr>
          <w:rFonts w:ascii="Arial" w:eastAsia="Arial" w:hAnsi="Arial" w:cs="Arial"/>
          <w:color w:val="000000" w:themeColor="text1"/>
          <w:sz w:val="20"/>
          <w:szCs w:val="20"/>
        </w:rPr>
        <w:t xml:space="preserve">For detailed tables of fatal occupational injuries and previous fatality update reports as well as educational materials, please contact the Massachusetts Department of Public Health, Occupational Health Surveillance Program, 250 Washington Street, 4th Floor, Boston, MA 02108-4619. Reports are available online </w:t>
      </w:r>
      <w:proofErr w:type="gramStart"/>
      <w:r w:rsidRPr="000A1328">
        <w:rPr>
          <w:rFonts w:ascii="Arial" w:eastAsia="Arial" w:hAnsi="Arial" w:cs="Arial"/>
          <w:color w:val="000000" w:themeColor="text1"/>
          <w:sz w:val="20"/>
          <w:szCs w:val="20"/>
        </w:rPr>
        <w:t>at  http://www.mass.gov/dph</w:t>
      </w:r>
      <w:proofErr w:type="gramEnd"/>
      <w:r w:rsidRPr="000A1328">
        <w:rPr>
          <w:rFonts w:ascii="Arial" w:eastAsia="Arial" w:hAnsi="Arial" w:cs="Arial"/>
          <w:color w:val="000000" w:themeColor="text1"/>
          <w:sz w:val="20"/>
          <w:szCs w:val="20"/>
        </w:rPr>
        <w:t xml:space="preserve"> /face or by calling 1-800-338-5223. Please report work-related fatalities immediately to the MDPH Toll-Free Occupational Fatality Hotline (1-800-338-5223), or to MA.FACE@mass.gov.</w:t>
      </w:r>
    </w:p>
    <w:p w14:paraId="7CE67F0C" w14:textId="77777777" w:rsidR="000A1328" w:rsidRPr="000A1328" w:rsidRDefault="000A1328" w:rsidP="000A1328">
      <w:pPr>
        <w:spacing w:after="40" w:line="240" w:lineRule="auto"/>
        <w:rPr>
          <w:rFonts w:ascii="Arial" w:eastAsia="Arial" w:hAnsi="Arial" w:cs="Arial"/>
          <w:color w:val="000000" w:themeColor="text1"/>
          <w:sz w:val="20"/>
          <w:szCs w:val="20"/>
        </w:rPr>
      </w:pPr>
      <w:r w:rsidRPr="000A1328">
        <w:rPr>
          <w:rFonts w:ascii="Arial" w:eastAsia="Arial" w:hAnsi="Arial" w:cs="Arial"/>
          <w:color w:val="000000" w:themeColor="text1"/>
          <w:sz w:val="20"/>
          <w:szCs w:val="20"/>
        </w:rPr>
        <w:t xml:space="preserve"> </w:t>
      </w:r>
    </w:p>
    <w:p w14:paraId="31A4ECB8" w14:textId="77777777" w:rsidR="000A1328" w:rsidRPr="000A1328" w:rsidRDefault="000A1328" w:rsidP="000A1328">
      <w:pPr>
        <w:spacing w:after="40" w:line="240" w:lineRule="auto"/>
        <w:rPr>
          <w:rFonts w:ascii="Arial" w:eastAsia="Arial" w:hAnsi="Arial" w:cs="Arial"/>
          <w:color w:val="000000" w:themeColor="text1"/>
          <w:sz w:val="20"/>
          <w:szCs w:val="20"/>
        </w:rPr>
      </w:pPr>
      <w:r w:rsidRPr="000A1328">
        <w:rPr>
          <w:rFonts w:ascii="Arial" w:eastAsia="Arial" w:hAnsi="Arial" w:cs="Arial"/>
          <w:b/>
          <w:bCs/>
          <w:color w:val="000000" w:themeColor="text1"/>
          <w:sz w:val="20"/>
          <w:szCs w:val="20"/>
        </w:rPr>
        <w:t>Massachusetts Department of Labor Standards</w:t>
      </w:r>
      <w:r w:rsidRPr="000A1328">
        <w:rPr>
          <w:rFonts w:ascii="Arial" w:eastAsia="Arial" w:hAnsi="Arial" w:cs="Arial"/>
          <w:color w:val="000000" w:themeColor="text1"/>
          <w:sz w:val="20"/>
          <w:szCs w:val="20"/>
        </w:rPr>
        <w:t xml:space="preserve"> – Offers free consultation services to help private sector employers improve their safety and health programs and train employees. http://www.mass.gov/lwd/labor-standards/on-site-consultation-program </w:t>
      </w:r>
    </w:p>
    <w:p w14:paraId="1F1A0BC3" w14:textId="77777777" w:rsidR="000A1328" w:rsidRPr="000A1328" w:rsidRDefault="000A1328" w:rsidP="000A1328">
      <w:pPr>
        <w:spacing w:after="40" w:line="240" w:lineRule="auto"/>
        <w:rPr>
          <w:rFonts w:ascii="Arial" w:eastAsia="Arial" w:hAnsi="Arial" w:cs="Arial"/>
          <w:color w:val="000000" w:themeColor="text1"/>
          <w:sz w:val="20"/>
          <w:szCs w:val="20"/>
        </w:rPr>
      </w:pPr>
    </w:p>
    <w:p w14:paraId="4542052A" w14:textId="77777777" w:rsidR="000A1328" w:rsidRPr="000A1328" w:rsidRDefault="000A1328" w:rsidP="000A1328">
      <w:pPr>
        <w:spacing w:after="40" w:line="240" w:lineRule="auto"/>
        <w:rPr>
          <w:rFonts w:ascii="Arial" w:eastAsia="Arial" w:hAnsi="Arial" w:cs="Arial"/>
          <w:color w:val="000000" w:themeColor="text1"/>
          <w:sz w:val="20"/>
          <w:szCs w:val="20"/>
        </w:rPr>
      </w:pPr>
      <w:r w:rsidRPr="000A1328">
        <w:rPr>
          <w:rFonts w:ascii="Arial" w:eastAsia="Arial" w:hAnsi="Arial" w:cs="Arial"/>
          <w:color w:val="000000" w:themeColor="text1"/>
          <w:sz w:val="20"/>
          <w:szCs w:val="20"/>
        </w:rPr>
        <w:t>DLS also has jurisdiction over state and local public sector workforces. Sample safety and health programs and many other resources are available at https://www.mass.gov/workplace-safety-and-health-program-wshp and https://www.mass.gov/service-details/masssafetyworks-resources</w:t>
      </w:r>
    </w:p>
    <w:p w14:paraId="10CD077C" w14:textId="77777777" w:rsidR="000A1328" w:rsidRPr="000A1328" w:rsidRDefault="000A1328" w:rsidP="000A1328">
      <w:pPr>
        <w:spacing w:after="40" w:line="240" w:lineRule="auto"/>
        <w:rPr>
          <w:rFonts w:ascii="Arial" w:eastAsia="Arial" w:hAnsi="Arial" w:cs="Arial"/>
          <w:color w:val="000000" w:themeColor="text1"/>
          <w:sz w:val="20"/>
          <w:szCs w:val="20"/>
        </w:rPr>
      </w:pPr>
    </w:p>
    <w:p w14:paraId="24A4D0C1" w14:textId="77777777" w:rsidR="000A1328" w:rsidRPr="000A1328" w:rsidRDefault="000A1328" w:rsidP="000A1328">
      <w:pPr>
        <w:spacing w:after="40" w:line="240" w:lineRule="auto"/>
        <w:rPr>
          <w:rFonts w:ascii="Arial" w:eastAsia="Arial" w:hAnsi="Arial" w:cs="Arial"/>
          <w:color w:val="000000" w:themeColor="text1"/>
          <w:sz w:val="20"/>
          <w:szCs w:val="20"/>
        </w:rPr>
      </w:pPr>
      <w:r w:rsidRPr="000A1328">
        <w:rPr>
          <w:rFonts w:ascii="Arial" w:eastAsia="Arial" w:hAnsi="Arial" w:cs="Arial"/>
          <w:b/>
          <w:bCs/>
          <w:color w:val="000000" w:themeColor="text1"/>
          <w:sz w:val="20"/>
          <w:szCs w:val="20"/>
        </w:rPr>
        <w:t>Massachusetts Department of Industrial Accidents</w:t>
      </w:r>
      <w:r w:rsidRPr="000A1328">
        <w:rPr>
          <w:rFonts w:ascii="Arial" w:eastAsia="Arial" w:hAnsi="Arial" w:cs="Arial"/>
          <w:color w:val="000000" w:themeColor="text1"/>
          <w:sz w:val="20"/>
          <w:szCs w:val="20"/>
        </w:rPr>
        <w:t xml:space="preserve"> – Has grants available for providing workplace health and safety training to employers and/or employees in companies covered by the Massachusetts Workers’ Compensation Insurance Law. http://www.mass.gov/the-dias-workplace-safety-training-grant  </w:t>
      </w:r>
    </w:p>
    <w:p w14:paraId="61E93223" w14:textId="77777777" w:rsidR="000A1328" w:rsidRPr="000A1328" w:rsidRDefault="000A1328" w:rsidP="000A1328">
      <w:pPr>
        <w:spacing w:after="40" w:line="240" w:lineRule="auto"/>
        <w:rPr>
          <w:rFonts w:ascii="Arial" w:eastAsia="Arial" w:hAnsi="Arial" w:cs="Arial"/>
          <w:color w:val="000000" w:themeColor="text1"/>
          <w:sz w:val="20"/>
          <w:szCs w:val="20"/>
        </w:rPr>
      </w:pPr>
      <w:r w:rsidRPr="000A1328">
        <w:rPr>
          <w:rFonts w:ascii="Arial" w:eastAsia="Arial" w:hAnsi="Arial" w:cs="Arial"/>
          <w:color w:val="000000" w:themeColor="text1"/>
          <w:sz w:val="20"/>
          <w:szCs w:val="20"/>
        </w:rPr>
        <w:t xml:space="preserve"> </w:t>
      </w:r>
    </w:p>
    <w:p w14:paraId="4A354121" w14:textId="77777777" w:rsidR="000A1328" w:rsidRPr="000A1328" w:rsidRDefault="000A1328" w:rsidP="000A1328">
      <w:pPr>
        <w:spacing w:after="40" w:line="240" w:lineRule="auto"/>
        <w:rPr>
          <w:rFonts w:ascii="Arial" w:eastAsia="Arial" w:hAnsi="Arial" w:cs="Arial"/>
          <w:b/>
          <w:bCs/>
          <w:color w:val="000000" w:themeColor="text1"/>
          <w:sz w:val="20"/>
          <w:szCs w:val="20"/>
        </w:rPr>
      </w:pPr>
      <w:r w:rsidRPr="000A1328">
        <w:rPr>
          <w:rFonts w:ascii="Arial" w:eastAsia="Arial" w:hAnsi="Arial" w:cs="Arial"/>
          <w:b/>
          <w:bCs/>
          <w:color w:val="000000" w:themeColor="text1"/>
          <w:sz w:val="20"/>
          <w:szCs w:val="20"/>
        </w:rPr>
        <w:t xml:space="preserve">ACKNOWLEDGEMENTS </w:t>
      </w:r>
    </w:p>
    <w:p w14:paraId="781075B6" w14:textId="77777777" w:rsidR="000A1328" w:rsidRPr="000A1328" w:rsidRDefault="000A1328" w:rsidP="000A1328">
      <w:pPr>
        <w:spacing w:after="40" w:line="240" w:lineRule="auto"/>
        <w:rPr>
          <w:rFonts w:ascii="Arial" w:eastAsia="Arial" w:hAnsi="Arial" w:cs="Arial"/>
          <w:color w:val="000000" w:themeColor="text1"/>
          <w:sz w:val="20"/>
          <w:szCs w:val="20"/>
        </w:rPr>
      </w:pPr>
      <w:r w:rsidRPr="000A1328">
        <w:rPr>
          <w:rFonts w:ascii="Arial" w:eastAsia="Arial" w:hAnsi="Arial" w:cs="Arial"/>
          <w:color w:val="000000" w:themeColor="text1"/>
          <w:sz w:val="20"/>
          <w:szCs w:val="20"/>
        </w:rPr>
        <w:t>The Occupational Health Surveillance Program would like to thank all agencies and people that contribute to our efforts to prevent work-related deaths by reporting fatalities and providing information during our fatality investigations. This project is a joint effort of several state and federal agencies. For their assistance in providing data and advice, we thank: OSHA Region I and area office staff; staff of the Registry of Vital Records and Statistics; local and state police departments; and clerks of cities and towns. We also appreciate the contributions of the Department of Labor Standards and the Department of Industrial Accidents in the Executive Office of Labor and Workforce Development; the Office of the Chief Medical Examiner; the U.S. Coast Guard; the National Transportation Safety Board (NTSB); the Boston Regional Office of the U.S. Bureau of Labor Statistics; and the National Institute for Occupational Safety and Health (NIOSH).</w:t>
      </w:r>
    </w:p>
    <w:p w14:paraId="2A80C872" w14:textId="77777777" w:rsidR="000A1328" w:rsidRPr="000A1328" w:rsidRDefault="000A1328" w:rsidP="000A1328">
      <w:pPr>
        <w:spacing w:after="40" w:line="240" w:lineRule="auto"/>
        <w:rPr>
          <w:rFonts w:ascii="Arial" w:eastAsia="Arial" w:hAnsi="Arial" w:cs="Arial"/>
          <w:color w:val="000000" w:themeColor="text1"/>
          <w:sz w:val="20"/>
          <w:szCs w:val="20"/>
        </w:rPr>
      </w:pPr>
    </w:p>
    <w:p w14:paraId="299684AC" w14:textId="77777777" w:rsidR="000A1328" w:rsidRPr="000A1328" w:rsidRDefault="000A1328" w:rsidP="000A1328">
      <w:pPr>
        <w:spacing w:after="40" w:line="240" w:lineRule="auto"/>
        <w:rPr>
          <w:rFonts w:ascii="Arial" w:eastAsia="Arial" w:hAnsi="Arial" w:cs="Arial"/>
          <w:color w:val="000000" w:themeColor="text1"/>
          <w:sz w:val="20"/>
          <w:szCs w:val="20"/>
        </w:rPr>
      </w:pPr>
      <w:r w:rsidRPr="000A1328">
        <w:rPr>
          <w:rFonts w:ascii="Arial" w:eastAsia="Arial" w:hAnsi="Arial" w:cs="Arial"/>
          <w:color w:val="000000" w:themeColor="text1"/>
          <w:sz w:val="20"/>
          <w:szCs w:val="20"/>
        </w:rPr>
        <w:t xml:space="preserve">Massachusetts Department of Public Health                              </w:t>
      </w:r>
    </w:p>
    <w:p w14:paraId="0E6C8A5C" w14:textId="77777777" w:rsidR="000A1328" w:rsidRPr="000A1328" w:rsidRDefault="000A1328" w:rsidP="000A1328">
      <w:pPr>
        <w:spacing w:after="40" w:line="240" w:lineRule="auto"/>
        <w:rPr>
          <w:rFonts w:ascii="Arial" w:eastAsia="Arial" w:hAnsi="Arial" w:cs="Arial"/>
          <w:color w:val="000000" w:themeColor="text1"/>
          <w:sz w:val="20"/>
          <w:szCs w:val="20"/>
        </w:rPr>
      </w:pPr>
      <w:r w:rsidRPr="000A1328">
        <w:rPr>
          <w:rFonts w:ascii="Arial" w:eastAsia="Arial" w:hAnsi="Arial" w:cs="Arial"/>
          <w:color w:val="000000" w:themeColor="text1"/>
          <w:sz w:val="20"/>
          <w:szCs w:val="20"/>
        </w:rPr>
        <w:t>Occupational Health Surveillance Program</w:t>
      </w:r>
    </w:p>
    <w:p w14:paraId="7504B706" w14:textId="77777777" w:rsidR="000A1328" w:rsidRPr="000A1328" w:rsidRDefault="000A1328" w:rsidP="000A1328">
      <w:pPr>
        <w:spacing w:after="40" w:line="240" w:lineRule="auto"/>
        <w:rPr>
          <w:rFonts w:ascii="Arial" w:eastAsia="Arial" w:hAnsi="Arial" w:cs="Arial"/>
          <w:color w:val="000000" w:themeColor="text1"/>
          <w:sz w:val="20"/>
          <w:szCs w:val="20"/>
        </w:rPr>
      </w:pPr>
      <w:r w:rsidRPr="000A1328">
        <w:rPr>
          <w:rFonts w:ascii="Arial" w:eastAsia="Arial" w:hAnsi="Arial" w:cs="Arial"/>
          <w:color w:val="000000" w:themeColor="text1"/>
          <w:sz w:val="20"/>
          <w:szCs w:val="20"/>
        </w:rPr>
        <w:t>Census of Fatal Occupational Injuries</w:t>
      </w:r>
    </w:p>
    <w:p w14:paraId="50EE4595" w14:textId="77777777" w:rsidR="000A1328" w:rsidRPr="000A1328" w:rsidRDefault="000A1328" w:rsidP="000A1328">
      <w:pPr>
        <w:spacing w:after="40" w:line="240" w:lineRule="auto"/>
        <w:rPr>
          <w:rFonts w:ascii="Arial" w:eastAsia="Arial" w:hAnsi="Arial" w:cs="Arial"/>
          <w:color w:val="000000" w:themeColor="text1"/>
          <w:sz w:val="20"/>
          <w:szCs w:val="20"/>
        </w:rPr>
      </w:pPr>
      <w:r w:rsidRPr="000A1328">
        <w:rPr>
          <w:rFonts w:ascii="Arial" w:eastAsia="Arial" w:hAnsi="Arial" w:cs="Arial"/>
          <w:color w:val="000000" w:themeColor="text1"/>
          <w:sz w:val="20"/>
          <w:szCs w:val="20"/>
        </w:rPr>
        <w:t>Fatality Assessment and Control Evaluation</w:t>
      </w:r>
    </w:p>
    <w:p w14:paraId="5FF04E40" w14:textId="77777777" w:rsidR="000A1328" w:rsidRPr="000A1328" w:rsidRDefault="000A1328" w:rsidP="000A1328">
      <w:pPr>
        <w:spacing w:after="40" w:line="240" w:lineRule="auto"/>
        <w:rPr>
          <w:rFonts w:ascii="Arial" w:eastAsia="Arial" w:hAnsi="Arial" w:cs="Arial"/>
          <w:color w:val="000000" w:themeColor="text1"/>
          <w:sz w:val="20"/>
          <w:szCs w:val="20"/>
        </w:rPr>
      </w:pPr>
      <w:r w:rsidRPr="000A1328">
        <w:rPr>
          <w:rFonts w:ascii="Arial" w:eastAsia="Arial" w:hAnsi="Arial" w:cs="Arial"/>
          <w:color w:val="000000" w:themeColor="text1"/>
          <w:sz w:val="20"/>
          <w:szCs w:val="20"/>
        </w:rPr>
        <w:t>https://www.mass.gov/lists/fatal-work-related-injury-reports-and-publications</w:t>
      </w:r>
    </w:p>
    <w:p w14:paraId="20F6E763" w14:textId="77777777" w:rsidR="000A1328" w:rsidRPr="000A1328" w:rsidRDefault="000A1328" w:rsidP="000A1328">
      <w:pPr>
        <w:spacing w:after="40" w:line="240" w:lineRule="auto"/>
        <w:rPr>
          <w:rFonts w:ascii="Arial" w:eastAsia="Arial" w:hAnsi="Arial" w:cs="Arial"/>
          <w:color w:val="000000" w:themeColor="text1"/>
          <w:sz w:val="20"/>
          <w:szCs w:val="20"/>
        </w:rPr>
      </w:pPr>
      <w:r w:rsidRPr="000A1328">
        <w:rPr>
          <w:rFonts w:ascii="Arial" w:eastAsia="Arial" w:hAnsi="Arial" w:cs="Arial"/>
          <w:color w:val="000000" w:themeColor="text1"/>
          <w:sz w:val="20"/>
          <w:szCs w:val="20"/>
        </w:rPr>
        <w:t>ma.face@mass.gov</w:t>
      </w:r>
    </w:p>
    <w:p w14:paraId="763A2B56" w14:textId="3B17774A" w:rsidR="00FC7552" w:rsidRPr="00AB18D1" w:rsidRDefault="000A1328" w:rsidP="000A1328">
      <w:pPr>
        <w:spacing w:after="40" w:line="240" w:lineRule="auto"/>
        <w:rPr>
          <w:rFonts w:ascii="Arial" w:hAnsi="Arial" w:cs="Arial"/>
        </w:rPr>
      </w:pPr>
      <w:r w:rsidRPr="000A1328">
        <w:rPr>
          <w:rFonts w:ascii="Arial" w:eastAsia="Arial" w:hAnsi="Arial" w:cs="Arial"/>
          <w:color w:val="000000" w:themeColor="text1"/>
          <w:sz w:val="20"/>
          <w:szCs w:val="20"/>
        </w:rPr>
        <w:t>1-800-338-5223</w:t>
      </w:r>
    </w:p>
    <w:sectPr w:rsidR="00FC7552" w:rsidRPr="00AB18D1" w:rsidSect="004B4A78">
      <w:headerReference w:type="default" r:id="rId13"/>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98862" w14:textId="77777777" w:rsidR="000455A5" w:rsidRDefault="000455A5">
      <w:pPr>
        <w:spacing w:after="0" w:line="240" w:lineRule="auto"/>
      </w:pPr>
      <w:r>
        <w:separator/>
      </w:r>
    </w:p>
  </w:endnote>
  <w:endnote w:type="continuationSeparator" w:id="0">
    <w:p w14:paraId="06136BC9" w14:textId="77777777" w:rsidR="000455A5" w:rsidRDefault="00045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49453" w14:textId="77777777" w:rsidR="000455A5" w:rsidRDefault="000455A5">
      <w:pPr>
        <w:spacing w:after="0" w:line="240" w:lineRule="auto"/>
      </w:pPr>
      <w:r>
        <w:separator/>
      </w:r>
    </w:p>
  </w:footnote>
  <w:footnote w:type="continuationSeparator" w:id="0">
    <w:p w14:paraId="709CB806" w14:textId="77777777" w:rsidR="000455A5" w:rsidRDefault="000455A5">
      <w:pPr>
        <w:spacing w:after="0" w:line="240" w:lineRule="auto"/>
      </w:pPr>
      <w:r>
        <w:continuationSeparator/>
      </w:r>
    </w:p>
  </w:footnote>
  <w:footnote w:id="1">
    <w:p w14:paraId="2DDBC16E" w14:textId="104F461F" w:rsidR="00A553E6" w:rsidRDefault="00A553E6">
      <w:pPr>
        <w:pStyle w:val="FootnoteText"/>
      </w:pPr>
      <w:r>
        <w:rPr>
          <w:rStyle w:val="FootnoteReference"/>
        </w:rPr>
        <w:footnoteRef/>
      </w:r>
      <w:r>
        <w:t xml:space="preserve"> </w:t>
      </w:r>
      <w:r w:rsidRPr="00A553E6">
        <w:t>https://www.mass.gov/lists/occupational-health-special-topics#opioids-and-work-</w:t>
      </w:r>
    </w:p>
  </w:footnote>
  <w:footnote w:id="2">
    <w:p w14:paraId="14AB38BA" w14:textId="7A42B5F0" w:rsidR="00A553E6" w:rsidRDefault="00A553E6">
      <w:pPr>
        <w:pStyle w:val="FootnoteText"/>
      </w:pPr>
      <w:r>
        <w:rPr>
          <w:rStyle w:val="FootnoteReference"/>
        </w:rPr>
        <w:footnoteRef/>
      </w:r>
      <w:r>
        <w:t xml:space="preserve"> </w:t>
      </w:r>
      <w:r w:rsidRPr="00A553E6">
        <w:t>https://www.osha.gov/dsg/tcsbrefa/index.html and https://www.osha.gov/SLTC/treecare/index.html</w:t>
      </w:r>
    </w:p>
  </w:footnote>
  <w:footnote w:id="3">
    <w:p w14:paraId="09E6E233" w14:textId="51CB589E" w:rsidR="00A553E6" w:rsidRDefault="00A553E6">
      <w:pPr>
        <w:pStyle w:val="FootnoteText"/>
      </w:pPr>
      <w:r>
        <w:rPr>
          <w:rStyle w:val="FootnoteReference"/>
        </w:rPr>
        <w:footnoteRef/>
      </w:r>
      <w:r>
        <w:t xml:space="preserve"> </w:t>
      </w:r>
      <w:r w:rsidRPr="00A553E6">
        <w:t>https://www.mass.gov/service-details/hands-free-law</w:t>
      </w:r>
    </w:p>
  </w:footnote>
  <w:footnote w:id="4">
    <w:p w14:paraId="62B1E817" w14:textId="1E98597E" w:rsidR="00A553E6" w:rsidRDefault="00A553E6">
      <w:pPr>
        <w:pStyle w:val="FootnoteText"/>
      </w:pPr>
      <w:r>
        <w:rPr>
          <w:rStyle w:val="FootnoteReference"/>
        </w:rPr>
        <w:footnoteRef/>
      </w:r>
      <w:r>
        <w:t xml:space="preserve"> </w:t>
      </w:r>
      <w:r w:rsidRPr="00A553E6">
        <w:t>All rates in this report are computed using full-time equivalent workers (FTE) in the denominator, which take into account the number of hours worked. This employment data comes from the Current Population Survey conducted by the Census Bureau for BLS. One FTE = 2,000 hours worked annually. All of the rates described in this report, aside from the overall state and national rates, are based on small numbers of deaths and should be interpreted with caution. Rates generated for this report are not directly comparable to rates published by BLS.</w:t>
      </w:r>
    </w:p>
  </w:footnote>
  <w:footnote w:id="5">
    <w:p w14:paraId="0C1769E4" w14:textId="32C9049B" w:rsidR="00A553E6" w:rsidRDefault="00A553E6">
      <w:pPr>
        <w:pStyle w:val="FootnoteText"/>
      </w:pPr>
      <w:r>
        <w:rPr>
          <w:rStyle w:val="FootnoteReference"/>
        </w:rPr>
        <w:footnoteRef/>
      </w:r>
      <w:r>
        <w:t xml:space="preserve"> </w:t>
      </w:r>
      <w:r w:rsidRPr="00A553E6">
        <w:t>Bahn K, Cumming CS. Factsheet: U.S. occupational segregation by race, ethnicity, and gender. Washington Center for Equitable Growth. https://equitablegrowth.org/factsheet-u-s-occupational-segregation-by-race-ethnicity-and-gender/.  Published July 1, 2020.</w:t>
      </w:r>
    </w:p>
  </w:footnote>
  <w:footnote w:id="6">
    <w:p w14:paraId="1213F7D7" w14:textId="3DEEEDF8" w:rsidR="00A553E6" w:rsidRDefault="00A553E6">
      <w:pPr>
        <w:pStyle w:val="FootnoteText"/>
      </w:pPr>
      <w:r>
        <w:rPr>
          <w:rStyle w:val="FootnoteReference"/>
        </w:rPr>
        <w:footnoteRef/>
      </w:r>
      <w:r>
        <w:t xml:space="preserve"> </w:t>
      </w:r>
      <w:r w:rsidRPr="00A553E6">
        <w:t>Self-employed workers include persons who own/operate unincorporated businesses and paid and unpaid family workers.</w:t>
      </w:r>
    </w:p>
  </w:footnote>
  <w:footnote w:id="7">
    <w:p w14:paraId="3F6D84DF" w14:textId="60DD0608" w:rsidR="00A553E6" w:rsidRDefault="00A553E6">
      <w:pPr>
        <w:pStyle w:val="FootnoteText"/>
      </w:pPr>
      <w:r>
        <w:rPr>
          <w:rStyle w:val="FootnoteReference"/>
        </w:rPr>
        <w:footnoteRef/>
      </w:r>
      <w:r>
        <w:t xml:space="preserve"> </w:t>
      </w:r>
      <w:r w:rsidRPr="00A553E6">
        <w:t>https://www.necenter.org/fishing/ and https://www.cdc.gov/niosh/topics/fishing/default.html</w:t>
      </w:r>
    </w:p>
  </w:footnote>
  <w:footnote w:id="8">
    <w:p w14:paraId="3D3C7DF1" w14:textId="14AAF050" w:rsidR="00A553E6" w:rsidRDefault="00A553E6">
      <w:pPr>
        <w:pStyle w:val="FootnoteText"/>
      </w:pPr>
      <w:r>
        <w:rPr>
          <w:rStyle w:val="FootnoteReference"/>
        </w:rPr>
        <w:footnoteRef/>
      </w:r>
      <w:r>
        <w:t xml:space="preserve"> </w:t>
      </w:r>
      <w:r w:rsidRPr="00A553E6">
        <w:t>This 28 includes five investigations that were initiated and then halted once it was determined the worker was the company owner or self-employed.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350F3" w14:textId="74CB6B17" w:rsidR="00A24E99" w:rsidRDefault="00A24E99">
    <w:pPr>
      <w:pStyle w:val="Header"/>
    </w:pPr>
    <w:r w:rsidRPr="00A24E99">
      <w:t>Massachusetts Fatal Injuries at Work, 2018-2019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9649F"/>
    <w:multiLevelType w:val="hybridMultilevel"/>
    <w:tmpl w:val="0D560D8E"/>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1" w15:restartNumberingAfterBreak="0">
    <w:nsid w:val="0A4244FE"/>
    <w:multiLevelType w:val="multilevel"/>
    <w:tmpl w:val="EB164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9D0343"/>
    <w:multiLevelType w:val="multilevel"/>
    <w:tmpl w:val="C3261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C676D9"/>
    <w:multiLevelType w:val="hybridMultilevel"/>
    <w:tmpl w:val="5DD4F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A977DF"/>
    <w:multiLevelType w:val="hybridMultilevel"/>
    <w:tmpl w:val="CD40B796"/>
    <w:lvl w:ilvl="0" w:tplc="8CFC3CE4">
      <w:start w:val="1"/>
      <w:numFmt w:val="bullet"/>
      <w:lvlText w:val=""/>
      <w:lvlJc w:val="left"/>
      <w:pPr>
        <w:ind w:left="720" w:hanging="360"/>
      </w:pPr>
      <w:rPr>
        <w:rFonts w:ascii="Symbol" w:hAnsi="Symbol" w:hint="default"/>
      </w:rPr>
    </w:lvl>
    <w:lvl w:ilvl="1" w:tplc="85BE4052">
      <w:start w:val="1"/>
      <w:numFmt w:val="bullet"/>
      <w:lvlText w:val="o"/>
      <w:lvlJc w:val="left"/>
      <w:pPr>
        <w:ind w:left="1440" w:hanging="360"/>
      </w:pPr>
      <w:rPr>
        <w:rFonts w:ascii="Courier New" w:hAnsi="Courier New" w:hint="default"/>
      </w:rPr>
    </w:lvl>
    <w:lvl w:ilvl="2" w:tplc="0728E674">
      <w:start w:val="1"/>
      <w:numFmt w:val="bullet"/>
      <w:lvlText w:val=""/>
      <w:lvlJc w:val="left"/>
      <w:pPr>
        <w:ind w:left="2160" w:hanging="360"/>
      </w:pPr>
      <w:rPr>
        <w:rFonts w:ascii="Wingdings" w:hAnsi="Wingdings" w:hint="default"/>
      </w:rPr>
    </w:lvl>
    <w:lvl w:ilvl="3" w:tplc="B308A79E">
      <w:start w:val="1"/>
      <w:numFmt w:val="bullet"/>
      <w:lvlText w:val=""/>
      <w:lvlJc w:val="left"/>
      <w:pPr>
        <w:ind w:left="2880" w:hanging="360"/>
      </w:pPr>
      <w:rPr>
        <w:rFonts w:ascii="Symbol" w:hAnsi="Symbol" w:hint="default"/>
      </w:rPr>
    </w:lvl>
    <w:lvl w:ilvl="4" w:tplc="07582B5A">
      <w:start w:val="1"/>
      <w:numFmt w:val="bullet"/>
      <w:lvlText w:val="o"/>
      <w:lvlJc w:val="left"/>
      <w:pPr>
        <w:ind w:left="3600" w:hanging="360"/>
      </w:pPr>
      <w:rPr>
        <w:rFonts w:ascii="Courier New" w:hAnsi="Courier New" w:hint="default"/>
      </w:rPr>
    </w:lvl>
    <w:lvl w:ilvl="5" w:tplc="89E459C8">
      <w:start w:val="1"/>
      <w:numFmt w:val="bullet"/>
      <w:lvlText w:val=""/>
      <w:lvlJc w:val="left"/>
      <w:pPr>
        <w:ind w:left="4320" w:hanging="360"/>
      </w:pPr>
      <w:rPr>
        <w:rFonts w:ascii="Wingdings" w:hAnsi="Wingdings" w:hint="default"/>
      </w:rPr>
    </w:lvl>
    <w:lvl w:ilvl="6" w:tplc="B78AAD40">
      <w:start w:val="1"/>
      <w:numFmt w:val="bullet"/>
      <w:lvlText w:val=""/>
      <w:lvlJc w:val="left"/>
      <w:pPr>
        <w:ind w:left="5040" w:hanging="360"/>
      </w:pPr>
      <w:rPr>
        <w:rFonts w:ascii="Symbol" w:hAnsi="Symbol" w:hint="default"/>
      </w:rPr>
    </w:lvl>
    <w:lvl w:ilvl="7" w:tplc="20026306">
      <w:start w:val="1"/>
      <w:numFmt w:val="bullet"/>
      <w:lvlText w:val="o"/>
      <w:lvlJc w:val="left"/>
      <w:pPr>
        <w:ind w:left="5760" w:hanging="360"/>
      </w:pPr>
      <w:rPr>
        <w:rFonts w:ascii="Courier New" w:hAnsi="Courier New" w:hint="default"/>
      </w:rPr>
    </w:lvl>
    <w:lvl w:ilvl="8" w:tplc="7A6E66F0">
      <w:start w:val="1"/>
      <w:numFmt w:val="bullet"/>
      <w:lvlText w:val=""/>
      <w:lvlJc w:val="left"/>
      <w:pPr>
        <w:ind w:left="6480" w:hanging="360"/>
      </w:pPr>
      <w:rPr>
        <w:rFonts w:ascii="Wingdings" w:hAnsi="Wingdings" w:hint="default"/>
      </w:rPr>
    </w:lvl>
  </w:abstractNum>
  <w:abstractNum w:abstractNumId="5" w15:restartNumberingAfterBreak="0">
    <w:nsid w:val="19411545"/>
    <w:multiLevelType w:val="multilevel"/>
    <w:tmpl w:val="402EB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84221B"/>
    <w:multiLevelType w:val="multilevel"/>
    <w:tmpl w:val="171E2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EB5124"/>
    <w:multiLevelType w:val="multilevel"/>
    <w:tmpl w:val="46C08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A409D4"/>
    <w:multiLevelType w:val="multilevel"/>
    <w:tmpl w:val="65EEB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004C2A"/>
    <w:multiLevelType w:val="hybridMultilevel"/>
    <w:tmpl w:val="6360E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C96FF5"/>
    <w:multiLevelType w:val="hybridMultilevel"/>
    <w:tmpl w:val="A196A25C"/>
    <w:lvl w:ilvl="0" w:tplc="04090001">
      <w:start w:val="1"/>
      <w:numFmt w:val="bullet"/>
      <w:lvlText w:val=""/>
      <w:lvlJc w:val="left"/>
      <w:pPr>
        <w:ind w:left="576" w:hanging="360"/>
      </w:pPr>
      <w:rPr>
        <w:rFonts w:ascii="Symbol" w:hAnsi="Symbol" w:cs="Symbol"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11" w15:restartNumberingAfterBreak="0">
    <w:nsid w:val="45A2292D"/>
    <w:multiLevelType w:val="hybridMultilevel"/>
    <w:tmpl w:val="A64670D4"/>
    <w:lvl w:ilvl="0" w:tplc="E1F28ADA">
      <w:numFmt w:val="bullet"/>
      <w:lvlText w:val=""/>
      <w:lvlJc w:val="left"/>
      <w:pPr>
        <w:ind w:left="1440" w:hanging="360"/>
      </w:pPr>
      <w:rPr>
        <w:rFonts w:ascii="Symbol" w:eastAsia="Times New Roman" w:hAnsi="Symbol" w:cs="Times New Roman" w:hint="default"/>
        <w:sz w:val="20"/>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48215766"/>
    <w:multiLevelType w:val="multilevel"/>
    <w:tmpl w:val="3DE4D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B50F35"/>
    <w:multiLevelType w:val="hybridMultilevel"/>
    <w:tmpl w:val="3BA0D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6E2152"/>
    <w:multiLevelType w:val="hybridMultilevel"/>
    <w:tmpl w:val="F01E4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46336F"/>
    <w:multiLevelType w:val="hybridMultilevel"/>
    <w:tmpl w:val="DF7E6174"/>
    <w:lvl w:ilvl="0" w:tplc="1256B15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DF759E"/>
    <w:multiLevelType w:val="hybridMultilevel"/>
    <w:tmpl w:val="08167CB0"/>
    <w:lvl w:ilvl="0" w:tplc="04090001">
      <w:start w:val="1"/>
      <w:numFmt w:val="bullet"/>
      <w:lvlText w:val=""/>
      <w:lvlJc w:val="left"/>
      <w:pPr>
        <w:ind w:left="720" w:hanging="360"/>
      </w:pPr>
      <w:rPr>
        <w:rFonts w:ascii="Symbol" w:hAnsi="Symbol" w:hint="default"/>
        <w:color w:val="auto"/>
      </w:rPr>
    </w:lvl>
    <w:lvl w:ilvl="1" w:tplc="E1F28ADA">
      <w:numFmt w:val="bullet"/>
      <w:lvlText w:val=""/>
      <w:lvlJc w:val="left"/>
      <w:pPr>
        <w:ind w:left="1440" w:hanging="360"/>
      </w:pPr>
      <w:rPr>
        <w:rFonts w:ascii="Symbol" w:eastAsia="Times New Roman" w:hAnsi="Symbol" w:cs="Times New Roman" w:hint="default"/>
        <w:sz w:val="20"/>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21214A1"/>
    <w:multiLevelType w:val="hybridMultilevel"/>
    <w:tmpl w:val="4E905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9D55DB"/>
    <w:multiLevelType w:val="multilevel"/>
    <w:tmpl w:val="04EC2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92421A"/>
    <w:multiLevelType w:val="hybridMultilevel"/>
    <w:tmpl w:val="1F2A1A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504519"/>
    <w:multiLevelType w:val="hybridMultilevel"/>
    <w:tmpl w:val="159EC604"/>
    <w:lvl w:ilvl="0" w:tplc="123285EA">
      <w:numFmt w:val="bullet"/>
      <w:lvlText w:val=""/>
      <w:lvlJc w:val="left"/>
      <w:pPr>
        <w:ind w:left="720" w:hanging="360"/>
      </w:pPr>
      <w:rPr>
        <w:rFonts w:ascii="Symbol" w:eastAsiaTheme="minorHAnsi" w:hAnsi="Symbol" w:cstheme="minorBidi" w:hint="default"/>
        <w:color w:val="auto"/>
      </w:rPr>
    </w:lvl>
    <w:lvl w:ilvl="1" w:tplc="E1F28ADA">
      <w:numFmt w:val="bullet"/>
      <w:lvlText w:val=""/>
      <w:lvlJc w:val="left"/>
      <w:pPr>
        <w:ind w:left="1440" w:hanging="360"/>
      </w:pPr>
      <w:rPr>
        <w:rFonts w:ascii="Symbol" w:eastAsia="Times New Roman" w:hAnsi="Symbol" w:cs="Times New Roman" w:hint="default"/>
        <w:sz w:val="20"/>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B5444DF"/>
    <w:multiLevelType w:val="hybridMultilevel"/>
    <w:tmpl w:val="A9FEF432"/>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22" w15:restartNumberingAfterBreak="0">
    <w:nsid w:val="6E4217B4"/>
    <w:multiLevelType w:val="hybridMultilevel"/>
    <w:tmpl w:val="2E2E174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76D461F3"/>
    <w:multiLevelType w:val="hybridMultilevel"/>
    <w:tmpl w:val="FA7AA46C"/>
    <w:lvl w:ilvl="0" w:tplc="451EF67A">
      <w:start w:val="1"/>
      <w:numFmt w:val="bullet"/>
      <w:lvlText w:val=""/>
      <w:lvlJc w:val="left"/>
      <w:pPr>
        <w:ind w:left="720" w:hanging="360"/>
      </w:pPr>
      <w:rPr>
        <w:rFonts w:ascii="Symbol" w:hAnsi="Symbol" w:hint="default"/>
      </w:rPr>
    </w:lvl>
    <w:lvl w:ilvl="1" w:tplc="6BB4453E">
      <w:start w:val="1"/>
      <w:numFmt w:val="bullet"/>
      <w:lvlText w:val="o"/>
      <w:lvlJc w:val="left"/>
      <w:pPr>
        <w:ind w:left="1440" w:hanging="360"/>
      </w:pPr>
      <w:rPr>
        <w:rFonts w:ascii="Courier New" w:hAnsi="Courier New" w:hint="default"/>
      </w:rPr>
    </w:lvl>
    <w:lvl w:ilvl="2" w:tplc="D4EE36EC">
      <w:start w:val="1"/>
      <w:numFmt w:val="bullet"/>
      <w:lvlText w:val=""/>
      <w:lvlJc w:val="left"/>
      <w:pPr>
        <w:ind w:left="2160" w:hanging="360"/>
      </w:pPr>
      <w:rPr>
        <w:rFonts w:ascii="Wingdings" w:hAnsi="Wingdings" w:hint="default"/>
      </w:rPr>
    </w:lvl>
    <w:lvl w:ilvl="3" w:tplc="666C98B6">
      <w:start w:val="1"/>
      <w:numFmt w:val="bullet"/>
      <w:lvlText w:val=""/>
      <w:lvlJc w:val="left"/>
      <w:pPr>
        <w:ind w:left="2880" w:hanging="360"/>
      </w:pPr>
      <w:rPr>
        <w:rFonts w:ascii="Symbol" w:hAnsi="Symbol" w:hint="default"/>
      </w:rPr>
    </w:lvl>
    <w:lvl w:ilvl="4" w:tplc="12023A32">
      <w:start w:val="1"/>
      <w:numFmt w:val="bullet"/>
      <w:lvlText w:val="o"/>
      <w:lvlJc w:val="left"/>
      <w:pPr>
        <w:ind w:left="3600" w:hanging="360"/>
      </w:pPr>
      <w:rPr>
        <w:rFonts w:ascii="Courier New" w:hAnsi="Courier New" w:hint="default"/>
      </w:rPr>
    </w:lvl>
    <w:lvl w:ilvl="5" w:tplc="0AD0143C">
      <w:start w:val="1"/>
      <w:numFmt w:val="bullet"/>
      <w:lvlText w:val=""/>
      <w:lvlJc w:val="left"/>
      <w:pPr>
        <w:ind w:left="4320" w:hanging="360"/>
      </w:pPr>
      <w:rPr>
        <w:rFonts w:ascii="Wingdings" w:hAnsi="Wingdings" w:hint="default"/>
      </w:rPr>
    </w:lvl>
    <w:lvl w:ilvl="6" w:tplc="C33E9770">
      <w:start w:val="1"/>
      <w:numFmt w:val="bullet"/>
      <w:lvlText w:val=""/>
      <w:lvlJc w:val="left"/>
      <w:pPr>
        <w:ind w:left="5040" w:hanging="360"/>
      </w:pPr>
      <w:rPr>
        <w:rFonts w:ascii="Symbol" w:hAnsi="Symbol" w:hint="default"/>
      </w:rPr>
    </w:lvl>
    <w:lvl w:ilvl="7" w:tplc="2A9CF4C4">
      <w:start w:val="1"/>
      <w:numFmt w:val="bullet"/>
      <w:lvlText w:val="o"/>
      <w:lvlJc w:val="left"/>
      <w:pPr>
        <w:ind w:left="5760" w:hanging="360"/>
      </w:pPr>
      <w:rPr>
        <w:rFonts w:ascii="Courier New" w:hAnsi="Courier New" w:hint="default"/>
      </w:rPr>
    </w:lvl>
    <w:lvl w:ilvl="8" w:tplc="BAAE5E96">
      <w:start w:val="1"/>
      <w:numFmt w:val="bullet"/>
      <w:lvlText w:val=""/>
      <w:lvlJc w:val="left"/>
      <w:pPr>
        <w:ind w:left="6480" w:hanging="360"/>
      </w:pPr>
      <w:rPr>
        <w:rFonts w:ascii="Wingdings" w:hAnsi="Wingdings" w:hint="default"/>
      </w:rPr>
    </w:lvl>
  </w:abstractNum>
  <w:abstractNum w:abstractNumId="24" w15:restartNumberingAfterBreak="0">
    <w:nsid w:val="78CC75AA"/>
    <w:multiLevelType w:val="multilevel"/>
    <w:tmpl w:val="91EEB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EA7755"/>
    <w:multiLevelType w:val="hybridMultilevel"/>
    <w:tmpl w:val="E9F270C0"/>
    <w:lvl w:ilvl="0" w:tplc="D95C28FE">
      <w:start w:val="1"/>
      <w:numFmt w:val="bullet"/>
      <w:pStyle w:val="FACE-BulletBlue"/>
      <w:lvlText w:val=""/>
      <w:lvlJc w:val="left"/>
      <w:pPr>
        <w:ind w:left="6030" w:hanging="360"/>
      </w:pPr>
      <w:rPr>
        <w:rFonts w:ascii="Symbol" w:hAnsi="Symbol" w:hint="default"/>
      </w:rPr>
    </w:lvl>
    <w:lvl w:ilvl="1" w:tplc="04090003" w:tentative="1">
      <w:start w:val="1"/>
      <w:numFmt w:val="bullet"/>
      <w:lvlText w:val="o"/>
      <w:lvlJc w:val="left"/>
      <w:pPr>
        <w:ind w:left="6750" w:hanging="360"/>
      </w:pPr>
      <w:rPr>
        <w:rFonts w:ascii="Courier New" w:hAnsi="Courier New" w:cs="Courier New" w:hint="default"/>
      </w:rPr>
    </w:lvl>
    <w:lvl w:ilvl="2" w:tplc="04090005" w:tentative="1">
      <w:start w:val="1"/>
      <w:numFmt w:val="bullet"/>
      <w:lvlText w:val=""/>
      <w:lvlJc w:val="left"/>
      <w:pPr>
        <w:ind w:left="7470" w:hanging="360"/>
      </w:pPr>
      <w:rPr>
        <w:rFonts w:ascii="Wingdings" w:hAnsi="Wingdings" w:hint="default"/>
      </w:rPr>
    </w:lvl>
    <w:lvl w:ilvl="3" w:tplc="04090001" w:tentative="1">
      <w:start w:val="1"/>
      <w:numFmt w:val="bullet"/>
      <w:lvlText w:val=""/>
      <w:lvlJc w:val="left"/>
      <w:pPr>
        <w:ind w:left="8190" w:hanging="360"/>
      </w:pPr>
      <w:rPr>
        <w:rFonts w:ascii="Symbol" w:hAnsi="Symbol" w:hint="default"/>
      </w:rPr>
    </w:lvl>
    <w:lvl w:ilvl="4" w:tplc="04090003" w:tentative="1">
      <w:start w:val="1"/>
      <w:numFmt w:val="bullet"/>
      <w:lvlText w:val="o"/>
      <w:lvlJc w:val="left"/>
      <w:pPr>
        <w:ind w:left="8910" w:hanging="360"/>
      </w:pPr>
      <w:rPr>
        <w:rFonts w:ascii="Courier New" w:hAnsi="Courier New" w:cs="Courier New" w:hint="default"/>
      </w:rPr>
    </w:lvl>
    <w:lvl w:ilvl="5" w:tplc="04090005" w:tentative="1">
      <w:start w:val="1"/>
      <w:numFmt w:val="bullet"/>
      <w:lvlText w:val=""/>
      <w:lvlJc w:val="left"/>
      <w:pPr>
        <w:ind w:left="9630" w:hanging="360"/>
      </w:pPr>
      <w:rPr>
        <w:rFonts w:ascii="Wingdings" w:hAnsi="Wingdings" w:hint="default"/>
      </w:rPr>
    </w:lvl>
    <w:lvl w:ilvl="6" w:tplc="04090001" w:tentative="1">
      <w:start w:val="1"/>
      <w:numFmt w:val="bullet"/>
      <w:lvlText w:val=""/>
      <w:lvlJc w:val="left"/>
      <w:pPr>
        <w:ind w:left="10350" w:hanging="360"/>
      </w:pPr>
      <w:rPr>
        <w:rFonts w:ascii="Symbol" w:hAnsi="Symbol" w:hint="default"/>
      </w:rPr>
    </w:lvl>
    <w:lvl w:ilvl="7" w:tplc="04090003" w:tentative="1">
      <w:start w:val="1"/>
      <w:numFmt w:val="bullet"/>
      <w:lvlText w:val="o"/>
      <w:lvlJc w:val="left"/>
      <w:pPr>
        <w:ind w:left="11070" w:hanging="360"/>
      </w:pPr>
      <w:rPr>
        <w:rFonts w:ascii="Courier New" w:hAnsi="Courier New" w:cs="Courier New" w:hint="default"/>
      </w:rPr>
    </w:lvl>
    <w:lvl w:ilvl="8" w:tplc="04090005" w:tentative="1">
      <w:start w:val="1"/>
      <w:numFmt w:val="bullet"/>
      <w:lvlText w:val=""/>
      <w:lvlJc w:val="left"/>
      <w:pPr>
        <w:ind w:left="11790" w:hanging="360"/>
      </w:pPr>
      <w:rPr>
        <w:rFonts w:ascii="Wingdings" w:hAnsi="Wingdings" w:hint="default"/>
      </w:rPr>
    </w:lvl>
  </w:abstractNum>
  <w:num w:numId="1">
    <w:abstractNumId w:val="23"/>
  </w:num>
  <w:num w:numId="2">
    <w:abstractNumId w:val="4"/>
  </w:num>
  <w:num w:numId="3">
    <w:abstractNumId w:val="0"/>
  </w:num>
  <w:num w:numId="4">
    <w:abstractNumId w:val="20"/>
  </w:num>
  <w:num w:numId="5">
    <w:abstractNumId w:val="11"/>
  </w:num>
  <w:num w:numId="6">
    <w:abstractNumId w:val="10"/>
  </w:num>
  <w:num w:numId="7">
    <w:abstractNumId w:val="15"/>
  </w:num>
  <w:num w:numId="8">
    <w:abstractNumId w:val="21"/>
  </w:num>
  <w:num w:numId="9">
    <w:abstractNumId w:val="22"/>
  </w:num>
  <w:num w:numId="10">
    <w:abstractNumId w:val="25"/>
  </w:num>
  <w:num w:numId="11">
    <w:abstractNumId w:val="19"/>
  </w:num>
  <w:num w:numId="12">
    <w:abstractNumId w:val="14"/>
  </w:num>
  <w:num w:numId="13">
    <w:abstractNumId w:val="2"/>
  </w:num>
  <w:num w:numId="14">
    <w:abstractNumId w:val="5"/>
  </w:num>
  <w:num w:numId="15">
    <w:abstractNumId w:val="6"/>
  </w:num>
  <w:num w:numId="16">
    <w:abstractNumId w:val="18"/>
  </w:num>
  <w:num w:numId="17">
    <w:abstractNumId w:val="8"/>
  </w:num>
  <w:num w:numId="18">
    <w:abstractNumId w:val="24"/>
  </w:num>
  <w:num w:numId="19">
    <w:abstractNumId w:val="12"/>
  </w:num>
  <w:num w:numId="20">
    <w:abstractNumId w:val="1"/>
  </w:num>
  <w:num w:numId="21">
    <w:abstractNumId w:val="7"/>
  </w:num>
  <w:num w:numId="22">
    <w:abstractNumId w:val="9"/>
  </w:num>
  <w:num w:numId="23">
    <w:abstractNumId w:val="3"/>
  </w:num>
  <w:num w:numId="24">
    <w:abstractNumId w:val="16"/>
  </w:num>
  <w:num w:numId="25">
    <w:abstractNumId w:val="13"/>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E306A79"/>
    <w:rsid w:val="00020403"/>
    <w:rsid w:val="00021D31"/>
    <w:rsid w:val="00027D66"/>
    <w:rsid w:val="00040695"/>
    <w:rsid w:val="00042CDA"/>
    <w:rsid w:val="000455A5"/>
    <w:rsid w:val="00062395"/>
    <w:rsid w:val="00072D04"/>
    <w:rsid w:val="000776B7"/>
    <w:rsid w:val="00083C52"/>
    <w:rsid w:val="00095086"/>
    <w:rsid w:val="00097195"/>
    <w:rsid w:val="000A1328"/>
    <w:rsid w:val="000A640C"/>
    <w:rsid w:val="000B785D"/>
    <w:rsid w:val="000B7CA6"/>
    <w:rsid w:val="00102092"/>
    <w:rsid w:val="00105629"/>
    <w:rsid w:val="00117C02"/>
    <w:rsid w:val="00132205"/>
    <w:rsid w:val="00142950"/>
    <w:rsid w:val="001432D0"/>
    <w:rsid w:val="00161917"/>
    <w:rsid w:val="00170546"/>
    <w:rsid w:val="0019251E"/>
    <w:rsid w:val="001954CA"/>
    <w:rsid w:val="001959F6"/>
    <w:rsid w:val="001A4F87"/>
    <w:rsid w:val="001C4DA5"/>
    <w:rsid w:val="001D3E11"/>
    <w:rsid w:val="001D6591"/>
    <w:rsid w:val="00200727"/>
    <w:rsid w:val="00220877"/>
    <w:rsid w:val="002374C3"/>
    <w:rsid w:val="002426EE"/>
    <w:rsid w:val="00246739"/>
    <w:rsid w:val="00257F63"/>
    <w:rsid w:val="00263243"/>
    <w:rsid w:val="00263DED"/>
    <w:rsid w:val="00290A35"/>
    <w:rsid w:val="00295B76"/>
    <w:rsid w:val="002C0B8C"/>
    <w:rsid w:val="002E53A2"/>
    <w:rsid w:val="002F1235"/>
    <w:rsid w:val="00310C66"/>
    <w:rsid w:val="00354DC5"/>
    <w:rsid w:val="0035709E"/>
    <w:rsid w:val="00385BBA"/>
    <w:rsid w:val="003950F6"/>
    <w:rsid w:val="003B2FA9"/>
    <w:rsid w:val="003D0FE4"/>
    <w:rsid w:val="003E0050"/>
    <w:rsid w:val="003F39C7"/>
    <w:rsid w:val="004032C4"/>
    <w:rsid w:val="004045C8"/>
    <w:rsid w:val="00417A3B"/>
    <w:rsid w:val="00427776"/>
    <w:rsid w:val="004612C4"/>
    <w:rsid w:val="004746BF"/>
    <w:rsid w:val="00480529"/>
    <w:rsid w:val="00487520"/>
    <w:rsid w:val="00493D00"/>
    <w:rsid w:val="004B289A"/>
    <w:rsid w:val="004B4A78"/>
    <w:rsid w:val="004B621F"/>
    <w:rsid w:val="004D294C"/>
    <w:rsid w:val="004D34D6"/>
    <w:rsid w:val="004E5C61"/>
    <w:rsid w:val="004F233B"/>
    <w:rsid w:val="00512F99"/>
    <w:rsid w:val="0051326B"/>
    <w:rsid w:val="0051570C"/>
    <w:rsid w:val="00532C53"/>
    <w:rsid w:val="00542131"/>
    <w:rsid w:val="00551C09"/>
    <w:rsid w:val="00565A53"/>
    <w:rsid w:val="005679F1"/>
    <w:rsid w:val="005B7B1C"/>
    <w:rsid w:val="005C2440"/>
    <w:rsid w:val="005C69BF"/>
    <w:rsid w:val="005D0E57"/>
    <w:rsid w:val="005E0D24"/>
    <w:rsid w:val="005E6228"/>
    <w:rsid w:val="005E6D90"/>
    <w:rsid w:val="00601751"/>
    <w:rsid w:val="00620BDB"/>
    <w:rsid w:val="00624E93"/>
    <w:rsid w:val="00630C53"/>
    <w:rsid w:val="00662068"/>
    <w:rsid w:val="00667C7C"/>
    <w:rsid w:val="006907C3"/>
    <w:rsid w:val="00694969"/>
    <w:rsid w:val="006A1A4C"/>
    <w:rsid w:val="006C6004"/>
    <w:rsid w:val="006D1F7E"/>
    <w:rsid w:val="006E3F22"/>
    <w:rsid w:val="007155FD"/>
    <w:rsid w:val="00724A82"/>
    <w:rsid w:val="00730CF0"/>
    <w:rsid w:val="007474C1"/>
    <w:rsid w:val="0075087F"/>
    <w:rsid w:val="007663AF"/>
    <w:rsid w:val="00766439"/>
    <w:rsid w:val="007A59CF"/>
    <w:rsid w:val="007C2E9A"/>
    <w:rsid w:val="007E614F"/>
    <w:rsid w:val="007F0B48"/>
    <w:rsid w:val="0081139E"/>
    <w:rsid w:val="00824B6D"/>
    <w:rsid w:val="00846253"/>
    <w:rsid w:val="00886D06"/>
    <w:rsid w:val="00896302"/>
    <w:rsid w:val="008A5909"/>
    <w:rsid w:val="008B1E3C"/>
    <w:rsid w:val="008B418D"/>
    <w:rsid w:val="008C0D1C"/>
    <w:rsid w:val="008E2FFE"/>
    <w:rsid w:val="008E6BFE"/>
    <w:rsid w:val="008F114C"/>
    <w:rsid w:val="008F4640"/>
    <w:rsid w:val="00914196"/>
    <w:rsid w:val="009324EA"/>
    <w:rsid w:val="00950A77"/>
    <w:rsid w:val="009538C0"/>
    <w:rsid w:val="0095440D"/>
    <w:rsid w:val="00954C28"/>
    <w:rsid w:val="009603EC"/>
    <w:rsid w:val="009605D0"/>
    <w:rsid w:val="009756A8"/>
    <w:rsid w:val="009B2E05"/>
    <w:rsid w:val="00A14572"/>
    <w:rsid w:val="00A20BC8"/>
    <w:rsid w:val="00A24E99"/>
    <w:rsid w:val="00A31323"/>
    <w:rsid w:val="00A471D7"/>
    <w:rsid w:val="00A553E6"/>
    <w:rsid w:val="00A728A8"/>
    <w:rsid w:val="00A75F11"/>
    <w:rsid w:val="00A84A3A"/>
    <w:rsid w:val="00A8628B"/>
    <w:rsid w:val="00AA6809"/>
    <w:rsid w:val="00AB18D1"/>
    <w:rsid w:val="00AB770F"/>
    <w:rsid w:val="00AC05D0"/>
    <w:rsid w:val="00AC12AB"/>
    <w:rsid w:val="00AD2768"/>
    <w:rsid w:val="00AE2CA7"/>
    <w:rsid w:val="00B00479"/>
    <w:rsid w:val="00B062EE"/>
    <w:rsid w:val="00B07504"/>
    <w:rsid w:val="00B16AC4"/>
    <w:rsid w:val="00B6044C"/>
    <w:rsid w:val="00B729AA"/>
    <w:rsid w:val="00B8215D"/>
    <w:rsid w:val="00B83124"/>
    <w:rsid w:val="00B85F68"/>
    <w:rsid w:val="00B8681B"/>
    <w:rsid w:val="00B95A50"/>
    <w:rsid w:val="00BA1E77"/>
    <w:rsid w:val="00BA6D9D"/>
    <w:rsid w:val="00BB0ED9"/>
    <w:rsid w:val="00BB3051"/>
    <w:rsid w:val="00BD3C11"/>
    <w:rsid w:val="00BD47B3"/>
    <w:rsid w:val="00BE19C8"/>
    <w:rsid w:val="00BE7159"/>
    <w:rsid w:val="00C04576"/>
    <w:rsid w:val="00C11B15"/>
    <w:rsid w:val="00C20EF6"/>
    <w:rsid w:val="00C379BE"/>
    <w:rsid w:val="00C4001A"/>
    <w:rsid w:val="00C43275"/>
    <w:rsid w:val="00C4723B"/>
    <w:rsid w:val="00C74BD3"/>
    <w:rsid w:val="00C74E55"/>
    <w:rsid w:val="00C76613"/>
    <w:rsid w:val="00C876F6"/>
    <w:rsid w:val="00C90DF8"/>
    <w:rsid w:val="00CB4A89"/>
    <w:rsid w:val="00CD378D"/>
    <w:rsid w:val="00CE1F2A"/>
    <w:rsid w:val="00CE64D1"/>
    <w:rsid w:val="00D03E6D"/>
    <w:rsid w:val="00D05FC3"/>
    <w:rsid w:val="00D06405"/>
    <w:rsid w:val="00D106F6"/>
    <w:rsid w:val="00D56BAD"/>
    <w:rsid w:val="00D657A1"/>
    <w:rsid w:val="00D751EC"/>
    <w:rsid w:val="00D92FEF"/>
    <w:rsid w:val="00DA52AA"/>
    <w:rsid w:val="00DA657B"/>
    <w:rsid w:val="00DB1260"/>
    <w:rsid w:val="00DC0444"/>
    <w:rsid w:val="00DC1122"/>
    <w:rsid w:val="00DF3749"/>
    <w:rsid w:val="00DF6211"/>
    <w:rsid w:val="00E11678"/>
    <w:rsid w:val="00E26625"/>
    <w:rsid w:val="00E27141"/>
    <w:rsid w:val="00E34AF2"/>
    <w:rsid w:val="00E37A2B"/>
    <w:rsid w:val="00E40BF8"/>
    <w:rsid w:val="00E4169B"/>
    <w:rsid w:val="00E42B24"/>
    <w:rsid w:val="00E61C60"/>
    <w:rsid w:val="00E7037E"/>
    <w:rsid w:val="00E93B15"/>
    <w:rsid w:val="00E96A46"/>
    <w:rsid w:val="00EA1B58"/>
    <w:rsid w:val="00ED5D2B"/>
    <w:rsid w:val="00EE72EF"/>
    <w:rsid w:val="00F10FB2"/>
    <w:rsid w:val="00F2180F"/>
    <w:rsid w:val="00F22A99"/>
    <w:rsid w:val="00F45C12"/>
    <w:rsid w:val="00F53A81"/>
    <w:rsid w:val="00F61B9E"/>
    <w:rsid w:val="00F70AFB"/>
    <w:rsid w:val="00F75996"/>
    <w:rsid w:val="00FB04E8"/>
    <w:rsid w:val="00FC036C"/>
    <w:rsid w:val="00FC3F55"/>
    <w:rsid w:val="00FC6E44"/>
    <w:rsid w:val="00FC7552"/>
    <w:rsid w:val="00FD48CE"/>
    <w:rsid w:val="00FE057B"/>
    <w:rsid w:val="00FE27B1"/>
    <w:rsid w:val="00FF5CC7"/>
    <w:rsid w:val="37F9FAA2"/>
    <w:rsid w:val="5B4397C7"/>
    <w:rsid w:val="5E306A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306A79"/>
  <w15:docId w15:val="{24EEF997-81B5-413F-B468-2FFE29C89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563C1" w:themeColor="hyperlink"/>
      <w:u w:val="single"/>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ListParagraph">
    <w:name w:val="List Paragraph"/>
    <w:basedOn w:val="Normal"/>
    <w:uiPriority w:val="34"/>
    <w:qFormat/>
    <w:pPr>
      <w:ind w:left="720"/>
      <w:contextualSpacing/>
    </w:pPr>
  </w:style>
  <w:style w:type="paragraph" w:styleId="EndnoteText">
    <w:name w:val="endnote text"/>
    <w:basedOn w:val="Normal"/>
    <w:link w:val="EndnoteTextChar"/>
    <w:uiPriority w:val="99"/>
    <w:semiHidden/>
    <w:unhideWhenUsed/>
    <w:rsid w:val="00FC6E4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C6E44"/>
    <w:rPr>
      <w:sz w:val="20"/>
      <w:szCs w:val="20"/>
    </w:rPr>
  </w:style>
  <w:style w:type="character" w:styleId="EndnoteReference">
    <w:name w:val="endnote reference"/>
    <w:basedOn w:val="DefaultParagraphFont"/>
    <w:uiPriority w:val="99"/>
    <w:semiHidden/>
    <w:unhideWhenUsed/>
    <w:rsid w:val="00FC6E44"/>
    <w:rPr>
      <w:vertAlign w:val="superscript"/>
    </w:rPr>
  </w:style>
  <w:style w:type="paragraph" w:styleId="BodyTextIndent">
    <w:name w:val="Body Text Indent"/>
    <w:link w:val="BodyTextIndentChar"/>
    <w:uiPriority w:val="99"/>
    <w:unhideWhenUsed/>
    <w:rsid w:val="00FC6E44"/>
    <w:pPr>
      <w:spacing w:after="120" w:line="240" w:lineRule="auto"/>
      <w:ind w:left="360"/>
    </w:pPr>
    <w:rPr>
      <w:rFonts w:ascii="Times New Roman" w:eastAsia="Times New Roman" w:hAnsi="Times New Roman" w:cs="Times New Roman"/>
      <w:color w:val="3E3A37"/>
      <w:kern w:val="28"/>
      <w:sz w:val="20"/>
      <w:szCs w:val="20"/>
      <w14:ligatures w14:val="standard"/>
      <w14:cntxtAlts/>
    </w:rPr>
  </w:style>
  <w:style w:type="character" w:customStyle="1" w:styleId="BodyTextIndentChar">
    <w:name w:val="Body Text Indent Char"/>
    <w:basedOn w:val="DefaultParagraphFont"/>
    <w:link w:val="BodyTextIndent"/>
    <w:uiPriority w:val="99"/>
    <w:rsid w:val="00FC6E44"/>
    <w:rPr>
      <w:rFonts w:ascii="Times New Roman" w:eastAsia="Times New Roman" w:hAnsi="Times New Roman" w:cs="Times New Roman"/>
      <w:color w:val="3E3A37"/>
      <w:kern w:val="28"/>
      <w:sz w:val="20"/>
      <w:szCs w:val="20"/>
      <w14:ligatures w14:val="standard"/>
      <w14:cntxtAlts/>
    </w:rPr>
  </w:style>
  <w:style w:type="character" w:customStyle="1" w:styleId="UnresolvedMention1">
    <w:name w:val="Unresolved Mention1"/>
    <w:basedOn w:val="DefaultParagraphFont"/>
    <w:uiPriority w:val="99"/>
    <w:semiHidden/>
    <w:unhideWhenUsed/>
    <w:rsid w:val="00FC7552"/>
    <w:rPr>
      <w:color w:val="605E5C"/>
      <w:shd w:val="clear" w:color="auto" w:fill="E1DFDD"/>
    </w:rPr>
  </w:style>
  <w:style w:type="paragraph" w:customStyle="1" w:styleId="FACE-BulletBlue">
    <w:name w:val="FACE-Bullet(Blue)"/>
    <w:autoRedefine/>
    <w:qFormat/>
    <w:rsid w:val="00766439"/>
    <w:pPr>
      <w:numPr>
        <w:numId w:val="10"/>
      </w:numPr>
      <w:spacing w:after="0" w:line="240" w:lineRule="auto"/>
      <w:ind w:left="360"/>
    </w:pPr>
    <w:rPr>
      <w:rFonts w:ascii="Calibri" w:eastAsia="Times New Roman" w:hAnsi="Calibri" w:cs="Times New Roman"/>
      <w:iCs/>
      <w:color w:val="4D4D4C"/>
    </w:rPr>
  </w:style>
  <w:style w:type="character" w:styleId="CommentReference">
    <w:name w:val="annotation reference"/>
    <w:basedOn w:val="DefaultParagraphFont"/>
    <w:uiPriority w:val="99"/>
    <w:semiHidden/>
    <w:unhideWhenUsed/>
    <w:rsid w:val="00E11678"/>
    <w:rPr>
      <w:sz w:val="16"/>
      <w:szCs w:val="16"/>
    </w:rPr>
  </w:style>
  <w:style w:type="paragraph" w:styleId="CommentText">
    <w:name w:val="annotation text"/>
    <w:basedOn w:val="Normal"/>
    <w:link w:val="CommentTextChar"/>
    <w:uiPriority w:val="99"/>
    <w:semiHidden/>
    <w:unhideWhenUsed/>
    <w:rsid w:val="00E11678"/>
    <w:pPr>
      <w:spacing w:line="240" w:lineRule="auto"/>
    </w:pPr>
    <w:rPr>
      <w:sz w:val="20"/>
      <w:szCs w:val="20"/>
    </w:rPr>
  </w:style>
  <w:style w:type="character" w:customStyle="1" w:styleId="CommentTextChar">
    <w:name w:val="Comment Text Char"/>
    <w:basedOn w:val="DefaultParagraphFont"/>
    <w:link w:val="CommentText"/>
    <w:uiPriority w:val="99"/>
    <w:semiHidden/>
    <w:rsid w:val="00E11678"/>
    <w:rPr>
      <w:sz w:val="20"/>
      <w:szCs w:val="20"/>
    </w:rPr>
  </w:style>
  <w:style w:type="paragraph" w:styleId="CommentSubject">
    <w:name w:val="annotation subject"/>
    <w:basedOn w:val="CommentText"/>
    <w:next w:val="CommentText"/>
    <w:link w:val="CommentSubjectChar"/>
    <w:uiPriority w:val="99"/>
    <w:semiHidden/>
    <w:unhideWhenUsed/>
    <w:rsid w:val="00E11678"/>
    <w:rPr>
      <w:b/>
      <w:bCs/>
    </w:rPr>
  </w:style>
  <w:style w:type="character" w:customStyle="1" w:styleId="CommentSubjectChar">
    <w:name w:val="Comment Subject Char"/>
    <w:basedOn w:val="CommentTextChar"/>
    <w:link w:val="CommentSubject"/>
    <w:uiPriority w:val="99"/>
    <w:semiHidden/>
    <w:rsid w:val="00E11678"/>
    <w:rPr>
      <w:b/>
      <w:bCs/>
      <w:sz w:val="20"/>
      <w:szCs w:val="20"/>
    </w:rPr>
  </w:style>
  <w:style w:type="paragraph" w:styleId="BalloonText">
    <w:name w:val="Balloon Text"/>
    <w:basedOn w:val="Normal"/>
    <w:link w:val="BalloonTextChar"/>
    <w:uiPriority w:val="99"/>
    <w:semiHidden/>
    <w:unhideWhenUsed/>
    <w:rsid w:val="00E116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1678"/>
    <w:rPr>
      <w:rFonts w:ascii="Segoe UI" w:hAnsi="Segoe UI" w:cs="Segoe UI"/>
      <w:sz w:val="18"/>
      <w:szCs w:val="18"/>
    </w:rPr>
  </w:style>
  <w:style w:type="paragraph" w:styleId="Revision">
    <w:name w:val="Revision"/>
    <w:hidden/>
    <w:uiPriority w:val="99"/>
    <w:semiHidden/>
    <w:rsid w:val="00B83124"/>
    <w:pPr>
      <w:spacing w:after="0" w:line="240" w:lineRule="auto"/>
    </w:pPr>
  </w:style>
  <w:style w:type="character" w:customStyle="1" w:styleId="UnresolvedMention2">
    <w:name w:val="Unresolved Mention2"/>
    <w:basedOn w:val="DefaultParagraphFont"/>
    <w:uiPriority w:val="99"/>
    <w:semiHidden/>
    <w:unhideWhenUsed/>
    <w:rsid w:val="001D3E11"/>
    <w:rPr>
      <w:color w:val="605E5C"/>
      <w:shd w:val="clear" w:color="auto" w:fill="E1DFDD"/>
    </w:rPr>
  </w:style>
  <w:style w:type="paragraph" w:styleId="NormalWeb">
    <w:name w:val="Normal (Web)"/>
    <w:basedOn w:val="Normal"/>
    <w:uiPriority w:val="99"/>
    <w:semiHidden/>
    <w:unhideWhenUsed/>
    <w:rsid w:val="005C69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3">
    <w:name w:val="Unresolved Mention3"/>
    <w:basedOn w:val="DefaultParagraphFont"/>
    <w:uiPriority w:val="99"/>
    <w:semiHidden/>
    <w:unhideWhenUsed/>
    <w:rsid w:val="00FC3F55"/>
    <w:rPr>
      <w:color w:val="605E5C"/>
      <w:shd w:val="clear" w:color="auto" w:fill="E1DFDD"/>
    </w:rPr>
  </w:style>
  <w:style w:type="character" w:styleId="FollowedHyperlink">
    <w:name w:val="FollowedHyperlink"/>
    <w:basedOn w:val="DefaultParagraphFont"/>
    <w:uiPriority w:val="99"/>
    <w:semiHidden/>
    <w:unhideWhenUsed/>
    <w:rsid w:val="00CB4A89"/>
    <w:rPr>
      <w:color w:val="954F72" w:themeColor="followedHyperlink"/>
      <w:u w:val="single"/>
    </w:rPr>
  </w:style>
  <w:style w:type="character" w:styleId="UnresolvedMention">
    <w:name w:val="Unresolved Mention"/>
    <w:basedOn w:val="DefaultParagraphFont"/>
    <w:uiPriority w:val="99"/>
    <w:semiHidden/>
    <w:unhideWhenUsed/>
    <w:rsid w:val="008A5909"/>
    <w:rPr>
      <w:color w:val="605E5C"/>
      <w:shd w:val="clear" w:color="auto" w:fill="E1DFDD"/>
    </w:rPr>
  </w:style>
  <w:style w:type="paragraph" w:styleId="Header">
    <w:name w:val="header"/>
    <w:basedOn w:val="Normal"/>
    <w:link w:val="HeaderChar"/>
    <w:uiPriority w:val="99"/>
    <w:unhideWhenUsed/>
    <w:rsid w:val="00FF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5CC7"/>
  </w:style>
  <w:style w:type="paragraph" w:styleId="Footer">
    <w:name w:val="footer"/>
    <w:basedOn w:val="Normal"/>
    <w:link w:val="FooterChar"/>
    <w:uiPriority w:val="99"/>
    <w:unhideWhenUsed/>
    <w:rsid w:val="00FF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5CC7"/>
  </w:style>
  <w:style w:type="character" w:customStyle="1" w:styleId="jsgrdq">
    <w:name w:val="jsgrdq"/>
    <w:basedOn w:val="DefaultParagraphFont"/>
    <w:rsid w:val="000A13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88396">
      <w:bodyDiv w:val="1"/>
      <w:marLeft w:val="0"/>
      <w:marRight w:val="0"/>
      <w:marTop w:val="0"/>
      <w:marBottom w:val="0"/>
      <w:divBdr>
        <w:top w:val="none" w:sz="0" w:space="0" w:color="auto"/>
        <w:left w:val="none" w:sz="0" w:space="0" w:color="auto"/>
        <w:bottom w:val="none" w:sz="0" w:space="0" w:color="auto"/>
        <w:right w:val="none" w:sz="0" w:space="0" w:color="auto"/>
      </w:divBdr>
    </w:div>
    <w:div w:id="404379255">
      <w:bodyDiv w:val="1"/>
      <w:marLeft w:val="0"/>
      <w:marRight w:val="0"/>
      <w:marTop w:val="0"/>
      <w:marBottom w:val="0"/>
      <w:divBdr>
        <w:top w:val="none" w:sz="0" w:space="0" w:color="auto"/>
        <w:left w:val="none" w:sz="0" w:space="0" w:color="auto"/>
        <w:bottom w:val="none" w:sz="0" w:space="0" w:color="auto"/>
        <w:right w:val="none" w:sz="0" w:space="0" w:color="auto"/>
      </w:divBdr>
    </w:div>
    <w:div w:id="511265252">
      <w:bodyDiv w:val="1"/>
      <w:marLeft w:val="0"/>
      <w:marRight w:val="0"/>
      <w:marTop w:val="0"/>
      <w:marBottom w:val="0"/>
      <w:divBdr>
        <w:top w:val="none" w:sz="0" w:space="0" w:color="auto"/>
        <w:left w:val="none" w:sz="0" w:space="0" w:color="auto"/>
        <w:bottom w:val="none" w:sz="0" w:space="0" w:color="auto"/>
        <w:right w:val="none" w:sz="0" w:space="0" w:color="auto"/>
      </w:divBdr>
    </w:div>
    <w:div w:id="572081628">
      <w:bodyDiv w:val="1"/>
      <w:marLeft w:val="0"/>
      <w:marRight w:val="0"/>
      <w:marTop w:val="0"/>
      <w:marBottom w:val="0"/>
      <w:divBdr>
        <w:top w:val="none" w:sz="0" w:space="0" w:color="auto"/>
        <w:left w:val="none" w:sz="0" w:space="0" w:color="auto"/>
        <w:bottom w:val="none" w:sz="0" w:space="0" w:color="auto"/>
        <w:right w:val="none" w:sz="0" w:space="0" w:color="auto"/>
      </w:divBdr>
    </w:div>
    <w:div w:id="664553139">
      <w:bodyDiv w:val="1"/>
      <w:marLeft w:val="0"/>
      <w:marRight w:val="0"/>
      <w:marTop w:val="0"/>
      <w:marBottom w:val="0"/>
      <w:divBdr>
        <w:top w:val="none" w:sz="0" w:space="0" w:color="auto"/>
        <w:left w:val="none" w:sz="0" w:space="0" w:color="auto"/>
        <w:bottom w:val="none" w:sz="0" w:space="0" w:color="auto"/>
        <w:right w:val="none" w:sz="0" w:space="0" w:color="auto"/>
      </w:divBdr>
    </w:div>
    <w:div w:id="721371122">
      <w:bodyDiv w:val="1"/>
      <w:marLeft w:val="0"/>
      <w:marRight w:val="0"/>
      <w:marTop w:val="0"/>
      <w:marBottom w:val="0"/>
      <w:divBdr>
        <w:top w:val="none" w:sz="0" w:space="0" w:color="auto"/>
        <w:left w:val="none" w:sz="0" w:space="0" w:color="auto"/>
        <w:bottom w:val="none" w:sz="0" w:space="0" w:color="auto"/>
        <w:right w:val="none" w:sz="0" w:space="0" w:color="auto"/>
      </w:divBdr>
    </w:div>
    <w:div w:id="741488842">
      <w:bodyDiv w:val="1"/>
      <w:marLeft w:val="0"/>
      <w:marRight w:val="0"/>
      <w:marTop w:val="0"/>
      <w:marBottom w:val="0"/>
      <w:divBdr>
        <w:top w:val="none" w:sz="0" w:space="0" w:color="auto"/>
        <w:left w:val="none" w:sz="0" w:space="0" w:color="auto"/>
        <w:bottom w:val="none" w:sz="0" w:space="0" w:color="auto"/>
        <w:right w:val="none" w:sz="0" w:space="0" w:color="auto"/>
      </w:divBdr>
    </w:div>
    <w:div w:id="942300731">
      <w:bodyDiv w:val="1"/>
      <w:marLeft w:val="0"/>
      <w:marRight w:val="0"/>
      <w:marTop w:val="0"/>
      <w:marBottom w:val="0"/>
      <w:divBdr>
        <w:top w:val="none" w:sz="0" w:space="0" w:color="auto"/>
        <w:left w:val="none" w:sz="0" w:space="0" w:color="auto"/>
        <w:bottom w:val="none" w:sz="0" w:space="0" w:color="auto"/>
        <w:right w:val="none" w:sz="0" w:space="0" w:color="auto"/>
      </w:divBdr>
    </w:div>
    <w:div w:id="1143504571">
      <w:bodyDiv w:val="1"/>
      <w:marLeft w:val="0"/>
      <w:marRight w:val="0"/>
      <w:marTop w:val="0"/>
      <w:marBottom w:val="0"/>
      <w:divBdr>
        <w:top w:val="none" w:sz="0" w:space="0" w:color="auto"/>
        <w:left w:val="none" w:sz="0" w:space="0" w:color="auto"/>
        <w:bottom w:val="none" w:sz="0" w:space="0" w:color="auto"/>
        <w:right w:val="none" w:sz="0" w:space="0" w:color="auto"/>
      </w:divBdr>
    </w:div>
    <w:div w:id="1229224318">
      <w:bodyDiv w:val="1"/>
      <w:marLeft w:val="0"/>
      <w:marRight w:val="0"/>
      <w:marTop w:val="0"/>
      <w:marBottom w:val="0"/>
      <w:divBdr>
        <w:top w:val="none" w:sz="0" w:space="0" w:color="auto"/>
        <w:left w:val="none" w:sz="0" w:space="0" w:color="auto"/>
        <w:bottom w:val="none" w:sz="0" w:space="0" w:color="auto"/>
        <w:right w:val="none" w:sz="0" w:space="0" w:color="auto"/>
      </w:divBdr>
    </w:div>
    <w:div w:id="1321469956">
      <w:bodyDiv w:val="1"/>
      <w:marLeft w:val="0"/>
      <w:marRight w:val="0"/>
      <w:marTop w:val="0"/>
      <w:marBottom w:val="0"/>
      <w:divBdr>
        <w:top w:val="none" w:sz="0" w:space="0" w:color="auto"/>
        <w:left w:val="none" w:sz="0" w:space="0" w:color="auto"/>
        <w:bottom w:val="none" w:sz="0" w:space="0" w:color="auto"/>
        <w:right w:val="none" w:sz="0" w:space="0" w:color="auto"/>
      </w:divBdr>
    </w:div>
    <w:div w:id="1406799228">
      <w:bodyDiv w:val="1"/>
      <w:marLeft w:val="0"/>
      <w:marRight w:val="0"/>
      <w:marTop w:val="0"/>
      <w:marBottom w:val="0"/>
      <w:divBdr>
        <w:top w:val="none" w:sz="0" w:space="0" w:color="auto"/>
        <w:left w:val="none" w:sz="0" w:space="0" w:color="auto"/>
        <w:bottom w:val="none" w:sz="0" w:space="0" w:color="auto"/>
        <w:right w:val="none" w:sz="0" w:space="0" w:color="auto"/>
      </w:divBdr>
    </w:div>
    <w:div w:id="1515803718">
      <w:bodyDiv w:val="1"/>
      <w:marLeft w:val="0"/>
      <w:marRight w:val="0"/>
      <w:marTop w:val="0"/>
      <w:marBottom w:val="0"/>
      <w:divBdr>
        <w:top w:val="none" w:sz="0" w:space="0" w:color="auto"/>
        <w:left w:val="none" w:sz="0" w:space="0" w:color="auto"/>
        <w:bottom w:val="none" w:sz="0" w:space="0" w:color="auto"/>
        <w:right w:val="none" w:sz="0" w:space="0" w:color="auto"/>
      </w:divBdr>
    </w:div>
    <w:div w:id="1536502175">
      <w:bodyDiv w:val="1"/>
      <w:marLeft w:val="0"/>
      <w:marRight w:val="0"/>
      <w:marTop w:val="0"/>
      <w:marBottom w:val="0"/>
      <w:divBdr>
        <w:top w:val="none" w:sz="0" w:space="0" w:color="auto"/>
        <w:left w:val="none" w:sz="0" w:space="0" w:color="auto"/>
        <w:bottom w:val="none" w:sz="0" w:space="0" w:color="auto"/>
        <w:right w:val="none" w:sz="0" w:space="0" w:color="auto"/>
      </w:divBdr>
    </w:div>
    <w:div w:id="1624918008">
      <w:bodyDiv w:val="1"/>
      <w:marLeft w:val="0"/>
      <w:marRight w:val="0"/>
      <w:marTop w:val="0"/>
      <w:marBottom w:val="0"/>
      <w:divBdr>
        <w:top w:val="none" w:sz="0" w:space="0" w:color="auto"/>
        <w:left w:val="none" w:sz="0" w:space="0" w:color="auto"/>
        <w:bottom w:val="none" w:sz="0" w:space="0" w:color="auto"/>
        <w:right w:val="none" w:sz="0" w:space="0" w:color="auto"/>
      </w:divBdr>
    </w:div>
    <w:div w:id="1644844535">
      <w:bodyDiv w:val="1"/>
      <w:marLeft w:val="0"/>
      <w:marRight w:val="0"/>
      <w:marTop w:val="0"/>
      <w:marBottom w:val="0"/>
      <w:divBdr>
        <w:top w:val="none" w:sz="0" w:space="0" w:color="auto"/>
        <w:left w:val="none" w:sz="0" w:space="0" w:color="auto"/>
        <w:bottom w:val="none" w:sz="0" w:space="0" w:color="auto"/>
        <w:right w:val="none" w:sz="0" w:space="0" w:color="auto"/>
      </w:divBdr>
    </w:div>
    <w:div w:id="1916892670">
      <w:bodyDiv w:val="1"/>
      <w:marLeft w:val="0"/>
      <w:marRight w:val="0"/>
      <w:marTop w:val="0"/>
      <w:marBottom w:val="0"/>
      <w:divBdr>
        <w:top w:val="none" w:sz="0" w:space="0" w:color="auto"/>
        <w:left w:val="none" w:sz="0" w:space="0" w:color="auto"/>
        <w:bottom w:val="none" w:sz="0" w:space="0" w:color="auto"/>
        <w:right w:val="none" w:sz="0" w:space="0" w:color="auto"/>
      </w:divBdr>
    </w:div>
    <w:div w:id="2065595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face@mass.gov"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dc.gov/niosh/motorvehicle" TargetMode="External"/><Relationship Id="rId4" Type="http://schemas.openxmlformats.org/officeDocument/2006/relationships/settings" Target="settings.xml"/><Relationship Id="rId9" Type="http://schemas.openxmlformats.org/officeDocument/2006/relationships/hyperlink" Target="https://www.osha.gov/tree-care"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DPH-FP-CO-121.EHS.govt.state.ma.us\DPH2\BHISRE\OHSP\OHSPMAIL\CFOI\Reports\Updates\2018-2019%20Update\CFOI%20Analysis%202018-2019%20Update.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5566055661823386"/>
          <c:y val="0.16179460023637396"/>
          <c:w val="0.71776828603971676"/>
          <c:h val="0.53411551626222165"/>
        </c:manualLayout>
      </c:layout>
      <c:barChart>
        <c:barDir val="col"/>
        <c:grouping val="clustered"/>
        <c:varyColors val="0"/>
        <c:ser>
          <c:idx val="0"/>
          <c:order val="0"/>
          <c:spPr>
            <a:solidFill>
              <a:schemeClr val="tx1"/>
            </a:solidFill>
            <a:ln w="25400">
              <a:noFill/>
            </a:ln>
          </c:spPr>
          <c:invertIfNegative val="0"/>
          <c:dLbls>
            <c:numFmt formatCode="#,##0.0" sourceLinked="0"/>
            <c:spPr>
              <a:noFill/>
              <a:ln w="25400">
                <a:noFill/>
              </a:ln>
            </c:spPr>
            <c:txPr>
              <a:bodyPr/>
              <a:lstStyle/>
              <a:p>
                <a:pPr>
                  <a:defRPr sz="1200" b="1" i="0" u="none" strike="noStrike" baseline="0">
                    <a:solidFill>
                      <a:sysClr val="windowText" lastClr="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'Figure 1 annual rate'!$N$124:$R$124</c:f>
              <c:numCache>
                <c:formatCode>General</c:formatCode>
                <c:ptCount val="5"/>
                <c:pt idx="0">
                  <c:v>2015</c:v>
                </c:pt>
                <c:pt idx="1">
                  <c:v>2016</c:v>
                </c:pt>
                <c:pt idx="2">
                  <c:v>2017</c:v>
                </c:pt>
                <c:pt idx="3">
                  <c:v>2018</c:v>
                </c:pt>
                <c:pt idx="4">
                  <c:v>2019</c:v>
                </c:pt>
              </c:numCache>
            </c:numRef>
          </c:cat>
          <c:val>
            <c:numRef>
              <c:f>'Figure 1 annual rate'!$N$128:$R$128</c:f>
              <c:numCache>
                <c:formatCode>0.0</c:formatCode>
                <c:ptCount val="5"/>
                <c:pt idx="0">
                  <c:v>2.2004171863424888</c:v>
                </c:pt>
                <c:pt idx="1">
                  <c:v>3.3446827522381759</c:v>
                </c:pt>
                <c:pt idx="2">
                  <c:v>3.2515684301608259</c:v>
                </c:pt>
                <c:pt idx="3">
                  <c:v>2.7587546636603903</c:v>
                </c:pt>
                <c:pt idx="4">
                  <c:v>2.36691125688905</c:v>
                </c:pt>
              </c:numCache>
            </c:numRef>
          </c:val>
          <c:extLst>
            <c:ext xmlns:c16="http://schemas.microsoft.com/office/drawing/2014/chart" uri="{C3380CC4-5D6E-409C-BE32-E72D297353CC}">
              <c16:uniqueId val="{00000000-AD34-4DA1-BAFA-A228110E6505}"/>
            </c:ext>
          </c:extLst>
        </c:ser>
        <c:dLbls>
          <c:showLegendKey val="0"/>
          <c:showVal val="0"/>
          <c:showCatName val="0"/>
          <c:showSerName val="0"/>
          <c:showPercent val="0"/>
          <c:showBubbleSize val="0"/>
        </c:dLbls>
        <c:gapWidth val="150"/>
        <c:axId val="430399792"/>
        <c:axId val="1"/>
      </c:barChart>
      <c:catAx>
        <c:axId val="430399792"/>
        <c:scaling>
          <c:orientation val="minMax"/>
        </c:scaling>
        <c:delete val="0"/>
        <c:axPos val="b"/>
        <c:title>
          <c:tx>
            <c:rich>
              <a:bodyPr/>
              <a:lstStyle/>
              <a:p>
                <a:pPr>
                  <a:defRPr/>
                </a:pPr>
                <a:r>
                  <a:rPr lang="en-US"/>
                  <a:t>Year</a:t>
                </a:r>
              </a:p>
            </c:rich>
          </c:tx>
          <c:overlay val="0"/>
        </c:title>
        <c:numFmt formatCode="General" sourceLinked="1"/>
        <c:majorTickMark val="out"/>
        <c:minorTickMark val="none"/>
        <c:tickLblPos val="nextTo"/>
        <c:spPr>
          <a:ln w="3175">
            <a:solidFill>
              <a:srgbClr val="000000"/>
            </a:solidFill>
            <a:prstDash val="solid"/>
          </a:ln>
        </c:spPr>
        <c:txPr>
          <a:bodyPr rot="0" vert="horz"/>
          <a:lstStyle/>
          <a:p>
            <a:pPr>
              <a:defRPr sz="1200" b="1" i="0" u="none" strike="noStrike" baseline="0">
                <a:solidFill>
                  <a:srgbClr val="000000"/>
                </a:solidFill>
                <a:latin typeface="Arial"/>
                <a:ea typeface="Arial"/>
                <a:cs typeface="Arial"/>
              </a:defRPr>
            </a:pPr>
            <a:endParaRPr lang="en-US"/>
          </a:p>
        </c:txPr>
        <c:crossAx val="1"/>
        <c:crossesAt val="0"/>
        <c:auto val="1"/>
        <c:lblAlgn val="ctr"/>
        <c:lblOffset val="100"/>
        <c:tickLblSkip val="1"/>
        <c:tickMarkSkip val="1"/>
        <c:noMultiLvlLbl val="0"/>
      </c:catAx>
      <c:valAx>
        <c:axId val="1"/>
        <c:scaling>
          <c:orientation val="minMax"/>
          <c:min val="0"/>
        </c:scaling>
        <c:delete val="0"/>
        <c:axPos val="l"/>
        <c:title>
          <c:tx>
            <c:rich>
              <a:bodyPr/>
              <a:lstStyle/>
              <a:p>
                <a:pPr>
                  <a:defRPr/>
                </a:pPr>
                <a:r>
                  <a:rPr lang="en-US"/>
                  <a:t>Rate</a:t>
                </a:r>
              </a:p>
            </c:rich>
          </c:tx>
          <c:overlay val="0"/>
        </c:title>
        <c:numFmt formatCode="#,##0.0" sourceLinked="0"/>
        <c:majorTickMark val="out"/>
        <c:minorTickMark val="none"/>
        <c:tickLblPos val="nextTo"/>
        <c:spPr>
          <a:ln w="3175">
            <a:solidFill>
              <a:srgbClr val="000000"/>
            </a:solidFill>
            <a:prstDash val="solid"/>
          </a:ln>
        </c:spPr>
        <c:txPr>
          <a:bodyPr rot="0" vert="horz"/>
          <a:lstStyle/>
          <a:p>
            <a:pPr>
              <a:defRPr sz="1200" b="1" i="0" u="none" strike="noStrike" baseline="0">
                <a:solidFill>
                  <a:srgbClr val="000000"/>
                </a:solidFill>
                <a:latin typeface="Arial"/>
                <a:ea typeface="Arial"/>
                <a:cs typeface="Arial"/>
              </a:defRPr>
            </a:pPr>
            <a:endParaRPr lang="en-US"/>
          </a:p>
        </c:txPr>
        <c:crossAx val="430399792"/>
        <c:crossesAt val="1"/>
        <c:crossBetween val="between"/>
        <c:majorUnit val="1"/>
      </c:valAx>
      <c:spPr>
        <a:noFill/>
        <a:ln w="25400">
          <a:noFill/>
        </a:ln>
      </c:spPr>
    </c:plotArea>
    <c:plotVisOnly val="1"/>
    <c:dispBlanksAs val="gap"/>
    <c:showDLblsOverMax val="0"/>
  </c:chart>
  <c:spPr>
    <a:solidFill>
      <a:srgbClr val="FFFFFF"/>
    </a:solidFill>
    <a:ln w="9525">
      <a:noFill/>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742ABD-5750-4C5E-91E7-991F4067C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5806</TotalTime>
  <Pages>12</Pages>
  <Words>4426</Words>
  <Characters>25232</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Laing</dc:creator>
  <cp:keywords/>
  <dc:description/>
  <cp:lastModifiedBy>Laing, James (DPH)</cp:lastModifiedBy>
  <cp:revision>9</cp:revision>
  <dcterms:created xsi:type="dcterms:W3CDTF">2021-11-12T15:34:00Z</dcterms:created>
  <dcterms:modified xsi:type="dcterms:W3CDTF">2021-12-08T16:35:00Z</dcterms:modified>
</cp:coreProperties>
</file>