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4E" w:rsidRPr="00AE78C2" w:rsidRDefault="0058467D" w:rsidP="001A6834">
      <w:pPr>
        <w:rPr>
          <w:b/>
          <w:color w:val="365F91"/>
          <w:sz w:val="28"/>
          <w:szCs w:val="28"/>
        </w:rPr>
      </w:pPr>
      <w:bookmarkStart w:id="0" w:name="_GoBack"/>
      <w:bookmarkEnd w:id="0"/>
      <w:r w:rsidRPr="00AE78C2">
        <w:rPr>
          <w:b/>
          <w:color w:val="365F91"/>
          <w:sz w:val="28"/>
          <w:szCs w:val="28"/>
        </w:rPr>
        <w:t xml:space="preserve">Introduction </w:t>
      </w:r>
    </w:p>
    <w:p w:rsidR="004E7ADD" w:rsidRPr="00AE78C2" w:rsidRDefault="004E7ADD" w:rsidP="001A6834">
      <w:pPr>
        <w:rPr>
          <w:b/>
          <w:color w:val="000000"/>
          <w:sz w:val="22"/>
          <w:szCs w:val="22"/>
        </w:rPr>
      </w:pPr>
    </w:p>
    <w:p w:rsidR="002A0D6D" w:rsidRPr="00AE78C2" w:rsidRDefault="002A0D6D" w:rsidP="002A0D6D">
      <w:pPr>
        <w:rPr>
          <w:color w:val="000000"/>
          <w:szCs w:val="22"/>
        </w:rPr>
      </w:pPr>
      <w:r w:rsidRPr="00AE78C2">
        <w:rPr>
          <w:color w:val="000000"/>
          <w:szCs w:val="22"/>
        </w:rPr>
        <w:t>The effect of preventable</w:t>
      </w:r>
      <w:r w:rsidRPr="00AE78C2">
        <w:rPr>
          <w:color w:val="000000"/>
          <w:sz w:val="28"/>
        </w:rPr>
        <w:t xml:space="preserve"> </w:t>
      </w:r>
      <w:r w:rsidRPr="00AE78C2">
        <w:rPr>
          <w:color w:val="000000"/>
          <w:szCs w:val="22"/>
        </w:rPr>
        <w:t>healthcare-associated infections (HAIs) on patients and families, and the associated cost to the healthcare system, are prominent national and Massachusetts concerns. HAIs are infections that patients acquire within a healthcare setting while receiving treatment for other conditions. HAIs are among the leading causes of preventable death in the United States, affecting 1 in 25 hospitalized patients, accounting for an estimated 722,000 infections and an associated 75,000 deaths during hospitalization.</w:t>
      </w:r>
      <w:r w:rsidR="007B15BA" w:rsidRPr="00AE78C2">
        <w:rPr>
          <w:rStyle w:val="EndnoteReference"/>
          <w:color w:val="000000"/>
          <w:szCs w:val="22"/>
        </w:rPr>
        <w:endnoteReference w:id="1"/>
      </w:r>
      <w:r w:rsidRPr="00AE78C2">
        <w:rPr>
          <w:color w:val="000000"/>
          <w:szCs w:val="22"/>
        </w:rPr>
        <w:t xml:space="preserve">  These infections not only have a negative personal impact on patients and their families, they also contribute to the nation’s escalating healthcare costs. </w:t>
      </w:r>
      <w:r w:rsidR="00866076" w:rsidRPr="00AE78C2">
        <w:rPr>
          <w:color w:val="000000"/>
          <w:szCs w:val="22"/>
        </w:rPr>
        <w:t xml:space="preserve">HAIs result in additional costs to the healthcare system that range </w:t>
      </w:r>
      <w:r w:rsidRPr="00AE78C2">
        <w:rPr>
          <w:color w:val="000000"/>
          <w:szCs w:val="22"/>
        </w:rPr>
        <w:t>anywhere from $28 to 45 billion dollars each year</w:t>
      </w:r>
      <w:r w:rsidR="00866076" w:rsidRPr="00AE78C2">
        <w:rPr>
          <w:color w:val="000000"/>
          <w:szCs w:val="22"/>
        </w:rPr>
        <w:t xml:space="preserve"> in the United States</w:t>
      </w:r>
      <w:r w:rsidR="007B15BA" w:rsidRPr="00AE78C2">
        <w:rPr>
          <w:color w:val="000000"/>
          <w:szCs w:val="22"/>
        </w:rPr>
        <w:t>.</w:t>
      </w:r>
      <w:r w:rsidRPr="00AE78C2">
        <w:rPr>
          <w:rStyle w:val="EndnoteReference"/>
          <w:color w:val="000000"/>
          <w:szCs w:val="22"/>
        </w:rPr>
        <w:endnoteReference w:id="2"/>
      </w:r>
    </w:p>
    <w:p w:rsidR="002A0D6D" w:rsidRPr="00AE78C2" w:rsidRDefault="002A0D6D" w:rsidP="001A6834">
      <w:pPr>
        <w:rPr>
          <w:color w:val="000000"/>
          <w:szCs w:val="22"/>
        </w:rPr>
      </w:pPr>
    </w:p>
    <w:p w:rsidR="00112380" w:rsidRPr="00AE78C2" w:rsidRDefault="00112380" w:rsidP="001A6834">
      <w:pPr>
        <w:rPr>
          <w:color w:val="000000"/>
          <w:szCs w:val="22"/>
        </w:rPr>
      </w:pPr>
      <w:r w:rsidRPr="00AE78C2">
        <w:rPr>
          <w:color w:val="000000"/>
          <w:szCs w:val="22"/>
        </w:rPr>
        <w:t xml:space="preserve">Overuse of antibiotics contributes to the problem of HAIs by </w:t>
      </w:r>
      <w:r w:rsidR="007B15BA" w:rsidRPr="00AE78C2">
        <w:rPr>
          <w:color w:val="000000"/>
          <w:szCs w:val="22"/>
        </w:rPr>
        <w:t xml:space="preserve">selecting for </w:t>
      </w:r>
      <w:r w:rsidRPr="00AE78C2">
        <w:rPr>
          <w:color w:val="000000"/>
          <w:szCs w:val="22"/>
        </w:rPr>
        <w:t xml:space="preserve">the emergence of antibiotic resistant (AR) organisms that cause HAIs and are difficult to treat, limit treatment options and may prolong a patient’s length of stay in a healthcare facility.  A 2013 CDC report estimated that more than two million people are affected </w:t>
      </w:r>
      <w:r w:rsidR="007B15BA" w:rsidRPr="00AE78C2">
        <w:rPr>
          <w:color w:val="000000"/>
          <w:szCs w:val="22"/>
        </w:rPr>
        <w:t xml:space="preserve">by </w:t>
      </w:r>
      <w:r w:rsidRPr="00AE78C2">
        <w:rPr>
          <w:color w:val="000000"/>
          <w:szCs w:val="22"/>
        </w:rPr>
        <w:t>antibiotic resistant infections annually in the United States, resulting in at least 23,000 deaths. In addition to the effect on human life, antibiotic resistant infections add significant avoidable costs to the overburdened U.S. healthcare system. CDC estimates the annual impact of antibiotic resistant infections on the U.S. economy is $20 – 35 billion in excess direct healthcare costs, with additional costs to society for lost productivity -- as high as $35 billion per year with eight million additional hospital days.   AR is driven by the appropriate and inappropriate use of antimicrobials for human and animal health</w:t>
      </w:r>
      <w:r w:rsidR="007B15BA" w:rsidRPr="00AE78C2">
        <w:rPr>
          <w:color w:val="000000"/>
          <w:szCs w:val="22"/>
        </w:rPr>
        <w:t>,</w:t>
      </w:r>
      <w:r w:rsidRPr="00AE78C2">
        <w:rPr>
          <w:color w:val="000000"/>
          <w:szCs w:val="22"/>
        </w:rPr>
        <w:t xml:space="preserve"> and food production, as well as inadequate measures to control the spread of infection in healthcare settings.  </w:t>
      </w:r>
      <w:r w:rsidR="00B07C04" w:rsidRPr="00AE78C2">
        <w:rPr>
          <w:color w:val="000000"/>
          <w:szCs w:val="22"/>
        </w:rPr>
        <w:t>Up to 50% of hospitalized patients are on antibiotics,</w:t>
      </w:r>
      <w:r w:rsidR="00B07C04" w:rsidRPr="00AE78C2">
        <w:rPr>
          <w:rStyle w:val="EndnoteReference"/>
          <w:color w:val="000000"/>
          <w:szCs w:val="22"/>
        </w:rPr>
        <w:endnoteReference w:id="3"/>
      </w:r>
      <w:r w:rsidR="00B07C04" w:rsidRPr="00AE78C2">
        <w:rPr>
          <w:color w:val="000000"/>
          <w:szCs w:val="22"/>
        </w:rPr>
        <w:t xml:space="preserve"> and u</w:t>
      </w:r>
      <w:r w:rsidRPr="00AE78C2">
        <w:rPr>
          <w:color w:val="000000"/>
          <w:szCs w:val="22"/>
        </w:rPr>
        <w:t xml:space="preserve">p to </w:t>
      </w:r>
      <w:r w:rsidR="00B07C04" w:rsidRPr="00AE78C2">
        <w:rPr>
          <w:color w:val="000000"/>
          <w:szCs w:val="22"/>
        </w:rPr>
        <w:t>30-</w:t>
      </w:r>
      <w:r w:rsidRPr="00AE78C2">
        <w:rPr>
          <w:color w:val="000000"/>
          <w:szCs w:val="22"/>
        </w:rPr>
        <w:t xml:space="preserve">50 percent of </w:t>
      </w:r>
      <w:r w:rsidR="00B07C04" w:rsidRPr="00AE78C2">
        <w:rPr>
          <w:color w:val="000000"/>
          <w:szCs w:val="22"/>
        </w:rPr>
        <w:t xml:space="preserve">this </w:t>
      </w:r>
      <w:r w:rsidRPr="00AE78C2">
        <w:rPr>
          <w:color w:val="000000"/>
          <w:szCs w:val="22"/>
        </w:rPr>
        <w:t>antimicrobial use in hospitals is unnecessary and inappropriate</w:t>
      </w:r>
      <w:r w:rsidR="00B07C04" w:rsidRPr="00AE78C2">
        <w:rPr>
          <w:rStyle w:val="EndnoteReference"/>
          <w:color w:val="000000"/>
          <w:szCs w:val="22"/>
        </w:rPr>
        <w:endnoteReference w:id="4"/>
      </w:r>
      <w:r w:rsidR="00B07C04" w:rsidRPr="00AE78C2">
        <w:rPr>
          <w:color w:val="000000"/>
          <w:szCs w:val="22"/>
        </w:rPr>
        <w:t>.</w:t>
      </w:r>
      <w:r w:rsidR="00015CBE" w:rsidRPr="00AE78C2">
        <w:rPr>
          <w:color w:val="000000"/>
          <w:szCs w:val="22"/>
        </w:rPr>
        <w:t xml:space="preserve"> </w:t>
      </w:r>
      <w:r w:rsidR="00B07C04" w:rsidRPr="00AE78C2">
        <w:rPr>
          <w:color w:val="000000"/>
          <w:szCs w:val="22"/>
        </w:rPr>
        <w:t>This contributes to emergence of resistance in infecting and colonizing microorganisms</w:t>
      </w:r>
      <w:r w:rsidR="00015CBE" w:rsidRPr="00AE78C2">
        <w:rPr>
          <w:color w:val="000000"/>
          <w:szCs w:val="22"/>
        </w:rPr>
        <w:t xml:space="preserve"> </w:t>
      </w:r>
      <w:r w:rsidRPr="00AE78C2">
        <w:rPr>
          <w:color w:val="000000"/>
          <w:szCs w:val="22"/>
        </w:rPr>
        <w:t xml:space="preserve">and also contributes to the growing problem of </w:t>
      </w:r>
      <w:r w:rsidRPr="00AE78C2">
        <w:rPr>
          <w:i/>
          <w:color w:val="000000"/>
          <w:szCs w:val="22"/>
        </w:rPr>
        <w:t>Clostridium difficile</w:t>
      </w:r>
      <w:r w:rsidRPr="00AE78C2">
        <w:rPr>
          <w:color w:val="000000"/>
          <w:szCs w:val="22"/>
        </w:rPr>
        <w:t xml:space="preserve"> infections.  A commitment to the responsible use of antibiotics is antimicrobial stewardship.</w:t>
      </w:r>
    </w:p>
    <w:p w:rsidR="00112380" w:rsidRPr="00AE78C2" w:rsidRDefault="00112380" w:rsidP="001A6834">
      <w:pPr>
        <w:rPr>
          <w:color w:val="000000"/>
          <w:szCs w:val="22"/>
        </w:rPr>
      </w:pPr>
    </w:p>
    <w:p w:rsidR="002A0D6D" w:rsidRPr="00AE78C2" w:rsidRDefault="002A0D6D" w:rsidP="001A6834">
      <w:pPr>
        <w:rPr>
          <w:color w:val="000000"/>
          <w:szCs w:val="22"/>
        </w:rPr>
      </w:pPr>
      <w:r w:rsidRPr="00AE78C2">
        <w:rPr>
          <w:color w:val="000000"/>
          <w:szCs w:val="22"/>
        </w:rPr>
        <w:t xml:space="preserve">Improving quality and safety </w:t>
      </w:r>
      <w:r w:rsidR="00866076" w:rsidRPr="00AE78C2">
        <w:rPr>
          <w:color w:val="000000"/>
          <w:szCs w:val="22"/>
        </w:rPr>
        <w:t xml:space="preserve">of the care patients receive </w:t>
      </w:r>
      <w:r w:rsidRPr="00AE78C2">
        <w:rPr>
          <w:color w:val="000000"/>
          <w:szCs w:val="22"/>
        </w:rPr>
        <w:t xml:space="preserve">while reducing cost is one of the leading challenges faced by the American healthcare system.  Acknowledging the need for a coordinated, statewide response to HAI, the Massachusetts Department of Public Health established a statewide infection prevention and control program with an emphasis on surveillance, mandatory public reporting of specific measures, support for prevention initiatives, outbreak investigation and the regulatory promotion of adherence to evidence-based best practices.  </w:t>
      </w:r>
      <w:r w:rsidR="00463DAC" w:rsidRPr="00AE78C2">
        <w:rPr>
          <w:color w:val="000000"/>
          <w:szCs w:val="22"/>
        </w:rPr>
        <w:t>In 2010</w:t>
      </w:r>
      <w:r w:rsidRPr="00AE78C2">
        <w:rPr>
          <w:color w:val="000000"/>
          <w:szCs w:val="22"/>
        </w:rPr>
        <w:t>,</w:t>
      </w:r>
      <w:r w:rsidR="00463DAC" w:rsidRPr="00AE78C2">
        <w:rPr>
          <w:color w:val="000000"/>
          <w:szCs w:val="22"/>
        </w:rPr>
        <w:t xml:space="preserve"> DPH developed a comprehensive statewide plan to address HAI.  The adoption of the Massachusetts State HAI Prevention Plan identified state –level prevention targets that are consistent with </w:t>
      </w:r>
      <w:r w:rsidRPr="00AE78C2">
        <w:rPr>
          <w:color w:val="000000"/>
          <w:szCs w:val="22"/>
        </w:rPr>
        <w:t>United States Department of Health</w:t>
      </w:r>
      <w:r w:rsidR="00463DAC" w:rsidRPr="00AE78C2">
        <w:rPr>
          <w:color w:val="000000"/>
          <w:szCs w:val="22"/>
        </w:rPr>
        <w:t xml:space="preserve"> and Human Services National and goals and objectives.  </w:t>
      </w:r>
    </w:p>
    <w:p w:rsidR="00866076" w:rsidRPr="00AE78C2" w:rsidRDefault="00866076" w:rsidP="001A6834">
      <w:pPr>
        <w:rPr>
          <w:color w:val="000000"/>
          <w:szCs w:val="22"/>
        </w:rPr>
      </w:pPr>
    </w:p>
    <w:p w:rsidR="002A0D6D" w:rsidRPr="00AE78C2" w:rsidRDefault="00866076" w:rsidP="001A6834">
      <w:pPr>
        <w:rPr>
          <w:color w:val="000000"/>
          <w:szCs w:val="22"/>
        </w:rPr>
      </w:pPr>
      <w:r w:rsidRPr="00AE78C2">
        <w:rPr>
          <w:color w:val="000000"/>
          <w:szCs w:val="22"/>
        </w:rPr>
        <w:t xml:space="preserve">Advancing the national and state goal of HAI elimination requires acknowledging the many recent MDPH improvements while recognizing that additional work is necessary.  The challenges of eliminating HAIs are multi-faceted and ongoing improvement </w:t>
      </w:r>
      <w:r w:rsidR="007762AC" w:rsidRPr="00AE78C2">
        <w:rPr>
          <w:color w:val="000000"/>
          <w:szCs w:val="22"/>
        </w:rPr>
        <w:t>requires coordination</w:t>
      </w:r>
      <w:r w:rsidRPr="00AE78C2">
        <w:rPr>
          <w:color w:val="000000"/>
          <w:szCs w:val="22"/>
        </w:rPr>
        <w:t xml:space="preserve"> of </w:t>
      </w:r>
      <w:r w:rsidR="007762AC" w:rsidRPr="00AE78C2">
        <w:rPr>
          <w:color w:val="000000"/>
          <w:szCs w:val="22"/>
        </w:rPr>
        <w:t>statewide efforts, l</w:t>
      </w:r>
      <w:r w:rsidRPr="00AE78C2">
        <w:rPr>
          <w:color w:val="000000"/>
          <w:szCs w:val="22"/>
        </w:rPr>
        <w:t>everaging current initiatives and expansion of efforts to additional settings of care.</w:t>
      </w:r>
      <w:r w:rsidRPr="00AE78C2">
        <w:rPr>
          <w:color w:val="365F91"/>
          <w:szCs w:val="22"/>
        </w:rPr>
        <w:t xml:space="preserve"> </w:t>
      </w:r>
      <w:r w:rsidRPr="00AE78C2">
        <w:rPr>
          <w:color w:val="000000"/>
          <w:szCs w:val="22"/>
        </w:rPr>
        <w:lastRenderedPageBreak/>
        <w:t>Sustainable success requires working collaboratively with identified local, regional and national partners and engaging new stakeholders with the shared priority of eliminating HAI</w:t>
      </w:r>
      <w:r w:rsidR="00F9157D" w:rsidRPr="00AE78C2">
        <w:rPr>
          <w:color w:val="000000"/>
          <w:szCs w:val="22"/>
        </w:rPr>
        <w:t>.</w:t>
      </w:r>
    </w:p>
    <w:p w:rsidR="00F9157D" w:rsidRPr="00AE78C2" w:rsidRDefault="00F9157D" w:rsidP="001A6834">
      <w:pPr>
        <w:rPr>
          <w:color w:val="000000"/>
          <w:szCs w:val="22"/>
        </w:rPr>
      </w:pPr>
    </w:p>
    <w:p w:rsidR="00F9157D" w:rsidRPr="00AE78C2" w:rsidRDefault="006C7A4E" w:rsidP="001A6834">
      <w:pPr>
        <w:rPr>
          <w:color w:val="000000"/>
          <w:sz w:val="22"/>
          <w:szCs w:val="22"/>
        </w:rPr>
      </w:pPr>
      <w:r w:rsidRPr="00AE78C2">
        <w:rPr>
          <w:color w:val="000000"/>
          <w:szCs w:val="22"/>
        </w:rPr>
        <w:t>This</w:t>
      </w:r>
      <w:r w:rsidR="00F9157D" w:rsidRPr="00AE78C2">
        <w:rPr>
          <w:color w:val="000000"/>
          <w:szCs w:val="22"/>
        </w:rPr>
        <w:t xml:space="preserve"> revision of the 2010 Massachusetts State HAI Prevention Plan</w:t>
      </w:r>
      <w:r w:rsidR="005F12A1" w:rsidRPr="00AE78C2">
        <w:rPr>
          <w:color w:val="000000"/>
          <w:szCs w:val="22"/>
        </w:rPr>
        <w:t>*</w:t>
      </w:r>
      <w:r w:rsidR="00F9157D" w:rsidRPr="00AE78C2">
        <w:rPr>
          <w:color w:val="000000"/>
          <w:szCs w:val="22"/>
        </w:rPr>
        <w:t xml:space="preserve"> provides an overview of the infec</w:t>
      </w:r>
      <w:r w:rsidR="00720B7D" w:rsidRPr="00AE78C2">
        <w:rPr>
          <w:color w:val="000000"/>
          <w:szCs w:val="22"/>
        </w:rPr>
        <w:t xml:space="preserve">tion prevention activities that have been </w:t>
      </w:r>
      <w:r w:rsidRPr="00AE78C2">
        <w:rPr>
          <w:color w:val="000000"/>
          <w:szCs w:val="22"/>
        </w:rPr>
        <w:t>accomplished</w:t>
      </w:r>
      <w:r w:rsidR="00720B7D" w:rsidRPr="00AE78C2">
        <w:rPr>
          <w:color w:val="000000"/>
          <w:szCs w:val="22"/>
        </w:rPr>
        <w:t xml:space="preserve"> as well as those that are planned for implementation. </w:t>
      </w:r>
      <w:r w:rsidRPr="00AE78C2">
        <w:rPr>
          <w:color w:val="000000"/>
          <w:szCs w:val="22"/>
        </w:rPr>
        <w:t xml:space="preserve"> </w:t>
      </w:r>
      <w:r w:rsidR="00B07C04" w:rsidRPr="00AE78C2">
        <w:rPr>
          <w:color w:val="000000"/>
          <w:szCs w:val="22"/>
        </w:rPr>
        <w:t xml:space="preserve">Activities </w:t>
      </w:r>
      <w:r w:rsidRPr="00AE78C2">
        <w:rPr>
          <w:color w:val="000000"/>
          <w:szCs w:val="22"/>
        </w:rPr>
        <w:t xml:space="preserve">in the plan are described as underway if DPH is currently addressing them.  </w:t>
      </w:r>
      <w:r w:rsidR="00B07C04" w:rsidRPr="00AE78C2">
        <w:rPr>
          <w:color w:val="000000"/>
          <w:szCs w:val="22"/>
        </w:rPr>
        <w:t xml:space="preserve">Activities </w:t>
      </w:r>
      <w:r w:rsidRPr="00AE78C2">
        <w:rPr>
          <w:color w:val="000000"/>
          <w:szCs w:val="22"/>
        </w:rPr>
        <w:t>described as planned are those MDPH would like to undertake contingent upon availability of resources and additional priorities.</w:t>
      </w:r>
      <w:r w:rsidRPr="00AE78C2">
        <w:rPr>
          <w:color w:val="000000"/>
          <w:sz w:val="22"/>
          <w:szCs w:val="22"/>
        </w:rPr>
        <w:t xml:space="preserve"> </w:t>
      </w:r>
    </w:p>
    <w:p w:rsidR="005F12A1" w:rsidRPr="00AE78C2" w:rsidRDefault="005F12A1" w:rsidP="005F12A1">
      <w:pPr>
        <w:rPr>
          <w:color w:val="000000"/>
        </w:rPr>
      </w:pPr>
    </w:p>
    <w:p w:rsidR="005F12A1" w:rsidRPr="00AE78C2" w:rsidRDefault="005F12A1" w:rsidP="005F12A1">
      <w:pPr>
        <w:rPr>
          <w:color w:val="000000"/>
        </w:rPr>
      </w:pPr>
      <w:r w:rsidRPr="00AE78C2">
        <w:rPr>
          <w:color w:val="000000"/>
        </w:rPr>
        <w:t xml:space="preserve">*The original Massachusetts Department of Public Health HAI Plan was submitted in </w:t>
      </w:r>
      <w:r w:rsidR="00D62A0E" w:rsidRPr="00AE78C2">
        <w:rPr>
          <w:color w:val="000000"/>
        </w:rPr>
        <w:t>December</w:t>
      </w:r>
      <w:r w:rsidRPr="00AE78C2">
        <w:rPr>
          <w:color w:val="000000"/>
        </w:rPr>
        <w:t xml:space="preserve"> 2009 and is available at: </w:t>
      </w:r>
      <w:r w:rsidR="000B20BD" w:rsidRPr="00AE78C2">
        <w:rPr>
          <w:color w:val="000000"/>
        </w:rPr>
        <w:t>http://www.mass.gov/eohhs/docs/dph/quality/healthc</w:t>
      </w:r>
      <w:r w:rsidR="00E35BD3" w:rsidRPr="00AE78C2">
        <w:rPr>
          <w:color w:val="000000"/>
        </w:rPr>
        <w:t>are/hai-plan-implamentation.pdf</w:t>
      </w:r>
      <w:r w:rsidRPr="00AE78C2">
        <w:rPr>
          <w:color w:val="000000"/>
        </w:rPr>
        <w:t>.</w:t>
      </w:r>
    </w:p>
    <w:p w:rsidR="005F12A1" w:rsidRPr="00AE78C2" w:rsidRDefault="005F12A1" w:rsidP="005F12A1">
      <w:pPr>
        <w:rPr>
          <w:color w:val="000000"/>
        </w:rPr>
      </w:pPr>
    </w:p>
    <w:p w:rsidR="00A8512C" w:rsidRPr="00AE78C2" w:rsidRDefault="00A8512C" w:rsidP="00A8512C">
      <w:pPr>
        <w:autoSpaceDE w:val="0"/>
        <w:autoSpaceDN w:val="0"/>
        <w:adjustRightInd w:val="0"/>
        <w:outlineLvl w:val="0"/>
        <w:rPr>
          <w:color w:val="365F91"/>
          <w:sz w:val="22"/>
          <w:szCs w:val="22"/>
        </w:rPr>
        <w:sectPr w:rsidR="00A8512C" w:rsidRPr="00AE78C2" w:rsidSect="00042757">
          <w:footerReference w:type="default" r:id="rId9"/>
          <w:type w:val="continuous"/>
          <w:pgSz w:w="15840" w:h="12240" w:orient="landscape"/>
          <w:pgMar w:top="1440" w:right="1440" w:bottom="1440" w:left="1440" w:header="720" w:footer="720" w:gutter="0"/>
          <w:cols w:space="720"/>
          <w:noEndnote/>
        </w:sectPr>
      </w:pPr>
    </w:p>
    <w:p w:rsidR="006214C9" w:rsidRPr="00AE78C2" w:rsidRDefault="005F12A1" w:rsidP="00A8512C">
      <w:pPr>
        <w:autoSpaceDE w:val="0"/>
        <w:autoSpaceDN w:val="0"/>
        <w:adjustRightInd w:val="0"/>
        <w:outlineLvl w:val="0"/>
        <w:rPr>
          <w:b/>
          <w:sz w:val="22"/>
          <w:szCs w:val="22"/>
        </w:rPr>
      </w:pPr>
      <w:r w:rsidRPr="00AE78C2">
        <w:rPr>
          <w:color w:val="365F91"/>
          <w:sz w:val="22"/>
          <w:szCs w:val="22"/>
        </w:rPr>
        <w:lastRenderedPageBreak/>
        <w:br w:type="page"/>
      </w:r>
      <w:r w:rsidR="00690A0A" w:rsidRPr="00AE78C2">
        <w:rPr>
          <w:b/>
          <w:sz w:val="22"/>
          <w:szCs w:val="22"/>
        </w:rPr>
        <w:lastRenderedPageBreak/>
        <w:t xml:space="preserve">1.  </w:t>
      </w:r>
      <w:r w:rsidR="003233CF" w:rsidRPr="00AE78C2">
        <w:rPr>
          <w:b/>
          <w:sz w:val="22"/>
          <w:szCs w:val="22"/>
        </w:rPr>
        <w:t>Enhance</w:t>
      </w:r>
      <w:r w:rsidR="00F62D54" w:rsidRPr="00AE78C2">
        <w:rPr>
          <w:b/>
          <w:sz w:val="22"/>
          <w:szCs w:val="22"/>
        </w:rPr>
        <w:t xml:space="preserve"> HAI program infrastructure</w:t>
      </w:r>
    </w:p>
    <w:p w:rsidR="00F025FB" w:rsidRPr="00AE78C2" w:rsidRDefault="00F025FB" w:rsidP="00494E16">
      <w:pPr>
        <w:rPr>
          <w:sz w:val="22"/>
          <w:szCs w:val="22"/>
        </w:rPr>
      </w:pPr>
    </w:p>
    <w:p w:rsidR="00374DF0" w:rsidRPr="00AE78C2" w:rsidRDefault="0043020B" w:rsidP="004663E3">
      <w:pPr>
        <w:rPr>
          <w:sz w:val="22"/>
          <w:szCs w:val="22"/>
        </w:rPr>
      </w:pPr>
      <w:r w:rsidRPr="00AE78C2">
        <w:rPr>
          <w:sz w:val="22"/>
          <w:szCs w:val="22"/>
        </w:rPr>
        <w:t xml:space="preserve">Successful HAI prevention requires close integration and collaboration with </w:t>
      </w:r>
      <w:r w:rsidR="00F74EC8" w:rsidRPr="00AE78C2">
        <w:rPr>
          <w:sz w:val="22"/>
          <w:szCs w:val="22"/>
        </w:rPr>
        <w:t>state</w:t>
      </w:r>
      <w:r w:rsidRPr="00AE78C2">
        <w:rPr>
          <w:sz w:val="22"/>
          <w:szCs w:val="22"/>
        </w:rPr>
        <w:t xml:space="preserve"> and local infection </w:t>
      </w:r>
      <w:r w:rsidR="00B35591" w:rsidRPr="00AE78C2">
        <w:rPr>
          <w:sz w:val="22"/>
          <w:szCs w:val="22"/>
        </w:rPr>
        <w:t xml:space="preserve">prevention activities </w:t>
      </w:r>
      <w:r w:rsidRPr="00AE78C2">
        <w:rPr>
          <w:sz w:val="22"/>
          <w:szCs w:val="22"/>
        </w:rPr>
        <w:t xml:space="preserve">and systems.  </w:t>
      </w:r>
      <w:r w:rsidR="004663E3" w:rsidRPr="00AE78C2">
        <w:rPr>
          <w:sz w:val="22"/>
          <w:szCs w:val="22"/>
        </w:rPr>
        <w:t xml:space="preserve">Consistency and compatibility of HAI data collected across </w:t>
      </w:r>
      <w:r w:rsidR="001D1F65" w:rsidRPr="00AE78C2">
        <w:rPr>
          <w:sz w:val="22"/>
          <w:szCs w:val="22"/>
        </w:rPr>
        <w:t>facilities</w:t>
      </w:r>
      <w:r w:rsidR="004663E3" w:rsidRPr="00AE78C2">
        <w:rPr>
          <w:sz w:val="22"/>
          <w:szCs w:val="22"/>
        </w:rPr>
        <w:t xml:space="preserve"> </w:t>
      </w:r>
      <w:r w:rsidRPr="00AE78C2">
        <w:rPr>
          <w:sz w:val="22"/>
          <w:szCs w:val="22"/>
        </w:rPr>
        <w:t>will allow</w:t>
      </w:r>
      <w:r w:rsidR="004663E3" w:rsidRPr="00AE78C2">
        <w:rPr>
          <w:sz w:val="22"/>
          <w:szCs w:val="22"/>
        </w:rPr>
        <w:t xml:space="preserve"> for greater success i</w:t>
      </w:r>
      <w:r w:rsidRPr="00AE78C2">
        <w:rPr>
          <w:sz w:val="22"/>
          <w:szCs w:val="22"/>
        </w:rPr>
        <w:t xml:space="preserve">n reaching </w:t>
      </w:r>
      <w:r w:rsidR="00F74EC8" w:rsidRPr="00AE78C2">
        <w:rPr>
          <w:sz w:val="22"/>
          <w:szCs w:val="22"/>
        </w:rPr>
        <w:t>state</w:t>
      </w:r>
      <w:r w:rsidRPr="00AE78C2">
        <w:rPr>
          <w:sz w:val="22"/>
          <w:szCs w:val="22"/>
        </w:rPr>
        <w:t xml:space="preserve"> and national goals.  Please select areas for development or enhancement o</w:t>
      </w:r>
      <w:r w:rsidR="002B3CB9" w:rsidRPr="00AE78C2">
        <w:rPr>
          <w:sz w:val="22"/>
          <w:szCs w:val="22"/>
        </w:rPr>
        <w:t xml:space="preserve">f </w:t>
      </w:r>
      <w:r w:rsidR="00F74EC8" w:rsidRPr="00AE78C2">
        <w:rPr>
          <w:sz w:val="22"/>
          <w:szCs w:val="22"/>
        </w:rPr>
        <w:t>state</w:t>
      </w:r>
      <w:r w:rsidR="002B3CB9" w:rsidRPr="00AE78C2">
        <w:rPr>
          <w:sz w:val="22"/>
          <w:szCs w:val="22"/>
        </w:rPr>
        <w:t xml:space="preserve"> HAI </w:t>
      </w:r>
      <w:r w:rsidR="00E62345" w:rsidRPr="00AE78C2">
        <w:rPr>
          <w:sz w:val="22"/>
          <w:szCs w:val="22"/>
        </w:rPr>
        <w:t>surveillance, prevention</w:t>
      </w:r>
      <w:r w:rsidR="00E119C2" w:rsidRPr="00AE78C2">
        <w:rPr>
          <w:sz w:val="22"/>
          <w:szCs w:val="22"/>
        </w:rPr>
        <w:t>,</w:t>
      </w:r>
      <w:r w:rsidR="00E62345" w:rsidRPr="00AE78C2">
        <w:rPr>
          <w:sz w:val="22"/>
          <w:szCs w:val="22"/>
        </w:rPr>
        <w:t xml:space="preserve"> and control </w:t>
      </w:r>
      <w:r w:rsidR="002B3CB9" w:rsidRPr="00AE78C2">
        <w:rPr>
          <w:sz w:val="22"/>
          <w:szCs w:val="22"/>
        </w:rPr>
        <w:t>efforts.</w:t>
      </w:r>
    </w:p>
    <w:p w:rsidR="00E43751" w:rsidRPr="00AE78C2" w:rsidRDefault="00374DF0" w:rsidP="004663E3">
      <w:pPr>
        <w:rPr>
          <w:sz w:val="22"/>
          <w:szCs w:val="22"/>
        </w:rPr>
      </w:pPr>
      <w:r w:rsidRPr="00AE78C2">
        <w:rPr>
          <w:sz w:val="22"/>
          <w:szCs w:val="22"/>
        </w:rPr>
        <w:br w:type="page"/>
      </w:r>
      <w:proofErr w:type="gramStart"/>
      <w:r w:rsidR="00F27230" w:rsidRPr="00AE78C2">
        <w:rPr>
          <w:b/>
          <w:sz w:val="22"/>
          <w:szCs w:val="22"/>
        </w:rPr>
        <w:lastRenderedPageBreak/>
        <w:t>Table 1:</w:t>
      </w:r>
      <w:r w:rsidR="00F27230" w:rsidRPr="00AE78C2">
        <w:rPr>
          <w:sz w:val="22"/>
          <w:szCs w:val="22"/>
        </w:rPr>
        <w:t xml:space="preserve"> </w:t>
      </w:r>
      <w:r w:rsidR="00F609FF" w:rsidRPr="00AE78C2">
        <w:rPr>
          <w:sz w:val="22"/>
          <w:szCs w:val="22"/>
        </w:rPr>
        <w:t>State</w:t>
      </w:r>
      <w:r w:rsidR="00374BA7" w:rsidRPr="00AE78C2">
        <w:rPr>
          <w:sz w:val="22"/>
          <w:szCs w:val="22"/>
        </w:rPr>
        <w:t xml:space="preserve"> </w:t>
      </w:r>
      <w:r w:rsidR="00F27230" w:rsidRPr="00AE78C2">
        <w:rPr>
          <w:sz w:val="22"/>
          <w:szCs w:val="22"/>
        </w:rPr>
        <w:t>infrastructure</w:t>
      </w:r>
      <w:r w:rsidR="00F609FF" w:rsidRPr="00AE78C2">
        <w:rPr>
          <w:sz w:val="22"/>
          <w:szCs w:val="22"/>
        </w:rPr>
        <w:t xml:space="preserve"> planning</w:t>
      </w:r>
      <w:r w:rsidR="00E43751" w:rsidRPr="00AE78C2">
        <w:rPr>
          <w:sz w:val="22"/>
          <w:szCs w:val="22"/>
        </w:rPr>
        <w:t xml:space="preserve"> for HAI surveillance, preve</w:t>
      </w:r>
      <w:r w:rsidR="00F838B8" w:rsidRPr="00AE78C2">
        <w:rPr>
          <w:sz w:val="22"/>
          <w:szCs w:val="22"/>
        </w:rPr>
        <w:t xml:space="preserve">ntion, </w:t>
      </w:r>
      <w:r w:rsidR="00E43751" w:rsidRPr="00AE78C2">
        <w:rPr>
          <w:sz w:val="22"/>
          <w:szCs w:val="22"/>
        </w:rPr>
        <w:t>and control.</w:t>
      </w:r>
      <w:proofErr w:type="gramEnd"/>
    </w:p>
    <w:p w:rsidR="008152EC" w:rsidRPr="00AE78C2" w:rsidRDefault="008152EC" w:rsidP="004663E3">
      <w:pPr>
        <w:rPr>
          <w:sz w:val="22"/>
          <w:szCs w:val="22"/>
        </w:rPr>
      </w:pPr>
    </w:p>
    <w:tbl>
      <w:tblPr>
        <w:tblW w:w="12951" w:type="dxa"/>
        <w:jc w:val="center"/>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1081"/>
        <w:gridCol w:w="8433"/>
        <w:gridCol w:w="2243"/>
      </w:tblGrid>
      <w:tr w:rsidR="00F7428E" w:rsidRPr="00AE78C2" w:rsidTr="00A8512C">
        <w:trPr>
          <w:tblHeader/>
          <w:jc w:val="center"/>
        </w:trPr>
        <w:tc>
          <w:tcPr>
            <w:tcW w:w="1162" w:type="dxa"/>
            <w:tcBorders>
              <w:bottom w:val="single" w:sz="4" w:space="0" w:color="auto"/>
            </w:tcBorders>
            <w:shd w:val="clear" w:color="auto" w:fill="auto"/>
          </w:tcPr>
          <w:p w:rsidR="00F7428E" w:rsidRPr="00AE78C2" w:rsidRDefault="00F7428E" w:rsidP="006B742F">
            <w:pPr>
              <w:jc w:val="center"/>
              <w:rPr>
                <w:b/>
                <w:sz w:val="22"/>
                <w:szCs w:val="22"/>
              </w:rPr>
            </w:pPr>
            <w:r w:rsidRPr="00AE78C2">
              <w:rPr>
                <w:b/>
                <w:sz w:val="22"/>
                <w:szCs w:val="22"/>
              </w:rPr>
              <w:t>Check</w:t>
            </w:r>
          </w:p>
          <w:p w:rsidR="00F7428E" w:rsidRPr="00AE78C2" w:rsidRDefault="00F7428E" w:rsidP="006B742F">
            <w:pPr>
              <w:jc w:val="center"/>
              <w:rPr>
                <w:b/>
                <w:sz w:val="22"/>
                <w:szCs w:val="22"/>
              </w:rPr>
            </w:pPr>
            <w:r w:rsidRPr="00AE78C2">
              <w:rPr>
                <w:b/>
                <w:sz w:val="22"/>
                <w:szCs w:val="22"/>
              </w:rPr>
              <w:t>Items</w:t>
            </w:r>
          </w:p>
          <w:p w:rsidR="00F7428E" w:rsidRPr="00AE78C2" w:rsidRDefault="00F7428E" w:rsidP="006B742F">
            <w:pPr>
              <w:jc w:val="center"/>
              <w:rPr>
                <w:b/>
                <w:sz w:val="22"/>
                <w:szCs w:val="22"/>
              </w:rPr>
            </w:pPr>
            <w:r w:rsidRPr="00AE78C2">
              <w:rPr>
                <w:b/>
                <w:sz w:val="22"/>
                <w:szCs w:val="22"/>
              </w:rPr>
              <w:t>Underway</w:t>
            </w:r>
          </w:p>
        </w:tc>
        <w:tc>
          <w:tcPr>
            <w:tcW w:w="994" w:type="dxa"/>
            <w:tcBorders>
              <w:bottom w:val="single" w:sz="4" w:space="0" w:color="auto"/>
            </w:tcBorders>
            <w:shd w:val="clear" w:color="auto" w:fill="auto"/>
          </w:tcPr>
          <w:p w:rsidR="00F7428E" w:rsidRPr="00AE78C2" w:rsidRDefault="00F7428E" w:rsidP="006B742F">
            <w:pPr>
              <w:autoSpaceDE w:val="0"/>
              <w:autoSpaceDN w:val="0"/>
              <w:adjustRightInd w:val="0"/>
              <w:ind w:left="94"/>
              <w:rPr>
                <w:b/>
                <w:sz w:val="22"/>
                <w:szCs w:val="22"/>
              </w:rPr>
            </w:pPr>
            <w:r w:rsidRPr="00AE78C2">
              <w:rPr>
                <w:b/>
                <w:sz w:val="22"/>
                <w:szCs w:val="22"/>
              </w:rPr>
              <w:t>Check</w:t>
            </w:r>
          </w:p>
          <w:p w:rsidR="00F7428E" w:rsidRPr="00AE78C2" w:rsidRDefault="00F7428E" w:rsidP="006B742F">
            <w:pPr>
              <w:autoSpaceDE w:val="0"/>
              <w:autoSpaceDN w:val="0"/>
              <w:adjustRightInd w:val="0"/>
              <w:ind w:left="94"/>
              <w:rPr>
                <w:b/>
                <w:sz w:val="22"/>
                <w:szCs w:val="22"/>
              </w:rPr>
            </w:pPr>
            <w:r w:rsidRPr="00AE78C2">
              <w:rPr>
                <w:b/>
                <w:sz w:val="22"/>
                <w:szCs w:val="22"/>
              </w:rPr>
              <w:t>Items</w:t>
            </w:r>
          </w:p>
          <w:p w:rsidR="00F7428E" w:rsidRPr="00AE78C2" w:rsidDel="00940D2D" w:rsidRDefault="00F7428E" w:rsidP="006B742F">
            <w:pPr>
              <w:autoSpaceDE w:val="0"/>
              <w:autoSpaceDN w:val="0"/>
              <w:adjustRightInd w:val="0"/>
              <w:ind w:left="94"/>
              <w:rPr>
                <w:b/>
                <w:sz w:val="22"/>
                <w:szCs w:val="22"/>
              </w:rPr>
            </w:pPr>
            <w:r w:rsidRPr="00AE78C2">
              <w:rPr>
                <w:b/>
                <w:sz w:val="22"/>
                <w:szCs w:val="22"/>
              </w:rPr>
              <w:t>Planned</w:t>
            </w:r>
          </w:p>
        </w:tc>
        <w:tc>
          <w:tcPr>
            <w:tcW w:w="8445" w:type="dxa"/>
            <w:tcBorders>
              <w:bottom w:val="single" w:sz="4" w:space="0" w:color="auto"/>
            </w:tcBorders>
            <w:shd w:val="clear" w:color="auto" w:fill="auto"/>
          </w:tcPr>
          <w:p w:rsidR="00F7428E" w:rsidRPr="00AE78C2" w:rsidRDefault="00F7428E" w:rsidP="006B742F">
            <w:pPr>
              <w:autoSpaceDE w:val="0"/>
              <w:autoSpaceDN w:val="0"/>
              <w:adjustRightInd w:val="0"/>
              <w:ind w:left="94"/>
              <w:rPr>
                <w:b/>
                <w:sz w:val="22"/>
                <w:szCs w:val="22"/>
              </w:rPr>
            </w:pPr>
            <w:r w:rsidRPr="00AE78C2">
              <w:rPr>
                <w:b/>
                <w:sz w:val="22"/>
                <w:szCs w:val="22"/>
              </w:rPr>
              <w:t>Items Planned for Implementation (or currently underway)</w:t>
            </w:r>
          </w:p>
          <w:p w:rsidR="00F7428E" w:rsidRPr="00AE78C2" w:rsidRDefault="00F7428E" w:rsidP="006B742F">
            <w:pPr>
              <w:autoSpaceDE w:val="0"/>
              <w:autoSpaceDN w:val="0"/>
              <w:adjustRightInd w:val="0"/>
              <w:rPr>
                <w:b/>
                <w:sz w:val="22"/>
                <w:szCs w:val="22"/>
              </w:rPr>
            </w:pPr>
          </w:p>
        </w:tc>
        <w:tc>
          <w:tcPr>
            <w:tcW w:w="2350" w:type="dxa"/>
            <w:tcBorders>
              <w:bottom w:val="single" w:sz="4" w:space="0" w:color="auto"/>
            </w:tcBorders>
            <w:shd w:val="clear" w:color="auto" w:fill="auto"/>
          </w:tcPr>
          <w:p w:rsidR="00F7428E" w:rsidRPr="00AE78C2" w:rsidRDefault="00F7428E" w:rsidP="006B742F">
            <w:pPr>
              <w:autoSpaceDE w:val="0"/>
              <w:autoSpaceDN w:val="0"/>
              <w:adjustRightInd w:val="0"/>
              <w:rPr>
                <w:b/>
                <w:sz w:val="22"/>
                <w:szCs w:val="22"/>
              </w:rPr>
            </w:pPr>
            <w:r w:rsidRPr="00AE78C2">
              <w:rPr>
                <w:b/>
                <w:sz w:val="22"/>
                <w:szCs w:val="22"/>
              </w:rPr>
              <w:t xml:space="preserve">Target Dates for Implementation </w:t>
            </w:r>
          </w:p>
        </w:tc>
      </w:tr>
      <w:tr w:rsidR="00F7428E" w:rsidRPr="00AE78C2" w:rsidTr="00A8512C">
        <w:trPr>
          <w:jc w:val="center"/>
        </w:trPr>
        <w:tc>
          <w:tcPr>
            <w:tcW w:w="1162" w:type="dxa"/>
            <w:tcBorders>
              <w:bottom w:val="nil"/>
            </w:tcBorders>
            <w:shd w:val="clear" w:color="auto" w:fill="auto"/>
          </w:tcPr>
          <w:p w:rsidR="00F7428E" w:rsidRPr="00AE78C2" w:rsidRDefault="00F7428E" w:rsidP="001310EC">
            <w:pPr>
              <w:rPr>
                <w:sz w:val="22"/>
                <w:szCs w:val="22"/>
              </w:rPr>
            </w:pPr>
          </w:p>
        </w:tc>
        <w:tc>
          <w:tcPr>
            <w:tcW w:w="994" w:type="dxa"/>
            <w:tcBorders>
              <w:bottom w:val="nil"/>
            </w:tcBorders>
            <w:shd w:val="clear" w:color="auto" w:fill="auto"/>
          </w:tcPr>
          <w:p w:rsidR="00F7428E" w:rsidRPr="00AE78C2" w:rsidDel="002B6574" w:rsidRDefault="00F7428E" w:rsidP="006B742F">
            <w:pPr>
              <w:autoSpaceDE w:val="0"/>
              <w:autoSpaceDN w:val="0"/>
              <w:adjustRightInd w:val="0"/>
              <w:ind w:left="94"/>
              <w:rPr>
                <w:sz w:val="22"/>
                <w:szCs w:val="22"/>
              </w:rPr>
            </w:pPr>
          </w:p>
        </w:tc>
        <w:tc>
          <w:tcPr>
            <w:tcW w:w="8445" w:type="dxa"/>
            <w:tcBorders>
              <w:bottom w:val="nil"/>
            </w:tcBorders>
            <w:shd w:val="clear" w:color="auto" w:fill="auto"/>
          </w:tcPr>
          <w:p w:rsidR="00F7428E" w:rsidRPr="00AE78C2" w:rsidRDefault="00F7428E" w:rsidP="009B7F2E">
            <w:pPr>
              <w:numPr>
                <w:ilvl w:val="1"/>
                <w:numId w:val="3"/>
              </w:numPr>
              <w:tabs>
                <w:tab w:val="clear" w:pos="1440"/>
                <w:tab w:val="num" w:pos="454"/>
              </w:tabs>
              <w:autoSpaceDE w:val="0"/>
              <w:autoSpaceDN w:val="0"/>
              <w:adjustRightInd w:val="0"/>
              <w:ind w:left="454"/>
              <w:rPr>
                <w:b/>
                <w:sz w:val="28"/>
                <w:szCs w:val="28"/>
              </w:rPr>
            </w:pPr>
            <w:r w:rsidRPr="00AE78C2">
              <w:rPr>
                <w:b/>
                <w:sz w:val="28"/>
                <w:szCs w:val="28"/>
              </w:rPr>
              <w:t>Establish statewide HAI prevention leadership through the formation of multidisciplinary group or state HAI advisory council</w:t>
            </w:r>
          </w:p>
        </w:tc>
        <w:tc>
          <w:tcPr>
            <w:tcW w:w="2350" w:type="dxa"/>
            <w:tcBorders>
              <w:bottom w:val="nil"/>
            </w:tcBorders>
            <w:shd w:val="clear" w:color="auto" w:fill="auto"/>
          </w:tcPr>
          <w:p w:rsidR="00F7428E" w:rsidRPr="00AE78C2" w:rsidRDefault="00F7428E" w:rsidP="006B742F">
            <w:pPr>
              <w:autoSpaceDE w:val="0"/>
              <w:autoSpaceDN w:val="0"/>
              <w:adjustRightInd w:val="0"/>
              <w:ind w:left="94"/>
              <w:rPr>
                <w:sz w:val="22"/>
                <w:szCs w:val="22"/>
              </w:rPr>
            </w:pPr>
          </w:p>
        </w:tc>
      </w:tr>
      <w:tr w:rsidR="00F7428E" w:rsidRPr="00AE78C2" w:rsidTr="00A8512C">
        <w:trPr>
          <w:jc w:val="center"/>
        </w:trPr>
        <w:tc>
          <w:tcPr>
            <w:tcW w:w="1162" w:type="dxa"/>
            <w:tcBorders>
              <w:top w:val="nil"/>
              <w:bottom w:val="nil"/>
              <w:right w:val="single" w:sz="4" w:space="0" w:color="auto"/>
            </w:tcBorders>
            <w:shd w:val="clear" w:color="auto" w:fill="auto"/>
          </w:tcPr>
          <w:p w:rsidR="00E119C2" w:rsidRPr="00AE78C2" w:rsidRDefault="00B21E82" w:rsidP="00E119C2">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E119C2" w:rsidRPr="00AE78C2" w:rsidRDefault="00B21E82" w:rsidP="00E119C2">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A8512C" w:rsidRPr="00AE78C2" w:rsidRDefault="00A8512C" w:rsidP="006B742F">
            <w:pPr>
              <w:jc w:val="center"/>
              <w:rPr>
                <w:sz w:val="22"/>
                <w:szCs w:val="22"/>
              </w:rPr>
            </w:pPr>
          </w:p>
          <w:p w:rsidR="00A8512C" w:rsidRPr="00AE78C2" w:rsidRDefault="00A8512C" w:rsidP="006B742F">
            <w:pPr>
              <w:jc w:val="center"/>
              <w:rPr>
                <w:sz w:val="22"/>
                <w:szCs w:val="22"/>
              </w:rPr>
            </w:pPr>
          </w:p>
          <w:p w:rsidR="00A8512C" w:rsidRPr="00AE78C2" w:rsidRDefault="00A8512C" w:rsidP="006B742F">
            <w:pPr>
              <w:jc w:val="center"/>
              <w:rPr>
                <w:sz w:val="22"/>
                <w:szCs w:val="22"/>
              </w:rPr>
            </w:pPr>
          </w:p>
          <w:p w:rsidR="00A8512C" w:rsidRPr="00AE78C2" w:rsidRDefault="00A8512C" w:rsidP="006B742F">
            <w:pPr>
              <w:jc w:val="center"/>
              <w:rPr>
                <w:sz w:val="22"/>
                <w:szCs w:val="22"/>
              </w:rPr>
            </w:pPr>
          </w:p>
          <w:p w:rsidR="00A8512C" w:rsidRPr="00AE78C2" w:rsidRDefault="00A8512C" w:rsidP="006B742F">
            <w:pPr>
              <w:jc w:val="center"/>
              <w:rPr>
                <w:sz w:val="22"/>
                <w:szCs w:val="22"/>
              </w:rPr>
            </w:pPr>
          </w:p>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F7428E" w:rsidRPr="00AE78C2" w:rsidRDefault="00F7428E" w:rsidP="006B742F">
            <w:pPr>
              <w:jc w:val="center"/>
              <w:rPr>
                <w:sz w:val="22"/>
                <w:szCs w:val="22"/>
              </w:rPr>
            </w:pPr>
          </w:p>
        </w:tc>
        <w:tc>
          <w:tcPr>
            <w:tcW w:w="994" w:type="dxa"/>
            <w:tcBorders>
              <w:top w:val="nil"/>
              <w:left w:val="single" w:sz="4" w:space="0" w:color="auto"/>
              <w:bottom w:val="nil"/>
              <w:right w:val="single" w:sz="4" w:space="0" w:color="auto"/>
            </w:tcBorders>
            <w:shd w:val="clear" w:color="auto" w:fill="auto"/>
          </w:tcPr>
          <w:p w:rsidR="00E119C2" w:rsidRPr="00AE78C2" w:rsidRDefault="00F7428E" w:rsidP="00E119C2">
            <w:pPr>
              <w:jc w:val="center"/>
              <w:rPr>
                <w:sz w:val="22"/>
                <w:szCs w:val="22"/>
              </w:rPr>
            </w:pPr>
            <w:r w:rsidRPr="00AE78C2">
              <w:rPr>
                <w:sz w:val="22"/>
                <w:szCs w:val="22"/>
              </w:rPr>
              <w:lastRenderedPageBreak/>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E119C2" w:rsidRPr="00AE78C2" w:rsidRDefault="00E119C2"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8B3946" w:rsidRPr="00AE78C2" w:rsidRDefault="008B3946" w:rsidP="00E119C2">
            <w:pPr>
              <w:jc w:val="center"/>
              <w:rPr>
                <w:sz w:val="22"/>
                <w:szCs w:val="22"/>
              </w:rPr>
            </w:pPr>
          </w:p>
          <w:p w:rsidR="00E119C2" w:rsidRPr="00AE78C2" w:rsidRDefault="00E119C2" w:rsidP="00E119C2">
            <w:pPr>
              <w:jc w:val="center"/>
              <w:rPr>
                <w:sz w:val="22"/>
                <w:szCs w:val="22"/>
              </w:rPr>
            </w:pPr>
            <w:r w:rsidRPr="00AE78C2">
              <w:rPr>
                <w:sz w:val="22"/>
                <w:szCs w:val="22"/>
              </w:rPr>
              <w:fldChar w:fldCharType="begin">
                <w:ffData>
                  <w:name w:val=""/>
                  <w:enabled/>
                  <w:calcOnExit w:val="0"/>
                  <w:checkBox>
                    <w:sizeAuto/>
                    <w:default w:val="0"/>
                  </w:checkBox>
                </w:ffData>
              </w:fldChar>
            </w:r>
            <w:r w:rsidRPr="00AE78C2">
              <w:rPr>
                <w:sz w:val="22"/>
                <w:szCs w:val="22"/>
              </w:rPr>
              <w:instrText xml:space="preserve"> FORMCHECKBOX </w:instrText>
            </w:r>
            <w:r w:rsidR="00A8512C" w:rsidRPr="00AE78C2">
              <w:rPr>
                <w:sz w:val="22"/>
                <w:szCs w:val="22"/>
              </w:rPr>
            </w:r>
            <w:r w:rsidRPr="00AE78C2">
              <w:rPr>
                <w:sz w:val="22"/>
                <w:szCs w:val="22"/>
              </w:rPr>
              <w:fldChar w:fldCharType="end"/>
            </w: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r w:rsidRPr="00AE78C2">
              <w:rPr>
                <w:sz w:val="22"/>
                <w:szCs w:val="22"/>
              </w:rPr>
              <w:fldChar w:fldCharType="begin">
                <w:ffData>
                  <w:name w:val=""/>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p>
          <w:p w:rsidR="00A8512C" w:rsidRPr="00AE78C2" w:rsidRDefault="00A8512C" w:rsidP="00E119C2">
            <w:pPr>
              <w:jc w:val="center"/>
              <w:rPr>
                <w:sz w:val="22"/>
                <w:szCs w:val="22"/>
              </w:rPr>
            </w:pPr>
            <w:r w:rsidRPr="00AE78C2">
              <w:rPr>
                <w:sz w:val="22"/>
                <w:szCs w:val="22"/>
              </w:rPr>
              <w:fldChar w:fldCharType="begin">
                <w:ffData>
                  <w:name w:val=""/>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7428E" w:rsidRPr="00AE78C2" w:rsidRDefault="00F7428E" w:rsidP="006B742F">
            <w:pPr>
              <w:jc w:val="center"/>
              <w:rPr>
                <w:sz w:val="22"/>
                <w:szCs w:val="22"/>
              </w:rPr>
            </w:pPr>
          </w:p>
          <w:p w:rsidR="00F7428E" w:rsidRPr="00AE78C2" w:rsidRDefault="00F7428E" w:rsidP="009B7F2E">
            <w:pPr>
              <w:numPr>
                <w:ilvl w:val="2"/>
                <w:numId w:val="3"/>
              </w:numPr>
              <w:autoSpaceDE w:val="0"/>
              <w:autoSpaceDN w:val="0"/>
              <w:adjustRightInd w:val="0"/>
              <w:rPr>
                <w:sz w:val="22"/>
                <w:szCs w:val="22"/>
              </w:rPr>
            </w:pPr>
          </w:p>
        </w:tc>
        <w:tc>
          <w:tcPr>
            <w:tcW w:w="8445" w:type="dxa"/>
            <w:tcBorders>
              <w:top w:val="nil"/>
              <w:left w:val="single" w:sz="4" w:space="0" w:color="auto"/>
              <w:bottom w:val="nil"/>
              <w:right w:val="single" w:sz="4" w:space="0" w:color="auto"/>
            </w:tcBorders>
            <w:shd w:val="clear" w:color="auto" w:fill="auto"/>
          </w:tcPr>
          <w:p w:rsidR="00944EC4" w:rsidRPr="00AE78C2" w:rsidRDefault="00F7428E" w:rsidP="009B7F2E">
            <w:pPr>
              <w:numPr>
                <w:ilvl w:val="0"/>
                <w:numId w:val="21"/>
              </w:numPr>
              <w:autoSpaceDE w:val="0"/>
              <w:autoSpaceDN w:val="0"/>
              <w:adjustRightInd w:val="0"/>
              <w:rPr>
                <w:b/>
                <w:sz w:val="22"/>
                <w:szCs w:val="22"/>
              </w:rPr>
            </w:pPr>
            <w:r w:rsidRPr="00AE78C2">
              <w:rPr>
                <w:b/>
                <w:szCs w:val="22"/>
              </w:rPr>
              <w:lastRenderedPageBreak/>
              <w:t xml:space="preserve">Collaborate with local and regional partners (e.g., state hospital associations, professional societies for infection control and healthcare epidemiology, academic organizations, laboratorians, and networks of acute care hospitals and </w:t>
            </w:r>
            <w:r w:rsidR="00D62A0E" w:rsidRPr="00AE78C2">
              <w:rPr>
                <w:b/>
                <w:szCs w:val="22"/>
              </w:rPr>
              <w:t>long-term</w:t>
            </w:r>
            <w:r w:rsidRPr="00AE78C2">
              <w:rPr>
                <w:b/>
                <w:szCs w:val="22"/>
              </w:rPr>
              <w:t xml:space="preserve"> care facilities).</w:t>
            </w:r>
          </w:p>
          <w:p w:rsidR="00FB3857" w:rsidRPr="00AE78C2" w:rsidRDefault="00FB3857" w:rsidP="00FB3857">
            <w:pPr>
              <w:autoSpaceDE w:val="0"/>
              <w:autoSpaceDN w:val="0"/>
              <w:adjustRightInd w:val="0"/>
              <w:ind w:left="900"/>
              <w:rPr>
                <w:b/>
                <w:sz w:val="22"/>
                <w:szCs w:val="22"/>
              </w:rPr>
            </w:pPr>
          </w:p>
          <w:p w:rsidR="00F7428E" w:rsidRPr="00AE78C2" w:rsidRDefault="00C01994" w:rsidP="00FB3857">
            <w:pPr>
              <w:autoSpaceDE w:val="0"/>
              <w:autoSpaceDN w:val="0"/>
              <w:adjustRightInd w:val="0"/>
              <w:ind w:left="900"/>
              <w:rPr>
                <w:color w:val="000000"/>
                <w:sz w:val="22"/>
                <w:szCs w:val="22"/>
              </w:rPr>
            </w:pPr>
            <w:r w:rsidRPr="00AE78C2">
              <w:rPr>
                <w:color w:val="000000"/>
                <w:szCs w:val="20"/>
              </w:rPr>
              <w:t xml:space="preserve">The multidisciplinary HAI Technical Advisory Group (TAG) was launched in 2008 and meets quarterly. </w:t>
            </w:r>
            <w:r w:rsidRPr="00AE78C2">
              <w:rPr>
                <w:color w:val="000000"/>
              </w:rPr>
              <w:t>The TAG is comprised of hospital epidemiologists, infection preventionists, consumers, advocates, academics and representatives from state agencies, professional organiza</w:t>
            </w:r>
            <w:r w:rsidR="00927D0E" w:rsidRPr="00AE78C2">
              <w:rPr>
                <w:color w:val="000000"/>
              </w:rPr>
              <w:t xml:space="preserve">tions and trade organizations. </w:t>
            </w:r>
            <w:r w:rsidRPr="00AE78C2">
              <w:rPr>
                <w:color w:val="000000"/>
              </w:rPr>
              <w:t xml:space="preserve">The role of the TAG is to </w:t>
            </w:r>
            <w:r w:rsidR="00927D0E" w:rsidRPr="00AE78C2">
              <w:rPr>
                <w:color w:val="000000"/>
              </w:rPr>
              <w:t xml:space="preserve">provide guidance to </w:t>
            </w:r>
            <w:r w:rsidRPr="00AE78C2">
              <w:rPr>
                <w:color w:val="000000"/>
              </w:rPr>
              <w:t>MDPH on all issues related to HAI prevention, the results of reports and surveys, the application of surveillance and control methods and the presentation of the results to healthcare providers and the public.  A full listing of TAG members and affiliations is found in Appendix</w:t>
            </w:r>
            <w:r w:rsidR="00B65C8B" w:rsidRPr="00AE78C2">
              <w:rPr>
                <w:color w:val="000000"/>
              </w:rPr>
              <w:t xml:space="preserve"> 2</w:t>
            </w:r>
            <w:r w:rsidRPr="00AE78C2">
              <w:rPr>
                <w:color w:val="000000"/>
              </w:rPr>
              <w:t xml:space="preserve">. All </w:t>
            </w:r>
            <w:r w:rsidR="00FB3857" w:rsidRPr="00AE78C2">
              <w:rPr>
                <w:color w:val="000000"/>
              </w:rPr>
              <w:t xml:space="preserve">TAG </w:t>
            </w:r>
            <w:r w:rsidRPr="00AE78C2">
              <w:rPr>
                <w:color w:val="000000"/>
              </w:rPr>
              <w:t>meetings are open to the public.</w:t>
            </w:r>
            <w:r w:rsidR="00F7428E" w:rsidRPr="00AE78C2">
              <w:rPr>
                <w:color w:val="000000"/>
                <w:sz w:val="22"/>
                <w:szCs w:val="22"/>
              </w:rPr>
              <w:t xml:space="preserve">  </w:t>
            </w:r>
          </w:p>
          <w:p w:rsidR="00C01994" w:rsidRPr="00AE78C2" w:rsidRDefault="00C01994" w:rsidP="00042757">
            <w:pPr>
              <w:autoSpaceDE w:val="0"/>
              <w:autoSpaceDN w:val="0"/>
              <w:adjustRightInd w:val="0"/>
              <w:ind w:left="2160"/>
              <w:rPr>
                <w:sz w:val="22"/>
                <w:szCs w:val="22"/>
              </w:rPr>
            </w:pPr>
            <w:r w:rsidRPr="00AE78C2">
              <w:t xml:space="preserve">    </w:t>
            </w:r>
          </w:p>
          <w:p w:rsidR="00FB3857" w:rsidRPr="00AE78C2" w:rsidRDefault="00F7428E" w:rsidP="009B7F2E">
            <w:pPr>
              <w:numPr>
                <w:ilvl w:val="0"/>
                <w:numId w:val="21"/>
              </w:numPr>
              <w:autoSpaceDE w:val="0"/>
              <w:autoSpaceDN w:val="0"/>
              <w:adjustRightInd w:val="0"/>
              <w:rPr>
                <w:b/>
                <w:sz w:val="22"/>
                <w:szCs w:val="22"/>
              </w:rPr>
            </w:pPr>
            <w:r w:rsidRPr="00AE78C2">
              <w:rPr>
                <w:b/>
                <w:szCs w:val="22"/>
              </w:rPr>
              <w:t>NEW:  Include hospital preparedness partners (e.g., hospital/healthcare coalitions funded through the ASPR Hospital Preparedness Program).  Additional representation from accrediting and/or licensing agency with surveyor authority is ideal.</w:t>
            </w:r>
          </w:p>
          <w:p w:rsidR="00FB3857" w:rsidRPr="00AE78C2" w:rsidRDefault="00FB3857" w:rsidP="00FB3857">
            <w:pPr>
              <w:autoSpaceDE w:val="0"/>
              <w:autoSpaceDN w:val="0"/>
              <w:adjustRightInd w:val="0"/>
              <w:ind w:left="900"/>
              <w:rPr>
                <w:b/>
                <w:szCs w:val="22"/>
              </w:rPr>
            </w:pPr>
          </w:p>
          <w:p w:rsidR="008C4DCC" w:rsidRPr="00AE78C2" w:rsidRDefault="00927D0E" w:rsidP="00FB3857">
            <w:pPr>
              <w:autoSpaceDE w:val="0"/>
              <w:autoSpaceDN w:val="0"/>
              <w:adjustRightInd w:val="0"/>
              <w:ind w:left="900"/>
              <w:rPr>
                <w:color w:val="000000"/>
                <w:szCs w:val="22"/>
              </w:rPr>
            </w:pPr>
            <w:r w:rsidRPr="00AE78C2">
              <w:rPr>
                <w:color w:val="000000"/>
                <w:szCs w:val="22"/>
              </w:rPr>
              <w:t xml:space="preserve">A </w:t>
            </w:r>
            <w:r w:rsidR="00342DB9" w:rsidRPr="00AE78C2">
              <w:rPr>
                <w:color w:val="000000"/>
                <w:szCs w:val="22"/>
              </w:rPr>
              <w:t>r</w:t>
            </w:r>
            <w:r w:rsidR="00FB3857" w:rsidRPr="00AE78C2">
              <w:rPr>
                <w:color w:val="000000"/>
                <w:szCs w:val="22"/>
              </w:rPr>
              <w:t xml:space="preserve">epresentative from </w:t>
            </w:r>
            <w:r w:rsidRPr="00AE78C2">
              <w:rPr>
                <w:color w:val="000000"/>
                <w:szCs w:val="22"/>
              </w:rPr>
              <w:t>the MDPH H</w:t>
            </w:r>
            <w:r w:rsidR="00FB3857" w:rsidRPr="00AE78C2">
              <w:rPr>
                <w:color w:val="000000"/>
                <w:szCs w:val="22"/>
              </w:rPr>
              <w:t xml:space="preserve">ospital </w:t>
            </w:r>
            <w:r w:rsidRPr="00AE78C2">
              <w:rPr>
                <w:color w:val="000000"/>
                <w:szCs w:val="22"/>
              </w:rPr>
              <w:t>P</w:t>
            </w:r>
            <w:r w:rsidR="00FB3857" w:rsidRPr="00AE78C2">
              <w:rPr>
                <w:color w:val="000000"/>
                <w:szCs w:val="22"/>
              </w:rPr>
              <w:t xml:space="preserve">reparedness </w:t>
            </w:r>
            <w:r w:rsidRPr="00AE78C2">
              <w:rPr>
                <w:color w:val="000000"/>
                <w:szCs w:val="22"/>
              </w:rPr>
              <w:t>P</w:t>
            </w:r>
            <w:r w:rsidR="00FB3857" w:rsidRPr="00AE78C2">
              <w:rPr>
                <w:color w:val="000000"/>
                <w:szCs w:val="22"/>
              </w:rPr>
              <w:t>rogram ha</w:t>
            </w:r>
            <w:r w:rsidRPr="00AE78C2">
              <w:rPr>
                <w:color w:val="000000"/>
                <w:szCs w:val="22"/>
              </w:rPr>
              <w:t>s</w:t>
            </w:r>
            <w:r w:rsidR="00FB3857" w:rsidRPr="00AE78C2">
              <w:rPr>
                <w:color w:val="000000"/>
                <w:szCs w:val="22"/>
              </w:rPr>
              <w:t xml:space="preserve"> been added to the TAG’s membership.  </w:t>
            </w:r>
          </w:p>
          <w:p w:rsidR="008C4DCC" w:rsidRPr="00AE78C2" w:rsidRDefault="008C4DCC" w:rsidP="00FB3857">
            <w:pPr>
              <w:autoSpaceDE w:val="0"/>
              <w:autoSpaceDN w:val="0"/>
              <w:adjustRightInd w:val="0"/>
              <w:ind w:left="900"/>
              <w:rPr>
                <w:color w:val="000000"/>
                <w:szCs w:val="22"/>
              </w:rPr>
            </w:pPr>
          </w:p>
          <w:p w:rsidR="00FB3857" w:rsidRPr="00AE78C2" w:rsidRDefault="00FB3857" w:rsidP="00FB3857">
            <w:pPr>
              <w:autoSpaceDE w:val="0"/>
              <w:autoSpaceDN w:val="0"/>
              <w:adjustRightInd w:val="0"/>
              <w:ind w:left="900"/>
              <w:rPr>
                <w:color w:val="000000"/>
                <w:szCs w:val="22"/>
              </w:rPr>
            </w:pPr>
            <w:r w:rsidRPr="00AE78C2">
              <w:rPr>
                <w:color w:val="000000"/>
                <w:szCs w:val="22"/>
              </w:rPr>
              <w:t xml:space="preserve">The TAG also includes </w:t>
            </w:r>
            <w:r w:rsidR="005642CA" w:rsidRPr="00AE78C2">
              <w:rPr>
                <w:color w:val="000000"/>
                <w:szCs w:val="22"/>
              </w:rPr>
              <w:t xml:space="preserve">senior staff and other </w:t>
            </w:r>
            <w:r w:rsidRPr="00AE78C2">
              <w:rPr>
                <w:color w:val="000000"/>
                <w:szCs w:val="22"/>
              </w:rPr>
              <w:t xml:space="preserve">representatives from the </w:t>
            </w:r>
            <w:r w:rsidRPr="00AE78C2">
              <w:rPr>
                <w:color w:val="000000"/>
                <w:szCs w:val="22"/>
              </w:rPr>
              <w:lastRenderedPageBreak/>
              <w:t xml:space="preserve">MDPH’s Bureau of Infectious Disease </w:t>
            </w:r>
            <w:r w:rsidR="0056129D" w:rsidRPr="00AE78C2">
              <w:rPr>
                <w:color w:val="000000"/>
                <w:szCs w:val="22"/>
              </w:rPr>
              <w:t xml:space="preserve">and Laboratory Sciences </w:t>
            </w:r>
            <w:r w:rsidRPr="00AE78C2">
              <w:rPr>
                <w:color w:val="000000"/>
                <w:szCs w:val="22"/>
              </w:rPr>
              <w:t>and Bureau</w:t>
            </w:r>
            <w:r w:rsidRPr="00AE78C2">
              <w:rPr>
                <w:color w:val="365F91"/>
                <w:szCs w:val="22"/>
              </w:rPr>
              <w:t xml:space="preserve"> </w:t>
            </w:r>
            <w:r w:rsidRPr="00AE78C2">
              <w:rPr>
                <w:color w:val="000000"/>
                <w:szCs w:val="22"/>
              </w:rPr>
              <w:t>of Health</w:t>
            </w:r>
            <w:r w:rsidR="00A1629A" w:rsidRPr="00AE78C2">
              <w:rPr>
                <w:color w:val="000000"/>
                <w:szCs w:val="22"/>
              </w:rPr>
              <w:t xml:space="preserve"> C</w:t>
            </w:r>
            <w:r w:rsidRPr="00AE78C2">
              <w:rPr>
                <w:color w:val="000000"/>
                <w:szCs w:val="22"/>
              </w:rPr>
              <w:t>are Safety and Quality.</w:t>
            </w:r>
          </w:p>
          <w:p w:rsidR="00FB3857" w:rsidRPr="00AE78C2" w:rsidRDefault="00FB3857" w:rsidP="00FB3857">
            <w:pPr>
              <w:autoSpaceDE w:val="0"/>
              <w:autoSpaceDN w:val="0"/>
              <w:adjustRightInd w:val="0"/>
              <w:ind w:left="900"/>
              <w:rPr>
                <w:color w:val="000000"/>
                <w:szCs w:val="22"/>
              </w:rPr>
            </w:pPr>
          </w:p>
          <w:p w:rsidR="00FB3857" w:rsidRPr="00AE78C2" w:rsidRDefault="008C4DCC" w:rsidP="00FB3857">
            <w:pPr>
              <w:autoSpaceDE w:val="0"/>
              <w:autoSpaceDN w:val="0"/>
              <w:adjustRightInd w:val="0"/>
              <w:ind w:left="900"/>
              <w:rPr>
                <w:color w:val="000000"/>
                <w:szCs w:val="22"/>
              </w:rPr>
            </w:pPr>
            <w:r w:rsidRPr="00AE78C2">
              <w:rPr>
                <w:color w:val="000000"/>
                <w:szCs w:val="22"/>
              </w:rPr>
              <w:t>MDPH plans to expand the HA</w:t>
            </w:r>
            <w:r w:rsidR="00B65C8B" w:rsidRPr="00AE78C2">
              <w:rPr>
                <w:color w:val="000000"/>
                <w:szCs w:val="22"/>
              </w:rPr>
              <w:t>I TAG to include representation</w:t>
            </w:r>
            <w:r w:rsidRPr="00AE78C2">
              <w:rPr>
                <w:color w:val="000000"/>
                <w:szCs w:val="22"/>
              </w:rPr>
              <w:t xml:space="preserve"> from additional setting</w:t>
            </w:r>
            <w:r w:rsidR="00A1629A" w:rsidRPr="00AE78C2">
              <w:rPr>
                <w:color w:val="000000"/>
                <w:szCs w:val="22"/>
              </w:rPr>
              <w:t>s</w:t>
            </w:r>
            <w:r w:rsidRPr="00AE78C2">
              <w:rPr>
                <w:color w:val="000000"/>
                <w:szCs w:val="22"/>
              </w:rPr>
              <w:t xml:space="preserve"> of care including: </w:t>
            </w:r>
          </w:p>
          <w:p w:rsidR="008C4DCC" w:rsidRPr="00AE78C2" w:rsidRDefault="008C4DCC" w:rsidP="009B7F2E">
            <w:pPr>
              <w:numPr>
                <w:ilvl w:val="0"/>
                <w:numId w:val="39"/>
              </w:numPr>
              <w:autoSpaceDE w:val="0"/>
              <w:autoSpaceDN w:val="0"/>
              <w:adjustRightInd w:val="0"/>
              <w:rPr>
                <w:color w:val="000000"/>
                <w:szCs w:val="22"/>
              </w:rPr>
            </w:pPr>
            <w:r w:rsidRPr="00AE78C2">
              <w:rPr>
                <w:color w:val="000000"/>
                <w:szCs w:val="22"/>
              </w:rPr>
              <w:t>Ambulatory Surgical Centers</w:t>
            </w:r>
            <w:r w:rsidR="00A1629A" w:rsidRPr="00AE78C2">
              <w:rPr>
                <w:color w:val="000000"/>
                <w:szCs w:val="22"/>
              </w:rPr>
              <w:t xml:space="preserve"> (ASC)</w:t>
            </w:r>
          </w:p>
          <w:p w:rsidR="008C4DCC" w:rsidRPr="00AE78C2" w:rsidRDefault="000A2949" w:rsidP="009B7F2E">
            <w:pPr>
              <w:numPr>
                <w:ilvl w:val="0"/>
                <w:numId w:val="39"/>
              </w:numPr>
              <w:autoSpaceDE w:val="0"/>
              <w:autoSpaceDN w:val="0"/>
              <w:adjustRightInd w:val="0"/>
              <w:rPr>
                <w:color w:val="000000"/>
                <w:szCs w:val="22"/>
              </w:rPr>
            </w:pPr>
            <w:r w:rsidRPr="00AE78C2">
              <w:rPr>
                <w:color w:val="000000"/>
                <w:szCs w:val="22"/>
              </w:rPr>
              <w:t>Dialysis Centers</w:t>
            </w:r>
          </w:p>
          <w:p w:rsidR="000A2949" w:rsidRPr="00AE78C2" w:rsidRDefault="000A2949" w:rsidP="009B7F2E">
            <w:pPr>
              <w:numPr>
                <w:ilvl w:val="0"/>
                <w:numId w:val="39"/>
              </w:numPr>
              <w:autoSpaceDE w:val="0"/>
              <w:autoSpaceDN w:val="0"/>
              <w:adjustRightInd w:val="0"/>
              <w:rPr>
                <w:color w:val="000000"/>
                <w:szCs w:val="22"/>
              </w:rPr>
            </w:pPr>
            <w:r w:rsidRPr="00AE78C2">
              <w:rPr>
                <w:color w:val="000000"/>
                <w:szCs w:val="22"/>
              </w:rPr>
              <w:t>Long Term Acute Care</w:t>
            </w:r>
          </w:p>
          <w:p w:rsidR="000A2949" w:rsidRPr="00AE78C2" w:rsidRDefault="000A2949" w:rsidP="009B7F2E">
            <w:pPr>
              <w:numPr>
                <w:ilvl w:val="0"/>
                <w:numId w:val="39"/>
              </w:numPr>
              <w:autoSpaceDE w:val="0"/>
              <w:autoSpaceDN w:val="0"/>
              <w:adjustRightInd w:val="0"/>
              <w:rPr>
                <w:color w:val="000000"/>
                <w:szCs w:val="22"/>
              </w:rPr>
            </w:pPr>
            <w:r w:rsidRPr="00AE78C2">
              <w:rPr>
                <w:color w:val="000000"/>
                <w:szCs w:val="22"/>
              </w:rPr>
              <w:t xml:space="preserve">Nursing Homes </w:t>
            </w:r>
          </w:p>
          <w:p w:rsidR="000F40C7" w:rsidRPr="00AE78C2" w:rsidRDefault="000F40C7" w:rsidP="00112380">
            <w:pPr>
              <w:autoSpaceDE w:val="0"/>
              <w:autoSpaceDN w:val="0"/>
              <w:adjustRightInd w:val="0"/>
              <w:rPr>
                <w:b/>
                <w:sz w:val="22"/>
                <w:szCs w:val="22"/>
              </w:rPr>
            </w:pPr>
          </w:p>
          <w:p w:rsidR="00963E45" w:rsidRPr="00AE78C2" w:rsidRDefault="00BF209A" w:rsidP="009B7F2E">
            <w:pPr>
              <w:numPr>
                <w:ilvl w:val="0"/>
                <w:numId w:val="21"/>
              </w:numPr>
              <w:autoSpaceDE w:val="0"/>
              <w:autoSpaceDN w:val="0"/>
              <w:adjustRightInd w:val="0"/>
              <w:rPr>
                <w:b/>
                <w:sz w:val="22"/>
                <w:szCs w:val="22"/>
              </w:rPr>
            </w:pPr>
            <w:r w:rsidRPr="00AE78C2">
              <w:rPr>
                <w:b/>
                <w:szCs w:val="22"/>
              </w:rPr>
              <w:t xml:space="preserve">NEW:  </w:t>
            </w:r>
            <w:r w:rsidR="000F40C7" w:rsidRPr="00AE78C2">
              <w:rPr>
                <w:b/>
                <w:szCs w:val="22"/>
              </w:rPr>
              <w:t>Engage HAI advisory committee in potential roles and activities to improve antibiotic use in the state (antibiotic stewardship)</w:t>
            </w:r>
          </w:p>
          <w:p w:rsidR="00963E45" w:rsidRPr="00AE78C2" w:rsidRDefault="00963E45" w:rsidP="00963E45">
            <w:pPr>
              <w:autoSpaceDE w:val="0"/>
              <w:autoSpaceDN w:val="0"/>
              <w:adjustRightInd w:val="0"/>
              <w:rPr>
                <w:b/>
                <w:szCs w:val="22"/>
              </w:rPr>
            </w:pPr>
          </w:p>
          <w:p w:rsidR="000A2949" w:rsidRPr="00AE78C2" w:rsidRDefault="00963E45" w:rsidP="005F0DEC">
            <w:pPr>
              <w:autoSpaceDE w:val="0"/>
              <w:autoSpaceDN w:val="0"/>
              <w:adjustRightInd w:val="0"/>
              <w:ind w:left="866"/>
              <w:rPr>
                <w:color w:val="000000"/>
              </w:rPr>
            </w:pPr>
            <w:r w:rsidRPr="00AE78C2">
              <w:rPr>
                <w:color w:val="000000"/>
              </w:rPr>
              <w:t>The HAI TAG has been involved at a high level with the planning of antibiotic stewardship activities, including professional development opportunities for microbiologists</w:t>
            </w:r>
            <w:r w:rsidR="000E5E00" w:rsidRPr="00AE78C2">
              <w:rPr>
                <w:color w:val="000000"/>
              </w:rPr>
              <w:t>, physicians and nurses</w:t>
            </w:r>
            <w:r w:rsidRPr="00AE78C2">
              <w:rPr>
                <w:color w:val="000000"/>
              </w:rPr>
              <w:t xml:space="preserve"> in the state. Additional antibiotic stewardship activities will be developed in consultation with the TAG.</w:t>
            </w:r>
            <w:r w:rsidR="009777CA" w:rsidRPr="00AE78C2">
              <w:rPr>
                <w:color w:val="000000"/>
              </w:rPr>
              <w:t xml:space="preserve"> </w:t>
            </w:r>
          </w:p>
          <w:p w:rsidR="007770B5" w:rsidRPr="00AE78C2" w:rsidRDefault="007770B5" w:rsidP="00963E45">
            <w:pPr>
              <w:autoSpaceDE w:val="0"/>
              <w:autoSpaceDN w:val="0"/>
              <w:adjustRightInd w:val="0"/>
              <w:ind w:left="720"/>
              <w:rPr>
                <w:color w:val="000000"/>
              </w:rPr>
            </w:pPr>
          </w:p>
          <w:p w:rsidR="00FB3857" w:rsidRPr="00AE78C2" w:rsidRDefault="000A2949" w:rsidP="005F0DEC">
            <w:pPr>
              <w:autoSpaceDE w:val="0"/>
              <w:autoSpaceDN w:val="0"/>
              <w:adjustRightInd w:val="0"/>
              <w:ind w:left="866"/>
              <w:rPr>
                <w:b/>
                <w:color w:val="17365D"/>
                <w:sz w:val="22"/>
                <w:szCs w:val="22"/>
              </w:rPr>
            </w:pPr>
            <w:r w:rsidRPr="00AE78C2">
              <w:rPr>
                <w:color w:val="000000"/>
              </w:rPr>
              <w:t>The HAI TAG will be expanded to include additional members with antibiotic stewardship expertise</w:t>
            </w:r>
            <w:r w:rsidR="005642CA" w:rsidRPr="00AE78C2">
              <w:rPr>
                <w:color w:val="000000"/>
              </w:rPr>
              <w:t>, including pharmacists, microbiologists and administrators</w:t>
            </w:r>
            <w:r w:rsidRPr="00AE78C2">
              <w:rPr>
                <w:color w:val="365F91"/>
              </w:rPr>
              <w:t>.</w:t>
            </w:r>
            <w:r w:rsidRPr="00AE78C2">
              <w:rPr>
                <w:color w:val="17365D"/>
              </w:rPr>
              <w:t xml:space="preserve">   </w:t>
            </w:r>
            <w:r w:rsidR="00B3138E" w:rsidRPr="00AE78C2">
              <w:rPr>
                <w:b/>
                <w:color w:val="17365D"/>
                <w:sz w:val="22"/>
                <w:szCs w:val="22"/>
              </w:rPr>
              <w:br/>
            </w:r>
          </w:p>
          <w:p w:rsidR="00342DB9" w:rsidRPr="00AE78C2" w:rsidRDefault="0014066B" w:rsidP="009B7F2E">
            <w:pPr>
              <w:numPr>
                <w:ilvl w:val="0"/>
                <w:numId w:val="21"/>
              </w:numPr>
              <w:autoSpaceDE w:val="0"/>
              <w:autoSpaceDN w:val="0"/>
              <w:adjustRightInd w:val="0"/>
              <w:rPr>
                <w:b/>
                <w:color w:val="000000"/>
                <w:sz w:val="22"/>
                <w:szCs w:val="22"/>
              </w:rPr>
            </w:pPr>
            <w:r w:rsidRPr="00AE78C2">
              <w:rPr>
                <w:b/>
                <w:szCs w:val="22"/>
              </w:rPr>
              <w:t>NEW:  Engage HAI advisory committee in activities to increase health department’s access to data and subsequently use those data in prevention efforts</w:t>
            </w:r>
            <w:r w:rsidR="00B3138E" w:rsidRPr="00AE78C2">
              <w:rPr>
                <w:b/>
                <w:sz w:val="22"/>
                <w:szCs w:val="22"/>
              </w:rPr>
              <w:br/>
            </w:r>
          </w:p>
          <w:p w:rsidR="000C371A" w:rsidRPr="00AE78C2" w:rsidRDefault="000E5E00" w:rsidP="005F0DEC">
            <w:pPr>
              <w:autoSpaceDE w:val="0"/>
              <w:autoSpaceDN w:val="0"/>
              <w:adjustRightInd w:val="0"/>
              <w:ind w:left="866"/>
              <w:rPr>
                <w:color w:val="000000"/>
              </w:rPr>
            </w:pPr>
            <w:r w:rsidRPr="00AE78C2">
              <w:rPr>
                <w:color w:val="000000"/>
              </w:rPr>
              <w:t xml:space="preserve">MDPH </w:t>
            </w:r>
            <w:r w:rsidR="000C371A" w:rsidRPr="00AE78C2">
              <w:rPr>
                <w:color w:val="000000"/>
              </w:rPr>
              <w:t>has required acute care hospitals to</w:t>
            </w:r>
            <w:r w:rsidRPr="00AE78C2">
              <w:rPr>
                <w:color w:val="000000"/>
              </w:rPr>
              <w:t xml:space="preserve"> </w:t>
            </w:r>
            <w:r w:rsidR="000C371A" w:rsidRPr="00AE78C2">
              <w:rPr>
                <w:color w:val="000000"/>
              </w:rPr>
              <w:t xml:space="preserve">report </w:t>
            </w:r>
            <w:r w:rsidRPr="00AE78C2">
              <w:rPr>
                <w:color w:val="000000"/>
              </w:rPr>
              <w:t xml:space="preserve">specific HAI measures </w:t>
            </w:r>
            <w:r w:rsidR="000C371A" w:rsidRPr="00AE78C2">
              <w:rPr>
                <w:color w:val="000000"/>
              </w:rPr>
              <w:t xml:space="preserve">to the </w:t>
            </w:r>
            <w:r w:rsidR="007770B5" w:rsidRPr="00AE78C2">
              <w:rPr>
                <w:color w:val="000000"/>
              </w:rPr>
              <w:t>CDC’</w:t>
            </w:r>
            <w:r w:rsidR="000C371A" w:rsidRPr="00AE78C2">
              <w:rPr>
                <w:color w:val="000000"/>
              </w:rPr>
              <w:t>s National Healthcare Safety Network</w:t>
            </w:r>
            <w:r w:rsidR="00A1629A" w:rsidRPr="00AE78C2">
              <w:rPr>
                <w:color w:val="000000"/>
              </w:rPr>
              <w:t xml:space="preserve"> (NHSN)</w:t>
            </w:r>
            <w:r w:rsidR="000C371A" w:rsidRPr="00AE78C2">
              <w:rPr>
                <w:color w:val="000000"/>
              </w:rPr>
              <w:t xml:space="preserve"> since </w:t>
            </w:r>
            <w:r w:rsidRPr="00AE78C2">
              <w:rPr>
                <w:color w:val="000000"/>
              </w:rPr>
              <w:t xml:space="preserve">2008. The initial </w:t>
            </w:r>
            <w:r w:rsidR="000C371A" w:rsidRPr="00AE78C2">
              <w:rPr>
                <w:color w:val="000000"/>
              </w:rPr>
              <w:t xml:space="preserve">measures were based on the recommendations of an HAI Expert Panel convened by MDPH.  The TAG was established in 2008 and </w:t>
            </w:r>
            <w:r w:rsidR="00EA43CB" w:rsidRPr="00AE78C2">
              <w:rPr>
                <w:color w:val="000000"/>
              </w:rPr>
              <w:t xml:space="preserve">provided </w:t>
            </w:r>
            <w:r w:rsidR="000C371A" w:rsidRPr="00AE78C2">
              <w:rPr>
                <w:color w:val="000000"/>
              </w:rPr>
              <w:lastRenderedPageBreak/>
              <w:t xml:space="preserve">guidance on the </w:t>
            </w:r>
            <w:r w:rsidR="00EA43CB" w:rsidRPr="00AE78C2">
              <w:rPr>
                <w:color w:val="000000"/>
              </w:rPr>
              <w:t>expansion of HAI reporting requirements including:</w:t>
            </w:r>
          </w:p>
          <w:p w:rsidR="00EA43CB" w:rsidRPr="00AE78C2" w:rsidRDefault="0056129D" w:rsidP="009B7F2E">
            <w:pPr>
              <w:numPr>
                <w:ilvl w:val="0"/>
                <w:numId w:val="41"/>
              </w:numPr>
              <w:autoSpaceDE w:val="0"/>
              <w:autoSpaceDN w:val="0"/>
              <w:adjustRightInd w:val="0"/>
              <w:rPr>
                <w:color w:val="000000"/>
              </w:rPr>
            </w:pPr>
            <w:r w:rsidRPr="00AE78C2">
              <w:rPr>
                <w:color w:val="000000"/>
              </w:rPr>
              <w:t>Healthcare personnel (</w:t>
            </w:r>
            <w:r w:rsidR="00EA43CB" w:rsidRPr="00AE78C2">
              <w:rPr>
                <w:color w:val="000000"/>
              </w:rPr>
              <w:t>HCP</w:t>
            </w:r>
            <w:r w:rsidRPr="00AE78C2">
              <w:rPr>
                <w:color w:val="000000"/>
              </w:rPr>
              <w:t>)</w:t>
            </w:r>
            <w:r w:rsidR="00EA43CB" w:rsidRPr="00AE78C2">
              <w:rPr>
                <w:color w:val="000000"/>
              </w:rPr>
              <w:t xml:space="preserve"> influenza reporting to NHSN</w:t>
            </w:r>
          </w:p>
          <w:p w:rsidR="00EA43CB" w:rsidRPr="00AE78C2" w:rsidRDefault="00D61380" w:rsidP="009B7F2E">
            <w:pPr>
              <w:numPr>
                <w:ilvl w:val="0"/>
                <w:numId w:val="41"/>
              </w:numPr>
              <w:autoSpaceDE w:val="0"/>
              <w:autoSpaceDN w:val="0"/>
              <w:adjustRightInd w:val="0"/>
              <w:rPr>
                <w:color w:val="000000"/>
              </w:rPr>
            </w:pPr>
            <w:r w:rsidRPr="00AE78C2">
              <w:rPr>
                <w:color w:val="000000"/>
              </w:rPr>
              <w:t>Requirement for acute care hospitals to report CAUTI, SSI from colon procedures, and facility wide CDI and MRSA Lab I</w:t>
            </w:r>
            <w:r w:rsidR="007770B5" w:rsidRPr="00AE78C2">
              <w:rPr>
                <w:color w:val="000000"/>
              </w:rPr>
              <w:t>D</w:t>
            </w:r>
            <w:r w:rsidRPr="00AE78C2">
              <w:rPr>
                <w:color w:val="000000"/>
              </w:rPr>
              <w:t xml:space="preserve"> events </w:t>
            </w:r>
          </w:p>
          <w:p w:rsidR="00447C83" w:rsidRPr="00AE78C2" w:rsidRDefault="00447C83" w:rsidP="00447C83">
            <w:pPr>
              <w:autoSpaceDE w:val="0"/>
              <w:autoSpaceDN w:val="0"/>
              <w:adjustRightInd w:val="0"/>
              <w:ind w:left="720"/>
              <w:rPr>
                <w:color w:val="000000"/>
              </w:rPr>
            </w:pPr>
          </w:p>
          <w:p w:rsidR="00447C83" w:rsidRPr="00AE78C2" w:rsidRDefault="00447C83" w:rsidP="005F0DEC">
            <w:pPr>
              <w:autoSpaceDE w:val="0"/>
              <w:autoSpaceDN w:val="0"/>
              <w:adjustRightInd w:val="0"/>
              <w:ind w:left="866"/>
              <w:rPr>
                <w:b/>
                <w:color w:val="4F81BD"/>
                <w:sz w:val="22"/>
                <w:szCs w:val="22"/>
              </w:rPr>
            </w:pPr>
            <w:r w:rsidRPr="00AE78C2">
              <w:rPr>
                <w:color w:val="000000"/>
              </w:rPr>
              <w:t xml:space="preserve">The TAG continues to be actively involved in </w:t>
            </w:r>
            <w:r w:rsidR="00A17F3E" w:rsidRPr="00AE78C2">
              <w:rPr>
                <w:color w:val="000000"/>
              </w:rPr>
              <w:t>discussions to identify and prioritize HAI prevention targets</w:t>
            </w:r>
            <w:r w:rsidR="00A1629A" w:rsidRPr="00AE78C2">
              <w:rPr>
                <w:color w:val="000000"/>
              </w:rPr>
              <w:t xml:space="preserve"> and data requirements</w:t>
            </w:r>
            <w:r w:rsidR="00A17F3E" w:rsidRPr="00AE78C2">
              <w:rPr>
                <w:color w:val="000000"/>
              </w:rPr>
              <w:t xml:space="preserve"> that are consistent with HHS goals and targets</w:t>
            </w:r>
            <w:r w:rsidR="00A17F3E" w:rsidRPr="00AE78C2">
              <w:rPr>
                <w:color w:val="365F91"/>
              </w:rPr>
              <w:t>.</w:t>
            </w:r>
            <w:r w:rsidR="00A17F3E" w:rsidRPr="00AE78C2">
              <w:rPr>
                <w:color w:val="4F81BD"/>
              </w:rPr>
              <w:t xml:space="preserve"> </w:t>
            </w:r>
          </w:p>
          <w:p w:rsidR="0014066B" w:rsidRPr="00AE78C2" w:rsidRDefault="0014066B" w:rsidP="00112380">
            <w:pPr>
              <w:autoSpaceDE w:val="0"/>
              <w:autoSpaceDN w:val="0"/>
              <w:adjustRightInd w:val="0"/>
              <w:rPr>
                <w:sz w:val="22"/>
                <w:szCs w:val="22"/>
              </w:rPr>
            </w:pPr>
          </w:p>
        </w:tc>
        <w:tc>
          <w:tcPr>
            <w:tcW w:w="2350" w:type="dxa"/>
            <w:tcBorders>
              <w:top w:val="nil"/>
              <w:left w:val="single" w:sz="4" w:space="0" w:color="auto"/>
              <w:bottom w:val="nil"/>
            </w:tcBorders>
            <w:shd w:val="clear" w:color="auto" w:fill="auto"/>
          </w:tcPr>
          <w:p w:rsidR="005F0DEC" w:rsidRPr="00AE78C2" w:rsidRDefault="005F0DEC" w:rsidP="00C01994">
            <w:pPr>
              <w:autoSpaceDE w:val="0"/>
              <w:autoSpaceDN w:val="0"/>
              <w:adjustRightInd w:val="0"/>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color w:val="000000"/>
                <w:sz w:val="22"/>
                <w:szCs w:val="22"/>
              </w:rPr>
            </w:pPr>
            <w:r w:rsidRPr="00AE78C2">
              <w:rPr>
                <w:color w:val="000000"/>
                <w:szCs w:val="22"/>
              </w:rPr>
              <w:t>Ongoing since 2008</w:t>
            </w: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637321" w:rsidRPr="00AE78C2" w:rsidRDefault="00637321" w:rsidP="005F0DEC">
            <w:pPr>
              <w:rPr>
                <w:color w:val="4F81BD"/>
                <w:szCs w:val="22"/>
              </w:rPr>
            </w:pPr>
          </w:p>
          <w:p w:rsidR="008C4DCC" w:rsidRPr="00AE78C2" w:rsidRDefault="005F0DEC" w:rsidP="005F0DEC">
            <w:pPr>
              <w:rPr>
                <w:color w:val="000000"/>
                <w:szCs w:val="22"/>
              </w:rPr>
            </w:pPr>
            <w:r w:rsidRPr="00AE78C2">
              <w:rPr>
                <w:color w:val="000000"/>
                <w:szCs w:val="22"/>
              </w:rPr>
              <w:t>Ongoing since 5/2015</w:t>
            </w:r>
          </w:p>
          <w:p w:rsidR="005F0DEC" w:rsidRPr="00AE78C2" w:rsidRDefault="005F0DEC" w:rsidP="005F0DEC">
            <w:pPr>
              <w:rPr>
                <w:color w:val="4F81BD"/>
                <w:szCs w:val="22"/>
              </w:rPr>
            </w:pPr>
          </w:p>
          <w:p w:rsidR="005E5AA1" w:rsidRPr="00AE78C2" w:rsidRDefault="005E5AA1" w:rsidP="005F0DEC">
            <w:pPr>
              <w:rPr>
                <w:color w:val="4F81BD"/>
                <w:szCs w:val="22"/>
              </w:rPr>
            </w:pPr>
          </w:p>
          <w:p w:rsidR="005F0DEC" w:rsidRPr="00AE78C2" w:rsidRDefault="005F0DEC" w:rsidP="005F0DEC">
            <w:pPr>
              <w:rPr>
                <w:color w:val="000000"/>
                <w:szCs w:val="22"/>
              </w:rPr>
            </w:pPr>
            <w:r w:rsidRPr="00AE78C2">
              <w:rPr>
                <w:color w:val="000000"/>
                <w:szCs w:val="22"/>
              </w:rPr>
              <w:lastRenderedPageBreak/>
              <w:t>Ongoing since 2008</w:t>
            </w:r>
          </w:p>
          <w:p w:rsidR="005F0DEC" w:rsidRPr="00AE78C2" w:rsidRDefault="005F0DEC" w:rsidP="005F0DEC">
            <w:pPr>
              <w:rPr>
                <w:color w:val="000000"/>
                <w:szCs w:val="22"/>
              </w:rPr>
            </w:pPr>
          </w:p>
          <w:p w:rsidR="005F0DEC" w:rsidRPr="00AE78C2" w:rsidRDefault="005F0DEC" w:rsidP="005F0DEC">
            <w:pPr>
              <w:rPr>
                <w:color w:val="000000"/>
                <w:sz w:val="22"/>
                <w:szCs w:val="22"/>
              </w:rPr>
            </w:pPr>
            <w:r w:rsidRPr="00AE78C2">
              <w:rPr>
                <w:color w:val="000000"/>
                <w:szCs w:val="22"/>
              </w:rPr>
              <w:t>2016</w:t>
            </w: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sz w:val="22"/>
                <w:szCs w:val="22"/>
              </w:rPr>
            </w:pPr>
          </w:p>
          <w:p w:rsidR="005F0DEC" w:rsidRPr="00AE78C2" w:rsidRDefault="005F0DEC" w:rsidP="005F0DEC">
            <w:pPr>
              <w:rPr>
                <w:color w:val="4F81BD"/>
                <w:szCs w:val="22"/>
              </w:rPr>
            </w:pPr>
          </w:p>
          <w:p w:rsidR="005F0DEC" w:rsidRPr="00AE78C2" w:rsidRDefault="005F0DEC" w:rsidP="005F0DEC">
            <w:pPr>
              <w:rPr>
                <w:color w:val="4F81BD"/>
                <w:szCs w:val="22"/>
              </w:rPr>
            </w:pPr>
          </w:p>
          <w:p w:rsidR="005F0DEC" w:rsidRPr="00AE78C2" w:rsidRDefault="005F0DEC" w:rsidP="005F0DEC">
            <w:pPr>
              <w:rPr>
                <w:color w:val="4F81BD"/>
                <w:szCs w:val="22"/>
              </w:rPr>
            </w:pPr>
          </w:p>
          <w:p w:rsidR="005E5AA1" w:rsidRPr="00AE78C2" w:rsidRDefault="005E5AA1" w:rsidP="005F0DEC">
            <w:pPr>
              <w:rPr>
                <w:color w:val="4F81BD"/>
                <w:szCs w:val="22"/>
              </w:rPr>
            </w:pPr>
          </w:p>
          <w:p w:rsidR="005E5AA1" w:rsidRPr="00AE78C2" w:rsidRDefault="005E5AA1" w:rsidP="005F0DEC">
            <w:pPr>
              <w:rPr>
                <w:color w:val="4F81BD"/>
                <w:szCs w:val="22"/>
              </w:rPr>
            </w:pPr>
          </w:p>
          <w:p w:rsidR="005F0DEC" w:rsidRPr="00AE78C2" w:rsidRDefault="005F0DEC" w:rsidP="005F0DEC">
            <w:pPr>
              <w:rPr>
                <w:color w:val="000000"/>
                <w:szCs w:val="22"/>
              </w:rPr>
            </w:pPr>
            <w:r w:rsidRPr="00AE78C2">
              <w:rPr>
                <w:color w:val="000000"/>
                <w:szCs w:val="22"/>
              </w:rPr>
              <w:t>2016</w:t>
            </w:r>
          </w:p>
        </w:tc>
      </w:tr>
      <w:tr w:rsidR="00F7428E" w:rsidRPr="00AE78C2" w:rsidTr="00A8512C">
        <w:trPr>
          <w:trHeight w:val="612"/>
          <w:jc w:val="center"/>
        </w:trPr>
        <w:tc>
          <w:tcPr>
            <w:tcW w:w="1162" w:type="dxa"/>
            <w:tcBorders>
              <w:top w:val="nil"/>
              <w:bottom w:val="single" w:sz="4" w:space="0" w:color="auto"/>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E119C2" w:rsidRPr="00AE78C2" w:rsidRDefault="00E119C2" w:rsidP="00E119C2">
            <w:pPr>
              <w:jc w:val="center"/>
              <w:rPr>
                <w:sz w:val="22"/>
                <w:szCs w:val="22"/>
              </w:rPr>
            </w:pPr>
          </w:p>
          <w:p w:rsidR="00E119C2" w:rsidRPr="00AE78C2" w:rsidRDefault="00E119C2" w:rsidP="006B742F">
            <w:pPr>
              <w:jc w:val="center"/>
              <w:rPr>
                <w:sz w:val="22"/>
                <w:szCs w:val="22"/>
              </w:rPr>
            </w:pPr>
          </w:p>
          <w:p w:rsidR="00F7428E" w:rsidRPr="00AE78C2" w:rsidRDefault="00F7428E" w:rsidP="006B742F">
            <w:pPr>
              <w:jc w:val="center"/>
              <w:rPr>
                <w:sz w:val="22"/>
                <w:szCs w:val="22"/>
              </w:rPr>
            </w:pPr>
          </w:p>
        </w:tc>
        <w:tc>
          <w:tcPr>
            <w:tcW w:w="994"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E119C2" w:rsidRPr="00AE78C2" w:rsidRDefault="00E119C2" w:rsidP="00E119C2">
            <w:pPr>
              <w:jc w:val="center"/>
              <w:rPr>
                <w:sz w:val="22"/>
                <w:szCs w:val="22"/>
              </w:rPr>
            </w:pPr>
          </w:p>
          <w:p w:rsidR="00E119C2" w:rsidRPr="00AE78C2" w:rsidRDefault="00E119C2" w:rsidP="006B742F">
            <w:pPr>
              <w:jc w:val="center"/>
              <w:rPr>
                <w:sz w:val="22"/>
                <w:szCs w:val="22"/>
              </w:rPr>
            </w:pPr>
          </w:p>
          <w:p w:rsidR="00F7428E" w:rsidRPr="00AE78C2" w:rsidRDefault="00F7428E" w:rsidP="005F0DEC">
            <w:pPr>
              <w:autoSpaceDE w:val="0"/>
              <w:autoSpaceDN w:val="0"/>
              <w:adjustRightInd w:val="0"/>
              <w:ind w:left="720"/>
              <w:rPr>
                <w:sz w:val="22"/>
                <w:szCs w:val="22"/>
              </w:rPr>
            </w:pPr>
          </w:p>
        </w:tc>
        <w:tc>
          <w:tcPr>
            <w:tcW w:w="8445" w:type="dxa"/>
            <w:tcBorders>
              <w:top w:val="nil"/>
              <w:left w:val="single" w:sz="4" w:space="0" w:color="auto"/>
              <w:bottom w:val="single" w:sz="4" w:space="0" w:color="auto"/>
              <w:right w:val="single" w:sz="4" w:space="0" w:color="auto"/>
            </w:tcBorders>
            <w:shd w:val="clear" w:color="auto" w:fill="auto"/>
          </w:tcPr>
          <w:p w:rsidR="00042757" w:rsidRPr="00AE78C2" w:rsidRDefault="005F0DEC" w:rsidP="009B7F2E">
            <w:pPr>
              <w:numPr>
                <w:ilvl w:val="0"/>
                <w:numId w:val="35"/>
              </w:numPr>
              <w:autoSpaceDE w:val="0"/>
              <w:autoSpaceDN w:val="0"/>
              <w:adjustRightInd w:val="0"/>
              <w:ind w:left="1586" w:hanging="1080"/>
              <w:rPr>
                <w:b/>
                <w:szCs w:val="22"/>
              </w:rPr>
            </w:pPr>
            <w:r w:rsidRPr="00AE78C2">
              <w:rPr>
                <w:b/>
                <w:szCs w:val="22"/>
              </w:rPr>
              <w:t xml:space="preserve">   </w:t>
            </w:r>
            <w:r w:rsidR="000F40C7" w:rsidRPr="00AE78C2">
              <w:rPr>
                <w:b/>
                <w:szCs w:val="22"/>
              </w:rPr>
              <w:t>Identify specific HAI prevention targets consistent with HHS priorities</w:t>
            </w:r>
          </w:p>
          <w:p w:rsidR="00BC658E" w:rsidRPr="00AE78C2" w:rsidRDefault="00BC658E" w:rsidP="0047675C">
            <w:pPr>
              <w:ind w:left="1440"/>
            </w:pPr>
          </w:p>
          <w:p w:rsidR="006E6AD6" w:rsidRPr="00AE78C2" w:rsidRDefault="00042757" w:rsidP="005F0DEC">
            <w:pPr>
              <w:ind w:left="866"/>
            </w:pPr>
            <w:r w:rsidRPr="00AE78C2">
              <w:t>Initial HHS metrics identified</w:t>
            </w:r>
            <w:r w:rsidR="00AE16F8" w:rsidRPr="00AE78C2">
              <w:t xml:space="preserve"> in 2008 included</w:t>
            </w:r>
            <w:r w:rsidRPr="00AE78C2">
              <w:t xml:space="preserve"> </w:t>
            </w:r>
            <w:r w:rsidR="00771DD1" w:rsidRPr="00AE78C2">
              <w:t>reporting of central line associated blood stream infections</w:t>
            </w:r>
            <w:r w:rsidR="00A1629A" w:rsidRPr="00AE78C2">
              <w:t xml:space="preserve"> (CLABSI)</w:t>
            </w:r>
            <w:r w:rsidR="00771DD1" w:rsidRPr="00AE78C2">
              <w:t xml:space="preserve"> in adult, pediatric and neonatal intensive care units, surgical site infections</w:t>
            </w:r>
            <w:r w:rsidR="00A1629A" w:rsidRPr="00AE78C2">
              <w:t xml:space="preserve"> (SSI)</w:t>
            </w:r>
            <w:r w:rsidR="00771DD1" w:rsidRPr="00AE78C2">
              <w:t xml:space="preserve"> related to abdominal and vaginal hysterectomy procedures, hip and knee arthroplasties and coronary artery bypass graft (CABG) procedures to the Centers for Disease Control and Prevention’s (CDC) National Healthcare Safety Network (NHSN).</w:t>
            </w:r>
            <w:r w:rsidR="005642CA" w:rsidRPr="00AE78C2">
              <w:t xml:space="preserve"> </w:t>
            </w:r>
          </w:p>
          <w:p w:rsidR="000A2949" w:rsidRPr="00AE78C2" w:rsidRDefault="00AE16F8" w:rsidP="00771DD1">
            <w:pPr>
              <w:ind w:left="1440"/>
              <w:rPr>
                <w:szCs w:val="20"/>
              </w:rPr>
            </w:pPr>
            <w:r w:rsidRPr="00AE78C2">
              <w:rPr>
                <w:szCs w:val="20"/>
              </w:rPr>
              <w:t xml:space="preserve">  </w:t>
            </w:r>
          </w:p>
          <w:p w:rsidR="005F0DEC" w:rsidRPr="00AE78C2" w:rsidRDefault="00771DD1" w:rsidP="008A25EC">
            <w:pPr>
              <w:ind w:left="866"/>
              <w:rPr>
                <w:szCs w:val="20"/>
              </w:rPr>
            </w:pPr>
            <w:r w:rsidRPr="00AE78C2">
              <w:rPr>
                <w:szCs w:val="20"/>
              </w:rPr>
              <w:t xml:space="preserve">The following additional reporting requirements were </w:t>
            </w:r>
            <w:r w:rsidR="0056129D" w:rsidRPr="00AE78C2">
              <w:rPr>
                <w:szCs w:val="20"/>
              </w:rPr>
              <w:t>implemented</w:t>
            </w:r>
            <w:r w:rsidRPr="00AE78C2">
              <w:rPr>
                <w:szCs w:val="20"/>
              </w:rPr>
              <w:t xml:space="preserve"> </w:t>
            </w:r>
            <w:r w:rsidR="00936F75" w:rsidRPr="00AE78C2">
              <w:rPr>
                <w:szCs w:val="20"/>
              </w:rPr>
              <w:t>in 2014</w:t>
            </w:r>
            <w:r w:rsidRPr="00AE78C2">
              <w:rPr>
                <w:szCs w:val="20"/>
              </w:rPr>
              <w:t xml:space="preserve"> and are consistent with current </w:t>
            </w:r>
            <w:r w:rsidR="005165FB" w:rsidRPr="00AE78C2">
              <w:t xml:space="preserve">Centers for Medicare and Medicaid Services (CMS) </w:t>
            </w:r>
            <w:r w:rsidR="007770B5" w:rsidRPr="00AE78C2">
              <w:rPr>
                <w:szCs w:val="20"/>
              </w:rPr>
              <w:t>requirements:</w:t>
            </w:r>
          </w:p>
          <w:tbl>
            <w:tblPr>
              <w:tblpPr w:leftFromText="180" w:rightFromText="180" w:vertAnchor="text" w:horzAnchor="margin" w:tblpXSpec="center" w:tblpY="181"/>
              <w:tblOverlap w:val="never"/>
              <w:tblW w:w="6858" w:type="dxa"/>
              <w:tblBorders>
                <w:top w:val="single" w:sz="12" w:space="0" w:color="auto"/>
                <w:left w:val="single" w:sz="12" w:space="0" w:color="auto"/>
                <w:bottom w:val="single" w:sz="12" w:space="0" w:color="auto"/>
                <w:right w:val="single" w:sz="12" w:space="0" w:color="auto"/>
              </w:tblBorders>
              <w:shd w:val="clear" w:color="auto" w:fill="E0E0E0"/>
              <w:tblLook w:val="0000" w:firstRow="0" w:lastRow="0" w:firstColumn="0" w:lastColumn="0" w:noHBand="0" w:noVBand="0"/>
            </w:tblPr>
            <w:tblGrid>
              <w:gridCol w:w="3524"/>
              <w:gridCol w:w="3334"/>
            </w:tblGrid>
            <w:tr w:rsidR="00771DD1" w:rsidRPr="00AE78C2" w:rsidTr="00D61380">
              <w:tblPrEx>
                <w:tblCellMar>
                  <w:top w:w="0" w:type="dxa"/>
                  <w:bottom w:w="0" w:type="dxa"/>
                </w:tblCellMar>
              </w:tblPrEx>
              <w:trPr>
                <w:trHeight w:val="223"/>
              </w:trPr>
              <w:tc>
                <w:tcPr>
                  <w:tcW w:w="3524" w:type="dxa"/>
                  <w:shd w:val="clear" w:color="auto" w:fill="auto"/>
                  <w:vAlign w:val="center"/>
                </w:tcPr>
                <w:p w:rsidR="00771DD1" w:rsidRPr="00AE78C2" w:rsidRDefault="00771DD1" w:rsidP="00771DD1">
                  <w:pPr>
                    <w:jc w:val="center"/>
                    <w:rPr>
                      <w:sz w:val="20"/>
                    </w:rPr>
                  </w:pPr>
                  <w:r w:rsidRPr="00AE78C2">
                    <w:rPr>
                      <w:sz w:val="20"/>
                    </w:rPr>
                    <w:t xml:space="preserve">Catheter-associated Urinary Tract </w:t>
                  </w:r>
                  <w:r w:rsidR="00D62A0E" w:rsidRPr="00AE78C2">
                    <w:rPr>
                      <w:sz w:val="20"/>
                    </w:rPr>
                    <w:t>Infection (</w:t>
                  </w:r>
                  <w:r w:rsidRPr="00AE78C2">
                    <w:rPr>
                      <w:sz w:val="20"/>
                    </w:rPr>
                    <w:t>CAUTI)</w:t>
                  </w:r>
                </w:p>
              </w:tc>
              <w:tc>
                <w:tcPr>
                  <w:tcW w:w="3334" w:type="dxa"/>
                  <w:shd w:val="clear" w:color="auto" w:fill="auto"/>
                  <w:vAlign w:val="center"/>
                </w:tcPr>
                <w:p w:rsidR="00771DD1" w:rsidRPr="00AE78C2" w:rsidRDefault="00771DD1" w:rsidP="00771DD1">
                  <w:pPr>
                    <w:pStyle w:val="Default"/>
                    <w:jc w:val="center"/>
                    <w:rPr>
                      <w:rFonts w:ascii="Times New Roman" w:hAnsi="Times New Roman" w:cs="Times New Roman"/>
                      <w:color w:val="auto"/>
                      <w:sz w:val="20"/>
                      <w:szCs w:val="20"/>
                    </w:rPr>
                  </w:pPr>
                  <w:r w:rsidRPr="00AE78C2">
                    <w:rPr>
                      <w:rFonts w:ascii="Times New Roman" w:hAnsi="Times New Roman" w:cs="Times New Roman"/>
                      <w:color w:val="auto"/>
                      <w:sz w:val="20"/>
                      <w:szCs w:val="20"/>
                    </w:rPr>
                    <w:t>Acute Care Hospitals: Adult and Pediatric ICUs</w:t>
                  </w:r>
                </w:p>
              </w:tc>
            </w:tr>
            <w:tr w:rsidR="00771DD1" w:rsidRPr="00AE78C2" w:rsidTr="00D61380">
              <w:tblPrEx>
                <w:tblCellMar>
                  <w:top w:w="0" w:type="dxa"/>
                  <w:bottom w:w="0" w:type="dxa"/>
                </w:tblCellMar>
              </w:tblPrEx>
              <w:trPr>
                <w:trHeight w:val="223"/>
              </w:trPr>
              <w:tc>
                <w:tcPr>
                  <w:tcW w:w="3524" w:type="dxa"/>
                  <w:shd w:val="clear" w:color="auto" w:fill="F3F3F3"/>
                  <w:vAlign w:val="center"/>
                </w:tcPr>
                <w:p w:rsidR="00771DD1" w:rsidRPr="00AE78C2" w:rsidRDefault="00771DD1" w:rsidP="00771DD1">
                  <w:pPr>
                    <w:jc w:val="center"/>
                    <w:rPr>
                      <w:sz w:val="20"/>
                    </w:rPr>
                  </w:pPr>
                  <w:r w:rsidRPr="00AE78C2">
                    <w:rPr>
                      <w:sz w:val="20"/>
                    </w:rPr>
                    <w:t>Surgical Site Infection (SSI)</w:t>
                  </w:r>
                </w:p>
              </w:tc>
              <w:tc>
                <w:tcPr>
                  <w:tcW w:w="3334" w:type="dxa"/>
                  <w:shd w:val="clear" w:color="auto" w:fill="F3F3F3"/>
                  <w:vAlign w:val="center"/>
                </w:tcPr>
                <w:p w:rsidR="00771DD1" w:rsidRPr="00AE78C2" w:rsidRDefault="00771DD1" w:rsidP="00771DD1">
                  <w:pPr>
                    <w:pStyle w:val="Default"/>
                    <w:jc w:val="center"/>
                    <w:rPr>
                      <w:rFonts w:ascii="Times New Roman" w:hAnsi="Times New Roman" w:cs="Times New Roman"/>
                      <w:color w:val="auto"/>
                      <w:sz w:val="20"/>
                      <w:szCs w:val="20"/>
                    </w:rPr>
                  </w:pPr>
                  <w:r w:rsidRPr="00AE78C2">
                    <w:rPr>
                      <w:rFonts w:ascii="Times New Roman" w:hAnsi="Times New Roman" w:cs="Times New Roman"/>
                      <w:color w:val="auto"/>
                      <w:sz w:val="20"/>
                      <w:szCs w:val="20"/>
                    </w:rPr>
                    <w:t>Acute Care Hospitals: Inpatient Colon Procedures</w:t>
                  </w:r>
                </w:p>
              </w:tc>
            </w:tr>
            <w:tr w:rsidR="00771DD1" w:rsidRPr="00AE78C2" w:rsidTr="00D61380">
              <w:tblPrEx>
                <w:tblCellMar>
                  <w:top w:w="0" w:type="dxa"/>
                  <w:bottom w:w="0" w:type="dxa"/>
                </w:tblCellMar>
              </w:tblPrEx>
              <w:trPr>
                <w:trHeight w:val="82"/>
              </w:trPr>
              <w:tc>
                <w:tcPr>
                  <w:tcW w:w="3524" w:type="dxa"/>
                  <w:shd w:val="clear" w:color="auto" w:fill="auto"/>
                  <w:vAlign w:val="center"/>
                </w:tcPr>
                <w:p w:rsidR="00771DD1" w:rsidRPr="00AE78C2" w:rsidRDefault="00771DD1" w:rsidP="00771DD1">
                  <w:pPr>
                    <w:jc w:val="center"/>
                    <w:rPr>
                      <w:sz w:val="20"/>
                    </w:rPr>
                  </w:pPr>
                  <w:r w:rsidRPr="00AE78C2">
                    <w:rPr>
                      <w:sz w:val="20"/>
                    </w:rPr>
                    <w:t xml:space="preserve">Methicillin Resistant </w:t>
                  </w:r>
                  <w:r w:rsidRPr="00AE78C2">
                    <w:rPr>
                      <w:i/>
                      <w:sz w:val="20"/>
                    </w:rPr>
                    <w:t>Staphylococcus aureus</w:t>
                  </w:r>
                  <w:r w:rsidRPr="00AE78C2">
                    <w:rPr>
                      <w:sz w:val="20"/>
                    </w:rPr>
                    <w:t xml:space="preserve"> (MRSA) Bacteremia LabID Event</w:t>
                  </w:r>
                </w:p>
              </w:tc>
              <w:tc>
                <w:tcPr>
                  <w:tcW w:w="3334" w:type="dxa"/>
                  <w:shd w:val="clear" w:color="auto" w:fill="auto"/>
                  <w:vAlign w:val="center"/>
                </w:tcPr>
                <w:p w:rsidR="00771DD1" w:rsidRPr="00AE78C2" w:rsidRDefault="00771DD1" w:rsidP="00771DD1">
                  <w:pPr>
                    <w:autoSpaceDE w:val="0"/>
                    <w:autoSpaceDN w:val="0"/>
                    <w:adjustRightInd w:val="0"/>
                    <w:jc w:val="center"/>
                    <w:rPr>
                      <w:sz w:val="20"/>
                    </w:rPr>
                  </w:pPr>
                  <w:r w:rsidRPr="00AE78C2">
                    <w:rPr>
                      <w:sz w:val="20"/>
                    </w:rPr>
                    <w:t xml:space="preserve">Acute Care Hospitals: Facility Wide Inpatient </w:t>
                  </w:r>
                </w:p>
              </w:tc>
            </w:tr>
            <w:tr w:rsidR="00771DD1" w:rsidRPr="00AE78C2" w:rsidTr="00D61380">
              <w:tblPrEx>
                <w:tblCellMar>
                  <w:top w:w="0" w:type="dxa"/>
                  <w:bottom w:w="0" w:type="dxa"/>
                </w:tblCellMar>
              </w:tblPrEx>
              <w:trPr>
                <w:trHeight w:val="82"/>
              </w:trPr>
              <w:tc>
                <w:tcPr>
                  <w:tcW w:w="3524" w:type="dxa"/>
                  <w:shd w:val="clear" w:color="auto" w:fill="F3F3F3"/>
                  <w:vAlign w:val="center"/>
                </w:tcPr>
                <w:p w:rsidR="00771DD1" w:rsidRPr="00AE78C2" w:rsidRDefault="00771DD1" w:rsidP="00771DD1">
                  <w:pPr>
                    <w:jc w:val="center"/>
                    <w:rPr>
                      <w:sz w:val="20"/>
                    </w:rPr>
                  </w:pPr>
                  <w:r w:rsidRPr="00AE78C2">
                    <w:rPr>
                      <w:i/>
                      <w:iCs/>
                      <w:sz w:val="20"/>
                    </w:rPr>
                    <w:t xml:space="preserve">Clostridium </w:t>
                  </w:r>
                  <w:r w:rsidR="00D62A0E" w:rsidRPr="00AE78C2">
                    <w:rPr>
                      <w:i/>
                      <w:iCs/>
                      <w:sz w:val="20"/>
                    </w:rPr>
                    <w:t xml:space="preserve">difficile </w:t>
                  </w:r>
                  <w:r w:rsidR="00D62A0E" w:rsidRPr="00AE78C2">
                    <w:rPr>
                      <w:iCs/>
                      <w:sz w:val="20"/>
                    </w:rPr>
                    <w:t>Infection</w:t>
                  </w:r>
                  <w:r w:rsidRPr="00AE78C2">
                    <w:rPr>
                      <w:i/>
                      <w:iCs/>
                      <w:sz w:val="20"/>
                    </w:rPr>
                    <w:t xml:space="preserve"> </w:t>
                  </w:r>
                  <w:r w:rsidRPr="00AE78C2">
                    <w:rPr>
                      <w:iCs/>
                      <w:sz w:val="20"/>
                    </w:rPr>
                    <w:t xml:space="preserve">(CDI) </w:t>
                  </w:r>
                  <w:r w:rsidRPr="00AE78C2">
                    <w:rPr>
                      <w:sz w:val="20"/>
                    </w:rPr>
                    <w:lastRenderedPageBreak/>
                    <w:t>LabID Event</w:t>
                  </w:r>
                </w:p>
              </w:tc>
              <w:tc>
                <w:tcPr>
                  <w:tcW w:w="3334" w:type="dxa"/>
                  <w:shd w:val="clear" w:color="auto" w:fill="F3F3F3"/>
                  <w:vAlign w:val="center"/>
                </w:tcPr>
                <w:p w:rsidR="00771DD1" w:rsidRPr="00AE78C2" w:rsidRDefault="00771DD1" w:rsidP="00771DD1">
                  <w:pPr>
                    <w:autoSpaceDE w:val="0"/>
                    <w:autoSpaceDN w:val="0"/>
                    <w:adjustRightInd w:val="0"/>
                    <w:jc w:val="center"/>
                    <w:rPr>
                      <w:sz w:val="20"/>
                    </w:rPr>
                  </w:pPr>
                  <w:r w:rsidRPr="00AE78C2">
                    <w:rPr>
                      <w:sz w:val="20"/>
                    </w:rPr>
                    <w:lastRenderedPageBreak/>
                    <w:t xml:space="preserve">Acute Care Hospitals: Facility Wide </w:t>
                  </w:r>
                  <w:r w:rsidRPr="00AE78C2">
                    <w:rPr>
                      <w:sz w:val="20"/>
                    </w:rPr>
                    <w:lastRenderedPageBreak/>
                    <w:t>Inpatient</w:t>
                  </w:r>
                </w:p>
              </w:tc>
            </w:tr>
          </w:tbl>
          <w:p w:rsidR="000A2949" w:rsidRPr="00AE78C2" w:rsidRDefault="000A2949" w:rsidP="0047675C">
            <w:pPr>
              <w:ind w:left="1440"/>
              <w:rPr>
                <w:szCs w:val="20"/>
              </w:rPr>
            </w:pPr>
          </w:p>
          <w:p w:rsidR="00771DD1" w:rsidRPr="00AE78C2" w:rsidRDefault="00771DD1" w:rsidP="0047675C">
            <w:pPr>
              <w:ind w:left="1440"/>
            </w:pPr>
          </w:p>
          <w:p w:rsidR="006E6AD6" w:rsidRPr="00AE78C2" w:rsidRDefault="006E6AD6" w:rsidP="005F0DEC">
            <w:pPr>
              <w:ind w:left="866"/>
            </w:pPr>
            <w:r w:rsidRPr="00AE78C2">
              <w:t>Starting in 2008, acute care hospitals were required to report healthcare worker influenza vaccination data to MDPH.  In 2011, these requirements were extended to ambulatory surgical centers, dialysis centers, long term care facilities and non-acute hospitals; in 2012 rest homes.</w:t>
            </w:r>
            <w:r w:rsidR="00445A1F" w:rsidRPr="00AE78C2">
              <w:t xml:space="preserve">; 2015 Adult Day Health Centers. </w:t>
            </w:r>
          </w:p>
          <w:p w:rsidR="006E6AD6" w:rsidRPr="00AE78C2" w:rsidRDefault="006E6AD6" w:rsidP="0047675C">
            <w:pPr>
              <w:ind w:left="1440"/>
            </w:pPr>
          </w:p>
          <w:p w:rsidR="00042757" w:rsidRPr="00AE78C2" w:rsidRDefault="00AE16F8" w:rsidP="005F0DEC">
            <w:pPr>
              <w:ind w:left="866"/>
            </w:pPr>
            <w:r w:rsidRPr="00AE78C2">
              <w:t>M</w:t>
            </w:r>
            <w:r w:rsidR="005165FB" w:rsidRPr="00AE78C2">
              <w:t xml:space="preserve">assachusetts acute care hospitals are required to report </w:t>
            </w:r>
            <w:r w:rsidR="00042757" w:rsidRPr="00AE78C2">
              <w:t>HCP</w:t>
            </w:r>
            <w:r w:rsidR="005165FB" w:rsidRPr="00AE78C2">
              <w:t xml:space="preserve"> </w:t>
            </w:r>
            <w:r w:rsidR="00042757" w:rsidRPr="00AE78C2">
              <w:t>influenza</w:t>
            </w:r>
            <w:r w:rsidRPr="00AE78C2">
              <w:t xml:space="preserve"> vaccination </w:t>
            </w:r>
            <w:r w:rsidR="005165FB" w:rsidRPr="00AE78C2">
              <w:t xml:space="preserve">summary </w:t>
            </w:r>
            <w:r w:rsidRPr="00AE78C2">
              <w:t>data to NHSN.</w:t>
            </w:r>
            <w:r w:rsidR="00042757" w:rsidRPr="00AE78C2">
              <w:t xml:space="preserve"> </w:t>
            </w:r>
          </w:p>
          <w:p w:rsidR="00AE16F8" w:rsidRPr="00AE78C2" w:rsidRDefault="00AE16F8" w:rsidP="005F0DEC">
            <w:pPr>
              <w:ind w:left="866"/>
            </w:pPr>
          </w:p>
          <w:p w:rsidR="005165FB" w:rsidRPr="00AE78C2" w:rsidRDefault="005165FB" w:rsidP="005F0DEC">
            <w:pPr>
              <w:ind w:left="866"/>
            </w:pPr>
            <w:r w:rsidRPr="00AE78C2">
              <w:t>Massachusetts ASC</w:t>
            </w:r>
            <w:r w:rsidR="00960AB9" w:rsidRPr="00AE78C2">
              <w:t>s</w:t>
            </w:r>
            <w:r w:rsidRPr="00AE78C2">
              <w:t xml:space="preserve"> are required to report </w:t>
            </w:r>
            <w:r w:rsidR="00112380" w:rsidRPr="00AE78C2">
              <w:t>HCP influenza</w:t>
            </w:r>
            <w:r w:rsidRPr="00AE78C2">
              <w:t xml:space="preserve"> vaccination summary data to NHSN.</w:t>
            </w:r>
          </w:p>
          <w:p w:rsidR="005165FB" w:rsidRPr="00AE78C2" w:rsidRDefault="005165FB" w:rsidP="005F0DEC">
            <w:pPr>
              <w:ind w:left="866"/>
            </w:pPr>
          </w:p>
          <w:p w:rsidR="005165FB" w:rsidRPr="00AE78C2" w:rsidRDefault="001D298E" w:rsidP="005F0DEC">
            <w:pPr>
              <w:ind w:left="866"/>
            </w:pPr>
            <w:r w:rsidRPr="00AE78C2">
              <w:t xml:space="preserve">Massachusetts dialysis centers </w:t>
            </w:r>
            <w:r w:rsidR="005165FB" w:rsidRPr="00AE78C2">
              <w:t>and non-acute hospitals are required to report HCP influenza vaccination summary data to NHSN.</w:t>
            </w:r>
          </w:p>
          <w:p w:rsidR="00E913C0" w:rsidRPr="00AE78C2" w:rsidRDefault="00E913C0" w:rsidP="005F0DEC">
            <w:pPr>
              <w:ind w:left="866"/>
            </w:pPr>
          </w:p>
          <w:p w:rsidR="00E913C0" w:rsidRPr="00AE78C2" w:rsidRDefault="00E913C0" w:rsidP="005F0DEC">
            <w:pPr>
              <w:ind w:left="866"/>
            </w:pPr>
            <w:r w:rsidRPr="00AE78C2">
              <w:t xml:space="preserve">MDPH will expand acute care hospital reporting requirements to include central line associated blood stream infections for adult and pediatric </w:t>
            </w:r>
            <w:r w:rsidR="00960AB9" w:rsidRPr="00AE78C2">
              <w:t>m</w:t>
            </w:r>
            <w:r w:rsidRPr="00AE78C2">
              <w:t xml:space="preserve">edical, </w:t>
            </w:r>
            <w:r w:rsidR="00960AB9" w:rsidRPr="00AE78C2">
              <w:t>s</w:t>
            </w:r>
            <w:r w:rsidRPr="00AE78C2">
              <w:t xml:space="preserve">urgical and </w:t>
            </w:r>
            <w:r w:rsidR="00960AB9" w:rsidRPr="00AE78C2">
              <w:t>m</w:t>
            </w:r>
            <w:r w:rsidRPr="00AE78C2">
              <w:t>edical/</w:t>
            </w:r>
            <w:r w:rsidR="00960AB9" w:rsidRPr="00AE78C2">
              <w:t>s</w:t>
            </w:r>
            <w:r w:rsidRPr="00AE78C2">
              <w:t>urgical wards</w:t>
            </w:r>
            <w:r w:rsidR="00960AB9" w:rsidRPr="00AE78C2">
              <w:t>.</w:t>
            </w:r>
          </w:p>
          <w:p w:rsidR="00E913C0" w:rsidRPr="00AE78C2" w:rsidRDefault="00E913C0" w:rsidP="005F0DEC">
            <w:pPr>
              <w:ind w:left="866"/>
            </w:pPr>
          </w:p>
          <w:p w:rsidR="00E913C0" w:rsidRPr="00AE78C2" w:rsidRDefault="00E913C0" w:rsidP="005F0DEC">
            <w:pPr>
              <w:ind w:left="866"/>
            </w:pPr>
            <w:r w:rsidRPr="00AE78C2">
              <w:t xml:space="preserve">MDPH will expand acute care hospital reporting requirements to include catheter </w:t>
            </w:r>
            <w:r w:rsidR="00D83BFE" w:rsidRPr="00AE78C2">
              <w:t>associated urinary</w:t>
            </w:r>
            <w:r w:rsidRPr="00AE78C2">
              <w:t xml:space="preserve"> tract infections for adult and pediatric </w:t>
            </w:r>
            <w:r w:rsidR="00721EB3" w:rsidRPr="00AE78C2">
              <w:t>m</w:t>
            </w:r>
            <w:r w:rsidRPr="00AE78C2">
              <w:t xml:space="preserve">edical, </w:t>
            </w:r>
            <w:r w:rsidR="00721EB3" w:rsidRPr="00AE78C2">
              <w:t>s</w:t>
            </w:r>
            <w:r w:rsidRPr="00AE78C2">
              <w:t xml:space="preserve">urgical and </w:t>
            </w:r>
            <w:r w:rsidR="00721EB3" w:rsidRPr="00AE78C2">
              <w:t>m</w:t>
            </w:r>
            <w:r w:rsidRPr="00AE78C2">
              <w:t>edical/</w:t>
            </w:r>
            <w:r w:rsidR="00721EB3" w:rsidRPr="00AE78C2">
              <w:t>s</w:t>
            </w:r>
            <w:r w:rsidRPr="00AE78C2">
              <w:t>urgical wards</w:t>
            </w:r>
            <w:r w:rsidR="001D298E" w:rsidRPr="00AE78C2">
              <w:t>.</w:t>
            </w:r>
          </w:p>
          <w:p w:rsidR="00112380" w:rsidRPr="00AE78C2" w:rsidRDefault="00D917C6" w:rsidP="005F0DEC">
            <w:pPr>
              <w:ind w:left="866"/>
            </w:pPr>
            <w:r w:rsidRPr="00AE78C2">
              <w:br/>
            </w:r>
            <w:r w:rsidR="00441490" w:rsidRPr="00AE78C2">
              <w:t>MDPH will</w:t>
            </w:r>
            <w:r w:rsidR="00112380" w:rsidRPr="00AE78C2">
              <w:t xml:space="preserve"> expand acute care hospital requirement</w:t>
            </w:r>
            <w:r w:rsidR="00721EB3" w:rsidRPr="00AE78C2">
              <w:t>s</w:t>
            </w:r>
            <w:r w:rsidR="00112380" w:rsidRPr="00AE78C2">
              <w:t xml:space="preserve"> to include the NHSN </w:t>
            </w:r>
            <w:r w:rsidR="000B20BD" w:rsidRPr="00AE78C2">
              <w:t>Antimicrobial Use and Resistance (AUR) Module</w:t>
            </w:r>
          </w:p>
          <w:p w:rsidR="005165FB" w:rsidRPr="00AE78C2" w:rsidRDefault="005165FB" w:rsidP="005F0DEC">
            <w:pPr>
              <w:ind w:left="866"/>
            </w:pPr>
          </w:p>
          <w:p w:rsidR="00F7428E" w:rsidRPr="00AE78C2" w:rsidRDefault="00042757" w:rsidP="005F0DEC">
            <w:pPr>
              <w:ind w:left="866"/>
            </w:pPr>
            <w:r w:rsidRPr="00AE78C2">
              <w:t>Selection of additional HHS metrics will be prioritized as directed by CDC, HHS, recommendations of the TAG, identification of emerging HAI issues and based on the experience of other jurisdictions.</w:t>
            </w:r>
            <w:r w:rsidR="000F40C7" w:rsidRPr="00AE78C2">
              <w:rPr>
                <w:b/>
                <w:sz w:val="22"/>
                <w:szCs w:val="22"/>
              </w:rPr>
              <w:t xml:space="preserve">           </w:t>
            </w:r>
          </w:p>
        </w:tc>
        <w:tc>
          <w:tcPr>
            <w:tcW w:w="2350" w:type="dxa"/>
            <w:tcBorders>
              <w:top w:val="nil"/>
              <w:left w:val="single" w:sz="4" w:space="0" w:color="auto"/>
              <w:bottom w:val="single" w:sz="4" w:space="0" w:color="auto"/>
            </w:tcBorders>
            <w:shd w:val="clear" w:color="auto" w:fill="auto"/>
          </w:tcPr>
          <w:p w:rsidR="00F7428E" w:rsidRPr="00AE78C2" w:rsidRDefault="00F7428E" w:rsidP="006B742F">
            <w:pPr>
              <w:autoSpaceDE w:val="0"/>
              <w:autoSpaceDN w:val="0"/>
              <w:adjustRightInd w:val="0"/>
              <w:rPr>
                <w:sz w:val="22"/>
                <w:szCs w:val="22"/>
              </w:rPr>
            </w:pPr>
          </w:p>
          <w:p w:rsidR="000A2949" w:rsidRPr="00AE78C2" w:rsidRDefault="000A2949" w:rsidP="006B742F">
            <w:pPr>
              <w:autoSpaceDE w:val="0"/>
              <w:autoSpaceDN w:val="0"/>
              <w:adjustRightInd w:val="0"/>
              <w:rPr>
                <w:sz w:val="22"/>
                <w:szCs w:val="22"/>
              </w:rPr>
            </w:pPr>
          </w:p>
          <w:p w:rsidR="000A2949" w:rsidRPr="00AE78C2" w:rsidRDefault="000A2949" w:rsidP="006B742F">
            <w:pPr>
              <w:autoSpaceDE w:val="0"/>
              <w:autoSpaceDN w:val="0"/>
              <w:adjustRightInd w:val="0"/>
              <w:rPr>
                <w:color w:val="000000"/>
              </w:rPr>
            </w:pPr>
            <w:r w:rsidRPr="00AE78C2">
              <w:rPr>
                <w:color w:val="000000"/>
              </w:rPr>
              <w:t xml:space="preserve">2008 and ongoing </w:t>
            </w:r>
          </w:p>
          <w:p w:rsidR="000A2949" w:rsidRPr="00AE78C2" w:rsidRDefault="000A2949" w:rsidP="006B742F">
            <w:pPr>
              <w:autoSpaceDE w:val="0"/>
              <w:autoSpaceDN w:val="0"/>
              <w:adjustRightInd w:val="0"/>
              <w:rPr>
                <w:color w:val="000000"/>
                <w:sz w:val="22"/>
                <w:szCs w:val="22"/>
              </w:rPr>
            </w:pPr>
          </w:p>
          <w:p w:rsidR="000A2949" w:rsidRPr="00AE78C2" w:rsidRDefault="000A2949" w:rsidP="006B742F">
            <w:pPr>
              <w:autoSpaceDE w:val="0"/>
              <w:autoSpaceDN w:val="0"/>
              <w:adjustRightInd w:val="0"/>
              <w:rPr>
                <w:color w:val="000000"/>
                <w:sz w:val="22"/>
                <w:szCs w:val="22"/>
              </w:rPr>
            </w:pPr>
          </w:p>
          <w:p w:rsidR="005165FB" w:rsidRPr="00AE78C2" w:rsidRDefault="005165FB" w:rsidP="006B742F">
            <w:pPr>
              <w:autoSpaceDE w:val="0"/>
              <w:autoSpaceDN w:val="0"/>
              <w:adjustRightInd w:val="0"/>
              <w:rPr>
                <w:color w:val="000000"/>
                <w:sz w:val="22"/>
                <w:szCs w:val="22"/>
              </w:rPr>
            </w:pPr>
          </w:p>
          <w:p w:rsidR="005165FB" w:rsidRPr="00AE78C2" w:rsidRDefault="005165FB" w:rsidP="006B742F">
            <w:pPr>
              <w:autoSpaceDE w:val="0"/>
              <w:autoSpaceDN w:val="0"/>
              <w:adjustRightInd w:val="0"/>
              <w:rPr>
                <w:color w:val="000000"/>
                <w:sz w:val="22"/>
                <w:szCs w:val="22"/>
              </w:rPr>
            </w:pPr>
          </w:p>
          <w:p w:rsidR="005165FB" w:rsidRPr="00AE78C2" w:rsidRDefault="005165FB" w:rsidP="006B742F">
            <w:pPr>
              <w:autoSpaceDE w:val="0"/>
              <w:autoSpaceDN w:val="0"/>
              <w:adjustRightInd w:val="0"/>
              <w:rPr>
                <w:color w:val="000000"/>
                <w:sz w:val="22"/>
                <w:szCs w:val="22"/>
              </w:rPr>
            </w:pPr>
          </w:p>
          <w:p w:rsidR="005165FB" w:rsidRPr="00AE78C2" w:rsidRDefault="005165FB" w:rsidP="006B742F">
            <w:pPr>
              <w:autoSpaceDE w:val="0"/>
              <w:autoSpaceDN w:val="0"/>
              <w:adjustRightInd w:val="0"/>
              <w:rPr>
                <w:color w:val="000000"/>
                <w:sz w:val="22"/>
                <w:szCs w:val="22"/>
              </w:rPr>
            </w:pPr>
          </w:p>
          <w:p w:rsidR="00C97594" w:rsidRPr="00AE78C2" w:rsidRDefault="00C97594" w:rsidP="006B742F">
            <w:pPr>
              <w:autoSpaceDE w:val="0"/>
              <w:autoSpaceDN w:val="0"/>
              <w:adjustRightInd w:val="0"/>
              <w:rPr>
                <w:color w:val="000000"/>
                <w:sz w:val="22"/>
                <w:szCs w:val="22"/>
              </w:rPr>
            </w:pPr>
          </w:p>
          <w:p w:rsidR="005165FB" w:rsidRPr="00AE78C2" w:rsidRDefault="000A2949" w:rsidP="006B742F">
            <w:pPr>
              <w:autoSpaceDE w:val="0"/>
              <w:autoSpaceDN w:val="0"/>
              <w:adjustRightInd w:val="0"/>
              <w:rPr>
                <w:color w:val="000000"/>
              </w:rPr>
            </w:pPr>
            <w:r w:rsidRPr="00AE78C2">
              <w:rPr>
                <w:color w:val="000000"/>
              </w:rPr>
              <w:t xml:space="preserve">2014 </w:t>
            </w:r>
            <w:r w:rsidR="005165FB" w:rsidRPr="00AE78C2">
              <w:rPr>
                <w:color w:val="000000"/>
              </w:rPr>
              <w:t>and ongoing</w:t>
            </w: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5165FB" w:rsidRPr="00AE78C2" w:rsidRDefault="005165FB" w:rsidP="006B742F">
            <w:pPr>
              <w:autoSpaceDE w:val="0"/>
              <w:autoSpaceDN w:val="0"/>
              <w:adjustRightInd w:val="0"/>
              <w:rPr>
                <w:sz w:val="22"/>
                <w:szCs w:val="22"/>
              </w:rPr>
            </w:pPr>
          </w:p>
          <w:p w:rsidR="00042AC7" w:rsidRPr="00AE78C2" w:rsidRDefault="00042AC7" w:rsidP="006B742F">
            <w:pPr>
              <w:autoSpaceDE w:val="0"/>
              <w:autoSpaceDN w:val="0"/>
              <w:adjustRightInd w:val="0"/>
              <w:rPr>
                <w:sz w:val="22"/>
                <w:szCs w:val="22"/>
              </w:rPr>
            </w:pPr>
          </w:p>
          <w:p w:rsidR="006E6AD6" w:rsidRPr="00AE78C2" w:rsidRDefault="006E6AD6" w:rsidP="006B742F">
            <w:pPr>
              <w:autoSpaceDE w:val="0"/>
              <w:autoSpaceDN w:val="0"/>
              <w:adjustRightInd w:val="0"/>
              <w:rPr>
                <w:color w:val="000000"/>
              </w:rPr>
            </w:pPr>
            <w:r w:rsidRPr="00AE78C2">
              <w:rPr>
                <w:color w:val="000000"/>
              </w:rPr>
              <w:t>2008 and ongoing</w:t>
            </w:r>
          </w:p>
          <w:p w:rsidR="006E6AD6" w:rsidRPr="00AE78C2" w:rsidRDefault="006E6AD6" w:rsidP="006B742F">
            <w:pPr>
              <w:autoSpaceDE w:val="0"/>
              <w:autoSpaceDN w:val="0"/>
              <w:adjustRightInd w:val="0"/>
              <w:rPr>
                <w:color w:val="000000"/>
              </w:rPr>
            </w:pPr>
          </w:p>
          <w:p w:rsidR="00A00FFD" w:rsidRPr="00AE78C2" w:rsidRDefault="00A00FFD" w:rsidP="006B742F">
            <w:pPr>
              <w:autoSpaceDE w:val="0"/>
              <w:autoSpaceDN w:val="0"/>
              <w:adjustRightInd w:val="0"/>
              <w:rPr>
                <w:color w:val="000000"/>
              </w:rPr>
            </w:pPr>
          </w:p>
          <w:p w:rsidR="00A00FFD" w:rsidRPr="00AE78C2" w:rsidRDefault="00A00FFD" w:rsidP="006B742F">
            <w:pPr>
              <w:autoSpaceDE w:val="0"/>
              <w:autoSpaceDN w:val="0"/>
              <w:adjustRightInd w:val="0"/>
              <w:rPr>
                <w:color w:val="000000"/>
              </w:rPr>
            </w:pPr>
          </w:p>
          <w:p w:rsidR="00A00FFD" w:rsidRPr="00AE78C2" w:rsidRDefault="00A00FFD" w:rsidP="006B742F">
            <w:pPr>
              <w:autoSpaceDE w:val="0"/>
              <w:autoSpaceDN w:val="0"/>
              <w:adjustRightInd w:val="0"/>
              <w:rPr>
                <w:color w:val="000000"/>
              </w:rPr>
            </w:pPr>
          </w:p>
          <w:p w:rsidR="00A00FFD" w:rsidRPr="00AE78C2" w:rsidRDefault="00A00FFD" w:rsidP="006B742F">
            <w:pPr>
              <w:autoSpaceDE w:val="0"/>
              <w:autoSpaceDN w:val="0"/>
              <w:adjustRightInd w:val="0"/>
              <w:rPr>
                <w:color w:val="000000"/>
              </w:rPr>
            </w:pPr>
          </w:p>
          <w:p w:rsidR="000A2949" w:rsidRPr="00AE78C2" w:rsidRDefault="005165FB" w:rsidP="006B742F">
            <w:pPr>
              <w:autoSpaceDE w:val="0"/>
              <w:autoSpaceDN w:val="0"/>
              <w:adjustRightInd w:val="0"/>
              <w:rPr>
                <w:color w:val="000000"/>
              </w:rPr>
            </w:pPr>
            <w:r w:rsidRPr="00AE78C2">
              <w:rPr>
                <w:color w:val="000000"/>
              </w:rPr>
              <w:t>2013 and ongoing</w:t>
            </w:r>
          </w:p>
          <w:p w:rsidR="005165FB" w:rsidRPr="00AE78C2" w:rsidRDefault="005165FB" w:rsidP="006B742F">
            <w:pPr>
              <w:autoSpaceDE w:val="0"/>
              <w:autoSpaceDN w:val="0"/>
              <w:adjustRightInd w:val="0"/>
              <w:rPr>
                <w:color w:val="000000"/>
              </w:rPr>
            </w:pPr>
          </w:p>
          <w:p w:rsidR="00C97594" w:rsidRPr="00AE78C2" w:rsidRDefault="00C97594" w:rsidP="006B742F">
            <w:pPr>
              <w:autoSpaceDE w:val="0"/>
              <w:autoSpaceDN w:val="0"/>
              <w:adjustRightInd w:val="0"/>
              <w:rPr>
                <w:color w:val="000000"/>
              </w:rPr>
            </w:pPr>
          </w:p>
          <w:p w:rsidR="005165FB" w:rsidRPr="00AE78C2" w:rsidRDefault="005165FB" w:rsidP="006B742F">
            <w:pPr>
              <w:autoSpaceDE w:val="0"/>
              <w:autoSpaceDN w:val="0"/>
              <w:adjustRightInd w:val="0"/>
              <w:rPr>
                <w:color w:val="000000"/>
              </w:rPr>
            </w:pPr>
            <w:r w:rsidRPr="00AE78C2">
              <w:rPr>
                <w:color w:val="000000"/>
              </w:rPr>
              <w:t>2014 and ongoing</w:t>
            </w:r>
          </w:p>
          <w:p w:rsidR="005165FB" w:rsidRPr="00AE78C2" w:rsidRDefault="005165FB" w:rsidP="006B742F">
            <w:pPr>
              <w:autoSpaceDE w:val="0"/>
              <w:autoSpaceDN w:val="0"/>
              <w:adjustRightInd w:val="0"/>
              <w:rPr>
                <w:color w:val="000000"/>
              </w:rPr>
            </w:pPr>
          </w:p>
          <w:p w:rsidR="00C97594" w:rsidRPr="00AE78C2" w:rsidRDefault="00C97594" w:rsidP="006B742F">
            <w:pPr>
              <w:autoSpaceDE w:val="0"/>
              <w:autoSpaceDN w:val="0"/>
              <w:adjustRightInd w:val="0"/>
              <w:rPr>
                <w:color w:val="000000"/>
              </w:rPr>
            </w:pPr>
          </w:p>
          <w:p w:rsidR="005165FB" w:rsidRPr="00AE78C2" w:rsidRDefault="005165FB" w:rsidP="006B742F">
            <w:pPr>
              <w:autoSpaceDE w:val="0"/>
              <w:autoSpaceDN w:val="0"/>
              <w:adjustRightInd w:val="0"/>
              <w:rPr>
                <w:color w:val="000000"/>
              </w:rPr>
            </w:pPr>
            <w:r w:rsidRPr="00AE78C2">
              <w:rPr>
                <w:color w:val="000000"/>
              </w:rPr>
              <w:t>2016 and ongoing</w:t>
            </w:r>
          </w:p>
          <w:p w:rsidR="00112380" w:rsidRPr="00AE78C2" w:rsidRDefault="00112380" w:rsidP="006B742F">
            <w:pPr>
              <w:autoSpaceDE w:val="0"/>
              <w:autoSpaceDN w:val="0"/>
              <w:adjustRightInd w:val="0"/>
              <w:rPr>
                <w:color w:val="365F91"/>
              </w:rPr>
            </w:pPr>
          </w:p>
          <w:p w:rsidR="00C97594" w:rsidRPr="00AE78C2" w:rsidRDefault="00C97594" w:rsidP="00E913C0">
            <w:pPr>
              <w:autoSpaceDE w:val="0"/>
              <w:autoSpaceDN w:val="0"/>
              <w:adjustRightInd w:val="0"/>
              <w:rPr>
                <w:color w:val="365F91"/>
              </w:rPr>
            </w:pPr>
          </w:p>
          <w:p w:rsidR="00E913C0" w:rsidRPr="00AE78C2" w:rsidRDefault="00E913C0" w:rsidP="00E913C0">
            <w:pPr>
              <w:autoSpaceDE w:val="0"/>
              <w:autoSpaceDN w:val="0"/>
              <w:adjustRightInd w:val="0"/>
              <w:rPr>
                <w:color w:val="000000"/>
              </w:rPr>
            </w:pPr>
            <w:r w:rsidRPr="00AE78C2">
              <w:rPr>
                <w:color w:val="000000"/>
              </w:rPr>
              <w:t>201</w:t>
            </w:r>
            <w:r w:rsidR="00A55C96" w:rsidRPr="00AE78C2">
              <w:rPr>
                <w:color w:val="000000"/>
              </w:rPr>
              <w:t>8</w:t>
            </w:r>
            <w:r w:rsidRPr="00AE78C2">
              <w:rPr>
                <w:color w:val="000000"/>
              </w:rPr>
              <w:t>and ongoing</w:t>
            </w:r>
          </w:p>
          <w:p w:rsidR="00E913C0" w:rsidRPr="00AE78C2" w:rsidRDefault="00E913C0" w:rsidP="006B742F">
            <w:pPr>
              <w:autoSpaceDE w:val="0"/>
              <w:autoSpaceDN w:val="0"/>
              <w:adjustRightInd w:val="0"/>
              <w:rPr>
                <w:color w:val="365F91"/>
              </w:rPr>
            </w:pPr>
          </w:p>
          <w:p w:rsidR="00D917C6" w:rsidRPr="00AE78C2" w:rsidRDefault="00D917C6" w:rsidP="00E913C0">
            <w:pPr>
              <w:autoSpaceDE w:val="0"/>
              <w:autoSpaceDN w:val="0"/>
              <w:adjustRightInd w:val="0"/>
              <w:rPr>
                <w:color w:val="365F91"/>
              </w:rPr>
            </w:pPr>
          </w:p>
          <w:p w:rsidR="00C97594" w:rsidRPr="00AE78C2" w:rsidRDefault="00C97594" w:rsidP="00E913C0">
            <w:pPr>
              <w:autoSpaceDE w:val="0"/>
              <w:autoSpaceDN w:val="0"/>
              <w:adjustRightInd w:val="0"/>
              <w:rPr>
                <w:color w:val="365F91"/>
              </w:rPr>
            </w:pPr>
          </w:p>
          <w:p w:rsidR="00E913C0" w:rsidRPr="00AE78C2" w:rsidRDefault="00E913C0" w:rsidP="00E913C0">
            <w:pPr>
              <w:autoSpaceDE w:val="0"/>
              <w:autoSpaceDN w:val="0"/>
              <w:adjustRightInd w:val="0"/>
              <w:rPr>
                <w:color w:val="000000"/>
              </w:rPr>
            </w:pPr>
            <w:r w:rsidRPr="00AE78C2">
              <w:rPr>
                <w:color w:val="000000"/>
              </w:rPr>
              <w:t>201</w:t>
            </w:r>
            <w:r w:rsidR="00A55C96" w:rsidRPr="00AE78C2">
              <w:rPr>
                <w:color w:val="000000"/>
              </w:rPr>
              <w:t>4</w:t>
            </w:r>
            <w:r w:rsidRPr="00AE78C2">
              <w:rPr>
                <w:color w:val="000000"/>
              </w:rPr>
              <w:t xml:space="preserve"> and ongoing</w:t>
            </w:r>
          </w:p>
          <w:p w:rsidR="00E913C0" w:rsidRPr="00AE78C2" w:rsidRDefault="00E913C0" w:rsidP="006B742F">
            <w:pPr>
              <w:autoSpaceDE w:val="0"/>
              <w:autoSpaceDN w:val="0"/>
              <w:adjustRightInd w:val="0"/>
              <w:rPr>
                <w:color w:val="365F91"/>
              </w:rPr>
            </w:pPr>
          </w:p>
          <w:p w:rsidR="00C97594" w:rsidRPr="00AE78C2" w:rsidRDefault="00C97594" w:rsidP="006B742F">
            <w:pPr>
              <w:autoSpaceDE w:val="0"/>
              <w:autoSpaceDN w:val="0"/>
              <w:adjustRightInd w:val="0"/>
              <w:rPr>
                <w:color w:val="365F91"/>
              </w:rPr>
            </w:pPr>
          </w:p>
          <w:p w:rsidR="00C97594" w:rsidRPr="00AE78C2" w:rsidRDefault="00C97594" w:rsidP="006B742F">
            <w:pPr>
              <w:autoSpaceDE w:val="0"/>
              <w:autoSpaceDN w:val="0"/>
              <w:adjustRightInd w:val="0"/>
              <w:rPr>
                <w:color w:val="365F91"/>
              </w:rPr>
            </w:pPr>
          </w:p>
          <w:p w:rsidR="00112380" w:rsidRPr="00AE78C2" w:rsidRDefault="00112380" w:rsidP="006B742F">
            <w:pPr>
              <w:autoSpaceDE w:val="0"/>
              <w:autoSpaceDN w:val="0"/>
              <w:adjustRightInd w:val="0"/>
              <w:rPr>
                <w:color w:val="000000"/>
                <w:sz w:val="22"/>
                <w:szCs w:val="22"/>
              </w:rPr>
            </w:pPr>
            <w:r w:rsidRPr="00AE78C2">
              <w:rPr>
                <w:color w:val="000000"/>
              </w:rPr>
              <w:t>2017 and ongoing</w:t>
            </w:r>
          </w:p>
        </w:tc>
      </w:tr>
      <w:tr w:rsidR="00F7428E" w:rsidRPr="00AE78C2" w:rsidTr="00A8512C">
        <w:trPr>
          <w:jc w:val="center"/>
        </w:trPr>
        <w:tc>
          <w:tcPr>
            <w:tcW w:w="2156" w:type="dxa"/>
            <w:gridSpan w:val="2"/>
            <w:tcBorders>
              <w:top w:val="nil"/>
              <w:bottom w:val="single" w:sz="4" w:space="0" w:color="auto"/>
              <w:right w:val="single" w:sz="4" w:space="0" w:color="auto"/>
            </w:tcBorders>
            <w:shd w:val="clear" w:color="auto" w:fill="auto"/>
          </w:tcPr>
          <w:p w:rsidR="00F7428E" w:rsidRPr="00AE78C2" w:rsidRDefault="00F7428E" w:rsidP="006B742F">
            <w:pPr>
              <w:jc w:val="center"/>
              <w:rPr>
                <w:sz w:val="22"/>
                <w:szCs w:val="22"/>
              </w:rPr>
            </w:pPr>
          </w:p>
        </w:tc>
        <w:tc>
          <w:tcPr>
            <w:tcW w:w="8445" w:type="dxa"/>
            <w:tcBorders>
              <w:top w:val="nil"/>
              <w:left w:val="single" w:sz="4" w:space="0" w:color="auto"/>
              <w:bottom w:val="single" w:sz="4" w:space="0" w:color="auto"/>
              <w:right w:val="single" w:sz="4" w:space="0" w:color="auto"/>
            </w:tcBorders>
            <w:shd w:val="clear" w:color="auto" w:fill="auto"/>
          </w:tcPr>
          <w:p w:rsidR="00F7428E" w:rsidRPr="00AE78C2" w:rsidRDefault="00F7428E" w:rsidP="00A31A4C">
            <w:pPr>
              <w:rPr>
                <w:i/>
                <w:sz w:val="22"/>
                <w:szCs w:val="22"/>
              </w:rPr>
            </w:pPr>
            <w:r w:rsidRPr="00AE78C2">
              <w:rPr>
                <w:i/>
                <w:sz w:val="22"/>
                <w:szCs w:val="22"/>
              </w:rPr>
              <w:t>Other activities or descriptions:</w:t>
            </w:r>
          </w:p>
          <w:p w:rsidR="00AE16F8" w:rsidRPr="00AE78C2" w:rsidRDefault="00AE16F8" w:rsidP="0047675C">
            <w:pPr>
              <w:ind w:left="720"/>
              <w:rPr>
                <w:color w:val="365F91"/>
                <w:szCs w:val="20"/>
              </w:rPr>
            </w:pPr>
          </w:p>
          <w:p w:rsidR="008F3CE8" w:rsidRPr="00AE78C2" w:rsidRDefault="008F3CE8" w:rsidP="00D917C6">
            <w:pPr>
              <w:ind w:left="866"/>
              <w:rPr>
                <w:i/>
                <w:color w:val="000000"/>
              </w:rPr>
            </w:pPr>
            <w:r w:rsidRPr="00AE78C2">
              <w:rPr>
                <w:color w:val="000000"/>
                <w:szCs w:val="20"/>
              </w:rPr>
              <w:t>The immunization of healthcare personnel</w:t>
            </w:r>
            <w:r w:rsidR="00AE16F8" w:rsidRPr="00AE78C2">
              <w:rPr>
                <w:color w:val="000000"/>
                <w:szCs w:val="20"/>
              </w:rPr>
              <w:t xml:space="preserve"> (HCP)</w:t>
            </w:r>
            <w:r w:rsidRPr="00AE78C2">
              <w:rPr>
                <w:color w:val="000000"/>
                <w:szCs w:val="20"/>
              </w:rPr>
              <w:t xml:space="preserve"> against influenza and the goal of achieving at least 90% coverage is a prioritized MDPH initiative.</w:t>
            </w:r>
          </w:p>
          <w:p w:rsidR="008F3CE8" w:rsidRPr="00AE78C2" w:rsidRDefault="008F3CE8" w:rsidP="00D917C6">
            <w:pPr>
              <w:ind w:left="866"/>
              <w:rPr>
                <w:color w:val="000000"/>
              </w:rPr>
            </w:pPr>
          </w:p>
          <w:p w:rsidR="00AE16F8" w:rsidRPr="00AE78C2" w:rsidRDefault="008F3CE8" w:rsidP="00D917C6">
            <w:pPr>
              <w:ind w:left="866"/>
              <w:rPr>
                <w:color w:val="365F91"/>
              </w:rPr>
            </w:pPr>
            <w:r w:rsidRPr="00AE78C2">
              <w:rPr>
                <w:color w:val="000000"/>
              </w:rPr>
              <w:t xml:space="preserve">MDPH requires all licensed healthcare facilities </w:t>
            </w:r>
            <w:r w:rsidR="006E6AD6" w:rsidRPr="00AE78C2">
              <w:rPr>
                <w:color w:val="000000"/>
              </w:rPr>
              <w:t xml:space="preserve">to provide free influenza vaccine and </w:t>
            </w:r>
            <w:r w:rsidRPr="00AE78C2">
              <w:rPr>
                <w:color w:val="000000"/>
              </w:rPr>
              <w:t xml:space="preserve">to report HCP influenza </w:t>
            </w:r>
            <w:r w:rsidR="00AE16F8" w:rsidRPr="00AE78C2">
              <w:rPr>
                <w:color w:val="000000"/>
              </w:rPr>
              <w:t xml:space="preserve">vaccination </w:t>
            </w:r>
            <w:r w:rsidRPr="00AE78C2">
              <w:rPr>
                <w:color w:val="000000"/>
              </w:rPr>
              <w:t>data annually</w:t>
            </w:r>
            <w:r w:rsidR="00AE16F8" w:rsidRPr="00AE78C2">
              <w:rPr>
                <w:color w:val="000000"/>
              </w:rPr>
              <w:t xml:space="preserve">. </w:t>
            </w:r>
            <w:r w:rsidR="00BF310C" w:rsidRPr="00AE78C2">
              <w:rPr>
                <w:color w:val="000000"/>
              </w:rPr>
              <w:t>(</w:t>
            </w:r>
            <w:r w:rsidR="00FA4003" w:rsidRPr="00AE78C2">
              <w:rPr>
                <w:color w:val="000000"/>
              </w:rPr>
              <w:t xml:space="preserve">See list of MA licensed healthcare facilities at </w:t>
            </w:r>
            <w:hyperlink r:id="rId10" w:history="1">
              <w:r w:rsidR="00BF310C" w:rsidRPr="00AE78C2">
                <w:rPr>
                  <w:rStyle w:val="Hyperlink"/>
                </w:rPr>
                <w:t>http://www.mass.gov/eohhs/gov/departments/dph/programs/hcq/healthcare-quality/</w:t>
              </w:r>
            </w:hyperlink>
            <w:r w:rsidR="00BF310C" w:rsidRPr="00AE78C2">
              <w:rPr>
                <w:color w:val="365F91"/>
              </w:rPr>
              <w:t xml:space="preserve"> ).</w:t>
            </w:r>
          </w:p>
          <w:p w:rsidR="00BF310C" w:rsidRPr="00AE78C2" w:rsidRDefault="00BF310C" w:rsidP="00D917C6">
            <w:pPr>
              <w:ind w:left="866"/>
              <w:rPr>
                <w:color w:val="365F91"/>
              </w:rPr>
            </w:pPr>
          </w:p>
          <w:p w:rsidR="008F3CE8" w:rsidRPr="00AE78C2" w:rsidRDefault="008F3CE8" w:rsidP="00D917C6">
            <w:pPr>
              <w:ind w:left="866"/>
              <w:rPr>
                <w:color w:val="000000"/>
              </w:rPr>
            </w:pPr>
            <w:r w:rsidRPr="00AE78C2">
              <w:rPr>
                <w:color w:val="000000"/>
              </w:rPr>
              <w:t>MDPH require</w:t>
            </w:r>
            <w:r w:rsidR="00AE16F8" w:rsidRPr="00AE78C2">
              <w:rPr>
                <w:color w:val="000000"/>
              </w:rPr>
              <w:t>s</w:t>
            </w:r>
            <w:r w:rsidRPr="00AE78C2">
              <w:rPr>
                <w:color w:val="000000"/>
              </w:rPr>
              <w:t xml:space="preserve"> acute care facilities, licensed clinics and </w:t>
            </w:r>
            <w:r w:rsidR="00D62A0E" w:rsidRPr="00AE78C2">
              <w:rPr>
                <w:color w:val="000000"/>
              </w:rPr>
              <w:t>long-term</w:t>
            </w:r>
            <w:r w:rsidRPr="00AE78C2">
              <w:rPr>
                <w:color w:val="000000"/>
              </w:rPr>
              <w:t xml:space="preserve"> care facilities to provide both seasonal and pandemic H1N1 influenza vaccine to all personnel (broadly defined to include contractors, volunteers and students) free of charge.  </w:t>
            </w:r>
          </w:p>
          <w:p w:rsidR="00AE16F8" w:rsidRPr="00AE78C2" w:rsidRDefault="00AE16F8" w:rsidP="00D917C6">
            <w:pPr>
              <w:ind w:left="866"/>
              <w:rPr>
                <w:color w:val="000000"/>
              </w:rPr>
            </w:pPr>
          </w:p>
          <w:p w:rsidR="00B92FB2" w:rsidRPr="00AE78C2" w:rsidRDefault="00AE16F8" w:rsidP="00174C09">
            <w:pPr>
              <w:ind w:left="866"/>
              <w:rPr>
                <w:color w:val="365F91"/>
              </w:rPr>
            </w:pPr>
            <w:r w:rsidRPr="00AE78C2">
              <w:rPr>
                <w:color w:val="000000"/>
              </w:rPr>
              <w:t xml:space="preserve">A “flu summit” for healthcare facility infection control personnel </w:t>
            </w:r>
            <w:r w:rsidR="005165FB" w:rsidRPr="00AE78C2">
              <w:rPr>
                <w:color w:val="000000"/>
              </w:rPr>
              <w:t xml:space="preserve">was </w:t>
            </w:r>
            <w:r w:rsidRPr="00AE78C2">
              <w:rPr>
                <w:color w:val="000000"/>
              </w:rPr>
              <w:t xml:space="preserve">hosted in to </w:t>
            </w:r>
            <w:r w:rsidR="00FA4003" w:rsidRPr="00AE78C2">
              <w:rPr>
                <w:color w:val="000000"/>
              </w:rPr>
              <w:t>share strategies for increasing and maintaining HCP influenza vaccination rates.</w:t>
            </w:r>
          </w:p>
        </w:tc>
        <w:tc>
          <w:tcPr>
            <w:tcW w:w="2350" w:type="dxa"/>
            <w:tcBorders>
              <w:top w:val="nil"/>
              <w:left w:val="single" w:sz="4" w:space="0" w:color="auto"/>
              <w:bottom w:val="single" w:sz="4" w:space="0" w:color="auto"/>
            </w:tcBorders>
            <w:shd w:val="clear" w:color="auto" w:fill="auto"/>
          </w:tcPr>
          <w:p w:rsidR="008F3CE8" w:rsidRPr="00AE78C2" w:rsidRDefault="008F3CE8" w:rsidP="008F3CE8">
            <w:pPr>
              <w:autoSpaceDE w:val="0"/>
              <w:autoSpaceDN w:val="0"/>
              <w:adjustRightInd w:val="0"/>
              <w:rPr>
                <w:szCs w:val="20"/>
              </w:rPr>
            </w:pPr>
          </w:p>
          <w:p w:rsidR="008F3CE8" w:rsidRPr="00AE78C2" w:rsidRDefault="008F3CE8" w:rsidP="008F3CE8">
            <w:pPr>
              <w:autoSpaceDE w:val="0"/>
              <w:autoSpaceDN w:val="0"/>
              <w:adjustRightInd w:val="0"/>
              <w:rPr>
                <w:szCs w:val="20"/>
              </w:rPr>
            </w:pPr>
          </w:p>
          <w:p w:rsidR="008F3CE8" w:rsidRPr="00AE78C2" w:rsidRDefault="008F3CE8" w:rsidP="008F3CE8">
            <w:pPr>
              <w:autoSpaceDE w:val="0"/>
              <w:autoSpaceDN w:val="0"/>
              <w:adjustRightInd w:val="0"/>
              <w:rPr>
                <w:color w:val="17365D"/>
                <w:szCs w:val="20"/>
              </w:rPr>
            </w:pPr>
            <w:r w:rsidRPr="00AE78C2">
              <w:rPr>
                <w:color w:val="17365D"/>
                <w:szCs w:val="20"/>
              </w:rPr>
              <w:t xml:space="preserve">Ongoing </w:t>
            </w:r>
          </w:p>
          <w:p w:rsidR="008F3CE8" w:rsidRPr="00AE78C2" w:rsidRDefault="008F3CE8" w:rsidP="008F3CE8">
            <w:pPr>
              <w:autoSpaceDE w:val="0"/>
              <w:autoSpaceDN w:val="0"/>
              <w:adjustRightInd w:val="0"/>
              <w:rPr>
                <w:szCs w:val="20"/>
              </w:rPr>
            </w:pPr>
          </w:p>
          <w:p w:rsidR="008F3CE8" w:rsidRPr="00AE78C2" w:rsidRDefault="008F3CE8" w:rsidP="008F3CE8">
            <w:pPr>
              <w:autoSpaceDE w:val="0"/>
              <w:autoSpaceDN w:val="0"/>
              <w:adjustRightInd w:val="0"/>
              <w:rPr>
                <w:szCs w:val="20"/>
              </w:rPr>
            </w:pPr>
          </w:p>
          <w:p w:rsidR="008F3CE8" w:rsidRPr="00AE78C2" w:rsidRDefault="008F3CE8" w:rsidP="008F3CE8">
            <w:pPr>
              <w:autoSpaceDE w:val="0"/>
              <w:autoSpaceDN w:val="0"/>
              <w:adjustRightInd w:val="0"/>
              <w:rPr>
                <w:szCs w:val="20"/>
              </w:rPr>
            </w:pPr>
          </w:p>
          <w:p w:rsidR="008F3CE8" w:rsidRPr="00AE78C2" w:rsidRDefault="008F3CE8" w:rsidP="008F3CE8">
            <w:pPr>
              <w:autoSpaceDE w:val="0"/>
              <w:autoSpaceDN w:val="0"/>
              <w:adjustRightInd w:val="0"/>
              <w:rPr>
                <w:szCs w:val="20"/>
              </w:rPr>
            </w:pPr>
          </w:p>
          <w:p w:rsidR="00FA4003" w:rsidRPr="00AE78C2" w:rsidRDefault="00FA4003" w:rsidP="008F3CE8">
            <w:pPr>
              <w:autoSpaceDE w:val="0"/>
              <w:autoSpaceDN w:val="0"/>
              <w:adjustRightInd w:val="0"/>
              <w:rPr>
                <w:szCs w:val="20"/>
              </w:rPr>
            </w:pPr>
          </w:p>
          <w:p w:rsidR="00FA4003" w:rsidRPr="00AE78C2" w:rsidRDefault="00FA4003" w:rsidP="008F3CE8">
            <w:pPr>
              <w:autoSpaceDE w:val="0"/>
              <w:autoSpaceDN w:val="0"/>
              <w:adjustRightInd w:val="0"/>
              <w:rPr>
                <w:szCs w:val="20"/>
              </w:rPr>
            </w:pPr>
          </w:p>
          <w:p w:rsidR="00FA4003" w:rsidRPr="00AE78C2" w:rsidRDefault="00FA4003" w:rsidP="008F3CE8">
            <w:pPr>
              <w:autoSpaceDE w:val="0"/>
              <w:autoSpaceDN w:val="0"/>
              <w:adjustRightInd w:val="0"/>
              <w:rPr>
                <w:szCs w:val="20"/>
              </w:rPr>
            </w:pPr>
          </w:p>
          <w:p w:rsidR="00BF310C" w:rsidRPr="00AE78C2" w:rsidRDefault="00BF310C" w:rsidP="008F3CE8">
            <w:pPr>
              <w:autoSpaceDE w:val="0"/>
              <w:autoSpaceDN w:val="0"/>
              <w:adjustRightInd w:val="0"/>
              <w:rPr>
                <w:color w:val="17365D"/>
                <w:szCs w:val="20"/>
              </w:rPr>
            </w:pPr>
          </w:p>
          <w:p w:rsidR="00BF310C" w:rsidRPr="00AE78C2" w:rsidRDefault="00BF310C" w:rsidP="008F3CE8">
            <w:pPr>
              <w:autoSpaceDE w:val="0"/>
              <w:autoSpaceDN w:val="0"/>
              <w:adjustRightInd w:val="0"/>
              <w:rPr>
                <w:color w:val="17365D"/>
                <w:szCs w:val="20"/>
              </w:rPr>
            </w:pPr>
          </w:p>
          <w:p w:rsidR="00BF310C" w:rsidRPr="00AE78C2" w:rsidRDefault="00BF310C" w:rsidP="008F3CE8">
            <w:pPr>
              <w:autoSpaceDE w:val="0"/>
              <w:autoSpaceDN w:val="0"/>
              <w:adjustRightInd w:val="0"/>
              <w:rPr>
                <w:color w:val="17365D"/>
                <w:szCs w:val="20"/>
              </w:rPr>
            </w:pPr>
          </w:p>
          <w:p w:rsidR="001D298E" w:rsidRPr="00AE78C2" w:rsidRDefault="001D298E" w:rsidP="008F3CE8">
            <w:pPr>
              <w:autoSpaceDE w:val="0"/>
              <w:autoSpaceDN w:val="0"/>
              <w:adjustRightInd w:val="0"/>
              <w:rPr>
                <w:color w:val="17365D"/>
                <w:szCs w:val="20"/>
              </w:rPr>
            </w:pPr>
          </w:p>
          <w:p w:rsidR="001D298E" w:rsidRPr="00AE78C2" w:rsidRDefault="001D298E" w:rsidP="008F3CE8">
            <w:pPr>
              <w:autoSpaceDE w:val="0"/>
              <w:autoSpaceDN w:val="0"/>
              <w:adjustRightInd w:val="0"/>
              <w:rPr>
                <w:color w:val="17365D"/>
                <w:szCs w:val="20"/>
              </w:rPr>
            </w:pPr>
          </w:p>
          <w:p w:rsidR="004D0AFB" w:rsidRPr="00AE78C2" w:rsidRDefault="004D0AFB" w:rsidP="008F3CE8">
            <w:pPr>
              <w:autoSpaceDE w:val="0"/>
              <w:autoSpaceDN w:val="0"/>
              <w:adjustRightInd w:val="0"/>
              <w:rPr>
                <w:color w:val="365F91"/>
                <w:szCs w:val="20"/>
              </w:rPr>
            </w:pPr>
          </w:p>
          <w:p w:rsidR="00174C09" w:rsidRPr="00AE78C2" w:rsidRDefault="00FA4003" w:rsidP="008F3CE8">
            <w:pPr>
              <w:autoSpaceDE w:val="0"/>
              <w:autoSpaceDN w:val="0"/>
              <w:adjustRightInd w:val="0"/>
              <w:rPr>
                <w:color w:val="000000"/>
                <w:szCs w:val="20"/>
              </w:rPr>
            </w:pPr>
            <w:r w:rsidRPr="00AE78C2">
              <w:rPr>
                <w:color w:val="000000"/>
                <w:szCs w:val="20"/>
              </w:rPr>
              <w:t>Jan 2016</w:t>
            </w:r>
          </w:p>
          <w:p w:rsidR="00F7428E" w:rsidRPr="00AE78C2" w:rsidRDefault="00F7428E" w:rsidP="008F3CE8">
            <w:pPr>
              <w:autoSpaceDE w:val="0"/>
              <w:autoSpaceDN w:val="0"/>
              <w:adjustRightInd w:val="0"/>
              <w:rPr>
                <w:color w:val="365F91"/>
                <w:szCs w:val="20"/>
              </w:rPr>
            </w:pPr>
          </w:p>
          <w:p w:rsidR="00FA4003" w:rsidRPr="00AE78C2" w:rsidRDefault="00FA4003" w:rsidP="008F3CE8">
            <w:pPr>
              <w:autoSpaceDE w:val="0"/>
              <w:autoSpaceDN w:val="0"/>
              <w:adjustRightInd w:val="0"/>
              <w:rPr>
                <w:color w:val="365F91"/>
                <w:sz w:val="22"/>
                <w:szCs w:val="22"/>
              </w:rPr>
            </w:pPr>
          </w:p>
        </w:tc>
      </w:tr>
      <w:tr w:rsidR="00F7428E" w:rsidRPr="00AE78C2" w:rsidTr="00A8512C">
        <w:trPr>
          <w:jc w:val="center"/>
        </w:trPr>
        <w:tc>
          <w:tcPr>
            <w:tcW w:w="1162" w:type="dxa"/>
            <w:tcBorders>
              <w:top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994" w:type="dxa"/>
            <w:tcBorders>
              <w:top w:val="single" w:sz="4" w:space="0" w:color="auto"/>
              <w:left w:val="single" w:sz="4" w:space="0" w:color="auto"/>
              <w:bottom w:val="nil"/>
              <w:right w:val="single" w:sz="4" w:space="0" w:color="auto"/>
            </w:tcBorders>
            <w:shd w:val="clear" w:color="auto" w:fill="auto"/>
          </w:tcPr>
          <w:p w:rsidR="00F7428E" w:rsidRPr="00AE78C2" w:rsidDel="002F569D" w:rsidRDefault="00F7428E" w:rsidP="006B742F">
            <w:pPr>
              <w:autoSpaceDE w:val="0"/>
              <w:autoSpaceDN w:val="0"/>
              <w:adjustRightInd w:val="0"/>
              <w:ind w:left="94"/>
              <w:rPr>
                <w:sz w:val="22"/>
                <w:szCs w:val="22"/>
              </w:rPr>
            </w:pPr>
          </w:p>
        </w:tc>
        <w:tc>
          <w:tcPr>
            <w:tcW w:w="8445"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1"/>
                <w:numId w:val="3"/>
              </w:numPr>
              <w:tabs>
                <w:tab w:val="clear" w:pos="1440"/>
                <w:tab w:val="num" w:pos="454"/>
              </w:tabs>
              <w:autoSpaceDE w:val="0"/>
              <w:autoSpaceDN w:val="0"/>
              <w:adjustRightInd w:val="0"/>
              <w:ind w:left="454"/>
              <w:rPr>
                <w:b/>
                <w:szCs w:val="28"/>
              </w:rPr>
            </w:pPr>
            <w:r w:rsidRPr="00AE78C2">
              <w:rPr>
                <w:b/>
                <w:szCs w:val="28"/>
              </w:rPr>
              <w:t>Establish an HAI surveillance prevention and control program</w:t>
            </w:r>
          </w:p>
        </w:tc>
        <w:tc>
          <w:tcPr>
            <w:tcW w:w="2350" w:type="dxa"/>
            <w:tcBorders>
              <w:top w:val="single" w:sz="4" w:space="0" w:color="auto"/>
              <w:left w:val="single" w:sz="4" w:space="0" w:color="auto"/>
              <w:bottom w:val="nil"/>
              <w:right w:val="single" w:sz="4" w:space="0" w:color="auto"/>
            </w:tcBorders>
            <w:shd w:val="clear" w:color="auto" w:fill="auto"/>
          </w:tcPr>
          <w:p w:rsidR="00F7428E" w:rsidRPr="00AE78C2" w:rsidDel="002F569D" w:rsidRDefault="00F7428E" w:rsidP="006B742F">
            <w:pPr>
              <w:autoSpaceDE w:val="0"/>
              <w:autoSpaceDN w:val="0"/>
              <w:adjustRightInd w:val="0"/>
              <w:rPr>
                <w:sz w:val="22"/>
                <w:szCs w:val="22"/>
              </w:rPr>
            </w:pPr>
          </w:p>
        </w:tc>
      </w:tr>
      <w:tr w:rsidR="008F3CE8" w:rsidRPr="00AE78C2" w:rsidTr="00A8512C">
        <w:trPr>
          <w:trHeight w:val="374"/>
          <w:jc w:val="center"/>
        </w:trPr>
        <w:tc>
          <w:tcPr>
            <w:tcW w:w="1162" w:type="dxa"/>
            <w:tcBorders>
              <w:top w:val="nil"/>
              <w:bottom w:val="nil"/>
              <w:right w:val="single" w:sz="4" w:space="0" w:color="auto"/>
            </w:tcBorders>
            <w:shd w:val="clear" w:color="auto" w:fill="auto"/>
          </w:tcPr>
          <w:p w:rsidR="008F3CE8"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94" w:type="dxa"/>
            <w:tcBorders>
              <w:top w:val="nil"/>
              <w:left w:val="single" w:sz="4" w:space="0" w:color="auto"/>
              <w:bottom w:val="nil"/>
              <w:right w:val="single" w:sz="4" w:space="0" w:color="auto"/>
            </w:tcBorders>
            <w:shd w:val="clear" w:color="auto" w:fill="auto"/>
          </w:tcPr>
          <w:p w:rsidR="008F3CE8" w:rsidRPr="00AE78C2" w:rsidRDefault="008F3CE8" w:rsidP="006B742F">
            <w:pPr>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3CE8" w:rsidRPr="00AE78C2" w:rsidRDefault="008F3CE8" w:rsidP="009B7F2E">
            <w:pPr>
              <w:numPr>
                <w:ilvl w:val="2"/>
                <w:numId w:val="3"/>
              </w:numPr>
              <w:autoSpaceDE w:val="0"/>
              <w:autoSpaceDN w:val="0"/>
              <w:adjustRightInd w:val="0"/>
              <w:rPr>
                <w:sz w:val="22"/>
                <w:szCs w:val="22"/>
              </w:rPr>
            </w:pPr>
          </w:p>
        </w:tc>
        <w:tc>
          <w:tcPr>
            <w:tcW w:w="8445" w:type="dxa"/>
            <w:tcBorders>
              <w:top w:val="nil"/>
              <w:left w:val="single" w:sz="4" w:space="0" w:color="auto"/>
              <w:bottom w:val="nil"/>
              <w:right w:val="single" w:sz="4" w:space="0" w:color="auto"/>
            </w:tcBorders>
            <w:shd w:val="clear" w:color="auto" w:fill="auto"/>
          </w:tcPr>
          <w:p w:rsidR="008F3CE8" w:rsidRPr="00AE78C2" w:rsidRDefault="008F3CE8" w:rsidP="009B7F2E">
            <w:pPr>
              <w:numPr>
                <w:ilvl w:val="0"/>
                <w:numId w:val="22"/>
              </w:numPr>
              <w:autoSpaceDE w:val="0"/>
              <w:autoSpaceDN w:val="0"/>
              <w:adjustRightInd w:val="0"/>
              <w:rPr>
                <w:b/>
                <w:szCs w:val="22"/>
              </w:rPr>
            </w:pPr>
            <w:r w:rsidRPr="00AE78C2">
              <w:rPr>
                <w:b/>
                <w:szCs w:val="22"/>
              </w:rPr>
              <w:t>Designate a State HAI Prevention Coordinator</w:t>
            </w:r>
          </w:p>
          <w:p w:rsidR="00AA20EC" w:rsidRPr="00AE78C2" w:rsidRDefault="00042757" w:rsidP="0048775D">
            <w:pPr>
              <w:ind w:left="900"/>
              <w:rPr>
                <w:color w:val="000000"/>
                <w:szCs w:val="20"/>
              </w:rPr>
            </w:pPr>
            <w:r w:rsidRPr="00AE78C2">
              <w:rPr>
                <w:b/>
                <w:szCs w:val="22"/>
              </w:rPr>
              <w:br/>
            </w:r>
            <w:r w:rsidR="001D298E" w:rsidRPr="00AE78C2">
              <w:rPr>
                <w:color w:val="000000"/>
                <w:szCs w:val="20"/>
              </w:rPr>
              <w:t xml:space="preserve">The </w:t>
            </w:r>
            <w:r w:rsidR="00AA20EC" w:rsidRPr="00AE78C2">
              <w:rPr>
                <w:color w:val="000000"/>
                <w:szCs w:val="20"/>
              </w:rPr>
              <w:t>HAI Program Coordinator provides leadership and program direction to maximize efforts for progress on the HHS HAI prevention targets and adherence to the statewide</w:t>
            </w:r>
            <w:r w:rsidR="00721EB3" w:rsidRPr="00AE78C2">
              <w:rPr>
                <w:color w:val="000000"/>
                <w:szCs w:val="20"/>
              </w:rPr>
              <w:t xml:space="preserve"> HAI</w:t>
            </w:r>
            <w:r w:rsidR="00AA20EC" w:rsidRPr="00AE78C2">
              <w:rPr>
                <w:color w:val="000000"/>
                <w:szCs w:val="20"/>
              </w:rPr>
              <w:t xml:space="preserve"> plan.</w:t>
            </w:r>
          </w:p>
          <w:p w:rsidR="008F3CE8" w:rsidRPr="00AE78C2" w:rsidRDefault="008F3CE8" w:rsidP="00174C09">
            <w:pPr>
              <w:autoSpaceDE w:val="0"/>
              <w:autoSpaceDN w:val="0"/>
              <w:adjustRightInd w:val="0"/>
              <w:rPr>
                <w:b/>
                <w:szCs w:val="22"/>
              </w:rPr>
            </w:pPr>
          </w:p>
        </w:tc>
        <w:tc>
          <w:tcPr>
            <w:tcW w:w="2350" w:type="dxa"/>
            <w:tcBorders>
              <w:top w:val="nil"/>
              <w:left w:val="single" w:sz="4" w:space="0" w:color="auto"/>
              <w:bottom w:val="nil"/>
              <w:right w:val="single" w:sz="4" w:space="0" w:color="auto"/>
            </w:tcBorders>
            <w:shd w:val="clear" w:color="auto" w:fill="auto"/>
          </w:tcPr>
          <w:p w:rsidR="0048775D" w:rsidRPr="00AE78C2" w:rsidRDefault="0048775D" w:rsidP="00D86DE0">
            <w:pPr>
              <w:autoSpaceDE w:val="0"/>
              <w:autoSpaceDN w:val="0"/>
              <w:adjustRightInd w:val="0"/>
              <w:rPr>
                <w:color w:val="365F91"/>
                <w:szCs w:val="20"/>
              </w:rPr>
            </w:pPr>
          </w:p>
          <w:p w:rsidR="0048775D" w:rsidRPr="00AE78C2" w:rsidRDefault="0048775D" w:rsidP="00D86DE0">
            <w:pPr>
              <w:autoSpaceDE w:val="0"/>
              <w:autoSpaceDN w:val="0"/>
              <w:adjustRightInd w:val="0"/>
              <w:rPr>
                <w:color w:val="365F91"/>
                <w:szCs w:val="20"/>
              </w:rPr>
            </w:pPr>
          </w:p>
          <w:p w:rsidR="008F3CE8" w:rsidRPr="00AE78C2" w:rsidRDefault="00637321" w:rsidP="00D86DE0">
            <w:pPr>
              <w:autoSpaceDE w:val="0"/>
              <w:autoSpaceDN w:val="0"/>
              <w:adjustRightInd w:val="0"/>
              <w:rPr>
                <w:color w:val="000000"/>
                <w:szCs w:val="20"/>
              </w:rPr>
            </w:pPr>
            <w:r w:rsidRPr="00AE78C2">
              <w:rPr>
                <w:color w:val="000000"/>
                <w:szCs w:val="20"/>
              </w:rPr>
              <w:t>Accomplished,</w:t>
            </w:r>
            <w:r w:rsidR="008F3CE8" w:rsidRPr="00AE78C2">
              <w:rPr>
                <w:color w:val="000000"/>
                <w:szCs w:val="20"/>
              </w:rPr>
              <w:t xml:space="preserve"> 9/09</w:t>
            </w:r>
          </w:p>
        </w:tc>
      </w:tr>
      <w:tr w:rsidR="008F3CE8" w:rsidRPr="00AE78C2" w:rsidTr="00A8512C">
        <w:trPr>
          <w:trHeight w:val="1683"/>
          <w:jc w:val="center"/>
        </w:trPr>
        <w:tc>
          <w:tcPr>
            <w:tcW w:w="1162" w:type="dxa"/>
            <w:tcBorders>
              <w:top w:val="nil"/>
              <w:bottom w:val="single" w:sz="4" w:space="0" w:color="auto"/>
              <w:right w:val="single" w:sz="4" w:space="0" w:color="auto"/>
            </w:tcBorders>
            <w:shd w:val="clear" w:color="auto" w:fill="auto"/>
          </w:tcPr>
          <w:p w:rsidR="008F3CE8"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94" w:type="dxa"/>
            <w:tcBorders>
              <w:top w:val="nil"/>
              <w:left w:val="single" w:sz="4" w:space="0" w:color="auto"/>
              <w:bottom w:val="single" w:sz="4" w:space="0" w:color="auto"/>
              <w:right w:val="single" w:sz="4" w:space="0" w:color="auto"/>
            </w:tcBorders>
            <w:shd w:val="clear" w:color="auto" w:fill="auto"/>
          </w:tcPr>
          <w:p w:rsidR="008F3CE8" w:rsidRPr="00AE78C2" w:rsidRDefault="008F3CE8" w:rsidP="006B742F">
            <w:pPr>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3CE8" w:rsidRPr="00AE78C2" w:rsidRDefault="008F3CE8" w:rsidP="009B7F2E">
            <w:pPr>
              <w:numPr>
                <w:ilvl w:val="2"/>
                <w:numId w:val="3"/>
              </w:numPr>
              <w:autoSpaceDE w:val="0"/>
              <w:autoSpaceDN w:val="0"/>
              <w:adjustRightInd w:val="0"/>
              <w:rPr>
                <w:sz w:val="22"/>
                <w:szCs w:val="22"/>
              </w:rPr>
            </w:pPr>
          </w:p>
        </w:tc>
        <w:tc>
          <w:tcPr>
            <w:tcW w:w="8445" w:type="dxa"/>
            <w:tcBorders>
              <w:top w:val="nil"/>
              <w:left w:val="single" w:sz="4" w:space="0" w:color="auto"/>
              <w:bottom w:val="single" w:sz="4" w:space="0" w:color="auto"/>
              <w:right w:val="single" w:sz="4" w:space="0" w:color="auto"/>
            </w:tcBorders>
            <w:shd w:val="clear" w:color="auto" w:fill="auto"/>
          </w:tcPr>
          <w:p w:rsidR="0048775D" w:rsidRPr="00AE78C2" w:rsidRDefault="008F3CE8" w:rsidP="009B7F2E">
            <w:pPr>
              <w:numPr>
                <w:ilvl w:val="0"/>
                <w:numId w:val="44"/>
              </w:numPr>
              <w:autoSpaceDE w:val="0"/>
              <w:autoSpaceDN w:val="0"/>
              <w:adjustRightInd w:val="0"/>
            </w:pPr>
            <w:r w:rsidRPr="00AE78C2">
              <w:rPr>
                <w:b/>
                <w:szCs w:val="22"/>
              </w:rPr>
              <w:t>Develop dedicated, trained HAI staff with at least one FTE (or contracted equivalent) to oversee HAI activities areas (Integration, Collaboration, and Capacity Building; Reporting, Detection, Response, and Surveillance; Prevention; Evaluation, Oversight, Communication, and Infection Control</w:t>
            </w:r>
            <w:proofErr w:type="gramStart"/>
            <w:r w:rsidRPr="00AE78C2">
              <w:rPr>
                <w:b/>
                <w:szCs w:val="22"/>
              </w:rPr>
              <w:t>)</w:t>
            </w:r>
            <w:proofErr w:type="gramEnd"/>
            <w:r w:rsidR="00042757" w:rsidRPr="00AE78C2">
              <w:rPr>
                <w:b/>
                <w:szCs w:val="22"/>
              </w:rPr>
              <w:br/>
            </w:r>
            <w:r w:rsidR="00042757" w:rsidRPr="00AE78C2">
              <w:rPr>
                <w:b/>
                <w:szCs w:val="22"/>
              </w:rPr>
              <w:br/>
            </w:r>
            <w:r w:rsidR="00AA20EC" w:rsidRPr="00AE78C2">
              <w:rPr>
                <w:szCs w:val="20"/>
              </w:rPr>
              <w:t xml:space="preserve">The Massachusetts Healthcare-Associated Infection (HAI) Prevention and Control Program (HAI Program) was established in 2008. </w:t>
            </w:r>
            <w:r w:rsidR="00AA20EC" w:rsidRPr="00AE78C2">
              <w:t>The HAI Program activities are directed by an integrated and coordinated Leadership Group that includes key components and senior directors of the Massachusetts Department of Public Health (MDPH)</w:t>
            </w:r>
            <w:r w:rsidR="003162CC" w:rsidRPr="00AE78C2">
              <w:t>,</w:t>
            </w:r>
            <w:r w:rsidR="00AA20EC" w:rsidRPr="00AE78C2">
              <w:t xml:space="preserve"> including the Bureau of Health Care</w:t>
            </w:r>
            <w:r w:rsidR="0048775D" w:rsidRPr="00AE78C2">
              <w:t xml:space="preserve"> Safety and</w:t>
            </w:r>
            <w:r w:rsidR="00AA20EC" w:rsidRPr="00AE78C2">
              <w:t xml:space="preserve"> Quality (the st</w:t>
            </w:r>
            <w:r w:rsidR="0048775D" w:rsidRPr="00AE78C2">
              <w:t>ate regulatory and survey agent)</w:t>
            </w:r>
            <w:r w:rsidR="00AA20EC" w:rsidRPr="00AE78C2">
              <w:t xml:space="preserve">, </w:t>
            </w:r>
            <w:r w:rsidR="0048775D" w:rsidRPr="00AE78C2">
              <w:t xml:space="preserve">and </w:t>
            </w:r>
            <w:r w:rsidR="00AA20EC" w:rsidRPr="00AE78C2">
              <w:t>the Bureau of Infectious Disease</w:t>
            </w:r>
            <w:r w:rsidR="00E377D7" w:rsidRPr="00AE78C2">
              <w:t xml:space="preserve"> and Laboratory Sciences</w:t>
            </w:r>
            <w:r w:rsidR="00AA20EC" w:rsidRPr="00AE78C2">
              <w:t xml:space="preserve"> (BID</w:t>
            </w:r>
            <w:r w:rsidR="00E377D7" w:rsidRPr="00AE78C2">
              <w:t>LS</w:t>
            </w:r>
            <w:r w:rsidR="0048775D" w:rsidRPr="00AE78C2">
              <w:t xml:space="preserve">). </w:t>
            </w:r>
            <w:r w:rsidR="00AA20EC" w:rsidRPr="00AE78C2">
              <w:t xml:space="preserve">Senior leadership is accountable for providing strategic direction and oversight for all HAI monitoring and improvement strategies. This structure promotes interdisciplinary collaboration and accountability at all levels of the organization. The Leadership Group meets monthly. </w:t>
            </w:r>
          </w:p>
          <w:p w:rsidR="0048775D" w:rsidRPr="00AE78C2" w:rsidRDefault="0048775D" w:rsidP="0048775D">
            <w:pPr>
              <w:autoSpaceDE w:val="0"/>
              <w:autoSpaceDN w:val="0"/>
              <w:adjustRightInd w:val="0"/>
              <w:ind w:left="1440"/>
            </w:pPr>
          </w:p>
          <w:p w:rsidR="00AA20EC" w:rsidRPr="00AE78C2" w:rsidRDefault="00AA20EC" w:rsidP="008A25EC">
            <w:pPr>
              <w:autoSpaceDE w:val="0"/>
              <w:autoSpaceDN w:val="0"/>
              <w:adjustRightInd w:val="0"/>
              <w:ind w:left="911"/>
              <w:rPr>
                <w:szCs w:val="20"/>
              </w:rPr>
            </w:pPr>
            <w:r w:rsidRPr="00AE78C2">
              <w:rPr>
                <w:szCs w:val="20"/>
              </w:rPr>
              <w:t xml:space="preserve">Agency Roles and Responsibilities: </w:t>
            </w:r>
          </w:p>
          <w:p w:rsidR="0048775D" w:rsidRPr="00AE78C2" w:rsidRDefault="0048775D" w:rsidP="008A25EC">
            <w:pPr>
              <w:ind w:left="911"/>
              <w:rPr>
                <w:szCs w:val="20"/>
              </w:rPr>
            </w:pPr>
          </w:p>
          <w:p w:rsidR="00AA20EC" w:rsidRPr="00AE78C2" w:rsidRDefault="00AA20EC" w:rsidP="008A25EC">
            <w:pPr>
              <w:ind w:left="911"/>
            </w:pPr>
            <w:r w:rsidRPr="00AE78C2">
              <w:rPr>
                <w:szCs w:val="20"/>
              </w:rPr>
              <w:t>Bureau of Health Care Safety and Quality is mandated by state and federal statutes to license and certify health</w:t>
            </w:r>
            <w:r w:rsidR="00721EB3" w:rsidRPr="00AE78C2">
              <w:rPr>
                <w:szCs w:val="20"/>
              </w:rPr>
              <w:t xml:space="preserve"> </w:t>
            </w:r>
            <w:r w:rsidRPr="00AE78C2">
              <w:rPr>
                <w:szCs w:val="20"/>
              </w:rPr>
              <w:t xml:space="preserve">care facilities. </w:t>
            </w:r>
            <w:r w:rsidR="00CF1E0A" w:rsidRPr="00AE78C2">
              <w:rPr>
                <w:szCs w:val="20"/>
              </w:rPr>
              <w:t xml:space="preserve">The Bureau of Health Care Safety and Quality is responsible for ensuring compliance with state and federal regulations, associated guidelines and relevant best practices. </w:t>
            </w:r>
            <w:proofErr w:type="gramStart"/>
            <w:r w:rsidR="00CF1E0A" w:rsidRPr="00AE78C2">
              <w:rPr>
                <w:szCs w:val="20"/>
              </w:rPr>
              <w:t>Staff</w:t>
            </w:r>
            <w:r w:rsidR="00CB791B" w:rsidRPr="00AE78C2">
              <w:rPr>
                <w:szCs w:val="20"/>
              </w:rPr>
              <w:t xml:space="preserve"> con</w:t>
            </w:r>
            <w:r w:rsidR="00CF1E0A" w:rsidRPr="00AE78C2">
              <w:rPr>
                <w:szCs w:val="20"/>
              </w:rPr>
              <w:t>duct</w:t>
            </w:r>
            <w:proofErr w:type="gramEnd"/>
            <w:r w:rsidR="00CF1E0A" w:rsidRPr="00AE78C2">
              <w:rPr>
                <w:szCs w:val="20"/>
              </w:rPr>
              <w:t xml:space="preserve"> unannounced on-site surveys to investigate complaints and </w:t>
            </w:r>
            <w:r w:rsidR="00F521B7" w:rsidRPr="00AE78C2">
              <w:rPr>
                <w:szCs w:val="20"/>
              </w:rPr>
              <w:t>ensure</w:t>
            </w:r>
            <w:r w:rsidR="00CF1E0A" w:rsidRPr="00AE78C2">
              <w:rPr>
                <w:szCs w:val="20"/>
              </w:rPr>
              <w:t xml:space="preserve"> regulatory compliance. </w:t>
            </w:r>
          </w:p>
          <w:p w:rsidR="0048775D" w:rsidRPr="00AE78C2" w:rsidRDefault="0048775D" w:rsidP="008A25EC">
            <w:pPr>
              <w:autoSpaceDE w:val="0"/>
              <w:autoSpaceDN w:val="0"/>
              <w:adjustRightInd w:val="0"/>
              <w:ind w:left="911"/>
            </w:pPr>
          </w:p>
          <w:p w:rsidR="008F3CE8" w:rsidRPr="00AE78C2" w:rsidRDefault="00AA20EC" w:rsidP="008A25EC">
            <w:pPr>
              <w:autoSpaceDE w:val="0"/>
              <w:autoSpaceDN w:val="0"/>
              <w:adjustRightInd w:val="0"/>
              <w:ind w:left="911"/>
              <w:rPr>
                <w:b/>
                <w:szCs w:val="22"/>
              </w:rPr>
            </w:pPr>
            <w:r w:rsidRPr="00AE78C2">
              <w:t>Bureau of Infectious Disease</w:t>
            </w:r>
            <w:r w:rsidR="003162CC" w:rsidRPr="00AE78C2">
              <w:t xml:space="preserve"> and Laboratory Sciences</w:t>
            </w:r>
            <w:r w:rsidRPr="00AE78C2">
              <w:t xml:space="preserve"> (</w:t>
            </w:r>
            <w:r w:rsidRPr="00AE78C2">
              <w:rPr>
                <w:szCs w:val="20"/>
              </w:rPr>
              <w:t>BID</w:t>
            </w:r>
            <w:r w:rsidR="003162CC" w:rsidRPr="00AE78C2">
              <w:rPr>
                <w:szCs w:val="20"/>
              </w:rPr>
              <w:t>LS</w:t>
            </w:r>
            <w:r w:rsidRPr="00AE78C2">
              <w:rPr>
                <w:szCs w:val="20"/>
              </w:rPr>
              <w:t xml:space="preserve">) </w:t>
            </w:r>
            <w:r w:rsidR="005A342B" w:rsidRPr="00AE78C2">
              <w:rPr>
                <w:szCs w:val="20"/>
              </w:rPr>
              <w:t xml:space="preserve">provides HAI epidemiology services, surveillance and </w:t>
            </w:r>
            <w:r w:rsidRPr="00AE78C2">
              <w:rPr>
                <w:szCs w:val="20"/>
              </w:rPr>
              <w:t>data analysis,</w:t>
            </w:r>
            <w:r w:rsidR="005A342B" w:rsidRPr="00AE78C2">
              <w:rPr>
                <w:szCs w:val="20"/>
              </w:rPr>
              <w:t xml:space="preserve"> </w:t>
            </w:r>
            <w:r w:rsidR="00A17F3E" w:rsidRPr="00AE78C2">
              <w:rPr>
                <w:szCs w:val="20"/>
              </w:rPr>
              <w:t xml:space="preserve">investigates clusters and outbreaks, </w:t>
            </w:r>
            <w:r w:rsidR="005A342B" w:rsidRPr="00AE78C2">
              <w:rPr>
                <w:szCs w:val="20"/>
              </w:rPr>
              <w:t>provides</w:t>
            </w:r>
            <w:r w:rsidRPr="00AE78C2">
              <w:rPr>
                <w:szCs w:val="20"/>
              </w:rPr>
              <w:t xml:space="preserve"> technical support for infection prevention recommendations, </w:t>
            </w:r>
            <w:r w:rsidR="005A342B" w:rsidRPr="00AE78C2">
              <w:rPr>
                <w:szCs w:val="20"/>
              </w:rPr>
              <w:t xml:space="preserve">as well as </w:t>
            </w:r>
            <w:r w:rsidRPr="00AE78C2">
              <w:rPr>
                <w:szCs w:val="20"/>
              </w:rPr>
              <w:t>policy implementation</w:t>
            </w:r>
            <w:r w:rsidR="005A342B" w:rsidRPr="00AE78C2">
              <w:rPr>
                <w:szCs w:val="20"/>
              </w:rPr>
              <w:t xml:space="preserve"> around HAIs, </w:t>
            </w:r>
            <w:r w:rsidR="005A342B" w:rsidRPr="00AE78C2">
              <w:rPr>
                <w:szCs w:val="20"/>
              </w:rPr>
              <w:lastRenderedPageBreak/>
              <w:t>communicable diseases and emerging infections.</w:t>
            </w:r>
            <w:r w:rsidR="00042757" w:rsidRPr="00AE78C2">
              <w:rPr>
                <w:b/>
                <w:szCs w:val="22"/>
              </w:rPr>
              <w:br/>
            </w:r>
          </w:p>
          <w:p w:rsidR="0069360D" w:rsidRPr="00AE78C2" w:rsidRDefault="0069360D" w:rsidP="00351ED4">
            <w:pPr>
              <w:autoSpaceDE w:val="0"/>
              <w:autoSpaceDN w:val="0"/>
              <w:adjustRightInd w:val="0"/>
              <w:ind w:left="911"/>
              <w:rPr>
                <w:b/>
                <w:szCs w:val="22"/>
              </w:rPr>
            </w:pPr>
            <w:r w:rsidRPr="00AE78C2">
              <w:rPr>
                <w:szCs w:val="22"/>
              </w:rPr>
              <w:t xml:space="preserve">State law provides MDPH with the legal and regulatory authority to monitor and investigate the causes of </w:t>
            </w:r>
            <w:r w:rsidR="009777CA" w:rsidRPr="00AE78C2">
              <w:rPr>
                <w:szCs w:val="22"/>
              </w:rPr>
              <w:t>c</w:t>
            </w:r>
            <w:r w:rsidRPr="00AE78C2">
              <w:rPr>
                <w:szCs w:val="22"/>
              </w:rPr>
              <w:t xml:space="preserve">ommunicable and other infectious disease outbreaks </w:t>
            </w:r>
            <w:r w:rsidR="00F80979" w:rsidRPr="00AE78C2">
              <w:rPr>
                <w:szCs w:val="22"/>
              </w:rPr>
              <w:t>(u</w:t>
            </w:r>
            <w:r w:rsidRPr="00AE78C2">
              <w:rPr>
                <w:szCs w:val="22"/>
              </w:rPr>
              <w:t>nder 105 CMR 130) and positions MDPH to track trends as well as identify and investigate outbreaks, recognize emerging pathogens and unsafe medical practices</w:t>
            </w:r>
            <w:r w:rsidR="00F80979" w:rsidRPr="00AE78C2">
              <w:rPr>
                <w:szCs w:val="22"/>
              </w:rPr>
              <w:t>,</w:t>
            </w:r>
            <w:r w:rsidRPr="00AE78C2">
              <w:rPr>
                <w:szCs w:val="22"/>
              </w:rPr>
              <w:t xml:space="preserve"> and ensure the implementation of </w:t>
            </w:r>
            <w:r w:rsidR="00637321" w:rsidRPr="00AE78C2">
              <w:rPr>
                <w:szCs w:val="22"/>
              </w:rPr>
              <w:t xml:space="preserve">established </w:t>
            </w:r>
            <w:r w:rsidRPr="00AE78C2">
              <w:rPr>
                <w:szCs w:val="22"/>
              </w:rPr>
              <w:t>prevention practices and standards</w:t>
            </w:r>
            <w:r w:rsidRPr="00AE78C2">
              <w:rPr>
                <w:b/>
                <w:szCs w:val="22"/>
              </w:rPr>
              <w:t xml:space="preserve">. </w:t>
            </w:r>
          </w:p>
        </w:tc>
        <w:tc>
          <w:tcPr>
            <w:tcW w:w="2350" w:type="dxa"/>
            <w:tcBorders>
              <w:top w:val="nil"/>
              <w:left w:val="single" w:sz="4" w:space="0" w:color="auto"/>
              <w:bottom w:val="single" w:sz="4" w:space="0" w:color="auto"/>
              <w:right w:val="single" w:sz="4" w:space="0" w:color="auto"/>
            </w:tcBorders>
            <w:shd w:val="clear" w:color="auto" w:fill="auto"/>
          </w:tcPr>
          <w:p w:rsidR="00174C09" w:rsidRPr="00AE78C2" w:rsidRDefault="00174C09" w:rsidP="00D86DE0">
            <w:pPr>
              <w:autoSpaceDE w:val="0"/>
              <w:autoSpaceDN w:val="0"/>
              <w:adjustRightInd w:val="0"/>
              <w:rPr>
                <w:color w:val="365F91"/>
                <w:szCs w:val="20"/>
              </w:rPr>
            </w:pPr>
          </w:p>
          <w:p w:rsidR="00174C09" w:rsidRPr="00AE78C2" w:rsidRDefault="00174C09" w:rsidP="00D86DE0">
            <w:pPr>
              <w:autoSpaceDE w:val="0"/>
              <w:autoSpaceDN w:val="0"/>
              <w:adjustRightInd w:val="0"/>
              <w:rPr>
                <w:color w:val="365F91"/>
                <w:szCs w:val="20"/>
              </w:rPr>
            </w:pPr>
          </w:p>
          <w:p w:rsidR="00174C09" w:rsidRPr="00AE78C2" w:rsidRDefault="00174C09" w:rsidP="00D86DE0">
            <w:pPr>
              <w:autoSpaceDE w:val="0"/>
              <w:autoSpaceDN w:val="0"/>
              <w:adjustRightInd w:val="0"/>
              <w:rPr>
                <w:color w:val="365F91"/>
                <w:szCs w:val="20"/>
              </w:rPr>
            </w:pPr>
          </w:p>
          <w:p w:rsidR="00174C09" w:rsidRPr="00AE78C2" w:rsidRDefault="00174C09" w:rsidP="00D86DE0">
            <w:pPr>
              <w:autoSpaceDE w:val="0"/>
              <w:autoSpaceDN w:val="0"/>
              <w:adjustRightInd w:val="0"/>
              <w:rPr>
                <w:color w:val="365F91"/>
                <w:szCs w:val="20"/>
              </w:rPr>
            </w:pPr>
          </w:p>
          <w:p w:rsidR="00174C09" w:rsidRPr="00AE78C2" w:rsidRDefault="00174C09" w:rsidP="00D86DE0">
            <w:pPr>
              <w:autoSpaceDE w:val="0"/>
              <w:autoSpaceDN w:val="0"/>
              <w:adjustRightInd w:val="0"/>
              <w:rPr>
                <w:color w:val="365F91"/>
                <w:szCs w:val="20"/>
              </w:rPr>
            </w:pPr>
          </w:p>
          <w:p w:rsidR="00174C09" w:rsidRPr="00AE78C2" w:rsidRDefault="00174C09" w:rsidP="00D86DE0">
            <w:pPr>
              <w:autoSpaceDE w:val="0"/>
              <w:autoSpaceDN w:val="0"/>
              <w:adjustRightInd w:val="0"/>
              <w:rPr>
                <w:color w:val="365F91"/>
                <w:szCs w:val="20"/>
              </w:rPr>
            </w:pPr>
          </w:p>
          <w:p w:rsidR="003C072D" w:rsidRPr="00AE78C2" w:rsidRDefault="003C072D" w:rsidP="00D86DE0">
            <w:pPr>
              <w:autoSpaceDE w:val="0"/>
              <w:autoSpaceDN w:val="0"/>
              <w:adjustRightInd w:val="0"/>
              <w:rPr>
                <w:color w:val="000000"/>
                <w:szCs w:val="20"/>
              </w:rPr>
            </w:pPr>
            <w:r w:rsidRPr="00AE78C2">
              <w:rPr>
                <w:color w:val="000000"/>
                <w:szCs w:val="20"/>
              </w:rPr>
              <w:t>Established 2008 and ongoing</w:t>
            </w:r>
          </w:p>
        </w:tc>
      </w:tr>
      <w:tr w:rsidR="008F3CE8" w:rsidRPr="00AE78C2" w:rsidTr="00A8512C">
        <w:trPr>
          <w:jc w:val="center"/>
        </w:trPr>
        <w:tc>
          <w:tcPr>
            <w:tcW w:w="2156" w:type="dxa"/>
            <w:gridSpan w:val="2"/>
            <w:tcBorders>
              <w:top w:val="nil"/>
              <w:bottom w:val="single" w:sz="4" w:space="0" w:color="auto"/>
              <w:right w:val="single" w:sz="4" w:space="0" w:color="auto"/>
            </w:tcBorders>
            <w:shd w:val="clear" w:color="auto" w:fill="auto"/>
          </w:tcPr>
          <w:p w:rsidR="008F3CE8" w:rsidRPr="00AE78C2" w:rsidRDefault="008F3CE8" w:rsidP="006B742F">
            <w:pPr>
              <w:jc w:val="center"/>
              <w:rPr>
                <w:sz w:val="22"/>
                <w:szCs w:val="22"/>
              </w:rPr>
            </w:pPr>
          </w:p>
        </w:tc>
        <w:tc>
          <w:tcPr>
            <w:tcW w:w="8445" w:type="dxa"/>
            <w:tcBorders>
              <w:top w:val="nil"/>
              <w:left w:val="single" w:sz="4" w:space="0" w:color="auto"/>
              <w:bottom w:val="single" w:sz="4" w:space="0" w:color="auto"/>
              <w:right w:val="single" w:sz="4" w:space="0" w:color="auto"/>
            </w:tcBorders>
            <w:shd w:val="clear" w:color="auto" w:fill="auto"/>
          </w:tcPr>
          <w:p w:rsidR="008F3CE8" w:rsidRPr="00AE78C2" w:rsidRDefault="008F3CE8" w:rsidP="00BC4EC9">
            <w:pPr>
              <w:rPr>
                <w:i/>
                <w:sz w:val="22"/>
                <w:szCs w:val="22"/>
              </w:rPr>
            </w:pPr>
            <w:r w:rsidRPr="00AE78C2">
              <w:rPr>
                <w:i/>
                <w:sz w:val="22"/>
                <w:szCs w:val="22"/>
              </w:rPr>
              <w:t>Other activities or descriptions:</w:t>
            </w:r>
          </w:p>
          <w:p w:rsidR="008A25EC" w:rsidRPr="00AE78C2" w:rsidRDefault="008A25EC" w:rsidP="00BC4EC9">
            <w:pPr>
              <w:rPr>
                <w:sz w:val="22"/>
                <w:szCs w:val="22"/>
              </w:rPr>
            </w:pPr>
          </w:p>
        </w:tc>
        <w:tc>
          <w:tcPr>
            <w:tcW w:w="2350" w:type="dxa"/>
            <w:tcBorders>
              <w:top w:val="nil"/>
              <w:left w:val="single" w:sz="4" w:space="0" w:color="auto"/>
              <w:bottom w:val="single" w:sz="4" w:space="0" w:color="auto"/>
              <w:right w:val="single" w:sz="4" w:space="0" w:color="auto"/>
            </w:tcBorders>
            <w:shd w:val="clear" w:color="auto" w:fill="auto"/>
          </w:tcPr>
          <w:p w:rsidR="008F3CE8" w:rsidRPr="00AE78C2" w:rsidRDefault="008F3CE8" w:rsidP="006B742F">
            <w:pPr>
              <w:autoSpaceDE w:val="0"/>
              <w:autoSpaceDN w:val="0"/>
              <w:adjustRightInd w:val="0"/>
              <w:rPr>
                <w:sz w:val="22"/>
                <w:szCs w:val="22"/>
              </w:rPr>
            </w:pPr>
          </w:p>
        </w:tc>
      </w:tr>
      <w:tr w:rsidR="008F3CE8" w:rsidRPr="00AE78C2" w:rsidTr="00A8512C">
        <w:trPr>
          <w:jc w:val="center"/>
        </w:trPr>
        <w:tc>
          <w:tcPr>
            <w:tcW w:w="1162" w:type="dxa"/>
            <w:tcBorders>
              <w:top w:val="single" w:sz="4" w:space="0" w:color="auto"/>
              <w:bottom w:val="nil"/>
              <w:right w:val="single" w:sz="4" w:space="0" w:color="auto"/>
            </w:tcBorders>
            <w:shd w:val="clear" w:color="auto" w:fill="auto"/>
          </w:tcPr>
          <w:p w:rsidR="008F3CE8" w:rsidRPr="00AE78C2" w:rsidRDefault="008F3CE8" w:rsidP="006B742F">
            <w:pPr>
              <w:jc w:val="center"/>
              <w:rPr>
                <w:sz w:val="22"/>
                <w:szCs w:val="22"/>
              </w:rPr>
            </w:pPr>
          </w:p>
        </w:tc>
        <w:tc>
          <w:tcPr>
            <w:tcW w:w="994" w:type="dxa"/>
            <w:tcBorders>
              <w:top w:val="single" w:sz="4" w:space="0" w:color="auto"/>
              <w:left w:val="single" w:sz="4" w:space="0" w:color="auto"/>
              <w:bottom w:val="nil"/>
              <w:right w:val="single" w:sz="4" w:space="0" w:color="auto"/>
            </w:tcBorders>
            <w:shd w:val="clear" w:color="auto" w:fill="auto"/>
          </w:tcPr>
          <w:p w:rsidR="008F3CE8" w:rsidRPr="00AE78C2" w:rsidRDefault="008F3CE8" w:rsidP="006B742F">
            <w:pPr>
              <w:autoSpaceDE w:val="0"/>
              <w:autoSpaceDN w:val="0"/>
              <w:adjustRightInd w:val="0"/>
              <w:ind w:left="94"/>
              <w:rPr>
                <w:sz w:val="22"/>
                <w:szCs w:val="22"/>
              </w:rPr>
            </w:pPr>
          </w:p>
        </w:tc>
        <w:tc>
          <w:tcPr>
            <w:tcW w:w="8445" w:type="dxa"/>
            <w:tcBorders>
              <w:top w:val="single" w:sz="4" w:space="0" w:color="auto"/>
              <w:left w:val="single" w:sz="4" w:space="0" w:color="auto"/>
              <w:bottom w:val="nil"/>
              <w:right w:val="single" w:sz="4" w:space="0" w:color="auto"/>
            </w:tcBorders>
            <w:shd w:val="clear" w:color="auto" w:fill="auto"/>
          </w:tcPr>
          <w:p w:rsidR="008F3CE8" w:rsidRPr="00AE78C2" w:rsidRDefault="008F3CE8" w:rsidP="009B7F2E">
            <w:pPr>
              <w:numPr>
                <w:ilvl w:val="1"/>
                <w:numId w:val="3"/>
              </w:numPr>
              <w:tabs>
                <w:tab w:val="clear" w:pos="1440"/>
                <w:tab w:val="num" w:pos="454"/>
              </w:tabs>
              <w:autoSpaceDE w:val="0"/>
              <w:autoSpaceDN w:val="0"/>
              <w:adjustRightInd w:val="0"/>
              <w:ind w:left="454"/>
              <w:rPr>
                <w:b/>
                <w:szCs w:val="28"/>
              </w:rPr>
            </w:pPr>
            <w:r w:rsidRPr="00AE78C2">
              <w:rPr>
                <w:b/>
                <w:szCs w:val="28"/>
              </w:rPr>
              <w:t>Integrate laboratory activities with HAI surveillance, prevention, and control efforts.</w:t>
            </w:r>
          </w:p>
        </w:tc>
        <w:tc>
          <w:tcPr>
            <w:tcW w:w="2350" w:type="dxa"/>
            <w:tcBorders>
              <w:top w:val="single" w:sz="4" w:space="0" w:color="auto"/>
              <w:left w:val="single" w:sz="4" w:space="0" w:color="auto"/>
              <w:bottom w:val="nil"/>
              <w:right w:val="single" w:sz="4" w:space="0" w:color="auto"/>
            </w:tcBorders>
            <w:shd w:val="clear" w:color="auto" w:fill="auto"/>
          </w:tcPr>
          <w:p w:rsidR="008F3CE8" w:rsidRPr="00AE78C2" w:rsidRDefault="008F3CE8" w:rsidP="006B742F">
            <w:pPr>
              <w:autoSpaceDE w:val="0"/>
              <w:autoSpaceDN w:val="0"/>
              <w:adjustRightInd w:val="0"/>
              <w:rPr>
                <w:sz w:val="22"/>
                <w:szCs w:val="22"/>
              </w:rPr>
            </w:pPr>
          </w:p>
        </w:tc>
      </w:tr>
      <w:tr w:rsidR="008F3CE8" w:rsidRPr="00AE78C2" w:rsidTr="00A8512C">
        <w:trPr>
          <w:jc w:val="center"/>
        </w:trPr>
        <w:tc>
          <w:tcPr>
            <w:tcW w:w="1162" w:type="dxa"/>
            <w:tcBorders>
              <w:top w:val="nil"/>
              <w:bottom w:val="single" w:sz="4" w:space="0" w:color="auto"/>
              <w:right w:val="single" w:sz="4" w:space="0" w:color="auto"/>
            </w:tcBorders>
            <w:shd w:val="clear" w:color="auto" w:fill="auto"/>
          </w:tcPr>
          <w:p w:rsidR="008F3CE8" w:rsidRPr="00AE78C2" w:rsidRDefault="00E35BD3" w:rsidP="006B742F">
            <w:pPr>
              <w:jc w:val="center"/>
              <w:rPr>
                <w:sz w:val="22"/>
                <w:szCs w:val="22"/>
              </w:rPr>
            </w:pPr>
            <w:r w:rsidRPr="00AE78C2">
              <w:rPr>
                <w:sz w:val="22"/>
                <w:szCs w:val="22"/>
              </w:rPr>
              <w:fldChar w:fldCharType="begin">
                <w:ffData>
                  <w:name w:val="Check2"/>
                  <w:enabled/>
                  <w:calcOnExit w:val="0"/>
                  <w:checkBox>
                    <w:sizeAuto/>
                    <w:default w:val="1"/>
                  </w:checkBox>
                </w:ffData>
              </w:fldChar>
            </w:r>
            <w:bookmarkStart w:id="1" w:name="Check2"/>
            <w:r w:rsidRPr="00AE78C2">
              <w:rPr>
                <w:sz w:val="22"/>
                <w:szCs w:val="22"/>
              </w:rPr>
              <w:instrText xml:space="preserve"> FORMCHECKBOX </w:instrText>
            </w:r>
            <w:r w:rsidRPr="00AE78C2">
              <w:rPr>
                <w:sz w:val="22"/>
                <w:szCs w:val="22"/>
              </w:rPr>
            </w:r>
            <w:r w:rsidRPr="00AE78C2">
              <w:rPr>
                <w:sz w:val="22"/>
                <w:szCs w:val="22"/>
              </w:rPr>
              <w:fldChar w:fldCharType="end"/>
            </w:r>
            <w:bookmarkEnd w:id="1"/>
          </w:p>
        </w:tc>
        <w:tc>
          <w:tcPr>
            <w:tcW w:w="994" w:type="dxa"/>
            <w:tcBorders>
              <w:top w:val="nil"/>
              <w:left w:val="single" w:sz="4" w:space="0" w:color="auto"/>
              <w:bottom w:val="single" w:sz="4" w:space="0" w:color="auto"/>
              <w:right w:val="single" w:sz="4" w:space="0" w:color="auto"/>
            </w:tcBorders>
            <w:shd w:val="clear" w:color="auto" w:fill="auto"/>
          </w:tcPr>
          <w:p w:rsidR="008F3CE8" w:rsidRPr="00AE78C2" w:rsidRDefault="008F3CE8" w:rsidP="006B742F">
            <w:pPr>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3CE8" w:rsidRPr="00AE78C2" w:rsidRDefault="008F3CE8" w:rsidP="009B7F2E">
            <w:pPr>
              <w:numPr>
                <w:ilvl w:val="2"/>
                <w:numId w:val="3"/>
              </w:numPr>
              <w:autoSpaceDE w:val="0"/>
              <w:autoSpaceDN w:val="0"/>
              <w:adjustRightInd w:val="0"/>
              <w:rPr>
                <w:sz w:val="22"/>
                <w:szCs w:val="22"/>
              </w:rPr>
            </w:pPr>
          </w:p>
        </w:tc>
        <w:tc>
          <w:tcPr>
            <w:tcW w:w="8445" w:type="dxa"/>
            <w:tcBorders>
              <w:top w:val="nil"/>
              <w:left w:val="single" w:sz="4" w:space="0" w:color="auto"/>
              <w:bottom w:val="single" w:sz="4" w:space="0" w:color="auto"/>
              <w:right w:val="single" w:sz="4" w:space="0" w:color="auto"/>
            </w:tcBorders>
            <w:shd w:val="clear" w:color="auto" w:fill="auto"/>
          </w:tcPr>
          <w:p w:rsidR="008F3CE8" w:rsidRPr="00AE78C2" w:rsidRDefault="008F3CE8" w:rsidP="009B7F2E">
            <w:pPr>
              <w:numPr>
                <w:ilvl w:val="0"/>
                <w:numId w:val="23"/>
              </w:numPr>
              <w:autoSpaceDE w:val="0"/>
              <w:autoSpaceDN w:val="0"/>
              <w:adjustRightInd w:val="0"/>
              <w:rPr>
                <w:b/>
                <w:szCs w:val="22"/>
              </w:rPr>
            </w:pPr>
            <w:r w:rsidRPr="00AE78C2">
              <w:rPr>
                <w:b/>
                <w:szCs w:val="22"/>
              </w:rPr>
              <w:t>Improve laboratory capacity to confirm emerging resistance in HAI pathogens and perform typing where appropriate (e.g., outbreak investigation support, HL7 messaging of laboratory results)</w:t>
            </w:r>
          </w:p>
          <w:p w:rsidR="008F3CE8" w:rsidRPr="00AE78C2" w:rsidRDefault="00F521B7" w:rsidP="000405BF">
            <w:pPr>
              <w:autoSpaceDE w:val="0"/>
              <w:autoSpaceDN w:val="0"/>
              <w:adjustRightInd w:val="0"/>
              <w:rPr>
                <w:sz w:val="22"/>
                <w:szCs w:val="22"/>
              </w:rPr>
            </w:pPr>
            <w:r w:rsidRPr="00AE78C2">
              <w:rPr>
                <w:sz w:val="22"/>
                <w:szCs w:val="22"/>
              </w:rPr>
              <w:t xml:space="preserve">    </w:t>
            </w:r>
          </w:p>
          <w:p w:rsidR="000405BF" w:rsidRPr="00AE78C2" w:rsidRDefault="000405BF" w:rsidP="00174C09">
            <w:pPr>
              <w:autoSpaceDE w:val="0"/>
              <w:autoSpaceDN w:val="0"/>
              <w:adjustRightInd w:val="0"/>
              <w:ind w:left="911"/>
              <w:rPr>
                <w:color w:val="000000"/>
              </w:rPr>
            </w:pPr>
            <w:r w:rsidRPr="00AE78C2">
              <w:rPr>
                <w:color w:val="000000"/>
              </w:rPr>
              <w:t xml:space="preserve">All hospital clinical laboratories are currently using electronic laboratory reporting, except for the two smallest hospitals in the state.  </w:t>
            </w:r>
            <w:r w:rsidR="00F521B7" w:rsidRPr="00AE78C2">
              <w:rPr>
                <w:color w:val="000000"/>
              </w:rPr>
              <w:t xml:space="preserve">The </w:t>
            </w:r>
            <w:r w:rsidR="003162CC" w:rsidRPr="00AE78C2">
              <w:rPr>
                <w:color w:val="000000"/>
              </w:rPr>
              <w:t xml:space="preserve">State </w:t>
            </w:r>
            <w:r w:rsidR="00F521B7" w:rsidRPr="00AE78C2">
              <w:rPr>
                <w:color w:val="000000"/>
              </w:rPr>
              <w:t xml:space="preserve">Public Health </w:t>
            </w:r>
            <w:r w:rsidR="00721EB3" w:rsidRPr="00AE78C2">
              <w:rPr>
                <w:color w:val="000000"/>
              </w:rPr>
              <w:t>L</w:t>
            </w:r>
            <w:r w:rsidR="00F521B7" w:rsidRPr="00AE78C2">
              <w:rPr>
                <w:color w:val="000000"/>
              </w:rPr>
              <w:t xml:space="preserve">aboratory and three </w:t>
            </w:r>
            <w:r w:rsidRPr="00AE78C2">
              <w:rPr>
                <w:color w:val="000000"/>
              </w:rPr>
              <w:t>major commercial laboratories</w:t>
            </w:r>
            <w:r w:rsidR="00694DE9" w:rsidRPr="00AE78C2">
              <w:rPr>
                <w:color w:val="000000"/>
              </w:rPr>
              <w:t xml:space="preserve"> are</w:t>
            </w:r>
            <w:r w:rsidRPr="00AE78C2">
              <w:rPr>
                <w:color w:val="000000"/>
              </w:rPr>
              <w:t xml:space="preserve"> </w:t>
            </w:r>
            <w:r w:rsidR="00F521B7" w:rsidRPr="00AE78C2">
              <w:rPr>
                <w:color w:val="000000"/>
              </w:rPr>
              <w:t xml:space="preserve">using </w:t>
            </w:r>
            <w:r w:rsidRPr="00AE78C2">
              <w:rPr>
                <w:color w:val="000000"/>
              </w:rPr>
              <w:t>ELR or being brought on, and the local Veteran's Affairs health system</w:t>
            </w:r>
            <w:r w:rsidR="003162CC" w:rsidRPr="00AE78C2">
              <w:rPr>
                <w:color w:val="000000"/>
              </w:rPr>
              <w:t xml:space="preserve"> is exploring ELR</w:t>
            </w:r>
            <w:r w:rsidRPr="00AE78C2">
              <w:rPr>
                <w:color w:val="000000"/>
              </w:rPr>
              <w:t>.  ELR uses HL7 2.5.1 messaging and LOINC and SNOMED codes.  MDPH is able to transform messages currently sent from hospitals (in HL7 2.3.1 or SMF formats) to HL7 2.5.1 format.  Automated entry of laboratory information for reportable conditions via ELR facilitates accurate and timely detection of concerning trends and saves time associated with manual data entry or paper laboratory reporting. ELR is mandated by regulation (105 CMR 300.170: Laboratory Findings Indicative of Infectious Disease reportable Directly to the Department by Laboratories).</w:t>
            </w:r>
          </w:p>
          <w:p w:rsidR="000405BF" w:rsidRPr="00AE78C2" w:rsidRDefault="000405BF" w:rsidP="000405BF">
            <w:pPr>
              <w:autoSpaceDE w:val="0"/>
              <w:autoSpaceDN w:val="0"/>
              <w:adjustRightInd w:val="0"/>
              <w:ind w:left="720"/>
              <w:rPr>
                <w:color w:val="000000"/>
              </w:rPr>
            </w:pPr>
          </w:p>
          <w:p w:rsidR="000405BF" w:rsidRPr="00AE78C2" w:rsidRDefault="000405BF" w:rsidP="00174C09">
            <w:pPr>
              <w:autoSpaceDE w:val="0"/>
              <w:autoSpaceDN w:val="0"/>
              <w:adjustRightInd w:val="0"/>
              <w:ind w:left="911"/>
              <w:rPr>
                <w:color w:val="000000"/>
              </w:rPr>
            </w:pPr>
            <w:r w:rsidRPr="00AE78C2">
              <w:rPr>
                <w:color w:val="000000"/>
              </w:rPr>
              <w:t>MDPH continues to require reporting of all cases of invasive methicillin-</w:t>
            </w:r>
            <w:r w:rsidRPr="00AE78C2">
              <w:rPr>
                <w:color w:val="000000"/>
              </w:rPr>
              <w:lastRenderedPageBreak/>
              <w:t xml:space="preserve">resistant </w:t>
            </w:r>
            <w:r w:rsidRPr="00AE78C2">
              <w:rPr>
                <w:i/>
                <w:color w:val="000000"/>
              </w:rPr>
              <w:t>Staphylococcus aureus</w:t>
            </w:r>
            <w:r w:rsidRPr="00AE78C2">
              <w:rPr>
                <w:color w:val="000000"/>
              </w:rPr>
              <w:t xml:space="preserve"> (MRSA).   All </w:t>
            </w:r>
            <w:r w:rsidR="00694DE9" w:rsidRPr="00AE78C2">
              <w:rPr>
                <w:color w:val="000000"/>
              </w:rPr>
              <w:t>l</w:t>
            </w:r>
            <w:r w:rsidRPr="00AE78C2">
              <w:rPr>
                <w:color w:val="000000"/>
              </w:rPr>
              <w:t xml:space="preserve">aboratories must also report results indicating antimicrobial resistance in the following organisms directly to the Department through secure electronic laboratory reporting mechanisms: Carbapenemase-producing and/or carbapenem-resistant </w:t>
            </w:r>
            <w:r w:rsidRPr="00AE78C2">
              <w:rPr>
                <w:i/>
                <w:color w:val="000000"/>
              </w:rPr>
              <w:t>Enterobacteriacea</w:t>
            </w:r>
            <w:r w:rsidR="006D2AAF" w:rsidRPr="00AE78C2">
              <w:rPr>
                <w:i/>
                <w:color w:val="000000"/>
              </w:rPr>
              <w:t>e</w:t>
            </w:r>
            <w:r w:rsidRPr="00AE78C2">
              <w:rPr>
                <w:color w:val="000000"/>
              </w:rPr>
              <w:t xml:space="preserve">, </w:t>
            </w:r>
            <w:r w:rsidRPr="00AE78C2">
              <w:rPr>
                <w:i/>
                <w:color w:val="000000"/>
              </w:rPr>
              <w:t>Neisseria gonorrhoeae</w:t>
            </w:r>
            <w:r w:rsidRPr="00AE78C2">
              <w:rPr>
                <w:color w:val="000000"/>
              </w:rPr>
              <w:t xml:space="preserve"> resistant to fluoroquinolones or ceftriaxone, vancomycin-resistant Staphylococcus aureus (VRSA), vancomycin-intermediate </w:t>
            </w:r>
            <w:r w:rsidRPr="00AE78C2">
              <w:rPr>
                <w:i/>
                <w:color w:val="000000"/>
              </w:rPr>
              <w:t>Staphylococcus aureus</w:t>
            </w:r>
            <w:r w:rsidRPr="00AE78C2">
              <w:rPr>
                <w:color w:val="000000"/>
              </w:rPr>
              <w:t xml:space="preserve"> (VISA), invasive penicillin-resistant </w:t>
            </w:r>
            <w:r w:rsidRPr="00AE78C2">
              <w:rPr>
                <w:i/>
                <w:color w:val="000000"/>
              </w:rPr>
              <w:t>Streptococcus pneumoniae</w:t>
            </w:r>
            <w:r w:rsidRPr="00AE78C2">
              <w:rPr>
                <w:color w:val="000000"/>
              </w:rPr>
              <w:t>.  If antimicrobial resistance of an unexplained or novel nature is identified in any infectious organism, the laboratory must contact the Department within five business days.</w:t>
            </w:r>
          </w:p>
          <w:p w:rsidR="000405BF" w:rsidRPr="00AE78C2" w:rsidRDefault="000405BF" w:rsidP="000405BF">
            <w:pPr>
              <w:autoSpaceDE w:val="0"/>
              <w:autoSpaceDN w:val="0"/>
              <w:adjustRightInd w:val="0"/>
              <w:ind w:left="720"/>
              <w:rPr>
                <w:color w:val="000000"/>
              </w:rPr>
            </w:pPr>
          </w:p>
          <w:p w:rsidR="000405BF" w:rsidRPr="00AE78C2" w:rsidRDefault="000405BF" w:rsidP="00174C09">
            <w:pPr>
              <w:autoSpaceDE w:val="0"/>
              <w:autoSpaceDN w:val="0"/>
              <w:adjustRightInd w:val="0"/>
              <w:ind w:left="911"/>
              <w:rPr>
                <w:color w:val="000000"/>
              </w:rPr>
            </w:pPr>
            <w:r w:rsidRPr="00AE78C2">
              <w:rPr>
                <w:color w:val="000000"/>
              </w:rPr>
              <w:t xml:space="preserve">All hospitals are now required to report their annual antibiograms to the Department in a standardized fashion.  We are exploring means to allow for electronic laboratory reporting of antimicrobial susceptibility tests on all </w:t>
            </w:r>
            <w:r w:rsidRPr="00AE78C2">
              <w:rPr>
                <w:i/>
                <w:color w:val="000000"/>
              </w:rPr>
              <w:t>Escherichia coli</w:t>
            </w:r>
            <w:r w:rsidRPr="00AE78C2">
              <w:rPr>
                <w:color w:val="000000"/>
              </w:rPr>
              <w:t xml:space="preserve">, </w:t>
            </w:r>
            <w:r w:rsidRPr="00AE78C2">
              <w:rPr>
                <w:i/>
                <w:color w:val="000000"/>
              </w:rPr>
              <w:t>Klebsiella</w:t>
            </w:r>
            <w:r w:rsidRPr="00AE78C2">
              <w:rPr>
                <w:color w:val="000000"/>
              </w:rPr>
              <w:t xml:space="preserve"> spp. and </w:t>
            </w:r>
            <w:r w:rsidRPr="00AE78C2">
              <w:rPr>
                <w:i/>
                <w:color w:val="000000"/>
              </w:rPr>
              <w:t>Enterobacter</w:t>
            </w:r>
            <w:r w:rsidRPr="00AE78C2">
              <w:rPr>
                <w:color w:val="000000"/>
              </w:rPr>
              <w:t xml:space="preserve"> spp. performed in clinical laboratories.  We currently collect susceptibility data on isolates from CLABSI and SSI's reported through NHSN</w:t>
            </w:r>
            <w:r w:rsidR="0055721A" w:rsidRPr="00AE78C2">
              <w:rPr>
                <w:color w:val="000000"/>
              </w:rPr>
              <w:t xml:space="preserve">. DPH also requires reporting of Methicillin Resistant </w:t>
            </w:r>
            <w:r w:rsidR="0055721A" w:rsidRPr="00AE78C2">
              <w:rPr>
                <w:i/>
                <w:color w:val="000000"/>
              </w:rPr>
              <w:t>Staphylococcus aureus</w:t>
            </w:r>
            <w:r w:rsidR="0055721A" w:rsidRPr="00AE78C2">
              <w:rPr>
                <w:color w:val="000000"/>
              </w:rPr>
              <w:t xml:space="preserve"> (MRSA) Bacteremia</w:t>
            </w:r>
            <w:r w:rsidR="00986A5F" w:rsidRPr="00AE78C2">
              <w:rPr>
                <w:color w:val="000000"/>
              </w:rPr>
              <w:t xml:space="preserve"> </w:t>
            </w:r>
            <w:r w:rsidR="0055721A" w:rsidRPr="00AE78C2">
              <w:rPr>
                <w:color w:val="000000"/>
              </w:rPr>
              <w:t>LabID Event</w:t>
            </w:r>
            <w:r w:rsidR="0045032A" w:rsidRPr="00AE78C2">
              <w:rPr>
                <w:color w:val="000000"/>
              </w:rPr>
              <w:t>s</w:t>
            </w:r>
            <w:r w:rsidR="006D2AAF" w:rsidRPr="00AE78C2">
              <w:rPr>
                <w:color w:val="000000"/>
              </w:rPr>
              <w:t xml:space="preserve"> and </w:t>
            </w:r>
            <w:r w:rsidR="0055721A" w:rsidRPr="00AE78C2">
              <w:rPr>
                <w:i/>
                <w:color w:val="000000"/>
              </w:rPr>
              <w:t>Clostridium difficile</w:t>
            </w:r>
            <w:r w:rsidR="0055721A" w:rsidRPr="00AE78C2">
              <w:rPr>
                <w:color w:val="000000"/>
              </w:rPr>
              <w:t xml:space="preserve"> Infection (CDI) LabID Event</w:t>
            </w:r>
            <w:r w:rsidR="0045032A" w:rsidRPr="00AE78C2">
              <w:rPr>
                <w:color w:val="000000"/>
              </w:rPr>
              <w:t>s</w:t>
            </w:r>
            <w:r w:rsidR="0055721A" w:rsidRPr="00AE78C2">
              <w:rPr>
                <w:color w:val="000000"/>
              </w:rPr>
              <w:t xml:space="preserve"> to NHSN. </w:t>
            </w:r>
          </w:p>
          <w:p w:rsidR="0055721A" w:rsidRPr="00AE78C2" w:rsidRDefault="0055721A" w:rsidP="0055721A">
            <w:pPr>
              <w:autoSpaceDE w:val="0"/>
              <w:autoSpaceDN w:val="0"/>
              <w:adjustRightInd w:val="0"/>
              <w:ind w:left="720"/>
              <w:rPr>
                <w:color w:val="000000"/>
              </w:rPr>
            </w:pPr>
          </w:p>
          <w:p w:rsidR="000405BF" w:rsidRPr="00AE78C2" w:rsidRDefault="000405BF" w:rsidP="00174C09">
            <w:pPr>
              <w:autoSpaceDE w:val="0"/>
              <w:autoSpaceDN w:val="0"/>
              <w:adjustRightInd w:val="0"/>
              <w:ind w:left="911"/>
              <w:rPr>
                <w:color w:val="000000"/>
              </w:rPr>
            </w:pPr>
            <w:r w:rsidRPr="00AE78C2">
              <w:rPr>
                <w:color w:val="000000"/>
              </w:rPr>
              <w:t xml:space="preserve">We are planning to require acute care hospitals (and potentially other healthcare facilities) </w:t>
            </w:r>
            <w:r w:rsidR="009777CA" w:rsidRPr="00AE78C2">
              <w:rPr>
                <w:color w:val="000000"/>
              </w:rPr>
              <w:t xml:space="preserve">to </w:t>
            </w:r>
            <w:r w:rsidRPr="00AE78C2">
              <w:rPr>
                <w:color w:val="000000"/>
              </w:rPr>
              <w:t>use the NHSN Antimicrobial Use and Resistance Module.</w:t>
            </w:r>
          </w:p>
          <w:p w:rsidR="003162CC" w:rsidRPr="00AE78C2" w:rsidRDefault="003162CC" w:rsidP="003162CC">
            <w:pPr>
              <w:autoSpaceDE w:val="0"/>
              <w:autoSpaceDN w:val="0"/>
              <w:adjustRightInd w:val="0"/>
              <w:ind w:left="911"/>
              <w:rPr>
                <w:color w:val="365F91"/>
              </w:rPr>
            </w:pPr>
          </w:p>
          <w:p w:rsidR="003162CC" w:rsidRPr="00AE78C2" w:rsidRDefault="003162CC" w:rsidP="002A384B">
            <w:pPr>
              <w:autoSpaceDE w:val="0"/>
              <w:autoSpaceDN w:val="0"/>
              <w:adjustRightInd w:val="0"/>
              <w:ind w:left="911"/>
              <w:rPr>
                <w:sz w:val="22"/>
                <w:szCs w:val="22"/>
              </w:rPr>
            </w:pPr>
            <w:r w:rsidRPr="00AE78C2">
              <w:rPr>
                <w:color w:val="000000"/>
              </w:rPr>
              <w:t xml:space="preserve">Our State Public Health Laboratory has had extensive experience with pulse </w:t>
            </w:r>
            <w:r w:rsidR="002A384B" w:rsidRPr="00AE78C2">
              <w:rPr>
                <w:color w:val="000000"/>
              </w:rPr>
              <w:t xml:space="preserve">field </w:t>
            </w:r>
            <w:r w:rsidRPr="00AE78C2">
              <w:rPr>
                <w:color w:val="000000"/>
              </w:rPr>
              <w:t xml:space="preserve">gel electrophoresis and </w:t>
            </w:r>
            <w:r w:rsidR="002A384B" w:rsidRPr="00AE78C2">
              <w:rPr>
                <w:color w:val="000000"/>
              </w:rPr>
              <w:t xml:space="preserve">reports to </w:t>
            </w:r>
            <w:r w:rsidRPr="00AE78C2">
              <w:rPr>
                <w:color w:val="000000"/>
              </w:rPr>
              <w:t>PulseNet, and is gaining c</w:t>
            </w:r>
            <w:r w:rsidR="002A384B" w:rsidRPr="00AE78C2">
              <w:rPr>
                <w:color w:val="000000"/>
              </w:rPr>
              <w:t>a</w:t>
            </w:r>
            <w:r w:rsidRPr="00AE78C2">
              <w:rPr>
                <w:color w:val="000000"/>
              </w:rPr>
              <w:t>pacity and experience in other techniques of genomic</w:t>
            </w:r>
            <w:r w:rsidRPr="00AE78C2">
              <w:rPr>
                <w:color w:val="365F91"/>
              </w:rPr>
              <w:t xml:space="preserve"> </w:t>
            </w:r>
            <w:r w:rsidRPr="00AE78C2">
              <w:rPr>
                <w:color w:val="000000"/>
              </w:rPr>
              <w:t>characterization of</w:t>
            </w:r>
            <w:r w:rsidR="002A384B" w:rsidRPr="00AE78C2">
              <w:rPr>
                <w:color w:val="000000"/>
              </w:rPr>
              <w:t xml:space="preserve"> </w:t>
            </w:r>
            <w:r w:rsidRPr="00AE78C2">
              <w:rPr>
                <w:color w:val="000000"/>
              </w:rPr>
              <w:t xml:space="preserve">organisms, including whole genome sequencing.  The State Public Health </w:t>
            </w:r>
            <w:r w:rsidR="002A384B" w:rsidRPr="00AE78C2">
              <w:rPr>
                <w:color w:val="000000"/>
              </w:rPr>
              <w:t>L</w:t>
            </w:r>
            <w:r w:rsidRPr="00AE78C2">
              <w:rPr>
                <w:color w:val="000000"/>
              </w:rPr>
              <w:t>aboratory provides support to facilities and Department investigations by characterizing organisms for molecular epidemiology.</w:t>
            </w:r>
            <w:r w:rsidRPr="00AE78C2">
              <w:rPr>
                <w:color w:val="365F91"/>
              </w:rPr>
              <w:t xml:space="preserve">  </w:t>
            </w:r>
          </w:p>
        </w:tc>
        <w:tc>
          <w:tcPr>
            <w:tcW w:w="2350" w:type="dxa"/>
            <w:tcBorders>
              <w:top w:val="nil"/>
              <w:left w:val="single" w:sz="4" w:space="0" w:color="auto"/>
              <w:bottom w:val="single" w:sz="4" w:space="0" w:color="auto"/>
              <w:right w:val="single" w:sz="4" w:space="0" w:color="auto"/>
            </w:tcBorders>
            <w:shd w:val="clear" w:color="auto" w:fill="auto"/>
          </w:tcPr>
          <w:p w:rsidR="008F3CE8" w:rsidRPr="00AE78C2" w:rsidRDefault="008F3CE8" w:rsidP="006B742F">
            <w:pPr>
              <w:autoSpaceDE w:val="0"/>
              <w:autoSpaceDN w:val="0"/>
              <w:adjustRightInd w:val="0"/>
              <w:rPr>
                <w:color w:val="365F91"/>
                <w:sz w:val="22"/>
                <w:szCs w:val="22"/>
                <w:highlight w:val="yellow"/>
              </w:rPr>
            </w:pPr>
          </w:p>
          <w:p w:rsidR="008F3CE8" w:rsidRPr="00AE78C2" w:rsidRDefault="008F3CE8" w:rsidP="006B742F">
            <w:pPr>
              <w:autoSpaceDE w:val="0"/>
              <w:autoSpaceDN w:val="0"/>
              <w:adjustRightInd w:val="0"/>
              <w:rPr>
                <w:color w:val="365F91"/>
                <w:sz w:val="22"/>
                <w:szCs w:val="22"/>
                <w:highlight w:val="yellow"/>
              </w:rPr>
            </w:pPr>
          </w:p>
          <w:p w:rsidR="008F3CE8" w:rsidRPr="00AE78C2" w:rsidRDefault="008F3CE8" w:rsidP="006B742F">
            <w:pPr>
              <w:autoSpaceDE w:val="0"/>
              <w:autoSpaceDN w:val="0"/>
              <w:adjustRightInd w:val="0"/>
              <w:rPr>
                <w:color w:val="365F91"/>
                <w:sz w:val="22"/>
                <w:szCs w:val="22"/>
                <w:highlight w:val="yellow"/>
              </w:rPr>
            </w:pPr>
          </w:p>
          <w:p w:rsidR="008F3CE8" w:rsidRPr="00AE78C2" w:rsidRDefault="008F3CE8" w:rsidP="006B742F">
            <w:pPr>
              <w:autoSpaceDE w:val="0"/>
              <w:autoSpaceDN w:val="0"/>
              <w:adjustRightInd w:val="0"/>
              <w:rPr>
                <w:color w:val="365F91"/>
                <w:sz w:val="22"/>
                <w:szCs w:val="22"/>
                <w:highlight w:val="yellow"/>
              </w:rPr>
            </w:pPr>
          </w:p>
          <w:p w:rsidR="00A00FFD" w:rsidRPr="00AE78C2" w:rsidRDefault="00A00FFD" w:rsidP="006B742F">
            <w:pPr>
              <w:autoSpaceDE w:val="0"/>
              <w:autoSpaceDN w:val="0"/>
              <w:adjustRightInd w:val="0"/>
              <w:rPr>
                <w:color w:val="365F91"/>
              </w:rPr>
            </w:pPr>
          </w:p>
          <w:p w:rsidR="000B20BD" w:rsidRPr="00AE78C2" w:rsidRDefault="000B20BD" w:rsidP="006B742F">
            <w:pPr>
              <w:autoSpaceDE w:val="0"/>
              <w:autoSpaceDN w:val="0"/>
              <w:adjustRightInd w:val="0"/>
              <w:rPr>
                <w:color w:val="000000"/>
                <w:highlight w:val="green"/>
              </w:rPr>
            </w:pPr>
            <w:r w:rsidRPr="00AE78C2">
              <w:rPr>
                <w:color w:val="000000"/>
              </w:rPr>
              <w:t>Established and ongoing</w:t>
            </w: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694DE9" w:rsidRPr="00AE78C2" w:rsidRDefault="00694DE9" w:rsidP="006B742F">
            <w:pPr>
              <w:autoSpaceDE w:val="0"/>
              <w:autoSpaceDN w:val="0"/>
              <w:adjustRightInd w:val="0"/>
              <w:rPr>
                <w:color w:val="365F91"/>
                <w:highlight w:val="green"/>
              </w:rPr>
            </w:pPr>
          </w:p>
          <w:p w:rsidR="00A00FFD" w:rsidRPr="00AE78C2" w:rsidRDefault="00A00FFD" w:rsidP="006B742F">
            <w:pPr>
              <w:autoSpaceDE w:val="0"/>
              <w:autoSpaceDN w:val="0"/>
              <w:adjustRightInd w:val="0"/>
              <w:rPr>
                <w:color w:val="365F91"/>
              </w:rPr>
            </w:pPr>
          </w:p>
          <w:p w:rsidR="00694DE9" w:rsidRPr="00AE78C2" w:rsidRDefault="00C235F9" w:rsidP="006B742F">
            <w:pPr>
              <w:autoSpaceDE w:val="0"/>
              <w:autoSpaceDN w:val="0"/>
              <w:adjustRightInd w:val="0"/>
              <w:rPr>
                <w:color w:val="000000"/>
                <w:highlight w:val="yellow"/>
              </w:rPr>
            </w:pPr>
            <w:r w:rsidRPr="00AE78C2">
              <w:rPr>
                <w:color w:val="000000"/>
              </w:rPr>
              <w:t>2017 and ongoing</w:t>
            </w:r>
          </w:p>
        </w:tc>
      </w:tr>
      <w:tr w:rsidR="008F3CE8" w:rsidRPr="00AE78C2" w:rsidTr="00A8512C">
        <w:trPr>
          <w:jc w:val="center"/>
        </w:trPr>
        <w:tc>
          <w:tcPr>
            <w:tcW w:w="2156" w:type="dxa"/>
            <w:gridSpan w:val="2"/>
            <w:tcBorders>
              <w:top w:val="nil"/>
              <w:bottom w:val="single" w:sz="4" w:space="0" w:color="auto"/>
              <w:right w:val="single" w:sz="4" w:space="0" w:color="auto"/>
            </w:tcBorders>
            <w:shd w:val="clear" w:color="auto" w:fill="auto"/>
          </w:tcPr>
          <w:p w:rsidR="008F3CE8" w:rsidRPr="00AE78C2" w:rsidRDefault="008F3CE8" w:rsidP="006B742F">
            <w:pPr>
              <w:jc w:val="center"/>
              <w:rPr>
                <w:sz w:val="22"/>
                <w:szCs w:val="22"/>
              </w:rPr>
            </w:pPr>
          </w:p>
        </w:tc>
        <w:tc>
          <w:tcPr>
            <w:tcW w:w="8445" w:type="dxa"/>
            <w:tcBorders>
              <w:top w:val="nil"/>
              <w:left w:val="single" w:sz="4" w:space="0" w:color="auto"/>
              <w:bottom w:val="single" w:sz="4" w:space="0" w:color="auto"/>
              <w:right w:val="single" w:sz="4" w:space="0" w:color="auto"/>
            </w:tcBorders>
            <w:shd w:val="clear" w:color="auto" w:fill="auto"/>
          </w:tcPr>
          <w:p w:rsidR="008F3CE8" w:rsidRPr="00AE78C2" w:rsidRDefault="008F3CE8" w:rsidP="00726449">
            <w:pPr>
              <w:rPr>
                <w:color w:val="365F91"/>
              </w:rPr>
            </w:pPr>
            <w:r w:rsidRPr="00AE78C2">
              <w:rPr>
                <w:i/>
                <w:sz w:val="22"/>
                <w:szCs w:val="22"/>
              </w:rPr>
              <w:t>Other activities or descriptions:</w:t>
            </w:r>
          </w:p>
        </w:tc>
        <w:tc>
          <w:tcPr>
            <w:tcW w:w="2350" w:type="dxa"/>
            <w:tcBorders>
              <w:top w:val="nil"/>
              <w:left w:val="single" w:sz="4" w:space="0" w:color="auto"/>
              <w:bottom w:val="single" w:sz="4" w:space="0" w:color="auto"/>
              <w:right w:val="single" w:sz="4" w:space="0" w:color="auto"/>
            </w:tcBorders>
            <w:shd w:val="clear" w:color="auto" w:fill="auto"/>
          </w:tcPr>
          <w:p w:rsidR="000405BF" w:rsidRPr="00AE78C2" w:rsidRDefault="000405BF" w:rsidP="008F3CE8">
            <w:pPr>
              <w:autoSpaceDE w:val="0"/>
              <w:autoSpaceDN w:val="0"/>
              <w:adjustRightInd w:val="0"/>
              <w:rPr>
                <w:color w:val="365F91"/>
                <w:szCs w:val="20"/>
                <w:highlight w:val="yellow"/>
              </w:rPr>
            </w:pPr>
          </w:p>
          <w:p w:rsidR="008F3CE8" w:rsidRPr="00AE78C2" w:rsidRDefault="008F3CE8" w:rsidP="008F3CE8">
            <w:pPr>
              <w:autoSpaceDE w:val="0"/>
              <w:autoSpaceDN w:val="0"/>
              <w:adjustRightInd w:val="0"/>
              <w:rPr>
                <w:color w:val="365F91"/>
                <w:sz w:val="22"/>
                <w:szCs w:val="22"/>
                <w:highlight w:val="yellow"/>
              </w:rPr>
            </w:pPr>
          </w:p>
        </w:tc>
      </w:tr>
      <w:tr w:rsidR="008F3CE8" w:rsidRPr="00AE78C2" w:rsidTr="00A8512C">
        <w:trPr>
          <w:jc w:val="center"/>
        </w:trPr>
        <w:tc>
          <w:tcPr>
            <w:tcW w:w="1162" w:type="dxa"/>
            <w:tcBorders>
              <w:top w:val="single" w:sz="4" w:space="0" w:color="auto"/>
              <w:bottom w:val="single" w:sz="4" w:space="0" w:color="auto"/>
            </w:tcBorders>
            <w:shd w:val="clear" w:color="auto" w:fill="auto"/>
          </w:tcPr>
          <w:p w:rsidR="008F3CE8" w:rsidRPr="00AE78C2" w:rsidRDefault="00E35BD3" w:rsidP="006B742F">
            <w:pPr>
              <w:jc w:val="center"/>
              <w:rPr>
                <w:sz w:val="22"/>
                <w:szCs w:val="22"/>
              </w:rPr>
            </w:pPr>
            <w:r w:rsidRPr="00AE78C2">
              <w:rPr>
                <w:sz w:val="22"/>
                <w:szCs w:val="22"/>
              </w:rPr>
              <w:fldChar w:fldCharType="begin">
                <w:ffData>
                  <w:name w:val="Check3"/>
                  <w:enabled/>
                  <w:calcOnExit w:val="0"/>
                  <w:checkBox>
                    <w:sizeAuto/>
                    <w:default w:val="1"/>
                  </w:checkBox>
                </w:ffData>
              </w:fldChar>
            </w:r>
            <w:bookmarkStart w:id="2" w:name="Check3"/>
            <w:r w:rsidRPr="00AE78C2">
              <w:rPr>
                <w:sz w:val="22"/>
                <w:szCs w:val="22"/>
              </w:rPr>
              <w:instrText xml:space="preserve"> FORMCHECKBOX </w:instrText>
            </w:r>
            <w:r w:rsidRPr="00AE78C2">
              <w:rPr>
                <w:sz w:val="22"/>
                <w:szCs w:val="22"/>
              </w:rPr>
            </w:r>
            <w:r w:rsidRPr="00AE78C2">
              <w:rPr>
                <w:sz w:val="22"/>
                <w:szCs w:val="22"/>
              </w:rPr>
              <w:fldChar w:fldCharType="end"/>
            </w:r>
            <w:bookmarkEnd w:id="2"/>
          </w:p>
        </w:tc>
        <w:tc>
          <w:tcPr>
            <w:tcW w:w="994" w:type="dxa"/>
            <w:tcBorders>
              <w:top w:val="single" w:sz="4" w:space="0" w:color="auto"/>
              <w:bottom w:val="single" w:sz="4" w:space="0" w:color="auto"/>
            </w:tcBorders>
            <w:shd w:val="clear" w:color="auto" w:fill="auto"/>
          </w:tcPr>
          <w:p w:rsidR="008F3CE8" w:rsidRPr="00AE78C2" w:rsidRDefault="008F3CE8" w:rsidP="006B742F">
            <w:pPr>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3CE8" w:rsidRPr="00AE78C2" w:rsidRDefault="008F3CE8" w:rsidP="006B742F">
            <w:pPr>
              <w:autoSpaceDE w:val="0"/>
              <w:autoSpaceDN w:val="0"/>
              <w:adjustRightInd w:val="0"/>
              <w:ind w:left="94"/>
              <w:rPr>
                <w:sz w:val="22"/>
                <w:szCs w:val="22"/>
              </w:rPr>
            </w:pPr>
          </w:p>
        </w:tc>
        <w:tc>
          <w:tcPr>
            <w:tcW w:w="8445" w:type="dxa"/>
            <w:tcBorders>
              <w:top w:val="single" w:sz="4" w:space="0" w:color="auto"/>
              <w:bottom w:val="single" w:sz="4" w:space="0" w:color="auto"/>
            </w:tcBorders>
            <w:shd w:val="clear" w:color="auto" w:fill="auto"/>
          </w:tcPr>
          <w:p w:rsidR="007D199A" w:rsidRPr="00AE78C2" w:rsidRDefault="008F3CE8" w:rsidP="009B7F2E">
            <w:pPr>
              <w:numPr>
                <w:ilvl w:val="1"/>
                <w:numId w:val="3"/>
              </w:numPr>
              <w:tabs>
                <w:tab w:val="clear" w:pos="1440"/>
                <w:tab w:val="num" w:pos="454"/>
              </w:tabs>
              <w:autoSpaceDE w:val="0"/>
              <w:autoSpaceDN w:val="0"/>
              <w:adjustRightInd w:val="0"/>
              <w:ind w:left="454"/>
              <w:rPr>
                <w:b/>
                <w:szCs w:val="28"/>
              </w:rPr>
            </w:pPr>
            <w:r w:rsidRPr="00AE78C2">
              <w:rPr>
                <w:b/>
                <w:szCs w:val="28"/>
              </w:rPr>
              <w:t>Improve coordination among government agencies or organizations that share responsibility for assuring or overseeing HAI surveillance, prevention, and control (e.g., State Survey agencies, Communicable Disease Control, state licensing boards)</w:t>
            </w:r>
          </w:p>
          <w:p w:rsidR="009E77B1" w:rsidRPr="00AE78C2" w:rsidRDefault="009E77B1" w:rsidP="009E77B1">
            <w:pPr>
              <w:autoSpaceDE w:val="0"/>
              <w:autoSpaceDN w:val="0"/>
              <w:adjustRightInd w:val="0"/>
              <w:ind w:left="454"/>
              <w:rPr>
                <w:b/>
                <w:sz w:val="28"/>
                <w:szCs w:val="28"/>
              </w:rPr>
            </w:pPr>
          </w:p>
          <w:p w:rsidR="00986A5F" w:rsidRPr="00AE78C2" w:rsidRDefault="007D199A" w:rsidP="00960AB9">
            <w:pPr>
              <w:ind w:left="720"/>
              <w:rPr>
                <w:color w:val="000000"/>
              </w:rPr>
            </w:pPr>
            <w:r w:rsidRPr="00AE78C2">
              <w:rPr>
                <w:color w:val="000000"/>
              </w:rPr>
              <w:t>The necessary regulatory framework, core personnel resources and departmental leadership are in place.</w:t>
            </w:r>
            <w:r w:rsidR="00960AB9" w:rsidRPr="00AE78C2">
              <w:rPr>
                <w:color w:val="000000"/>
              </w:rPr>
              <w:t xml:space="preserve"> </w:t>
            </w:r>
            <w:r w:rsidRPr="00AE78C2">
              <w:rPr>
                <w:color w:val="000000"/>
              </w:rPr>
              <w:t>Designation of a dedicated</w:t>
            </w:r>
            <w:r w:rsidR="00E9087A" w:rsidRPr="00AE78C2">
              <w:rPr>
                <w:color w:val="000000"/>
              </w:rPr>
              <w:t xml:space="preserve"> HAI</w:t>
            </w:r>
            <w:r w:rsidRPr="00AE78C2">
              <w:rPr>
                <w:color w:val="000000"/>
              </w:rPr>
              <w:t xml:space="preserve"> Coordinator has enhanced efforts.</w:t>
            </w:r>
            <w:r w:rsidR="0055721A" w:rsidRPr="00AE78C2">
              <w:rPr>
                <w:color w:val="000000"/>
              </w:rPr>
              <w:t xml:space="preserve"> </w:t>
            </w:r>
          </w:p>
          <w:p w:rsidR="00986A5F" w:rsidRPr="00AE78C2" w:rsidRDefault="00986A5F" w:rsidP="00960AB9">
            <w:pPr>
              <w:ind w:left="720"/>
              <w:rPr>
                <w:color w:val="000000"/>
              </w:rPr>
            </w:pPr>
          </w:p>
          <w:p w:rsidR="0055721A" w:rsidRPr="00AE78C2" w:rsidRDefault="0055721A" w:rsidP="00960AB9">
            <w:pPr>
              <w:ind w:left="720"/>
              <w:rPr>
                <w:color w:val="000000"/>
              </w:rPr>
            </w:pPr>
            <w:r w:rsidRPr="00AE78C2">
              <w:rPr>
                <w:color w:val="000000"/>
              </w:rPr>
              <w:t xml:space="preserve">Designation of an Antibiotic Resistance Coordinator will enhance AR activities. </w:t>
            </w:r>
          </w:p>
          <w:p w:rsidR="00960AB9" w:rsidRPr="00AE78C2" w:rsidRDefault="00960AB9" w:rsidP="00960AB9">
            <w:pPr>
              <w:ind w:left="720"/>
              <w:rPr>
                <w:color w:val="000000"/>
              </w:rPr>
            </w:pPr>
          </w:p>
          <w:p w:rsidR="009E77B1" w:rsidRPr="00AE78C2" w:rsidRDefault="001F24D6" w:rsidP="008A25EC">
            <w:pPr>
              <w:ind w:left="720"/>
              <w:rPr>
                <w:sz w:val="22"/>
                <w:szCs w:val="22"/>
              </w:rPr>
            </w:pPr>
            <w:r w:rsidRPr="00AE78C2">
              <w:rPr>
                <w:color w:val="000000"/>
              </w:rPr>
              <w:t>Surveillance data, results of findings performed by MDPH state survey operations, consumer complaints and NHSN reported data are</w:t>
            </w:r>
            <w:r w:rsidR="00F80979" w:rsidRPr="00AE78C2">
              <w:rPr>
                <w:color w:val="000000"/>
              </w:rPr>
              <w:t xml:space="preserve"> all </w:t>
            </w:r>
            <w:r w:rsidRPr="00AE78C2">
              <w:rPr>
                <w:color w:val="000000"/>
              </w:rPr>
              <w:t xml:space="preserve">utilized to identify areas for improvement. </w:t>
            </w:r>
          </w:p>
        </w:tc>
        <w:tc>
          <w:tcPr>
            <w:tcW w:w="2350" w:type="dxa"/>
            <w:tcBorders>
              <w:top w:val="single" w:sz="4" w:space="0" w:color="auto"/>
              <w:bottom w:val="single" w:sz="4" w:space="0" w:color="auto"/>
            </w:tcBorders>
            <w:shd w:val="clear" w:color="auto" w:fill="auto"/>
          </w:tcPr>
          <w:p w:rsidR="008F3CE8" w:rsidRPr="00AE78C2" w:rsidRDefault="008F3CE8" w:rsidP="006B742F">
            <w:pPr>
              <w:autoSpaceDE w:val="0"/>
              <w:autoSpaceDN w:val="0"/>
              <w:adjustRightInd w:val="0"/>
              <w:rPr>
                <w:sz w:val="22"/>
                <w:szCs w:val="22"/>
              </w:rPr>
            </w:pPr>
          </w:p>
          <w:p w:rsidR="007D199A" w:rsidRPr="00AE78C2" w:rsidRDefault="007D199A" w:rsidP="006B742F">
            <w:pPr>
              <w:autoSpaceDE w:val="0"/>
              <w:autoSpaceDN w:val="0"/>
              <w:adjustRightInd w:val="0"/>
              <w:rPr>
                <w:sz w:val="22"/>
                <w:szCs w:val="22"/>
              </w:rPr>
            </w:pPr>
          </w:p>
          <w:p w:rsidR="007D199A" w:rsidRPr="00AE78C2" w:rsidRDefault="007D199A" w:rsidP="006B742F">
            <w:pPr>
              <w:autoSpaceDE w:val="0"/>
              <w:autoSpaceDN w:val="0"/>
              <w:adjustRightInd w:val="0"/>
              <w:rPr>
                <w:sz w:val="22"/>
                <w:szCs w:val="22"/>
              </w:rPr>
            </w:pPr>
          </w:p>
          <w:p w:rsidR="007D199A" w:rsidRPr="00AE78C2" w:rsidRDefault="007D199A" w:rsidP="006B742F">
            <w:pPr>
              <w:autoSpaceDE w:val="0"/>
              <w:autoSpaceDN w:val="0"/>
              <w:adjustRightInd w:val="0"/>
              <w:rPr>
                <w:sz w:val="22"/>
                <w:szCs w:val="22"/>
              </w:rPr>
            </w:pPr>
          </w:p>
          <w:p w:rsidR="007D199A" w:rsidRPr="00AE78C2" w:rsidRDefault="007D199A" w:rsidP="006B742F">
            <w:pPr>
              <w:autoSpaceDE w:val="0"/>
              <w:autoSpaceDN w:val="0"/>
              <w:adjustRightInd w:val="0"/>
              <w:rPr>
                <w:sz w:val="22"/>
                <w:szCs w:val="22"/>
              </w:rPr>
            </w:pPr>
          </w:p>
          <w:p w:rsidR="00726449" w:rsidRPr="00AE78C2" w:rsidRDefault="00726449" w:rsidP="006B742F">
            <w:pPr>
              <w:autoSpaceDE w:val="0"/>
              <w:autoSpaceDN w:val="0"/>
              <w:adjustRightInd w:val="0"/>
              <w:rPr>
                <w:sz w:val="22"/>
                <w:szCs w:val="22"/>
              </w:rPr>
            </w:pPr>
          </w:p>
          <w:p w:rsidR="007D199A" w:rsidRPr="00AE78C2" w:rsidRDefault="009E77B1" w:rsidP="006B742F">
            <w:pPr>
              <w:autoSpaceDE w:val="0"/>
              <w:autoSpaceDN w:val="0"/>
              <w:adjustRightInd w:val="0"/>
              <w:rPr>
                <w:color w:val="000000"/>
              </w:rPr>
            </w:pPr>
            <w:r w:rsidRPr="00AE78C2">
              <w:rPr>
                <w:color w:val="000000"/>
              </w:rPr>
              <w:t>Ongoing</w:t>
            </w:r>
          </w:p>
          <w:p w:rsidR="0055721A" w:rsidRPr="00AE78C2" w:rsidRDefault="0055721A" w:rsidP="006B742F">
            <w:pPr>
              <w:autoSpaceDE w:val="0"/>
              <w:autoSpaceDN w:val="0"/>
              <w:adjustRightInd w:val="0"/>
              <w:rPr>
                <w:color w:val="000000"/>
                <w:sz w:val="22"/>
                <w:szCs w:val="22"/>
              </w:rPr>
            </w:pPr>
          </w:p>
          <w:p w:rsidR="0055721A" w:rsidRPr="00AE78C2" w:rsidRDefault="0055721A" w:rsidP="006B742F">
            <w:pPr>
              <w:autoSpaceDE w:val="0"/>
              <w:autoSpaceDN w:val="0"/>
              <w:adjustRightInd w:val="0"/>
              <w:rPr>
                <w:color w:val="000000"/>
                <w:sz w:val="22"/>
                <w:szCs w:val="22"/>
              </w:rPr>
            </w:pPr>
          </w:p>
          <w:p w:rsidR="0055721A" w:rsidRPr="00AE78C2" w:rsidRDefault="0055721A" w:rsidP="006B742F">
            <w:pPr>
              <w:autoSpaceDE w:val="0"/>
              <w:autoSpaceDN w:val="0"/>
              <w:adjustRightInd w:val="0"/>
              <w:rPr>
                <w:color w:val="000000"/>
                <w:sz w:val="22"/>
                <w:szCs w:val="22"/>
              </w:rPr>
            </w:pPr>
          </w:p>
          <w:p w:rsidR="0055721A" w:rsidRPr="00AE78C2" w:rsidRDefault="00A55C96" w:rsidP="006B742F">
            <w:pPr>
              <w:autoSpaceDE w:val="0"/>
              <w:autoSpaceDN w:val="0"/>
              <w:adjustRightInd w:val="0"/>
              <w:rPr>
                <w:color w:val="000000"/>
              </w:rPr>
            </w:pPr>
            <w:r w:rsidRPr="00AE78C2">
              <w:rPr>
                <w:color w:val="000000"/>
              </w:rPr>
              <w:t xml:space="preserve">Complete, </w:t>
            </w:r>
            <w:r w:rsidR="0055721A" w:rsidRPr="00AE78C2">
              <w:rPr>
                <w:color w:val="000000"/>
              </w:rPr>
              <w:t>2015</w:t>
            </w:r>
          </w:p>
          <w:p w:rsidR="00F80979" w:rsidRPr="00AE78C2" w:rsidRDefault="00F80979" w:rsidP="006B742F">
            <w:pPr>
              <w:autoSpaceDE w:val="0"/>
              <w:autoSpaceDN w:val="0"/>
              <w:adjustRightInd w:val="0"/>
              <w:rPr>
                <w:color w:val="000000"/>
                <w:sz w:val="22"/>
                <w:szCs w:val="22"/>
              </w:rPr>
            </w:pPr>
          </w:p>
          <w:p w:rsidR="00F80979" w:rsidRPr="00AE78C2" w:rsidRDefault="00F80979" w:rsidP="006B742F">
            <w:pPr>
              <w:autoSpaceDE w:val="0"/>
              <w:autoSpaceDN w:val="0"/>
              <w:adjustRightInd w:val="0"/>
              <w:rPr>
                <w:color w:val="000000"/>
                <w:sz w:val="22"/>
                <w:szCs w:val="22"/>
              </w:rPr>
            </w:pPr>
          </w:p>
          <w:p w:rsidR="00F80979" w:rsidRPr="00AE78C2" w:rsidRDefault="00F80979" w:rsidP="006B742F">
            <w:pPr>
              <w:autoSpaceDE w:val="0"/>
              <w:autoSpaceDN w:val="0"/>
              <w:adjustRightInd w:val="0"/>
              <w:rPr>
                <w:color w:val="365F91"/>
              </w:rPr>
            </w:pPr>
            <w:r w:rsidRPr="00AE78C2">
              <w:rPr>
                <w:color w:val="000000"/>
              </w:rPr>
              <w:t>Ongoing</w:t>
            </w:r>
          </w:p>
        </w:tc>
      </w:tr>
      <w:tr w:rsidR="008F3CE8" w:rsidRPr="00AE78C2" w:rsidTr="00A8512C">
        <w:trPr>
          <w:jc w:val="center"/>
        </w:trPr>
        <w:tc>
          <w:tcPr>
            <w:tcW w:w="2156" w:type="dxa"/>
            <w:gridSpan w:val="2"/>
            <w:tcBorders>
              <w:top w:val="single" w:sz="4" w:space="0" w:color="auto"/>
              <w:bottom w:val="single" w:sz="4" w:space="0" w:color="auto"/>
            </w:tcBorders>
            <w:shd w:val="clear" w:color="auto" w:fill="auto"/>
          </w:tcPr>
          <w:p w:rsidR="008F3CE8" w:rsidRPr="00AE78C2" w:rsidRDefault="008F3CE8" w:rsidP="006B742F">
            <w:pPr>
              <w:jc w:val="center"/>
              <w:rPr>
                <w:sz w:val="22"/>
                <w:szCs w:val="22"/>
              </w:rPr>
            </w:pPr>
          </w:p>
        </w:tc>
        <w:tc>
          <w:tcPr>
            <w:tcW w:w="8445" w:type="dxa"/>
            <w:tcBorders>
              <w:top w:val="single" w:sz="4" w:space="0" w:color="auto"/>
              <w:bottom w:val="single" w:sz="4" w:space="0" w:color="auto"/>
            </w:tcBorders>
            <w:shd w:val="clear" w:color="auto" w:fill="auto"/>
          </w:tcPr>
          <w:p w:rsidR="007D199A" w:rsidRPr="00AE78C2" w:rsidRDefault="008F3CE8" w:rsidP="00BC4EC9">
            <w:pPr>
              <w:autoSpaceDE w:val="0"/>
              <w:autoSpaceDN w:val="0"/>
              <w:adjustRightInd w:val="0"/>
              <w:rPr>
                <w:i/>
                <w:sz w:val="22"/>
                <w:szCs w:val="22"/>
              </w:rPr>
            </w:pPr>
            <w:r w:rsidRPr="00AE78C2">
              <w:rPr>
                <w:i/>
                <w:sz w:val="22"/>
                <w:szCs w:val="22"/>
              </w:rPr>
              <w:t>Other activities or descriptions:</w:t>
            </w:r>
          </w:p>
          <w:p w:rsidR="00726449" w:rsidRPr="00AE78C2" w:rsidRDefault="00726449" w:rsidP="00BC4EC9">
            <w:pPr>
              <w:autoSpaceDE w:val="0"/>
              <w:autoSpaceDN w:val="0"/>
              <w:adjustRightInd w:val="0"/>
              <w:rPr>
                <w:sz w:val="22"/>
                <w:szCs w:val="22"/>
              </w:rPr>
            </w:pPr>
          </w:p>
        </w:tc>
        <w:tc>
          <w:tcPr>
            <w:tcW w:w="2350" w:type="dxa"/>
            <w:tcBorders>
              <w:top w:val="single" w:sz="4" w:space="0" w:color="auto"/>
              <w:bottom w:val="single" w:sz="4" w:space="0" w:color="auto"/>
            </w:tcBorders>
            <w:shd w:val="clear" w:color="auto" w:fill="auto"/>
          </w:tcPr>
          <w:p w:rsidR="008F3CE8" w:rsidRPr="00AE78C2" w:rsidRDefault="008F3CE8" w:rsidP="006B742F">
            <w:pPr>
              <w:autoSpaceDE w:val="0"/>
              <w:autoSpaceDN w:val="0"/>
              <w:adjustRightInd w:val="0"/>
              <w:rPr>
                <w:sz w:val="22"/>
                <w:szCs w:val="22"/>
              </w:rPr>
            </w:pPr>
          </w:p>
        </w:tc>
      </w:tr>
      <w:tr w:rsidR="008F3CE8" w:rsidRPr="00AE78C2" w:rsidTr="00A8512C">
        <w:trPr>
          <w:jc w:val="center"/>
        </w:trPr>
        <w:tc>
          <w:tcPr>
            <w:tcW w:w="1162" w:type="dxa"/>
            <w:shd w:val="clear" w:color="auto" w:fill="auto"/>
          </w:tcPr>
          <w:p w:rsidR="008F3CE8"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94" w:type="dxa"/>
            <w:shd w:val="clear" w:color="auto" w:fill="auto"/>
          </w:tcPr>
          <w:p w:rsidR="008F3CE8" w:rsidRPr="00AE78C2" w:rsidRDefault="008F3CE8" w:rsidP="006B742F">
            <w:pPr>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3CE8" w:rsidRPr="00AE78C2" w:rsidRDefault="008F3CE8" w:rsidP="006B742F">
            <w:pPr>
              <w:autoSpaceDE w:val="0"/>
              <w:autoSpaceDN w:val="0"/>
              <w:adjustRightInd w:val="0"/>
              <w:ind w:left="94"/>
              <w:rPr>
                <w:sz w:val="22"/>
                <w:szCs w:val="22"/>
              </w:rPr>
            </w:pPr>
          </w:p>
        </w:tc>
        <w:tc>
          <w:tcPr>
            <w:tcW w:w="8445" w:type="dxa"/>
            <w:shd w:val="clear" w:color="auto" w:fill="auto"/>
          </w:tcPr>
          <w:p w:rsidR="007D199A" w:rsidRPr="00AE78C2" w:rsidRDefault="008F3CE8" w:rsidP="009B7F2E">
            <w:pPr>
              <w:numPr>
                <w:ilvl w:val="1"/>
                <w:numId w:val="3"/>
              </w:numPr>
              <w:tabs>
                <w:tab w:val="clear" w:pos="1440"/>
                <w:tab w:val="num" w:pos="445"/>
              </w:tabs>
              <w:autoSpaceDE w:val="0"/>
              <w:autoSpaceDN w:val="0"/>
              <w:adjustRightInd w:val="0"/>
              <w:ind w:left="445"/>
              <w:rPr>
                <w:b/>
                <w:szCs w:val="28"/>
              </w:rPr>
            </w:pPr>
            <w:r w:rsidRPr="00AE78C2">
              <w:rPr>
                <w:b/>
                <w:szCs w:val="28"/>
              </w:rPr>
              <w:t xml:space="preserve">Facilitate use of standards-based formats (e.g., Clinical Document Architecture, electronic messages) by healthcare facilities for purposes of electronic reporting of HAI data.  Providing technical assistance or other incentives for implementations of standards-based reporting can help develop capacity for HAI surveillance and other types of public health surveillance, such as for conditions deemed reportable to state and local health agencies using electronic laboratory reporting (ELR).   Facilitating use of standards-based solutions for external reporting also can strengthen relationships between healthcare facilities and regional nodes of healthcare information, such as Regional Health Information Organizations. (RHIOs) and Health Information Exchanges (HIEs).   These relationships, in turn, can yield broader benefits for public health by consolidating electronic </w:t>
            </w:r>
            <w:r w:rsidRPr="00AE78C2">
              <w:rPr>
                <w:b/>
                <w:szCs w:val="28"/>
              </w:rPr>
              <w:lastRenderedPageBreak/>
              <w:t>reporting through regional nodes.</w:t>
            </w:r>
          </w:p>
          <w:p w:rsidR="007D199A" w:rsidRPr="00AE78C2" w:rsidRDefault="007D199A" w:rsidP="007D199A">
            <w:pPr>
              <w:autoSpaceDE w:val="0"/>
              <w:autoSpaceDN w:val="0"/>
              <w:adjustRightInd w:val="0"/>
              <w:rPr>
                <w:color w:val="365F91"/>
                <w:sz w:val="22"/>
                <w:szCs w:val="22"/>
              </w:rPr>
            </w:pPr>
          </w:p>
          <w:p w:rsidR="000F06AE" w:rsidRPr="00AE78C2" w:rsidRDefault="000F06AE" w:rsidP="00960AB9">
            <w:pPr>
              <w:ind w:left="445"/>
              <w:rPr>
                <w:color w:val="000000"/>
              </w:rPr>
            </w:pPr>
            <w:r w:rsidRPr="00AE78C2">
              <w:rPr>
                <w:color w:val="000000"/>
              </w:rPr>
              <w:t xml:space="preserve">Health Information Reporting Portal: laboratory and electronic health record data in Massachusetts – The Health Information Reporting Portal is </w:t>
            </w:r>
            <w:r w:rsidR="002A384B" w:rsidRPr="00AE78C2">
              <w:rPr>
                <w:color w:val="000000"/>
              </w:rPr>
              <w:t xml:space="preserve">what the </w:t>
            </w:r>
            <w:r w:rsidRPr="00AE78C2">
              <w:rPr>
                <w:color w:val="000000"/>
              </w:rPr>
              <w:t>MDPH</w:t>
            </w:r>
            <w:r w:rsidR="00231FE8" w:rsidRPr="00AE78C2">
              <w:rPr>
                <w:color w:val="000000"/>
              </w:rPr>
              <w:t xml:space="preserve"> Bureau of Infection Disease</w:t>
            </w:r>
            <w:r w:rsidR="002A384B" w:rsidRPr="00AE78C2">
              <w:rPr>
                <w:color w:val="000000"/>
              </w:rPr>
              <w:t xml:space="preserve"> and Laboratory Sciences</w:t>
            </w:r>
            <w:r w:rsidR="00231FE8" w:rsidRPr="00AE78C2">
              <w:rPr>
                <w:color w:val="000000"/>
              </w:rPr>
              <w:t xml:space="preserve"> (</w:t>
            </w:r>
            <w:r w:rsidRPr="00AE78C2">
              <w:rPr>
                <w:color w:val="000000"/>
              </w:rPr>
              <w:t>BID</w:t>
            </w:r>
            <w:r w:rsidR="002A384B" w:rsidRPr="00AE78C2">
              <w:rPr>
                <w:color w:val="000000"/>
              </w:rPr>
              <w:t>LS</w:t>
            </w:r>
            <w:r w:rsidR="00231FE8" w:rsidRPr="00AE78C2">
              <w:rPr>
                <w:color w:val="000000"/>
              </w:rPr>
              <w:t>)</w:t>
            </w:r>
            <w:r w:rsidRPr="00AE78C2">
              <w:rPr>
                <w:color w:val="000000"/>
              </w:rPr>
              <w:t xml:space="preserve"> uses to receive all electronic data feeds for MAVEN</w:t>
            </w:r>
            <w:r w:rsidR="009A584B" w:rsidRPr="00AE78C2">
              <w:rPr>
                <w:color w:val="000000"/>
              </w:rPr>
              <w:t xml:space="preserve"> (Massachusetts Virtual Epidemiology Network—see also Table 2, Item 1ii)</w:t>
            </w:r>
            <w:r w:rsidRPr="00AE78C2">
              <w:rPr>
                <w:color w:val="000000"/>
              </w:rPr>
              <w:t xml:space="preserve">; these include ELR, EHR (via ESPnet), and electronic case reporting forms. The ELR component, which is Meaningful Use stage 2 certified, allows hospitals and clinical laboratories to send data electronically on all reportable conditions to the MDPH BID. This includes laboratory results and clinical data held in EHRs. Laboratories utilize a web-based user mapping interface to translate local codes into BID selected LOINC and SNOMED equivalents. </w:t>
            </w:r>
          </w:p>
          <w:p w:rsidR="000F06AE" w:rsidRPr="00AE78C2" w:rsidRDefault="000F06AE" w:rsidP="00960AB9">
            <w:pPr>
              <w:ind w:left="1165"/>
              <w:rPr>
                <w:color w:val="365F91"/>
              </w:rPr>
            </w:pPr>
          </w:p>
          <w:p w:rsidR="000F06AE" w:rsidRPr="00AE78C2" w:rsidRDefault="000F06AE" w:rsidP="00960AB9">
            <w:pPr>
              <w:ind w:left="445"/>
              <w:rPr>
                <w:color w:val="000000"/>
                <w:highlight w:val="yellow"/>
              </w:rPr>
            </w:pPr>
            <w:r w:rsidRPr="00AE78C2">
              <w:rPr>
                <w:color w:val="000000"/>
              </w:rPr>
              <w:t>Institutions may securely transmit messages using the HL7 2.5.1 format or the 2.3.1 format that is transformed into HL7 2.5.1. Once the data have been translated, they are transmitted via HL7 2.5.1 messaging to MAVEN, and then automatically assigned to an appropriate disease event and surveillance case status, then triaged for notification and disease investigation. MAVEN is designated as a specialized registry for the Department. Case reports submitted via ESPnet will meet requirements for Meaningful Use specialized registries</w:t>
            </w:r>
            <w:r w:rsidR="00231FE8" w:rsidRPr="00AE78C2">
              <w:rPr>
                <w:color w:val="000000"/>
              </w:rPr>
              <w:t>.</w:t>
            </w:r>
          </w:p>
          <w:p w:rsidR="00E9087A" w:rsidRPr="00AE78C2" w:rsidRDefault="00E9087A" w:rsidP="00042757">
            <w:pPr>
              <w:ind w:left="900"/>
              <w:rPr>
                <w:color w:val="365F91"/>
              </w:rPr>
            </w:pPr>
          </w:p>
          <w:p w:rsidR="00231FE8" w:rsidRPr="00AE78C2" w:rsidRDefault="00231FE8" w:rsidP="00F80979">
            <w:pPr>
              <w:ind w:left="445"/>
              <w:rPr>
                <w:color w:val="365F91"/>
              </w:rPr>
            </w:pPr>
          </w:p>
          <w:p w:rsidR="00016D76" w:rsidRPr="00AE78C2" w:rsidRDefault="00016D76" w:rsidP="00F80979">
            <w:pPr>
              <w:ind w:left="445"/>
            </w:pPr>
          </w:p>
          <w:p w:rsidR="00016D76" w:rsidRPr="00AE78C2" w:rsidRDefault="00016D76" w:rsidP="00F80979">
            <w:pPr>
              <w:ind w:left="445"/>
            </w:pPr>
          </w:p>
          <w:p w:rsidR="007D199A" w:rsidRPr="00AE78C2" w:rsidRDefault="007D199A" w:rsidP="00F80979">
            <w:pPr>
              <w:ind w:left="445"/>
            </w:pPr>
            <w:r w:rsidRPr="00AE78C2">
              <w:t>All acute care hospitals</w:t>
            </w:r>
            <w:r w:rsidR="00E9087A" w:rsidRPr="00AE78C2">
              <w:t xml:space="preserve"> have been</w:t>
            </w:r>
            <w:r w:rsidRPr="00AE78C2">
              <w:t xml:space="preserve"> trained, </w:t>
            </w:r>
            <w:r w:rsidR="002A384B" w:rsidRPr="00AE78C2">
              <w:t xml:space="preserve">are </w:t>
            </w:r>
            <w:r w:rsidRPr="00AE78C2">
              <w:t>enrolled and</w:t>
            </w:r>
            <w:r w:rsidR="00960AB9" w:rsidRPr="00AE78C2">
              <w:t xml:space="preserve"> </w:t>
            </w:r>
            <w:r w:rsidR="00E9087A" w:rsidRPr="00AE78C2">
              <w:t>are</w:t>
            </w:r>
            <w:r w:rsidRPr="00AE78C2">
              <w:t xml:space="preserve"> submitting HAI data via NHSN.</w:t>
            </w:r>
          </w:p>
          <w:p w:rsidR="00E9087A" w:rsidRPr="00AE78C2" w:rsidRDefault="00E9087A" w:rsidP="00042757">
            <w:pPr>
              <w:ind w:left="900"/>
              <w:rPr>
                <w:color w:val="000000"/>
              </w:rPr>
            </w:pPr>
          </w:p>
          <w:p w:rsidR="007D199A" w:rsidRPr="00AE78C2" w:rsidRDefault="007D199A" w:rsidP="00F80979">
            <w:pPr>
              <w:ind w:left="445"/>
              <w:rPr>
                <w:color w:val="000000"/>
              </w:rPr>
            </w:pPr>
            <w:r w:rsidRPr="00AE78C2">
              <w:rPr>
                <w:color w:val="000000"/>
              </w:rPr>
              <w:t xml:space="preserve">All </w:t>
            </w:r>
            <w:r w:rsidR="00D83BFE" w:rsidRPr="00AE78C2">
              <w:rPr>
                <w:color w:val="000000"/>
              </w:rPr>
              <w:t>Free-Standing</w:t>
            </w:r>
            <w:r w:rsidRPr="00AE78C2">
              <w:rPr>
                <w:color w:val="000000"/>
              </w:rPr>
              <w:t xml:space="preserve"> Ambulatory Surgical Centers (ASC)</w:t>
            </w:r>
            <w:r w:rsidR="00E9087A" w:rsidRPr="00AE78C2">
              <w:rPr>
                <w:color w:val="000000"/>
              </w:rPr>
              <w:t xml:space="preserve"> have been</w:t>
            </w:r>
            <w:r w:rsidRPr="00AE78C2">
              <w:rPr>
                <w:color w:val="000000"/>
              </w:rPr>
              <w:t xml:space="preserve"> trained</w:t>
            </w:r>
            <w:r w:rsidR="00E9087A" w:rsidRPr="00AE78C2">
              <w:rPr>
                <w:color w:val="000000"/>
              </w:rPr>
              <w:t>,</w:t>
            </w:r>
            <w:r w:rsidRPr="00AE78C2">
              <w:rPr>
                <w:color w:val="000000"/>
              </w:rPr>
              <w:t xml:space="preserve"> </w:t>
            </w:r>
            <w:r w:rsidR="002A384B" w:rsidRPr="00AE78C2">
              <w:rPr>
                <w:color w:val="000000"/>
              </w:rPr>
              <w:t xml:space="preserve">are </w:t>
            </w:r>
            <w:r w:rsidRPr="00AE78C2">
              <w:rPr>
                <w:color w:val="000000"/>
              </w:rPr>
              <w:t xml:space="preserve">enrolled and </w:t>
            </w:r>
            <w:r w:rsidR="00E9087A" w:rsidRPr="00AE78C2">
              <w:rPr>
                <w:color w:val="000000"/>
              </w:rPr>
              <w:t xml:space="preserve">are </w:t>
            </w:r>
            <w:r w:rsidRPr="00AE78C2">
              <w:rPr>
                <w:color w:val="000000"/>
              </w:rPr>
              <w:t>submitting healthcare personnel influenza</w:t>
            </w:r>
            <w:r w:rsidR="009E77B1" w:rsidRPr="00AE78C2">
              <w:rPr>
                <w:color w:val="000000"/>
              </w:rPr>
              <w:t xml:space="preserve"> vaccination </w:t>
            </w:r>
            <w:r w:rsidRPr="00AE78C2">
              <w:rPr>
                <w:color w:val="000000"/>
              </w:rPr>
              <w:t>data via NHSN.</w:t>
            </w:r>
          </w:p>
          <w:p w:rsidR="00231FE8" w:rsidRPr="00AE78C2" w:rsidRDefault="00231FE8" w:rsidP="00F80979">
            <w:pPr>
              <w:ind w:left="445"/>
              <w:rPr>
                <w:color w:val="000000"/>
              </w:rPr>
            </w:pPr>
          </w:p>
          <w:p w:rsidR="00231FE8" w:rsidRPr="00AE78C2" w:rsidRDefault="00231FE8" w:rsidP="00231FE8">
            <w:pPr>
              <w:ind w:left="445"/>
              <w:rPr>
                <w:color w:val="000000"/>
              </w:rPr>
            </w:pPr>
            <w:r w:rsidRPr="00AE78C2">
              <w:rPr>
                <w:color w:val="000000"/>
              </w:rPr>
              <w:t>We are currently in the process of working with the New England QIO to enroll LTCs in NHSN.</w:t>
            </w:r>
          </w:p>
          <w:p w:rsidR="00231FE8" w:rsidRPr="00AE78C2" w:rsidRDefault="00231FE8" w:rsidP="00231FE8">
            <w:pPr>
              <w:ind w:left="445"/>
              <w:rPr>
                <w:color w:val="000000"/>
              </w:rPr>
            </w:pPr>
          </w:p>
          <w:p w:rsidR="008F3CE8" w:rsidRPr="00AE78C2" w:rsidRDefault="002C2AE3" w:rsidP="00F80979">
            <w:pPr>
              <w:autoSpaceDE w:val="0"/>
              <w:autoSpaceDN w:val="0"/>
              <w:adjustRightInd w:val="0"/>
              <w:ind w:left="445"/>
              <w:rPr>
                <w:color w:val="365F91"/>
                <w:sz w:val="22"/>
                <w:szCs w:val="22"/>
              </w:rPr>
            </w:pPr>
            <w:r w:rsidRPr="00AE78C2">
              <w:rPr>
                <w:color w:val="000000"/>
              </w:rPr>
              <w:t>The feasibility of a requirement for dialysis centers to report HAI data via NHSN is being explored by MDPH.</w:t>
            </w:r>
            <w:r w:rsidRPr="00AE78C2">
              <w:rPr>
                <w:color w:val="365F91"/>
              </w:rPr>
              <w:t xml:space="preserve"> </w:t>
            </w:r>
            <w:r w:rsidR="007D199A" w:rsidRPr="00AE78C2">
              <w:rPr>
                <w:color w:val="365F91"/>
              </w:rPr>
              <w:t xml:space="preserve"> </w:t>
            </w:r>
            <w:r w:rsidR="008F3CE8" w:rsidRPr="00AE78C2">
              <w:rPr>
                <w:color w:val="365F91"/>
                <w:sz w:val="22"/>
                <w:szCs w:val="22"/>
              </w:rPr>
              <w:t xml:space="preserve">       </w:t>
            </w:r>
          </w:p>
        </w:tc>
        <w:tc>
          <w:tcPr>
            <w:tcW w:w="2350" w:type="dxa"/>
            <w:shd w:val="clear" w:color="auto" w:fill="auto"/>
          </w:tcPr>
          <w:p w:rsidR="007D199A" w:rsidRPr="00AE78C2" w:rsidRDefault="007D199A" w:rsidP="007D199A">
            <w:pPr>
              <w:autoSpaceDE w:val="0"/>
              <w:autoSpaceDN w:val="0"/>
              <w:adjustRightInd w:val="0"/>
              <w:ind w:left="94"/>
              <w:rPr>
                <w:color w:val="365F91"/>
                <w:szCs w:val="20"/>
              </w:rPr>
            </w:pPr>
          </w:p>
          <w:p w:rsidR="007D199A" w:rsidRPr="00AE78C2" w:rsidRDefault="007D199A" w:rsidP="007D199A">
            <w:pPr>
              <w:autoSpaceDE w:val="0"/>
              <w:autoSpaceDN w:val="0"/>
              <w:adjustRightInd w:val="0"/>
              <w:ind w:left="94"/>
              <w:rPr>
                <w:color w:val="365F91"/>
                <w:szCs w:val="20"/>
              </w:rPr>
            </w:pPr>
          </w:p>
          <w:p w:rsidR="007D199A" w:rsidRPr="00AE78C2" w:rsidRDefault="007D199A" w:rsidP="007D199A">
            <w:pPr>
              <w:autoSpaceDE w:val="0"/>
              <w:autoSpaceDN w:val="0"/>
              <w:adjustRightInd w:val="0"/>
              <w:ind w:left="94"/>
              <w:rPr>
                <w:color w:val="365F91"/>
                <w:szCs w:val="20"/>
              </w:rPr>
            </w:pPr>
          </w:p>
          <w:p w:rsidR="007D199A" w:rsidRPr="00AE78C2" w:rsidRDefault="007D199A" w:rsidP="007D199A">
            <w:pPr>
              <w:autoSpaceDE w:val="0"/>
              <w:autoSpaceDN w:val="0"/>
              <w:adjustRightInd w:val="0"/>
              <w:ind w:left="94"/>
              <w:rPr>
                <w:color w:val="365F91"/>
                <w:szCs w:val="20"/>
              </w:rPr>
            </w:pPr>
          </w:p>
          <w:p w:rsidR="007D199A" w:rsidRPr="00AE78C2" w:rsidRDefault="007D199A" w:rsidP="007D199A">
            <w:pPr>
              <w:autoSpaceDE w:val="0"/>
              <w:autoSpaceDN w:val="0"/>
              <w:adjustRightInd w:val="0"/>
              <w:ind w:left="94"/>
              <w:rPr>
                <w:color w:val="365F91"/>
                <w:szCs w:val="20"/>
              </w:rPr>
            </w:pPr>
          </w:p>
          <w:p w:rsidR="007D199A" w:rsidRPr="00AE78C2" w:rsidRDefault="007D199A" w:rsidP="007D199A">
            <w:pPr>
              <w:autoSpaceDE w:val="0"/>
              <w:autoSpaceDN w:val="0"/>
              <w:adjustRightInd w:val="0"/>
              <w:ind w:left="94"/>
              <w:rPr>
                <w:color w:val="365F91"/>
                <w:szCs w:val="20"/>
              </w:rPr>
            </w:pPr>
          </w:p>
          <w:p w:rsidR="007D199A" w:rsidRPr="00AE78C2" w:rsidRDefault="007D199A" w:rsidP="007D199A">
            <w:pPr>
              <w:autoSpaceDE w:val="0"/>
              <w:autoSpaceDN w:val="0"/>
              <w:adjustRightInd w:val="0"/>
              <w:ind w:left="94"/>
              <w:rPr>
                <w:color w:val="365F91"/>
                <w:szCs w:val="20"/>
              </w:rPr>
            </w:pPr>
          </w:p>
          <w:p w:rsidR="007D199A" w:rsidRPr="00AE78C2" w:rsidRDefault="007D199A" w:rsidP="007D199A">
            <w:pPr>
              <w:autoSpaceDE w:val="0"/>
              <w:autoSpaceDN w:val="0"/>
              <w:adjustRightInd w:val="0"/>
              <w:ind w:left="94"/>
              <w:rPr>
                <w:color w:val="365F91"/>
                <w:szCs w:val="20"/>
              </w:rPr>
            </w:pPr>
          </w:p>
          <w:p w:rsidR="007D199A" w:rsidRPr="00AE78C2" w:rsidRDefault="007D199A" w:rsidP="007D199A">
            <w:pPr>
              <w:autoSpaceDE w:val="0"/>
              <w:autoSpaceDN w:val="0"/>
              <w:adjustRightInd w:val="0"/>
              <w:ind w:left="94"/>
              <w:rPr>
                <w:color w:val="365F91"/>
                <w:szCs w:val="20"/>
              </w:rPr>
            </w:pPr>
          </w:p>
          <w:p w:rsidR="00C97594" w:rsidRPr="00AE78C2" w:rsidRDefault="00C97594" w:rsidP="007D199A">
            <w:pPr>
              <w:autoSpaceDE w:val="0"/>
              <w:autoSpaceDN w:val="0"/>
              <w:adjustRightInd w:val="0"/>
              <w:rPr>
                <w:color w:val="365F91"/>
                <w:szCs w:val="20"/>
              </w:rPr>
            </w:pPr>
          </w:p>
          <w:p w:rsidR="00C97594" w:rsidRPr="00AE78C2" w:rsidRDefault="00C97594" w:rsidP="007D199A">
            <w:pPr>
              <w:autoSpaceDE w:val="0"/>
              <w:autoSpaceDN w:val="0"/>
              <w:adjustRightInd w:val="0"/>
              <w:rPr>
                <w:color w:val="365F91"/>
                <w:szCs w:val="20"/>
              </w:rPr>
            </w:pPr>
          </w:p>
          <w:p w:rsidR="00C97594" w:rsidRPr="00AE78C2" w:rsidRDefault="00C97594" w:rsidP="007D199A">
            <w:pPr>
              <w:autoSpaceDE w:val="0"/>
              <w:autoSpaceDN w:val="0"/>
              <w:adjustRightInd w:val="0"/>
              <w:rPr>
                <w:color w:val="365F91"/>
                <w:szCs w:val="20"/>
              </w:rPr>
            </w:pPr>
          </w:p>
          <w:p w:rsidR="00C97594" w:rsidRPr="00AE78C2" w:rsidRDefault="00C97594" w:rsidP="007D199A">
            <w:pPr>
              <w:autoSpaceDE w:val="0"/>
              <w:autoSpaceDN w:val="0"/>
              <w:adjustRightInd w:val="0"/>
              <w:rPr>
                <w:color w:val="365F91"/>
                <w:szCs w:val="20"/>
              </w:rPr>
            </w:pPr>
          </w:p>
          <w:p w:rsidR="00C97594" w:rsidRPr="00AE78C2" w:rsidRDefault="00C97594" w:rsidP="007D199A">
            <w:pPr>
              <w:autoSpaceDE w:val="0"/>
              <w:autoSpaceDN w:val="0"/>
              <w:adjustRightInd w:val="0"/>
              <w:rPr>
                <w:color w:val="365F91"/>
                <w:szCs w:val="20"/>
              </w:rPr>
            </w:pPr>
          </w:p>
          <w:p w:rsidR="00C97594" w:rsidRPr="00AE78C2" w:rsidRDefault="00C97594" w:rsidP="007D199A">
            <w:pPr>
              <w:autoSpaceDE w:val="0"/>
              <w:autoSpaceDN w:val="0"/>
              <w:adjustRightInd w:val="0"/>
              <w:rPr>
                <w:color w:val="365F91"/>
                <w:szCs w:val="20"/>
              </w:rPr>
            </w:pPr>
          </w:p>
          <w:p w:rsidR="00CF2FF5" w:rsidRPr="00AE78C2" w:rsidRDefault="00CF2FF5" w:rsidP="007D199A">
            <w:pPr>
              <w:autoSpaceDE w:val="0"/>
              <w:autoSpaceDN w:val="0"/>
              <w:adjustRightInd w:val="0"/>
              <w:rPr>
                <w:color w:val="000000"/>
                <w:szCs w:val="20"/>
              </w:rPr>
            </w:pPr>
          </w:p>
          <w:p w:rsidR="007D199A" w:rsidRPr="00AE78C2" w:rsidRDefault="002C2AE3" w:rsidP="007D199A">
            <w:pPr>
              <w:autoSpaceDE w:val="0"/>
              <w:autoSpaceDN w:val="0"/>
              <w:adjustRightInd w:val="0"/>
              <w:rPr>
                <w:color w:val="000000"/>
                <w:szCs w:val="20"/>
                <w:highlight w:val="yellow"/>
              </w:rPr>
            </w:pPr>
            <w:r w:rsidRPr="00AE78C2">
              <w:rPr>
                <w:color w:val="000000"/>
                <w:szCs w:val="20"/>
              </w:rPr>
              <w:t>Established in 20</w:t>
            </w:r>
            <w:r w:rsidR="00F80979" w:rsidRPr="00AE78C2">
              <w:rPr>
                <w:color w:val="000000"/>
                <w:szCs w:val="20"/>
              </w:rPr>
              <w:t>06</w:t>
            </w:r>
            <w:r w:rsidRPr="00AE78C2">
              <w:rPr>
                <w:color w:val="000000"/>
                <w:szCs w:val="20"/>
              </w:rPr>
              <w:t xml:space="preserve"> and ongoing</w:t>
            </w:r>
          </w:p>
          <w:p w:rsidR="007D199A" w:rsidRPr="00AE78C2" w:rsidRDefault="007D199A" w:rsidP="007D199A">
            <w:pPr>
              <w:autoSpaceDE w:val="0"/>
              <w:autoSpaceDN w:val="0"/>
              <w:adjustRightInd w:val="0"/>
              <w:ind w:left="94"/>
              <w:rPr>
                <w:color w:val="000000"/>
                <w:szCs w:val="20"/>
                <w:highlight w:val="yellow"/>
              </w:rPr>
            </w:pPr>
          </w:p>
          <w:p w:rsidR="00F80979" w:rsidRPr="00AE78C2" w:rsidRDefault="00F80979" w:rsidP="007D199A">
            <w:pPr>
              <w:autoSpaceDE w:val="0"/>
              <w:autoSpaceDN w:val="0"/>
              <w:adjustRightInd w:val="0"/>
              <w:rPr>
                <w:color w:val="000000"/>
                <w:szCs w:val="20"/>
                <w:highlight w:val="yellow"/>
              </w:rPr>
            </w:pPr>
          </w:p>
          <w:p w:rsidR="00F80979" w:rsidRPr="00AE78C2" w:rsidRDefault="00F80979" w:rsidP="007D199A">
            <w:pPr>
              <w:autoSpaceDE w:val="0"/>
              <w:autoSpaceDN w:val="0"/>
              <w:adjustRightInd w:val="0"/>
              <w:rPr>
                <w:color w:val="000000"/>
                <w:szCs w:val="20"/>
                <w:highlight w:val="yellow"/>
              </w:rPr>
            </w:pPr>
          </w:p>
          <w:p w:rsidR="00F80979" w:rsidRPr="00AE78C2" w:rsidRDefault="00F80979" w:rsidP="007D199A">
            <w:pPr>
              <w:autoSpaceDE w:val="0"/>
              <w:autoSpaceDN w:val="0"/>
              <w:adjustRightInd w:val="0"/>
              <w:rPr>
                <w:color w:val="000000"/>
                <w:szCs w:val="20"/>
                <w:highlight w:val="yellow"/>
              </w:rPr>
            </w:pPr>
          </w:p>
          <w:p w:rsidR="00C97594" w:rsidRPr="00AE78C2" w:rsidRDefault="00C97594" w:rsidP="007D199A">
            <w:pPr>
              <w:autoSpaceDE w:val="0"/>
              <w:autoSpaceDN w:val="0"/>
              <w:adjustRightInd w:val="0"/>
              <w:rPr>
                <w:color w:val="000000"/>
                <w:szCs w:val="20"/>
              </w:rPr>
            </w:pPr>
          </w:p>
          <w:p w:rsidR="00C97594" w:rsidRPr="00AE78C2" w:rsidRDefault="00C97594" w:rsidP="007D199A">
            <w:pPr>
              <w:autoSpaceDE w:val="0"/>
              <w:autoSpaceDN w:val="0"/>
              <w:adjustRightInd w:val="0"/>
              <w:rPr>
                <w:color w:val="000000"/>
                <w:szCs w:val="20"/>
              </w:rPr>
            </w:pPr>
          </w:p>
          <w:p w:rsidR="00C97594" w:rsidRPr="00AE78C2" w:rsidRDefault="00C97594" w:rsidP="007D199A">
            <w:pPr>
              <w:autoSpaceDE w:val="0"/>
              <w:autoSpaceDN w:val="0"/>
              <w:adjustRightInd w:val="0"/>
              <w:rPr>
                <w:color w:val="000000"/>
                <w:szCs w:val="20"/>
              </w:rPr>
            </w:pPr>
          </w:p>
          <w:p w:rsidR="00231FE8" w:rsidRPr="00AE78C2" w:rsidRDefault="00231FE8" w:rsidP="007D199A">
            <w:pPr>
              <w:autoSpaceDE w:val="0"/>
              <w:autoSpaceDN w:val="0"/>
              <w:adjustRightInd w:val="0"/>
              <w:rPr>
                <w:color w:val="000000"/>
                <w:szCs w:val="20"/>
              </w:rPr>
            </w:pPr>
          </w:p>
          <w:p w:rsidR="00763125" w:rsidRPr="00AE78C2" w:rsidRDefault="00763125" w:rsidP="007D199A">
            <w:pPr>
              <w:autoSpaceDE w:val="0"/>
              <w:autoSpaceDN w:val="0"/>
              <w:adjustRightInd w:val="0"/>
              <w:rPr>
                <w:color w:val="000000"/>
                <w:szCs w:val="20"/>
              </w:rPr>
            </w:pPr>
          </w:p>
          <w:p w:rsidR="00CF2FF5" w:rsidRPr="00AE78C2" w:rsidRDefault="00CF2FF5" w:rsidP="007D199A">
            <w:pPr>
              <w:autoSpaceDE w:val="0"/>
              <w:autoSpaceDN w:val="0"/>
              <w:adjustRightInd w:val="0"/>
              <w:rPr>
                <w:color w:val="000000"/>
                <w:szCs w:val="20"/>
              </w:rPr>
            </w:pPr>
          </w:p>
          <w:p w:rsidR="007D199A" w:rsidRPr="00AE78C2" w:rsidRDefault="007D199A" w:rsidP="007D199A">
            <w:pPr>
              <w:autoSpaceDE w:val="0"/>
              <w:autoSpaceDN w:val="0"/>
              <w:adjustRightInd w:val="0"/>
              <w:rPr>
                <w:color w:val="000000"/>
                <w:szCs w:val="20"/>
              </w:rPr>
            </w:pPr>
            <w:r w:rsidRPr="00AE78C2">
              <w:rPr>
                <w:color w:val="000000"/>
                <w:szCs w:val="20"/>
              </w:rPr>
              <w:t xml:space="preserve">Established </w:t>
            </w:r>
            <w:r w:rsidR="002C2AE3" w:rsidRPr="00AE78C2">
              <w:rPr>
                <w:color w:val="000000"/>
                <w:szCs w:val="20"/>
              </w:rPr>
              <w:t>in 20</w:t>
            </w:r>
            <w:r w:rsidR="00F80979" w:rsidRPr="00AE78C2">
              <w:rPr>
                <w:color w:val="000000"/>
                <w:szCs w:val="20"/>
              </w:rPr>
              <w:t>06</w:t>
            </w:r>
            <w:r w:rsidRPr="00AE78C2">
              <w:rPr>
                <w:color w:val="000000"/>
                <w:szCs w:val="20"/>
              </w:rPr>
              <w:t xml:space="preserve"> </w:t>
            </w:r>
            <w:r w:rsidR="002C2AE3" w:rsidRPr="00AE78C2">
              <w:rPr>
                <w:color w:val="000000"/>
                <w:szCs w:val="20"/>
              </w:rPr>
              <w:t>and</w:t>
            </w:r>
            <w:r w:rsidRPr="00AE78C2">
              <w:rPr>
                <w:color w:val="000000"/>
                <w:szCs w:val="20"/>
              </w:rPr>
              <w:t xml:space="preserve"> ongoing </w:t>
            </w:r>
          </w:p>
          <w:p w:rsidR="007D199A" w:rsidRPr="00AE78C2" w:rsidRDefault="007D199A" w:rsidP="007D199A">
            <w:pPr>
              <w:autoSpaceDE w:val="0"/>
              <w:autoSpaceDN w:val="0"/>
              <w:adjustRightInd w:val="0"/>
              <w:rPr>
                <w:color w:val="365F91"/>
                <w:szCs w:val="20"/>
              </w:rPr>
            </w:pPr>
          </w:p>
          <w:p w:rsidR="002C2AE3" w:rsidRPr="00AE78C2" w:rsidRDefault="002C2AE3" w:rsidP="002C2AE3">
            <w:pPr>
              <w:autoSpaceDE w:val="0"/>
              <w:autoSpaceDN w:val="0"/>
              <w:adjustRightInd w:val="0"/>
              <w:rPr>
                <w:color w:val="365F91"/>
                <w:sz w:val="22"/>
                <w:szCs w:val="22"/>
              </w:rPr>
            </w:pPr>
          </w:p>
          <w:p w:rsidR="008F3CE8" w:rsidRPr="00AE78C2" w:rsidRDefault="008F3CE8" w:rsidP="007D199A">
            <w:pPr>
              <w:autoSpaceDE w:val="0"/>
              <w:autoSpaceDN w:val="0"/>
              <w:adjustRightInd w:val="0"/>
              <w:ind w:left="94"/>
              <w:rPr>
                <w:color w:val="365F91"/>
                <w:sz w:val="22"/>
                <w:szCs w:val="22"/>
              </w:rPr>
            </w:pPr>
          </w:p>
          <w:p w:rsidR="00F80979" w:rsidRPr="00AE78C2" w:rsidRDefault="00F80979" w:rsidP="007D199A">
            <w:pPr>
              <w:autoSpaceDE w:val="0"/>
              <w:autoSpaceDN w:val="0"/>
              <w:adjustRightInd w:val="0"/>
              <w:ind w:left="94"/>
              <w:rPr>
                <w:color w:val="365F91"/>
                <w:sz w:val="22"/>
                <w:szCs w:val="22"/>
              </w:rPr>
            </w:pPr>
          </w:p>
          <w:p w:rsidR="00F80979" w:rsidRPr="00AE78C2" w:rsidRDefault="00F80979" w:rsidP="007D199A">
            <w:pPr>
              <w:autoSpaceDE w:val="0"/>
              <w:autoSpaceDN w:val="0"/>
              <w:adjustRightInd w:val="0"/>
              <w:ind w:left="94"/>
              <w:rPr>
                <w:color w:val="365F91"/>
                <w:sz w:val="22"/>
                <w:szCs w:val="22"/>
              </w:rPr>
            </w:pPr>
          </w:p>
          <w:p w:rsidR="00F80979" w:rsidRPr="00AE78C2" w:rsidRDefault="00F80979" w:rsidP="007D199A">
            <w:pPr>
              <w:autoSpaceDE w:val="0"/>
              <w:autoSpaceDN w:val="0"/>
              <w:adjustRightInd w:val="0"/>
              <w:ind w:left="94"/>
              <w:rPr>
                <w:color w:val="365F91"/>
                <w:sz w:val="22"/>
                <w:szCs w:val="22"/>
              </w:rPr>
            </w:pPr>
          </w:p>
          <w:p w:rsidR="00F80979" w:rsidRPr="00AE78C2" w:rsidRDefault="00F80979" w:rsidP="00726449">
            <w:pPr>
              <w:autoSpaceDE w:val="0"/>
              <w:autoSpaceDN w:val="0"/>
              <w:adjustRightInd w:val="0"/>
              <w:rPr>
                <w:szCs w:val="22"/>
              </w:rPr>
            </w:pPr>
            <w:r w:rsidRPr="00AE78C2">
              <w:rPr>
                <w:szCs w:val="22"/>
              </w:rPr>
              <w:t>2008 and ongoing</w:t>
            </w:r>
          </w:p>
          <w:p w:rsidR="00F80979" w:rsidRPr="00AE78C2" w:rsidRDefault="00F80979" w:rsidP="007D199A">
            <w:pPr>
              <w:autoSpaceDE w:val="0"/>
              <w:autoSpaceDN w:val="0"/>
              <w:adjustRightInd w:val="0"/>
              <w:ind w:left="94"/>
              <w:rPr>
                <w:szCs w:val="22"/>
              </w:rPr>
            </w:pPr>
          </w:p>
          <w:p w:rsidR="00C97594" w:rsidRPr="00AE78C2" w:rsidRDefault="00C97594" w:rsidP="00F80979">
            <w:pPr>
              <w:autoSpaceDE w:val="0"/>
              <w:autoSpaceDN w:val="0"/>
              <w:adjustRightInd w:val="0"/>
              <w:rPr>
                <w:szCs w:val="22"/>
              </w:rPr>
            </w:pPr>
          </w:p>
          <w:p w:rsidR="00F80979" w:rsidRPr="00AE78C2" w:rsidRDefault="00F80979" w:rsidP="00F80979">
            <w:pPr>
              <w:autoSpaceDE w:val="0"/>
              <w:autoSpaceDN w:val="0"/>
              <w:adjustRightInd w:val="0"/>
              <w:rPr>
                <w:szCs w:val="22"/>
              </w:rPr>
            </w:pPr>
            <w:r w:rsidRPr="00AE78C2">
              <w:rPr>
                <w:szCs w:val="22"/>
              </w:rPr>
              <w:t>2015 and ongoing</w:t>
            </w:r>
          </w:p>
          <w:p w:rsidR="00F80979" w:rsidRPr="00AE78C2" w:rsidRDefault="00F80979" w:rsidP="00F80979">
            <w:pPr>
              <w:autoSpaceDE w:val="0"/>
              <w:autoSpaceDN w:val="0"/>
              <w:adjustRightInd w:val="0"/>
              <w:rPr>
                <w:szCs w:val="22"/>
              </w:rPr>
            </w:pPr>
          </w:p>
          <w:p w:rsidR="00C97594" w:rsidRPr="00AE78C2" w:rsidRDefault="00C97594" w:rsidP="00F80979">
            <w:pPr>
              <w:autoSpaceDE w:val="0"/>
              <w:autoSpaceDN w:val="0"/>
              <w:adjustRightInd w:val="0"/>
              <w:rPr>
                <w:szCs w:val="22"/>
              </w:rPr>
            </w:pPr>
          </w:p>
          <w:p w:rsidR="00231FE8" w:rsidRPr="00AE78C2" w:rsidRDefault="00231FE8" w:rsidP="00F80979">
            <w:pPr>
              <w:autoSpaceDE w:val="0"/>
              <w:autoSpaceDN w:val="0"/>
              <w:adjustRightInd w:val="0"/>
              <w:rPr>
                <w:szCs w:val="22"/>
              </w:rPr>
            </w:pPr>
          </w:p>
          <w:p w:rsidR="00FC31ED" w:rsidRPr="00AE78C2" w:rsidRDefault="00F80979" w:rsidP="00F80979">
            <w:pPr>
              <w:autoSpaceDE w:val="0"/>
              <w:autoSpaceDN w:val="0"/>
              <w:adjustRightInd w:val="0"/>
              <w:rPr>
                <w:szCs w:val="22"/>
              </w:rPr>
            </w:pPr>
            <w:r w:rsidRPr="00AE78C2">
              <w:rPr>
                <w:szCs w:val="22"/>
              </w:rPr>
              <w:lastRenderedPageBreak/>
              <w:t>2016</w:t>
            </w:r>
          </w:p>
          <w:p w:rsidR="00FC31ED" w:rsidRPr="00AE78C2" w:rsidRDefault="00FC31ED" w:rsidP="00FC31ED">
            <w:pPr>
              <w:rPr>
                <w:sz w:val="22"/>
                <w:szCs w:val="22"/>
              </w:rPr>
            </w:pPr>
          </w:p>
          <w:p w:rsidR="00231FE8" w:rsidRPr="00AE78C2" w:rsidRDefault="00231FE8" w:rsidP="00FC31ED">
            <w:pPr>
              <w:rPr>
                <w:sz w:val="22"/>
                <w:szCs w:val="22"/>
              </w:rPr>
            </w:pPr>
          </w:p>
          <w:p w:rsidR="00231FE8" w:rsidRPr="00AE78C2" w:rsidRDefault="00231FE8" w:rsidP="00FC31ED">
            <w:pPr>
              <w:rPr>
                <w:color w:val="365F91"/>
              </w:rPr>
            </w:pPr>
            <w:r w:rsidRPr="00AE78C2">
              <w:t>2016</w:t>
            </w:r>
          </w:p>
        </w:tc>
      </w:tr>
      <w:tr w:rsidR="008F3CE8" w:rsidRPr="00AE78C2" w:rsidTr="00A8512C">
        <w:trPr>
          <w:jc w:val="center"/>
        </w:trPr>
        <w:tc>
          <w:tcPr>
            <w:tcW w:w="2156" w:type="dxa"/>
            <w:gridSpan w:val="2"/>
            <w:shd w:val="clear" w:color="auto" w:fill="auto"/>
          </w:tcPr>
          <w:p w:rsidR="008F3CE8" w:rsidRPr="00AE78C2" w:rsidRDefault="008F3CE8" w:rsidP="006B742F">
            <w:pPr>
              <w:jc w:val="center"/>
              <w:rPr>
                <w:sz w:val="22"/>
                <w:szCs w:val="22"/>
              </w:rPr>
            </w:pPr>
          </w:p>
        </w:tc>
        <w:tc>
          <w:tcPr>
            <w:tcW w:w="8445" w:type="dxa"/>
            <w:shd w:val="clear" w:color="auto" w:fill="auto"/>
          </w:tcPr>
          <w:p w:rsidR="008F3CE8" w:rsidRPr="00AE78C2" w:rsidRDefault="008F3CE8" w:rsidP="00BC4EC9">
            <w:pPr>
              <w:autoSpaceDE w:val="0"/>
              <w:autoSpaceDN w:val="0"/>
              <w:adjustRightInd w:val="0"/>
              <w:rPr>
                <w:i/>
                <w:sz w:val="22"/>
                <w:szCs w:val="22"/>
              </w:rPr>
            </w:pPr>
            <w:r w:rsidRPr="00AE78C2">
              <w:rPr>
                <w:i/>
                <w:sz w:val="22"/>
                <w:szCs w:val="22"/>
              </w:rPr>
              <w:t>Other activities or descriptions:</w:t>
            </w:r>
          </w:p>
          <w:p w:rsidR="00093CA9" w:rsidRPr="00AE78C2" w:rsidRDefault="00F80979" w:rsidP="008A25EC">
            <w:pPr>
              <w:autoSpaceDE w:val="0"/>
              <w:autoSpaceDN w:val="0"/>
              <w:adjustRightInd w:val="0"/>
              <w:ind w:left="281"/>
              <w:rPr>
                <w:color w:val="000000"/>
              </w:rPr>
            </w:pPr>
            <w:r w:rsidRPr="00AE78C2">
              <w:rPr>
                <w:color w:val="000000"/>
              </w:rPr>
              <w:t xml:space="preserve">Massachusetts is the first state to require all licensed blood banks and transfusion services to report transfusion-related adverse events, using the </w:t>
            </w:r>
            <w:r w:rsidR="008A3F96" w:rsidRPr="00AE78C2">
              <w:rPr>
                <w:color w:val="000000"/>
              </w:rPr>
              <w:t>CDC NHSN Hemovigilance Module</w:t>
            </w:r>
            <w:r w:rsidR="00231FE8" w:rsidRPr="00AE78C2">
              <w:rPr>
                <w:color w:val="000000"/>
              </w:rPr>
              <w:t>.</w:t>
            </w:r>
          </w:p>
        </w:tc>
        <w:tc>
          <w:tcPr>
            <w:tcW w:w="2350" w:type="dxa"/>
            <w:shd w:val="clear" w:color="auto" w:fill="auto"/>
          </w:tcPr>
          <w:p w:rsidR="008F3CE8" w:rsidRPr="00AE78C2" w:rsidRDefault="008F3CE8" w:rsidP="006B742F">
            <w:pPr>
              <w:autoSpaceDE w:val="0"/>
              <w:autoSpaceDN w:val="0"/>
              <w:adjustRightInd w:val="0"/>
              <w:ind w:left="94"/>
              <w:rPr>
                <w:color w:val="365F91"/>
                <w:sz w:val="22"/>
                <w:szCs w:val="22"/>
              </w:rPr>
            </w:pPr>
          </w:p>
          <w:p w:rsidR="008A3F96" w:rsidRPr="00AE78C2" w:rsidRDefault="008A3F96" w:rsidP="006B742F">
            <w:pPr>
              <w:autoSpaceDE w:val="0"/>
              <w:autoSpaceDN w:val="0"/>
              <w:adjustRightInd w:val="0"/>
              <w:ind w:left="94"/>
              <w:rPr>
                <w:color w:val="000000"/>
              </w:rPr>
            </w:pPr>
            <w:r w:rsidRPr="00AE78C2">
              <w:rPr>
                <w:color w:val="000000"/>
              </w:rPr>
              <w:t>June 1, 2014 and ongoing</w:t>
            </w:r>
          </w:p>
        </w:tc>
      </w:tr>
    </w:tbl>
    <w:p w:rsidR="00BC4EC9" w:rsidRPr="00AE78C2" w:rsidRDefault="00BC4EC9" w:rsidP="008152EC">
      <w:pPr>
        <w:outlineLvl w:val="0"/>
        <w:rPr>
          <w:b/>
          <w:sz w:val="22"/>
          <w:szCs w:val="22"/>
        </w:rPr>
        <w:sectPr w:rsidR="00BC4EC9" w:rsidRPr="00AE78C2" w:rsidSect="00042757">
          <w:footerReference w:type="default" r:id="rId11"/>
          <w:type w:val="continuous"/>
          <w:pgSz w:w="15840" w:h="12240" w:orient="landscape"/>
          <w:pgMar w:top="1440" w:right="1440" w:bottom="1440" w:left="1440" w:header="720" w:footer="720" w:gutter="0"/>
          <w:cols w:space="720"/>
          <w:noEndnote/>
        </w:sectPr>
      </w:pPr>
    </w:p>
    <w:p w:rsidR="00E9087A" w:rsidRPr="00AE78C2" w:rsidRDefault="00E9087A" w:rsidP="008152EC">
      <w:pPr>
        <w:outlineLvl w:val="0"/>
        <w:rPr>
          <w:b/>
          <w:sz w:val="22"/>
          <w:szCs w:val="22"/>
        </w:rPr>
      </w:pPr>
    </w:p>
    <w:p w:rsidR="00BC4EC9" w:rsidRPr="00AE78C2" w:rsidRDefault="00E9087A" w:rsidP="008152EC">
      <w:pPr>
        <w:outlineLvl w:val="0"/>
        <w:rPr>
          <w:b/>
          <w:sz w:val="22"/>
          <w:szCs w:val="22"/>
        </w:rPr>
        <w:sectPr w:rsidR="00BC4EC9" w:rsidRPr="00AE78C2" w:rsidSect="00042757">
          <w:footerReference w:type="default" r:id="rId12"/>
          <w:type w:val="continuous"/>
          <w:pgSz w:w="15840" w:h="12240" w:orient="landscape"/>
          <w:pgMar w:top="1440" w:right="1440" w:bottom="1440" w:left="1440" w:header="720" w:footer="720" w:gutter="0"/>
          <w:cols w:space="720"/>
          <w:noEndnote/>
        </w:sectPr>
      </w:pPr>
      <w:r w:rsidRPr="00AE78C2">
        <w:rPr>
          <w:b/>
          <w:sz w:val="22"/>
          <w:szCs w:val="22"/>
        </w:rPr>
        <w:br w:type="page"/>
      </w:r>
      <w:r w:rsidR="00690A0A" w:rsidRPr="00AE78C2">
        <w:rPr>
          <w:b/>
          <w:sz w:val="22"/>
          <w:szCs w:val="22"/>
        </w:rPr>
        <w:lastRenderedPageBreak/>
        <w:t xml:space="preserve">2.  </w:t>
      </w:r>
      <w:r w:rsidR="00E24B15" w:rsidRPr="00AE78C2">
        <w:rPr>
          <w:b/>
          <w:sz w:val="22"/>
          <w:szCs w:val="22"/>
        </w:rPr>
        <w:t>Surveillance, Detection</w:t>
      </w:r>
      <w:r w:rsidR="006825C1" w:rsidRPr="00AE78C2">
        <w:rPr>
          <w:b/>
          <w:sz w:val="22"/>
          <w:szCs w:val="22"/>
        </w:rPr>
        <w:t>,</w:t>
      </w:r>
      <w:r w:rsidR="00E24B15" w:rsidRPr="00AE78C2">
        <w:rPr>
          <w:b/>
          <w:sz w:val="22"/>
          <w:szCs w:val="22"/>
        </w:rPr>
        <w:t xml:space="preserve"> </w:t>
      </w:r>
      <w:r w:rsidR="00846F76" w:rsidRPr="00AE78C2">
        <w:rPr>
          <w:b/>
          <w:sz w:val="22"/>
          <w:szCs w:val="22"/>
        </w:rPr>
        <w:t xml:space="preserve">Reporting, </w:t>
      </w:r>
      <w:r w:rsidR="00E24B15" w:rsidRPr="00AE78C2">
        <w:rPr>
          <w:b/>
          <w:sz w:val="22"/>
          <w:szCs w:val="22"/>
        </w:rPr>
        <w:t xml:space="preserve">and </w:t>
      </w:r>
      <w:r w:rsidR="00846F76" w:rsidRPr="00AE78C2">
        <w:rPr>
          <w:b/>
          <w:sz w:val="22"/>
          <w:szCs w:val="22"/>
        </w:rPr>
        <w:t xml:space="preserve">Response </w:t>
      </w:r>
    </w:p>
    <w:p w:rsidR="00846F76" w:rsidRPr="00AE78C2" w:rsidRDefault="00846F76" w:rsidP="008152EC">
      <w:pPr>
        <w:outlineLvl w:val="0"/>
        <w:rPr>
          <w:b/>
          <w:sz w:val="22"/>
          <w:szCs w:val="22"/>
        </w:rPr>
      </w:pPr>
    </w:p>
    <w:p w:rsidR="00D91FCD" w:rsidRPr="00AE78C2" w:rsidRDefault="00D91FCD" w:rsidP="005D663C">
      <w:pPr>
        <w:outlineLvl w:val="0"/>
        <w:rPr>
          <w:b/>
          <w:sz w:val="22"/>
          <w:szCs w:val="22"/>
        </w:rPr>
      </w:pPr>
    </w:p>
    <w:p w:rsidR="002E2745" w:rsidRPr="00AE78C2" w:rsidRDefault="002E2745" w:rsidP="002E2745">
      <w:pPr>
        <w:rPr>
          <w:sz w:val="22"/>
          <w:szCs w:val="22"/>
        </w:rPr>
      </w:pPr>
      <w:r w:rsidRPr="00AE78C2">
        <w:rPr>
          <w:sz w:val="22"/>
          <w:szCs w:val="22"/>
        </w:rPr>
        <w:t>Timely and accurate monitoring remains necessary to gauge progress towards HAI elimination.  Public health surveillance has been defined as the ongoing, systematic collection, analysis, and interpretation of data essential to the planning, implementation, and evaluation of public health practice, and timely dissemination to those responsible for prevention and control.</w:t>
      </w:r>
      <w:r w:rsidRPr="00AE78C2">
        <w:rPr>
          <w:rStyle w:val="FootnoteReference"/>
          <w:sz w:val="22"/>
          <w:szCs w:val="22"/>
        </w:rPr>
        <w:footnoteReference w:id="1"/>
      </w:r>
      <w:r w:rsidRPr="00AE78C2">
        <w:rPr>
          <w:sz w:val="22"/>
          <w:szCs w:val="22"/>
        </w:rPr>
        <w:t xml:space="preserve">  Increased participation in systems such as the National Healthcare Safety Network (NHSN) </w:t>
      </w:r>
      <w:r w:rsidR="00C77D75" w:rsidRPr="00AE78C2">
        <w:rPr>
          <w:sz w:val="22"/>
          <w:szCs w:val="22"/>
        </w:rPr>
        <w:t xml:space="preserve">has been demonstrated to promote HAI reduction.  This, </w:t>
      </w:r>
      <w:r w:rsidRPr="00AE78C2">
        <w:rPr>
          <w:sz w:val="22"/>
          <w:szCs w:val="22"/>
        </w:rPr>
        <w:t xml:space="preserve">combined with improvements to simplify and enhance data collection, </w:t>
      </w:r>
      <w:r w:rsidR="00C77D75" w:rsidRPr="00AE78C2">
        <w:rPr>
          <w:sz w:val="22"/>
          <w:szCs w:val="22"/>
        </w:rPr>
        <w:t xml:space="preserve">and </w:t>
      </w:r>
      <w:r w:rsidRPr="00AE78C2">
        <w:rPr>
          <w:sz w:val="22"/>
          <w:szCs w:val="22"/>
        </w:rPr>
        <w:t xml:space="preserve">improve dissemination </w:t>
      </w:r>
      <w:r w:rsidR="00EB57A7" w:rsidRPr="00AE78C2">
        <w:rPr>
          <w:sz w:val="22"/>
          <w:szCs w:val="22"/>
        </w:rPr>
        <w:t>of</w:t>
      </w:r>
      <w:r w:rsidRPr="00AE78C2">
        <w:rPr>
          <w:sz w:val="22"/>
          <w:szCs w:val="22"/>
        </w:rPr>
        <w:t xml:space="preserve"> results to healthcare providers and the public are essential </w:t>
      </w:r>
      <w:r w:rsidR="00C77D75" w:rsidRPr="00AE78C2">
        <w:rPr>
          <w:sz w:val="22"/>
          <w:szCs w:val="22"/>
        </w:rPr>
        <w:t>steps toward increasing</w:t>
      </w:r>
      <w:r w:rsidRPr="00AE78C2">
        <w:rPr>
          <w:sz w:val="22"/>
          <w:szCs w:val="22"/>
        </w:rPr>
        <w:t xml:space="preserve"> HAI prevention capacity.</w:t>
      </w:r>
    </w:p>
    <w:p w:rsidR="002E2745" w:rsidRPr="00AE78C2" w:rsidRDefault="002E2745" w:rsidP="002E2745">
      <w:pPr>
        <w:autoSpaceDE w:val="0"/>
        <w:autoSpaceDN w:val="0"/>
        <w:adjustRightInd w:val="0"/>
        <w:rPr>
          <w:i/>
          <w:sz w:val="22"/>
          <w:szCs w:val="22"/>
        </w:rPr>
      </w:pPr>
    </w:p>
    <w:p w:rsidR="002E2745" w:rsidRPr="00AE78C2" w:rsidRDefault="002E2745" w:rsidP="002E2745">
      <w:pPr>
        <w:rPr>
          <w:sz w:val="22"/>
          <w:szCs w:val="22"/>
        </w:rPr>
      </w:pPr>
      <w:r w:rsidRPr="00AE78C2">
        <w:rPr>
          <w:sz w:val="22"/>
          <w:szCs w:val="22"/>
        </w:rPr>
        <w:t xml:space="preserve">The HHS Action Plan identifies targets and metrics for </w:t>
      </w:r>
      <w:r w:rsidR="00381E16" w:rsidRPr="00AE78C2">
        <w:rPr>
          <w:sz w:val="22"/>
          <w:szCs w:val="22"/>
        </w:rPr>
        <w:t>five</w:t>
      </w:r>
      <w:r w:rsidRPr="00AE78C2">
        <w:rPr>
          <w:sz w:val="22"/>
          <w:szCs w:val="22"/>
        </w:rPr>
        <w:t xml:space="preserve"> categories of</w:t>
      </w:r>
      <w:r w:rsidR="00381E16" w:rsidRPr="00AE78C2">
        <w:rPr>
          <w:sz w:val="22"/>
          <w:szCs w:val="22"/>
        </w:rPr>
        <w:t xml:space="preserve"> HAIs and identified Ventilator-associated Pneumonia as an HAI</w:t>
      </w:r>
      <w:r w:rsidR="006E4475" w:rsidRPr="00AE78C2">
        <w:rPr>
          <w:sz w:val="22"/>
          <w:szCs w:val="22"/>
        </w:rPr>
        <w:t xml:space="preserve"> under development for metrics and targets</w:t>
      </w:r>
      <w:r w:rsidR="00381E16" w:rsidRPr="00AE78C2">
        <w:rPr>
          <w:sz w:val="22"/>
          <w:szCs w:val="22"/>
        </w:rPr>
        <w:t xml:space="preserve"> (Appendix 1)</w:t>
      </w:r>
      <w:r w:rsidRPr="00AE78C2">
        <w:rPr>
          <w:sz w:val="22"/>
          <w:szCs w:val="22"/>
        </w:rPr>
        <w:t>:</w:t>
      </w:r>
    </w:p>
    <w:p w:rsidR="00381E16" w:rsidRPr="00AE78C2" w:rsidRDefault="00381E16" w:rsidP="002E2745">
      <w:pPr>
        <w:rPr>
          <w:sz w:val="22"/>
          <w:szCs w:val="22"/>
        </w:rPr>
      </w:pPr>
    </w:p>
    <w:p w:rsidR="002E2745" w:rsidRPr="00AE78C2" w:rsidRDefault="002E2745" w:rsidP="009B7F2E">
      <w:pPr>
        <w:numPr>
          <w:ilvl w:val="0"/>
          <w:numId w:val="1"/>
        </w:numPr>
        <w:tabs>
          <w:tab w:val="clear" w:pos="288"/>
          <w:tab w:val="num" w:pos="0"/>
        </w:tabs>
        <w:ind w:left="288"/>
        <w:rPr>
          <w:sz w:val="22"/>
          <w:szCs w:val="22"/>
        </w:rPr>
      </w:pPr>
      <w:r w:rsidRPr="00AE78C2">
        <w:rPr>
          <w:sz w:val="22"/>
          <w:szCs w:val="22"/>
        </w:rPr>
        <w:t>Central Line-associated Blood Stream Infections (CLABSI)</w:t>
      </w:r>
    </w:p>
    <w:p w:rsidR="002E2745" w:rsidRPr="00AE78C2" w:rsidRDefault="002E2745" w:rsidP="009B7F2E">
      <w:pPr>
        <w:numPr>
          <w:ilvl w:val="0"/>
          <w:numId w:val="1"/>
        </w:numPr>
        <w:tabs>
          <w:tab w:val="clear" w:pos="288"/>
          <w:tab w:val="num" w:pos="0"/>
        </w:tabs>
        <w:ind w:left="288"/>
        <w:rPr>
          <w:i/>
          <w:sz w:val="22"/>
          <w:szCs w:val="22"/>
        </w:rPr>
      </w:pPr>
      <w:r w:rsidRPr="00AE78C2">
        <w:rPr>
          <w:i/>
          <w:sz w:val="22"/>
          <w:szCs w:val="22"/>
        </w:rPr>
        <w:t xml:space="preserve">Clostridium difficile </w:t>
      </w:r>
      <w:r w:rsidRPr="00AE78C2">
        <w:rPr>
          <w:sz w:val="22"/>
          <w:szCs w:val="22"/>
        </w:rPr>
        <w:t>Infections (CDI)</w:t>
      </w:r>
    </w:p>
    <w:p w:rsidR="002E2745" w:rsidRPr="00AE78C2" w:rsidRDefault="002E2745" w:rsidP="009B7F2E">
      <w:pPr>
        <w:numPr>
          <w:ilvl w:val="0"/>
          <w:numId w:val="1"/>
        </w:numPr>
        <w:tabs>
          <w:tab w:val="clear" w:pos="288"/>
          <w:tab w:val="num" w:pos="0"/>
        </w:tabs>
        <w:ind w:left="288"/>
        <w:rPr>
          <w:sz w:val="22"/>
          <w:szCs w:val="22"/>
        </w:rPr>
      </w:pPr>
      <w:r w:rsidRPr="00AE78C2">
        <w:rPr>
          <w:sz w:val="22"/>
          <w:szCs w:val="22"/>
        </w:rPr>
        <w:t>Catheter-associated Urinary Tract Infections (CAUTI)</w:t>
      </w:r>
    </w:p>
    <w:p w:rsidR="002E2745" w:rsidRPr="00AE78C2" w:rsidRDefault="002E2745" w:rsidP="009B7F2E">
      <w:pPr>
        <w:numPr>
          <w:ilvl w:val="0"/>
          <w:numId w:val="1"/>
        </w:numPr>
        <w:tabs>
          <w:tab w:val="clear" w:pos="288"/>
          <w:tab w:val="num" w:pos="0"/>
        </w:tabs>
        <w:ind w:left="288"/>
        <w:rPr>
          <w:sz w:val="22"/>
          <w:szCs w:val="22"/>
        </w:rPr>
      </w:pPr>
      <w:r w:rsidRPr="00AE78C2">
        <w:rPr>
          <w:sz w:val="22"/>
          <w:szCs w:val="22"/>
        </w:rPr>
        <w:t xml:space="preserve">Methicillin-resistant </w:t>
      </w:r>
      <w:r w:rsidRPr="00AE78C2">
        <w:rPr>
          <w:i/>
          <w:sz w:val="22"/>
          <w:szCs w:val="22"/>
        </w:rPr>
        <w:t>Staphylococcus aureus</w:t>
      </w:r>
      <w:r w:rsidRPr="00AE78C2">
        <w:rPr>
          <w:sz w:val="22"/>
          <w:szCs w:val="22"/>
        </w:rPr>
        <w:t xml:space="preserve"> (MRSA) Infections</w:t>
      </w:r>
    </w:p>
    <w:p w:rsidR="002E2745" w:rsidRPr="00AE78C2" w:rsidRDefault="002E2745" w:rsidP="009B7F2E">
      <w:pPr>
        <w:numPr>
          <w:ilvl w:val="0"/>
          <w:numId w:val="1"/>
        </w:numPr>
        <w:tabs>
          <w:tab w:val="clear" w:pos="288"/>
          <w:tab w:val="num" w:pos="0"/>
        </w:tabs>
        <w:ind w:left="288"/>
        <w:rPr>
          <w:sz w:val="22"/>
          <w:szCs w:val="22"/>
        </w:rPr>
      </w:pPr>
      <w:r w:rsidRPr="00AE78C2">
        <w:rPr>
          <w:sz w:val="22"/>
          <w:szCs w:val="22"/>
        </w:rPr>
        <w:t>Surgical Site Infections (SSI)</w:t>
      </w:r>
    </w:p>
    <w:p w:rsidR="002E2745" w:rsidRPr="00AE78C2" w:rsidRDefault="002E2745" w:rsidP="009B7F2E">
      <w:pPr>
        <w:numPr>
          <w:ilvl w:val="0"/>
          <w:numId w:val="1"/>
        </w:numPr>
        <w:tabs>
          <w:tab w:val="clear" w:pos="288"/>
          <w:tab w:val="num" w:pos="0"/>
        </w:tabs>
        <w:ind w:left="288"/>
        <w:rPr>
          <w:sz w:val="22"/>
          <w:szCs w:val="22"/>
        </w:rPr>
      </w:pPr>
      <w:r w:rsidRPr="00AE78C2">
        <w:rPr>
          <w:sz w:val="22"/>
          <w:szCs w:val="22"/>
        </w:rPr>
        <w:t>Ventilator-associated Pneumonia (VAP)</w:t>
      </w:r>
    </w:p>
    <w:p w:rsidR="00404220" w:rsidRPr="00AE78C2" w:rsidRDefault="00404220" w:rsidP="006277BC">
      <w:pPr>
        <w:autoSpaceDE w:val="0"/>
        <w:autoSpaceDN w:val="0"/>
        <w:adjustRightInd w:val="0"/>
        <w:rPr>
          <w:sz w:val="22"/>
          <w:szCs w:val="22"/>
        </w:rPr>
      </w:pPr>
    </w:p>
    <w:p w:rsidR="00F91041" w:rsidRPr="00AE78C2" w:rsidRDefault="00CD049A" w:rsidP="002E2745">
      <w:pPr>
        <w:rPr>
          <w:b/>
          <w:sz w:val="22"/>
          <w:szCs w:val="22"/>
        </w:rPr>
      </w:pPr>
      <w:r w:rsidRPr="00AE78C2">
        <w:rPr>
          <w:sz w:val="22"/>
          <w:szCs w:val="22"/>
        </w:rPr>
        <w:t>State capacity for investigating and responding to outbreaks and emerging infections among patients and healthcare providers is central to HAI prevention.  Investigation of outbreaks helps identify preventable causes of infections including issues with the improper use or handling of medical devices; contamination of medical products;</w:t>
      </w:r>
      <w:r w:rsidR="00D05EA4" w:rsidRPr="00AE78C2">
        <w:rPr>
          <w:sz w:val="22"/>
          <w:szCs w:val="22"/>
        </w:rPr>
        <w:t xml:space="preserve"> and unsafe clinical practices.</w:t>
      </w:r>
    </w:p>
    <w:p w:rsidR="00BC4EC9" w:rsidRPr="00AE78C2" w:rsidRDefault="00BC4EC9" w:rsidP="002E2745">
      <w:pPr>
        <w:rPr>
          <w:b/>
          <w:sz w:val="22"/>
          <w:szCs w:val="22"/>
        </w:rPr>
        <w:sectPr w:rsidR="00BC4EC9" w:rsidRPr="00AE78C2" w:rsidSect="00042757">
          <w:footerReference w:type="default" r:id="rId13"/>
          <w:type w:val="continuous"/>
          <w:pgSz w:w="15840" w:h="12240" w:orient="landscape"/>
          <w:pgMar w:top="1440" w:right="1440" w:bottom="1440" w:left="1440" w:header="720" w:footer="720" w:gutter="0"/>
          <w:cols w:space="720"/>
          <w:noEndnote/>
        </w:sectPr>
      </w:pPr>
    </w:p>
    <w:p w:rsidR="00FE295F" w:rsidRPr="00AE78C2" w:rsidRDefault="00536FB4" w:rsidP="002E2745">
      <w:pPr>
        <w:rPr>
          <w:sz w:val="22"/>
          <w:szCs w:val="22"/>
        </w:rPr>
      </w:pPr>
      <w:r w:rsidRPr="00AE78C2">
        <w:rPr>
          <w:b/>
          <w:sz w:val="22"/>
          <w:szCs w:val="22"/>
        </w:rPr>
        <w:lastRenderedPageBreak/>
        <w:t>Table 2:</w:t>
      </w:r>
      <w:r w:rsidRPr="00AE78C2">
        <w:rPr>
          <w:sz w:val="22"/>
          <w:szCs w:val="22"/>
        </w:rPr>
        <w:t xml:space="preserve"> State planning for </w:t>
      </w:r>
      <w:r w:rsidR="006825C1" w:rsidRPr="00AE78C2">
        <w:rPr>
          <w:sz w:val="22"/>
          <w:szCs w:val="22"/>
        </w:rPr>
        <w:t xml:space="preserve">surveillance, </w:t>
      </w:r>
      <w:r w:rsidRPr="00AE78C2">
        <w:rPr>
          <w:sz w:val="22"/>
          <w:szCs w:val="22"/>
        </w:rPr>
        <w:t>detection</w:t>
      </w:r>
      <w:r w:rsidR="006825C1" w:rsidRPr="00AE78C2">
        <w:rPr>
          <w:sz w:val="22"/>
          <w:szCs w:val="22"/>
        </w:rPr>
        <w:t>,</w:t>
      </w:r>
      <w:r w:rsidRPr="00AE78C2">
        <w:rPr>
          <w:sz w:val="22"/>
          <w:szCs w:val="22"/>
        </w:rPr>
        <w:t xml:space="preserve"> reporting, and response for HAI</w:t>
      </w:r>
      <w:r w:rsidR="008152EC" w:rsidRPr="00AE78C2">
        <w:rPr>
          <w:sz w:val="22"/>
          <w:szCs w:val="22"/>
        </w:rPr>
        <w:t>s</w:t>
      </w:r>
    </w:p>
    <w:p w:rsidR="008152EC" w:rsidRPr="00AE78C2" w:rsidRDefault="008152EC" w:rsidP="002E2745">
      <w:pPr>
        <w:rPr>
          <w:sz w:val="22"/>
          <w:szCs w:val="22"/>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0"/>
        <w:gridCol w:w="7650"/>
        <w:gridCol w:w="2340"/>
        <w:tblGridChange w:id="3">
          <w:tblGrid>
            <w:gridCol w:w="1620"/>
            <w:gridCol w:w="1350"/>
            <w:gridCol w:w="7650"/>
            <w:gridCol w:w="2340"/>
          </w:tblGrid>
        </w:tblGridChange>
      </w:tblGrid>
      <w:tr w:rsidR="00F7428E" w:rsidRPr="00AE78C2" w:rsidTr="008A25EC">
        <w:trPr>
          <w:tblHeader/>
        </w:trPr>
        <w:tc>
          <w:tcPr>
            <w:tcW w:w="1620" w:type="dxa"/>
            <w:tcBorders>
              <w:bottom w:val="single" w:sz="4" w:space="0" w:color="auto"/>
            </w:tcBorders>
            <w:shd w:val="clear" w:color="auto" w:fill="auto"/>
          </w:tcPr>
          <w:p w:rsidR="00F7428E" w:rsidRPr="00AE78C2" w:rsidRDefault="00F7428E" w:rsidP="006B742F">
            <w:pPr>
              <w:jc w:val="center"/>
              <w:rPr>
                <w:b/>
                <w:sz w:val="22"/>
                <w:szCs w:val="22"/>
              </w:rPr>
            </w:pPr>
            <w:r w:rsidRPr="00AE78C2">
              <w:rPr>
                <w:b/>
                <w:sz w:val="22"/>
                <w:szCs w:val="22"/>
              </w:rPr>
              <w:t>Check Items Underway</w:t>
            </w:r>
          </w:p>
        </w:tc>
        <w:tc>
          <w:tcPr>
            <w:tcW w:w="1350" w:type="dxa"/>
            <w:tcBorders>
              <w:bottom w:val="single" w:sz="4" w:space="0" w:color="auto"/>
            </w:tcBorders>
            <w:shd w:val="clear" w:color="auto" w:fill="auto"/>
          </w:tcPr>
          <w:p w:rsidR="00F7428E" w:rsidRPr="00AE78C2" w:rsidRDefault="00F7428E" w:rsidP="006B742F">
            <w:pPr>
              <w:jc w:val="center"/>
              <w:rPr>
                <w:b/>
                <w:sz w:val="22"/>
                <w:szCs w:val="22"/>
              </w:rPr>
            </w:pPr>
            <w:r w:rsidRPr="00AE78C2">
              <w:rPr>
                <w:b/>
                <w:sz w:val="22"/>
                <w:szCs w:val="22"/>
              </w:rPr>
              <w:t>Check</w:t>
            </w:r>
          </w:p>
          <w:p w:rsidR="00F7428E" w:rsidRPr="00AE78C2" w:rsidRDefault="00F7428E" w:rsidP="006B742F">
            <w:pPr>
              <w:jc w:val="center"/>
              <w:rPr>
                <w:b/>
                <w:sz w:val="22"/>
                <w:szCs w:val="22"/>
              </w:rPr>
            </w:pPr>
            <w:r w:rsidRPr="00AE78C2">
              <w:rPr>
                <w:b/>
                <w:sz w:val="22"/>
                <w:szCs w:val="22"/>
              </w:rPr>
              <w:t>Items Planned</w:t>
            </w:r>
          </w:p>
        </w:tc>
        <w:tc>
          <w:tcPr>
            <w:tcW w:w="7650" w:type="dxa"/>
            <w:tcBorders>
              <w:bottom w:val="single" w:sz="4" w:space="0" w:color="auto"/>
            </w:tcBorders>
            <w:shd w:val="clear" w:color="auto" w:fill="auto"/>
          </w:tcPr>
          <w:p w:rsidR="00F7428E" w:rsidRPr="00AE78C2" w:rsidRDefault="00F7428E" w:rsidP="006B742F">
            <w:pPr>
              <w:autoSpaceDE w:val="0"/>
              <w:autoSpaceDN w:val="0"/>
              <w:adjustRightInd w:val="0"/>
              <w:ind w:left="94"/>
              <w:rPr>
                <w:b/>
                <w:sz w:val="22"/>
                <w:szCs w:val="22"/>
              </w:rPr>
            </w:pPr>
            <w:r w:rsidRPr="00AE78C2">
              <w:rPr>
                <w:b/>
                <w:sz w:val="22"/>
                <w:szCs w:val="22"/>
              </w:rPr>
              <w:t>Items Planned for Implementation (or currently underway)</w:t>
            </w:r>
          </w:p>
          <w:p w:rsidR="00F7428E" w:rsidRPr="00AE78C2" w:rsidRDefault="00F7428E" w:rsidP="006B742F">
            <w:pPr>
              <w:autoSpaceDE w:val="0"/>
              <w:autoSpaceDN w:val="0"/>
              <w:adjustRightInd w:val="0"/>
              <w:ind w:left="94"/>
              <w:rPr>
                <w:b/>
                <w:sz w:val="22"/>
                <w:szCs w:val="22"/>
              </w:rPr>
            </w:pPr>
          </w:p>
        </w:tc>
        <w:tc>
          <w:tcPr>
            <w:tcW w:w="2340" w:type="dxa"/>
            <w:tcBorders>
              <w:bottom w:val="single" w:sz="4" w:space="0" w:color="auto"/>
            </w:tcBorders>
            <w:shd w:val="clear" w:color="auto" w:fill="auto"/>
          </w:tcPr>
          <w:p w:rsidR="00F7428E" w:rsidRPr="00AE78C2" w:rsidRDefault="00F7428E" w:rsidP="006B742F">
            <w:pPr>
              <w:autoSpaceDE w:val="0"/>
              <w:autoSpaceDN w:val="0"/>
              <w:adjustRightInd w:val="0"/>
              <w:rPr>
                <w:b/>
                <w:sz w:val="22"/>
                <w:szCs w:val="22"/>
              </w:rPr>
            </w:pPr>
            <w:r w:rsidRPr="00AE78C2">
              <w:rPr>
                <w:b/>
                <w:sz w:val="22"/>
                <w:szCs w:val="22"/>
              </w:rPr>
              <w:t>Target Dates for Implementation</w:t>
            </w:r>
          </w:p>
        </w:tc>
      </w:tr>
      <w:tr w:rsidR="00F7428E" w:rsidRPr="00AE78C2" w:rsidTr="008A25EC">
        <w:tc>
          <w:tcPr>
            <w:tcW w:w="162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135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0"/>
                <w:numId w:val="5"/>
              </w:numPr>
              <w:autoSpaceDE w:val="0"/>
              <w:autoSpaceDN w:val="0"/>
              <w:adjustRightInd w:val="0"/>
              <w:rPr>
                <w:b/>
                <w:sz w:val="28"/>
                <w:szCs w:val="28"/>
              </w:rPr>
            </w:pPr>
            <w:r w:rsidRPr="00AE78C2">
              <w:rPr>
                <w:b/>
                <w:sz w:val="28"/>
                <w:szCs w:val="28"/>
              </w:rPr>
              <w:t xml:space="preserve">Improve HAI outbreak detection and investigation </w:t>
            </w:r>
          </w:p>
        </w:tc>
        <w:tc>
          <w:tcPr>
            <w:tcW w:w="234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rPr>
                <w:sz w:val="22"/>
                <w:szCs w:val="22"/>
              </w:rPr>
            </w:pP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F7428E" w:rsidRPr="00AE78C2" w:rsidRDefault="00F7428E" w:rsidP="009B7F2E">
            <w:pPr>
              <w:numPr>
                <w:ilvl w:val="0"/>
                <w:numId w:val="33"/>
              </w:numPr>
              <w:autoSpaceDE w:val="0"/>
              <w:autoSpaceDN w:val="0"/>
              <w:adjustRightInd w:val="0"/>
              <w:rPr>
                <w:b/>
                <w:sz w:val="22"/>
                <w:szCs w:val="22"/>
              </w:rPr>
            </w:pPr>
            <w:r w:rsidRPr="00AE78C2">
              <w:rPr>
                <w:b/>
                <w:szCs w:val="22"/>
              </w:rPr>
              <w:t>Work with partners including CSTE, CDC, state legislatures, and providers across the healthcare continuum to improve outbreak reporting to state health departments</w:t>
            </w:r>
            <w:r w:rsidR="001C3205" w:rsidRPr="00AE78C2">
              <w:rPr>
                <w:b/>
                <w:sz w:val="22"/>
                <w:szCs w:val="22"/>
              </w:rPr>
              <w:br/>
            </w:r>
          </w:p>
          <w:p w:rsidR="001C3205" w:rsidRPr="00AE78C2" w:rsidRDefault="001C3205" w:rsidP="00FC31ED">
            <w:pPr>
              <w:ind w:left="1062"/>
              <w:rPr>
                <w:color w:val="000000"/>
              </w:rPr>
            </w:pPr>
            <w:r w:rsidRPr="00AE78C2">
              <w:rPr>
                <w:color w:val="000000"/>
              </w:rPr>
              <w:t xml:space="preserve">Experience with review and oversight will guide ongoing improvement of processes and responses to serious breaches in infection control, suspect cases and clusters, and outbreaks.  The formalization of infection prevention review and oversight will enhance the already well-established collaboration of </w:t>
            </w:r>
            <w:r w:rsidR="008A3F96" w:rsidRPr="00AE78C2">
              <w:rPr>
                <w:color w:val="000000"/>
              </w:rPr>
              <w:t xml:space="preserve">the </w:t>
            </w:r>
            <w:r w:rsidR="000F06AE" w:rsidRPr="00AE78C2">
              <w:rPr>
                <w:color w:val="000000"/>
              </w:rPr>
              <w:t>Bureau of Health</w:t>
            </w:r>
            <w:r w:rsidR="008A3F96" w:rsidRPr="00AE78C2">
              <w:rPr>
                <w:color w:val="000000"/>
              </w:rPr>
              <w:t xml:space="preserve"> C</w:t>
            </w:r>
            <w:r w:rsidR="000F06AE" w:rsidRPr="00AE78C2">
              <w:rPr>
                <w:color w:val="000000"/>
              </w:rPr>
              <w:t xml:space="preserve">are Safety and Quality </w:t>
            </w:r>
            <w:r w:rsidRPr="00AE78C2">
              <w:rPr>
                <w:color w:val="000000"/>
              </w:rPr>
              <w:t xml:space="preserve">and </w:t>
            </w:r>
            <w:r w:rsidR="008A3F96" w:rsidRPr="00AE78C2">
              <w:rPr>
                <w:color w:val="000000"/>
              </w:rPr>
              <w:t>the Bureau of Infectious Disea</w:t>
            </w:r>
            <w:r w:rsidR="009A584B" w:rsidRPr="00AE78C2">
              <w:rPr>
                <w:color w:val="000000"/>
              </w:rPr>
              <w:t>s</w:t>
            </w:r>
            <w:r w:rsidR="008A3F96" w:rsidRPr="00AE78C2">
              <w:rPr>
                <w:color w:val="000000"/>
              </w:rPr>
              <w:t>e</w:t>
            </w:r>
            <w:r w:rsidR="00E377D7" w:rsidRPr="00AE78C2">
              <w:rPr>
                <w:color w:val="000000"/>
              </w:rPr>
              <w:t xml:space="preserve"> and Laboratory Sciences</w:t>
            </w:r>
            <w:r w:rsidRPr="00AE78C2">
              <w:rPr>
                <w:color w:val="000000"/>
              </w:rPr>
              <w:t xml:space="preserve"> in occurrence and outbreak investigation and follow-up.</w:t>
            </w:r>
          </w:p>
          <w:p w:rsidR="001C3205" w:rsidRPr="00AE78C2" w:rsidRDefault="001C3205" w:rsidP="001C3205">
            <w:pPr>
              <w:autoSpaceDE w:val="0"/>
              <w:autoSpaceDN w:val="0"/>
              <w:adjustRightInd w:val="0"/>
              <w:rPr>
                <w:sz w:val="22"/>
                <w:szCs w:val="22"/>
              </w:rPr>
            </w:pPr>
          </w:p>
        </w:tc>
        <w:tc>
          <w:tcPr>
            <w:tcW w:w="2340" w:type="dxa"/>
            <w:tcBorders>
              <w:top w:val="nil"/>
              <w:left w:val="single" w:sz="4" w:space="0" w:color="auto"/>
              <w:bottom w:val="nil"/>
              <w:right w:val="single" w:sz="4" w:space="0" w:color="auto"/>
            </w:tcBorders>
            <w:shd w:val="clear" w:color="auto" w:fill="auto"/>
          </w:tcPr>
          <w:p w:rsidR="001C3205" w:rsidRPr="00AE78C2" w:rsidRDefault="001C3205" w:rsidP="006B742F">
            <w:pPr>
              <w:autoSpaceDE w:val="0"/>
              <w:autoSpaceDN w:val="0"/>
              <w:adjustRightInd w:val="0"/>
              <w:rPr>
                <w:color w:val="365F91"/>
                <w:szCs w:val="20"/>
              </w:rPr>
            </w:pPr>
          </w:p>
          <w:p w:rsidR="002C2AE3" w:rsidRPr="00AE78C2" w:rsidRDefault="002C2AE3" w:rsidP="006B742F">
            <w:pPr>
              <w:autoSpaceDE w:val="0"/>
              <w:autoSpaceDN w:val="0"/>
              <w:adjustRightInd w:val="0"/>
              <w:rPr>
                <w:color w:val="365F91"/>
                <w:szCs w:val="20"/>
              </w:rPr>
            </w:pPr>
          </w:p>
          <w:p w:rsidR="002C2AE3" w:rsidRPr="00AE78C2" w:rsidRDefault="002C2AE3" w:rsidP="006B742F">
            <w:pPr>
              <w:autoSpaceDE w:val="0"/>
              <w:autoSpaceDN w:val="0"/>
              <w:adjustRightInd w:val="0"/>
              <w:rPr>
                <w:color w:val="365F91"/>
                <w:szCs w:val="20"/>
              </w:rPr>
            </w:pPr>
          </w:p>
          <w:p w:rsidR="002C2AE3" w:rsidRPr="00AE78C2" w:rsidRDefault="002C2AE3" w:rsidP="006B742F">
            <w:pPr>
              <w:autoSpaceDE w:val="0"/>
              <w:autoSpaceDN w:val="0"/>
              <w:adjustRightInd w:val="0"/>
              <w:rPr>
                <w:color w:val="365F91"/>
                <w:szCs w:val="20"/>
              </w:rPr>
            </w:pPr>
          </w:p>
          <w:p w:rsidR="001C3205" w:rsidRPr="00AE78C2" w:rsidRDefault="001C3205" w:rsidP="006B742F">
            <w:pPr>
              <w:autoSpaceDE w:val="0"/>
              <w:autoSpaceDN w:val="0"/>
              <w:adjustRightInd w:val="0"/>
              <w:rPr>
                <w:color w:val="000000"/>
                <w:sz w:val="22"/>
                <w:szCs w:val="22"/>
              </w:rPr>
            </w:pPr>
            <w:r w:rsidRPr="00AE78C2">
              <w:rPr>
                <w:color w:val="000000"/>
                <w:szCs w:val="20"/>
              </w:rPr>
              <w:t>Established and ongoing</w:t>
            </w: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1C3205" w:rsidRPr="00AE78C2" w:rsidRDefault="00F7428E" w:rsidP="009B7F2E">
            <w:pPr>
              <w:numPr>
                <w:ilvl w:val="0"/>
                <w:numId w:val="32"/>
              </w:numPr>
              <w:rPr>
                <w:b/>
                <w:color w:val="365F91"/>
              </w:rPr>
            </w:pPr>
            <w:r w:rsidRPr="00AE78C2">
              <w:rPr>
                <w:b/>
                <w:szCs w:val="22"/>
              </w:rPr>
              <w:t>Establish protocols and provide training for health department staff to investigate outbreaks, clusters</w:t>
            </w:r>
            <w:r w:rsidR="00D05EA4" w:rsidRPr="00AE78C2">
              <w:rPr>
                <w:b/>
                <w:szCs w:val="22"/>
              </w:rPr>
              <w:t>,</w:t>
            </w:r>
            <w:r w:rsidRPr="00AE78C2">
              <w:rPr>
                <w:b/>
                <w:szCs w:val="22"/>
              </w:rPr>
              <w:t xml:space="preserve"> or unusual cases of HAIs.</w:t>
            </w:r>
            <w:r w:rsidR="001C3205" w:rsidRPr="00AE78C2">
              <w:rPr>
                <w:b/>
                <w:sz w:val="22"/>
                <w:szCs w:val="22"/>
              </w:rPr>
              <w:br/>
            </w:r>
          </w:p>
          <w:p w:rsidR="001C3205" w:rsidRPr="00AE78C2" w:rsidRDefault="001A7619" w:rsidP="00FC31ED">
            <w:pPr>
              <w:ind w:left="1062"/>
              <w:rPr>
                <w:color w:val="000000"/>
              </w:rPr>
            </w:pPr>
            <w:r w:rsidRPr="00AE78C2">
              <w:rPr>
                <w:color w:val="000000"/>
              </w:rPr>
              <w:t>We are at the initial stages of implementing MAVEN (Massachusetts Virtual Epidemiology Network) for provider reporting.  The vision is that infection preventionists will have access to this web-based surveillance and case management system</w:t>
            </w:r>
            <w:r w:rsidR="00875FC7" w:rsidRPr="00AE78C2">
              <w:rPr>
                <w:color w:val="000000"/>
              </w:rPr>
              <w:t>,</w:t>
            </w:r>
            <w:r w:rsidRPr="00AE78C2">
              <w:rPr>
                <w:color w:val="000000"/>
              </w:rPr>
              <w:t xml:space="preserve"> and will be able to enter reportable infectious disease</w:t>
            </w:r>
            <w:r w:rsidR="00875FC7" w:rsidRPr="00AE78C2">
              <w:rPr>
                <w:color w:val="000000"/>
              </w:rPr>
              <w:t xml:space="preserve"> information</w:t>
            </w:r>
            <w:r w:rsidRPr="00AE78C2">
              <w:rPr>
                <w:color w:val="000000"/>
              </w:rPr>
              <w:t xml:space="preserve">, update records and communicate securely with MDPH.  The communication functionality can offer a secure sharing of clinical and other information in a variety of situations, such as in the case of patients under investigation for Ebola virus disease, Middle East respiratory syndrome, etc., as well as in the case of facility based outbreaks using the outbreak module in </w:t>
            </w:r>
            <w:r w:rsidRPr="00AE78C2">
              <w:rPr>
                <w:color w:val="000000"/>
              </w:rPr>
              <w:lastRenderedPageBreak/>
              <w:t>MAVEN.  MAVEN offers the opportunity for enhanced efficiency in a variety of situations, both routine and emergent. </w:t>
            </w:r>
            <w:r w:rsidR="009638F5" w:rsidRPr="00AE78C2">
              <w:rPr>
                <w:color w:val="000000"/>
              </w:rPr>
              <w:t xml:space="preserve">MAVEN utilizes role based access to ensure only those staff at state and local levels (and eventually designated facilities) with a programmatic need to know may view or update appropriate data. Data restrictions are configurable by specific disease, locale, individual variable, and </w:t>
            </w:r>
            <w:proofErr w:type="gramStart"/>
            <w:r w:rsidR="009638F5" w:rsidRPr="00AE78C2">
              <w:rPr>
                <w:color w:val="000000"/>
              </w:rPr>
              <w:t>staff function</w:t>
            </w:r>
            <w:proofErr w:type="gramEnd"/>
            <w:r w:rsidR="009638F5" w:rsidRPr="00AE78C2">
              <w:rPr>
                <w:color w:val="000000"/>
              </w:rPr>
              <w:t xml:space="preserve">. We plan to begin with pilots </w:t>
            </w:r>
            <w:r w:rsidR="00875FC7" w:rsidRPr="00AE78C2">
              <w:rPr>
                <w:color w:val="000000"/>
              </w:rPr>
              <w:t xml:space="preserve">of provider reporting </w:t>
            </w:r>
            <w:r w:rsidR="009638F5" w:rsidRPr="00AE78C2">
              <w:rPr>
                <w:color w:val="000000"/>
              </w:rPr>
              <w:t xml:space="preserve">involving several large hospitals </w:t>
            </w:r>
            <w:r w:rsidR="00875FC7" w:rsidRPr="00AE78C2">
              <w:rPr>
                <w:color w:val="000000"/>
              </w:rPr>
              <w:t xml:space="preserve">and a subset of diseases </w:t>
            </w:r>
            <w:r w:rsidR="009638F5" w:rsidRPr="00AE78C2">
              <w:rPr>
                <w:color w:val="000000"/>
              </w:rPr>
              <w:t xml:space="preserve">in 2016-17.  </w:t>
            </w:r>
          </w:p>
          <w:p w:rsidR="006A5724" w:rsidRPr="00AE78C2" w:rsidRDefault="006A5724" w:rsidP="0047675C">
            <w:pPr>
              <w:ind w:left="720"/>
              <w:rPr>
                <w:color w:val="000000"/>
              </w:rPr>
            </w:pPr>
          </w:p>
          <w:p w:rsidR="00F47C3A" w:rsidRPr="00AE78C2" w:rsidRDefault="0075733A" w:rsidP="00FC31ED">
            <w:pPr>
              <w:autoSpaceDE w:val="0"/>
              <w:autoSpaceDN w:val="0"/>
              <w:adjustRightInd w:val="0"/>
              <w:ind w:left="1062"/>
              <w:rPr>
                <w:color w:val="365F91"/>
              </w:rPr>
            </w:pPr>
            <w:r w:rsidRPr="00AE78C2">
              <w:rPr>
                <w:color w:val="000000"/>
              </w:rPr>
              <w:t xml:space="preserve">In addition, CDC’s outbreak assessment tool for </w:t>
            </w:r>
            <w:r w:rsidR="00F47C3A" w:rsidRPr="00AE78C2">
              <w:rPr>
                <w:color w:val="000000"/>
              </w:rPr>
              <w:t>responding to reports of infection control breaches, clusters or suspected outbreaks will be implemented when it is available</w:t>
            </w:r>
            <w:r w:rsidR="00F47C3A" w:rsidRPr="00AE78C2">
              <w:rPr>
                <w:color w:val="365F91"/>
              </w:rPr>
              <w:t>.</w:t>
            </w:r>
          </w:p>
          <w:p w:rsidR="0075733A" w:rsidRPr="00AE78C2" w:rsidRDefault="0075733A" w:rsidP="0075733A">
            <w:pPr>
              <w:autoSpaceDE w:val="0"/>
              <w:autoSpaceDN w:val="0"/>
              <w:adjustRightInd w:val="0"/>
              <w:ind w:left="1062"/>
              <w:rPr>
                <w:color w:val="365F91"/>
                <w:sz w:val="23"/>
                <w:szCs w:val="23"/>
              </w:rPr>
            </w:pPr>
            <w:r w:rsidRPr="00AE78C2">
              <w:rPr>
                <w:color w:val="365F91"/>
                <w:sz w:val="23"/>
                <w:szCs w:val="23"/>
              </w:rPr>
              <w:t>.</w:t>
            </w:r>
          </w:p>
          <w:p w:rsidR="00F7428E" w:rsidRPr="00AE78C2" w:rsidRDefault="00F7428E" w:rsidP="00C13389">
            <w:pPr>
              <w:autoSpaceDE w:val="0"/>
              <w:autoSpaceDN w:val="0"/>
              <w:adjustRightInd w:val="0"/>
              <w:ind w:left="720"/>
              <w:rPr>
                <w:sz w:val="22"/>
                <w:szCs w:val="22"/>
              </w:rPr>
            </w:pPr>
          </w:p>
        </w:tc>
        <w:tc>
          <w:tcPr>
            <w:tcW w:w="2340" w:type="dxa"/>
            <w:tcBorders>
              <w:top w:val="nil"/>
              <w:left w:val="single" w:sz="4" w:space="0" w:color="auto"/>
              <w:bottom w:val="nil"/>
              <w:right w:val="single" w:sz="4" w:space="0" w:color="auto"/>
            </w:tcBorders>
            <w:shd w:val="clear" w:color="auto" w:fill="auto"/>
          </w:tcPr>
          <w:p w:rsidR="001C3205" w:rsidRPr="00AE78C2" w:rsidRDefault="001C3205" w:rsidP="006B742F">
            <w:pPr>
              <w:autoSpaceDE w:val="0"/>
              <w:autoSpaceDN w:val="0"/>
              <w:adjustRightInd w:val="0"/>
              <w:rPr>
                <w:color w:val="365F91"/>
                <w:szCs w:val="20"/>
              </w:rPr>
            </w:pPr>
          </w:p>
          <w:p w:rsidR="001C3205" w:rsidRPr="00AE78C2" w:rsidRDefault="001C3205" w:rsidP="006B742F">
            <w:pPr>
              <w:autoSpaceDE w:val="0"/>
              <w:autoSpaceDN w:val="0"/>
              <w:adjustRightInd w:val="0"/>
              <w:rPr>
                <w:color w:val="365F91"/>
                <w:szCs w:val="20"/>
              </w:rPr>
            </w:pPr>
          </w:p>
          <w:p w:rsidR="001C3205" w:rsidRPr="00AE78C2" w:rsidRDefault="001C3205" w:rsidP="006B742F">
            <w:pPr>
              <w:autoSpaceDE w:val="0"/>
              <w:autoSpaceDN w:val="0"/>
              <w:adjustRightInd w:val="0"/>
              <w:rPr>
                <w:color w:val="365F91"/>
                <w:szCs w:val="20"/>
              </w:rPr>
            </w:pPr>
          </w:p>
          <w:p w:rsidR="008A3F96" w:rsidRPr="00AE78C2" w:rsidRDefault="008A3F96" w:rsidP="006B742F">
            <w:pPr>
              <w:autoSpaceDE w:val="0"/>
              <w:autoSpaceDN w:val="0"/>
              <w:adjustRightInd w:val="0"/>
              <w:rPr>
                <w:color w:val="365F91"/>
                <w:szCs w:val="20"/>
              </w:rPr>
            </w:pPr>
          </w:p>
          <w:p w:rsidR="008A3F96" w:rsidRPr="00AE78C2" w:rsidRDefault="009A584B" w:rsidP="006B742F">
            <w:pPr>
              <w:autoSpaceDE w:val="0"/>
              <w:autoSpaceDN w:val="0"/>
              <w:adjustRightInd w:val="0"/>
              <w:rPr>
                <w:color w:val="000000"/>
              </w:rPr>
            </w:pPr>
            <w:r w:rsidRPr="00AE78C2">
              <w:rPr>
                <w:color w:val="000000"/>
              </w:rPr>
              <w:t>2016</w:t>
            </w: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000000"/>
              </w:rPr>
            </w:pPr>
            <w:r w:rsidRPr="00AE78C2">
              <w:rPr>
                <w:color w:val="000000"/>
              </w:rPr>
              <w:t>2016</w:t>
            </w: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677A37" w:rsidRPr="00AE78C2" w:rsidRDefault="00F7428E" w:rsidP="00677A37">
            <w:pPr>
              <w:numPr>
                <w:ilvl w:val="0"/>
                <w:numId w:val="32"/>
              </w:numPr>
              <w:autoSpaceDE w:val="0"/>
              <w:autoSpaceDN w:val="0"/>
              <w:adjustRightInd w:val="0"/>
              <w:rPr>
                <w:b/>
                <w:sz w:val="22"/>
                <w:szCs w:val="22"/>
              </w:rPr>
            </w:pPr>
            <w:r w:rsidRPr="00AE78C2">
              <w:rPr>
                <w:b/>
                <w:szCs w:val="22"/>
              </w:rPr>
              <w:t>Develop mechanisms to protect facility/provider/patient identity when investigating incidents and potential outbreaks during the initial evaluation phase</w:t>
            </w:r>
            <w:r w:rsidR="00D05EA4" w:rsidRPr="00AE78C2">
              <w:rPr>
                <w:b/>
                <w:szCs w:val="22"/>
              </w:rPr>
              <w:t>,</w:t>
            </w:r>
            <w:r w:rsidRPr="00AE78C2">
              <w:rPr>
                <w:b/>
                <w:szCs w:val="22"/>
              </w:rPr>
              <w:t xml:space="preserve"> where possible</w:t>
            </w:r>
            <w:r w:rsidR="00D05EA4" w:rsidRPr="00AE78C2">
              <w:rPr>
                <w:b/>
                <w:szCs w:val="22"/>
              </w:rPr>
              <w:t>,</w:t>
            </w:r>
            <w:r w:rsidRPr="00AE78C2">
              <w:rPr>
                <w:b/>
                <w:szCs w:val="22"/>
              </w:rPr>
              <w:t xml:space="preserve"> to promote reporting of outbreaks</w:t>
            </w:r>
          </w:p>
          <w:p w:rsidR="00D65704" w:rsidRPr="00AE78C2" w:rsidRDefault="00D65704" w:rsidP="00C235F9">
            <w:pPr>
              <w:autoSpaceDE w:val="0"/>
              <w:autoSpaceDN w:val="0"/>
              <w:adjustRightInd w:val="0"/>
              <w:ind w:left="1080"/>
              <w:rPr>
                <w:b/>
                <w:sz w:val="22"/>
                <w:szCs w:val="22"/>
              </w:rPr>
            </w:pPr>
          </w:p>
          <w:p w:rsidR="00D65704" w:rsidRPr="00AE78C2" w:rsidRDefault="000033DF" w:rsidP="00C235F9">
            <w:pPr>
              <w:autoSpaceDE w:val="0"/>
              <w:autoSpaceDN w:val="0"/>
              <w:adjustRightInd w:val="0"/>
              <w:ind w:left="1080"/>
              <w:rPr>
                <w:color w:val="000000"/>
              </w:rPr>
            </w:pPr>
            <w:r w:rsidRPr="00AE78C2">
              <w:rPr>
                <w:color w:val="000000"/>
              </w:rPr>
              <w:t>Maintaining the privacy of</w:t>
            </w:r>
            <w:r w:rsidR="00D65704" w:rsidRPr="00AE78C2">
              <w:rPr>
                <w:color w:val="000000"/>
              </w:rPr>
              <w:t xml:space="preserve"> confidential data held at the Department of Public Health (MDPH) is critical to the fulfillment of core public health responsibilities.</w:t>
            </w:r>
            <w:r w:rsidRPr="00AE78C2">
              <w:rPr>
                <w:color w:val="000000"/>
              </w:rPr>
              <w:t xml:space="preserve"> Confidential information can only be shared in limited circumstances. </w:t>
            </w:r>
          </w:p>
          <w:p w:rsidR="00C235F9" w:rsidRPr="00AE78C2" w:rsidRDefault="00C235F9" w:rsidP="00C235F9">
            <w:pPr>
              <w:autoSpaceDE w:val="0"/>
              <w:autoSpaceDN w:val="0"/>
              <w:adjustRightInd w:val="0"/>
              <w:ind w:left="1080"/>
              <w:rPr>
                <w:color w:val="000000"/>
              </w:rPr>
            </w:pPr>
          </w:p>
          <w:p w:rsidR="00D65704" w:rsidRPr="00AE78C2" w:rsidRDefault="00D65704" w:rsidP="00C235F9">
            <w:pPr>
              <w:autoSpaceDE w:val="0"/>
              <w:autoSpaceDN w:val="0"/>
              <w:adjustRightInd w:val="0"/>
              <w:ind w:left="1080"/>
              <w:rPr>
                <w:color w:val="000000"/>
              </w:rPr>
            </w:pPr>
            <w:r w:rsidRPr="00AE78C2">
              <w:rPr>
                <w:color w:val="000000"/>
              </w:rPr>
              <w:t xml:space="preserve">Massachusetts Virtual Epidemiologic Network (MAVEN) is a web-based disease surveillance and case management system that enables MDPH and local health to capture and transfer appropriate public health, laboratory, and clinical data efficiently and securely over the Internet in real-time. </w:t>
            </w:r>
            <w:r w:rsidR="000033DF" w:rsidRPr="00AE78C2">
              <w:rPr>
                <w:color w:val="000000"/>
              </w:rPr>
              <w:t xml:space="preserve">Users of the system are required to agree to the security and confidentiality rules of </w:t>
            </w:r>
            <w:r w:rsidR="000033DF" w:rsidRPr="00AE78C2">
              <w:rPr>
                <w:color w:val="000000"/>
              </w:rPr>
              <w:lastRenderedPageBreak/>
              <w:t xml:space="preserve">the MDPH.  </w:t>
            </w:r>
          </w:p>
          <w:p w:rsidR="00F7428E" w:rsidRPr="00AE78C2" w:rsidRDefault="002220A9" w:rsidP="00C235F9">
            <w:pPr>
              <w:autoSpaceDE w:val="0"/>
              <w:autoSpaceDN w:val="0"/>
              <w:adjustRightInd w:val="0"/>
              <w:ind w:left="1080"/>
              <w:rPr>
                <w:b/>
                <w:szCs w:val="22"/>
              </w:rPr>
            </w:pPr>
            <w:r w:rsidRPr="00AE78C2">
              <w:rPr>
                <w:color w:val="000000"/>
              </w:rPr>
              <w:br/>
            </w:r>
            <w:r w:rsidR="0075571C" w:rsidRPr="00AE78C2">
              <w:rPr>
                <w:color w:val="000000"/>
              </w:rPr>
              <w:t>MDPH will continue to evaluate the security of surveillance</w:t>
            </w:r>
            <w:r w:rsidR="0075571C" w:rsidRPr="00AE78C2">
              <w:rPr>
                <w:color w:val="365F91"/>
              </w:rPr>
              <w:t xml:space="preserve"> </w:t>
            </w:r>
            <w:r w:rsidR="0075571C" w:rsidRPr="00AE78C2">
              <w:t>systems to ensure individual privacy and confidentiality</w:t>
            </w:r>
            <w:r w:rsidR="0075571C" w:rsidRPr="00AE78C2">
              <w:rPr>
                <w:b/>
                <w:szCs w:val="22"/>
              </w:rPr>
              <w:t>.</w:t>
            </w:r>
            <w:r w:rsidRPr="00AE78C2">
              <w:rPr>
                <w:b/>
                <w:szCs w:val="22"/>
              </w:rPr>
              <w:br/>
            </w:r>
          </w:p>
        </w:tc>
        <w:tc>
          <w:tcPr>
            <w:tcW w:w="2340" w:type="dxa"/>
            <w:tcBorders>
              <w:top w:val="nil"/>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rPr>
                <w:color w:val="365F91"/>
                <w:sz w:val="22"/>
                <w:szCs w:val="22"/>
              </w:rPr>
            </w:pPr>
          </w:p>
          <w:p w:rsidR="00F60070" w:rsidRPr="00AE78C2" w:rsidRDefault="00F60070" w:rsidP="006B742F">
            <w:pPr>
              <w:autoSpaceDE w:val="0"/>
              <w:autoSpaceDN w:val="0"/>
              <w:adjustRightInd w:val="0"/>
              <w:rPr>
                <w:color w:val="365F91"/>
                <w:sz w:val="22"/>
                <w:szCs w:val="22"/>
              </w:rPr>
            </w:pPr>
          </w:p>
          <w:p w:rsidR="00F60070" w:rsidRPr="00AE78C2" w:rsidRDefault="00F60070" w:rsidP="006B742F">
            <w:pPr>
              <w:autoSpaceDE w:val="0"/>
              <w:autoSpaceDN w:val="0"/>
              <w:adjustRightInd w:val="0"/>
              <w:rPr>
                <w:color w:val="365F91"/>
                <w:sz w:val="22"/>
                <w:szCs w:val="22"/>
              </w:rPr>
            </w:pPr>
          </w:p>
          <w:p w:rsidR="00F60070" w:rsidRPr="00AE78C2" w:rsidRDefault="00F60070" w:rsidP="006B742F">
            <w:pPr>
              <w:autoSpaceDE w:val="0"/>
              <w:autoSpaceDN w:val="0"/>
              <w:adjustRightInd w:val="0"/>
              <w:rPr>
                <w:color w:val="365F91"/>
                <w:sz w:val="22"/>
                <w:szCs w:val="22"/>
              </w:rPr>
            </w:pPr>
          </w:p>
          <w:p w:rsidR="00F60070" w:rsidRPr="00AE78C2" w:rsidRDefault="00F60070" w:rsidP="006B742F">
            <w:pPr>
              <w:autoSpaceDE w:val="0"/>
              <w:autoSpaceDN w:val="0"/>
              <w:adjustRightInd w:val="0"/>
              <w:rPr>
                <w:color w:val="365F91"/>
                <w:sz w:val="22"/>
                <w:szCs w:val="22"/>
              </w:rPr>
            </w:pPr>
          </w:p>
          <w:p w:rsidR="00F60070" w:rsidRPr="00AE78C2" w:rsidRDefault="00F60070" w:rsidP="006B742F">
            <w:pPr>
              <w:autoSpaceDE w:val="0"/>
              <w:autoSpaceDN w:val="0"/>
              <w:adjustRightInd w:val="0"/>
              <w:rPr>
                <w:color w:val="000000"/>
              </w:rPr>
            </w:pPr>
            <w:r w:rsidRPr="00AE78C2">
              <w:rPr>
                <w:color w:val="000000"/>
              </w:rPr>
              <w:t>Established and ongoing</w:t>
            </w:r>
          </w:p>
        </w:tc>
      </w:tr>
      <w:tr w:rsidR="00F7428E" w:rsidRPr="00AE78C2" w:rsidTr="008A25EC">
        <w:tc>
          <w:tcPr>
            <w:tcW w:w="1620" w:type="dxa"/>
            <w:tcBorders>
              <w:top w:val="nil"/>
              <w:left w:val="single" w:sz="4" w:space="0" w:color="auto"/>
              <w:bottom w:val="single" w:sz="4" w:space="0" w:color="auto"/>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32"/>
              </w:numPr>
              <w:autoSpaceDE w:val="0"/>
              <w:autoSpaceDN w:val="0"/>
              <w:adjustRightInd w:val="0"/>
              <w:rPr>
                <w:b/>
                <w:szCs w:val="22"/>
              </w:rPr>
            </w:pPr>
            <w:r w:rsidRPr="00AE78C2">
              <w:rPr>
                <w:b/>
                <w:szCs w:val="22"/>
              </w:rPr>
              <w:t>Improve overall use of surveillance data to identify and prevent HAI outbreaks or transmission in HC settings (e.g., hepatitis B, hepatitis C, multi-drug resistant organisms (MDRO), and other reportable HAIs)</w:t>
            </w:r>
          </w:p>
          <w:p w:rsidR="00C13389" w:rsidRPr="00AE78C2" w:rsidRDefault="00C13389" w:rsidP="00C13389">
            <w:pPr>
              <w:autoSpaceDE w:val="0"/>
              <w:autoSpaceDN w:val="0"/>
              <w:adjustRightInd w:val="0"/>
              <w:ind w:left="1080"/>
              <w:rPr>
                <w:b/>
                <w:szCs w:val="22"/>
              </w:rPr>
            </w:pPr>
          </w:p>
          <w:p w:rsidR="001C3205" w:rsidRPr="00AE78C2" w:rsidRDefault="001C3205" w:rsidP="00C13389">
            <w:pPr>
              <w:autoSpaceDE w:val="0"/>
              <w:autoSpaceDN w:val="0"/>
              <w:adjustRightInd w:val="0"/>
              <w:ind w:left="1080"/>
              <w:rPr>
                <w:color w:val="000000"/>
              </w:rPr>
            </w:pPr>
            <w:r w:rsidRPr="00AE78C2">
              <w:rPr>
                <w:color w:val="000000"/>
              </w:rPr>
              <w:t>Data obtained from BHCSQ Healthcare Facility Reporting System (HCFRS)</w:t>
            </w:r>
            <w:r w:rsidR="00F60070" w:rsidRPr="00AE78C2">
              <w:rPr>
                <w:color w:val="000000"/>
              </w:rPr>
              <w:t xml:space="preserve"> </w:t>
            </w:r>
            <w:r w:rsidR="00F12661" w:rsidRPr="00AE78C2">
              <w:rPr>
                <w:color w:val="000000"/>
              </w:rPr>
              <w:t xml:space="preserve">as well as information </w:t>
            </w:r>
            <w:r w:rsidR="009638F5" w:rsidRPr="00AE78C2">
              <w:rPr>
                <w:color w:val="000000"/>
              </w:rPr>
              <w:t>obtained during the investigation of complaints</w:t>
            </w:r>
            <w:r w:rsidR="00F12661" w:rsidRPr="00AE78C2">
              <w:rPr>
                <w:color w:val="000000"/>
              </w:rPr>
              <w:t xml:space="preserve"> and on-site surveys</w:t>
            </w:r>
            <w:r w:rsidR="009638F5" w:rsidRPr="00AE78C2">
              <w:rPr>
                <w:color w:val="000000"/>
              </w:rPr>
              <w:t xml:space="preserve"> </w:t>
            </w:r>
            <w:r w:rsidR="006A5724" w:rsidRPr="00AE78C2">
              <w:rPr>
                <w:color w:val="000000"/>
              </w:rPr>
              <w:t xml:space="preserve">is </w:t>
            </w:r>
            <w:r w:rsidRPr="00AE78C2">
              <w:rPr>
                <w:color w:val="000000"/>
              </w:rPr>
              <w:t xml:space="preserve">also used to </w:t>
            </w:r>
            <w:r w:rsidR="009638F5" w:rsidRPr="00AE78C2">
              <w:rPr>
                <w:color w:val="000000"/>
              </w:rPr>
              <w:t>identify</w:t>
            </w:r>
            <w:r w:rsidR="001F24D6" w:rsidRPr="00AE78C2">
              <w:rPr>
                <w:color w:val="000000"/>
              </w:rPr>
              <w:t xml:space="preserve">, </w:t>
            </w:r>
            <w:r w:rsidRPr="00AE78C2">
              <w:rPr>
                <w:color w:val="000000"/>
              </w:rPr>
              <w:t xml:space="preserve">monitor </w:t>
            </w:r>
            <w:r w:rsidR="001F24D6" w:rsidRPr="00AE78C2">
              <w:rPr>
                <w:color w:val="000000"/>
              </w:rPr>
              <w:t xml:space="preserve">and investigate </w:t>
            </w:r>
            <w:r w:rsidRPr="00AE78C2">
              <w:rPr>
                <w:color w:val="000000"/>
              </w:rPr>
              <w:t>clusters and outbreaks.</w:t>
            </w:r>
          </w:p>
          <w:p w:rsidR="00C13389" w:rsidRPr="00AE78C2" w:rsidRDefault="00C13389" w:rsidP="00C13389">
            <w:pPr>
              <w:autoSpaceDE w:val="0"/>
              <w:autoSpaceDN w:val="0"/>
              <w:adjustRightInd w:val="0"/>
              <w:ind w:left="1080"/>
              <w:rPr>
                <w:color w:val="000000"/>
              </w:rPr>
            </w:pPr>
          </w:p>
          <w:p w:rsidR="00C13389" w:rsidRPr="00AE78C2" w:rsidRDefault="00C13389" w:rsidP="001A7619">
            <w:pPr>
              <w:autoSpaceDE w:val="0"/>
              <w:autoSpaceDN w:val="0"/>
              <w:adjustRightInd w:val="0"/>
              <w:ind w:left="1080"/>
              <w:rPr>
                <w:color w:val="365F91"/>
                <w:szCs w:val="20"/>
              </w:rPr>
            </w:pPr>
            <w:r w:rsidRPr="00AE78C2">
              <w:rPr>
                <w:color w:val="000000"/>
              </w:rPr>
              <w:t>ELR data submitted by all acute care hospital labs is also used to help detect clusters and outbreaks.</w:t>
            </w:r>
            <w:r w:rsidRPr="00AE78C2">
              <w:rPr>
                <w:color w:val="365F91"/>
              </w:rPr>
              <w:t xml:space="preserve"> </w:t>
            </w:r>
          </w:p>
        </w:tc>
        <w:tc>
          <w:tcPr>
            <w:tcW w:w="2340" w:type="dxa"/>
            <w:tcBorders>
              <w:top w:val="nil"/>
              <w:left w:val="single" w:sz="4" w:space="0" w:color="auto"/>
              <w:bottom w:val="single" w:sz="4" w:space="0" w:color="auto"/>
              <w:right w:val="single" w:sz="4" w:space="0" w:color="auto"/>
            </w:tcBorders>
            <w:shd w:val="clear" w:color="auto" w:fill="auto"/>
          </w:tcPr>
          <w:p w:rsidR="001C3205" w:rsidRPr="00AE78C2" w:rsidRDefault="001C3205" w:rsidP="006B742F">
            <w:pPr>
              <w:autoSpaceDE w:val="0"/>
              <w:autoSpaceDN w:val="0"/>
              <w:adjustRightInd w:val="0"/>
              <w:rPr>
                <w:sz w:val="22"/>
                <w:szCs w:val="22"/>
              </w:rPr>
            </w:pPr>
          </w:p>
          <w:p w:rsidR="001C3205" w:rsidRPr="00AE78C2" w:rsidRDefault="001C3205" w:rsidP="001C3205">
            <w:pPr>
              <w:rPr>
                <w:sz w:val="22"/>
                <w:szCs w:val="22"/>
              </w:rPr>
            </w:pPr>
          </w:p>
          <w:p w:rsidR="001C3205" w:rsidRPr="00AE78C2" w:rsidRDefault="001C3205" w:rsidP="001C3205">
            <w:pPr>
              <w:rPr>
                <w:sz w:val="22"/>
                <w:szCs w:val="22"/>
              </w:rPr>
            </w:pPr>
          </w:p>
          <w:p w:rsidR="001C3205" w:rsidRPr="00AE78C2" w:rsidRDefault="001C3205" w:rsidP="001C3205">
            <w:pPr>
              <w:rPr>
                <w:sz w:val="22"/>
                <w:szCs w:val="22"/>
              </w:rPr>
            </w:pPr>
          </w:p>
          <w:p w:rsidR="001C3205" w:rsidRPr="00AE78C2" w:rsidRDefault="001C3205" w:rsidP="001C3205">
            <w:pPr>
              <w:rPr>
                <w:sz w:val="22"/>
                <w:szCs w:val="22"/>
              </w:rPr>
            </w:pPr>
          </w:p>
          <w:p w:rsidR="00FC31ED" w:rsidRPr="00AE78C2" w:rsidRDefault="00FC31ED" w:rsidP="001C3205">
            <w:pPr>
              <w:rPr>
                <w:sz w:val="22"/>
                <w:szCs w:val="22"/>
                <w:highlight w:val="green"/>
              </w:rPr>
            </w:pPr>
          </w:p>
          <w:p w:rsidR="00F60070" w:rsidRPr="00AE78C2" w:rsidRDefault="00F60070" w:rsidP="001C3205">
            <w:pPr>
              <w:rPr>
                <w:color w:val="000000"/>
              </w:rPr>
            </w:pPr>
            <w:r w:rsidRPr="00AE78C2">
              <w:rPr>
                <w:color w:val="000000"/>
              </w:rPr>
              <w:t>Established and ongoing</w:t>
            </w:r>
          </w:p>
        </w:tc>
      </w:tr>
      <w:tr w:rsidR="00F7428E" w:rsidRPr="00AE78C2" w:rsidTr="008A25EC">
        <w:tc>
          <w:tcPr>
            <w:tcW w:w="2970" w:type="dxa"/>
            <w:gridSpan w:val="2"/>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7B0318">
            <w:pPr>
              <w:rPr>
                <w:i/>
                <w:sz w:val="22"/>
                <w:szCs w:val="22"/>
              </w:rPr>
            </w:pPr>
            <w:r w:rsidRPr="00AE78C2">
              <w:rPr>
                <w:i/>
                <w:sz w:val="22"/>
                <w:szCs w:val="22"/>
              </w:rPr>
              <w:t>Other activities or descriptions:</w:t>
            </w:r>
          </w:p>
          <w:p w:rsidR="00F7428E" w:rsidRPr="00AE78C2" w:rsidRDefault="008A3F96" w:rsidP="002F5EB7">
            <w:pPr>
              <w:ind w:left="720"/>
              <w:rPr>
                <w:color w:val="000000"/>
                <w:sz w:val="22"/>
                <w:szCs w:val="22"/>
              </w:rPr>
            </w:pPr>
            <w:r w:rsidRPr="00AE78C2">
              <w:rPr>
                <w:color w:val="000000"/>
              </w:rPr>
              <w:t xml:space="preserve">MDPH collaborates with local </w:t>
            </w:r>
            <w:r w:rsidR="00F60070" w:rsidRPr="00AE78C2">
              <w:rPr>
                <w:color w:val="000000"/>
              </w:rPr>
              <w:t>b</w:t>
            </w:r>
            <w:r w:rsidRPr="00AE78C2">
              <w:rPr>
                <w:color w:val="000000"/>
              </w:rPr>
              <w:t xml:space="preserve">oards of </w:t>
            </w:r>
            <w:r w:rsidR="00F60070" w:rsidRPr="00AE78C2">
              <w:rPr>
                <w:color w:val="000000"/>
              </w:rPr>
              <w:t>h</w:t>
            </w:r>
            <w:r w:rsidRPr="00AE78C2">
              <w:rPr>
                <w:color w:val="000000"/>
              </w:rPr>
              <w:t>ealth and providers in various healthcare settings (acute, long term care, ambulatory and outpatient care) to provide disease specific infection control guidance, treatment protocols</w:t>
            </w:r>
            <w:r w:rsidR="002A384B" w:rsidRPr="00AE78C2">
              <w:rPr>
                <w:color w:val="000000"/>
              </w:rPr>
              <w:t>,</w:t>
            </w:r>
            <w:r w:rsidRPr="00AE78C2">
              <w:rPr>
                <w:color w:val="000000"/>
              </w:rPr>
              <w:t xml:space="preserve"> and need for patient notification </w:t>
            </w:r>
            <w:r w:rsidR="00F60070" w:rsidRPr="00AE78C2">
              <w:rPr>
                <w:color w:val="000000"/>
              </w:rPr>
              <w:t>for reported clusters, outbreaks</w:t>
            </w:r>
            <w:r w:rsidR="002A384B" w:rsidRPr="00AE78C2">
              <w:rPr>
                <w:color w:val="000000"/>
              </w:rPr>
              <w:t>,</w:t>
            </w:r>
            <w:r w:rsidR="00F60070" w:rsidRPr="00AE78C2">
              <w:rPr>
                <w:color w:val="000000"/>
              </w:rPr>
              <w:t xml:space="preserve"> or unusual cases of infection.</w:t>
            </w:r>
          </w:p>
        </w:tc>
        <w:tc>
          <w:tcPr>
            <w:tcW w:w="2340" w:type="dxa"/>
            <w:tcBorders>
              <w:top w:val="nil"/>
              <w:left w:val="single" w:sz="4" w:space="0" w:color="auto"/>
              <w:bottom w:val="single" w:sz="4" w:space="0" w:color="auto"/>
              <w:right w:val="single" w:sz="4" w:space="0" w:color="auto"/>
            </w:tcBorders>
            <w:shd w:val="clear" w:color="auto" w:fill="auto"/>
          </w:tcPr>
          <w:p w:rsidR="00F7428E" w:rsidRPr="00AE78C2" w:rsidRDefault="00F7428E" w:rsidP="001C3205">
            <w:pPr>
              <w:rPr>
                <w:color w:val="365F91"/>
                <w:sz w:val="22"/>
                <w:szCs w:val="22"/>
              </w:rPr>
            </w:pPr>
          </w:p>
        </w:tc>
      </w:tr>
      <w:tr w:rsidR="00F7428E" w:rsidRPr="00AE78C2" w:rsidTr="008A25EC">
        <w:tc>
          <w:tcPr>
            <w:tcW w:w="1620" w:type="dxa"/>
            <w:tcBorders>
              <w:top w:val="single" w:sz="4" w:space="0" w:color="auto"/>
              <w:bottom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single" w:sz="4" w:space="0" w:color="auto"/>
              <w:bottom w:val="single" w:sz="4" w:space="0" w:color="auto"/>
              <w:right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single" w:sz="4" w:space="0" w:color="auto"/>
              <w:left w:val="single" w:sz="4" w:space="0" w:color="auto"/>
              <w:bottom w:val="single" w:sz="4" w:space="0" w:color="auto"/>
            </w:tcBorders>
            <w:shd w:val="clear" w:color="auto" w:fill="auto"/>
          </w:tcPr>
          <w:p w:rsidR="00F7428E" w:rsidRPr="00AE78C2" w:rsidRDefault="00F7428E" w:rsidP="009B7F2E">
            <w:pPr>
              <w:numPr>
                <w:ilvl w:val="0"/>
                <w:numId w:val="5"/>
              </w:numPr>
              <w:autoSpaceDE w:val="0"/>
              <w:autoSpaceDN w:val="0"/>
              <w:adjustRightInd w:val="0"/>
              <w:rPr>
                <w:b/>
                <w:sz w:val="28"/>
                <w:szCs w:val="28"/>
              </w:rPr>
            </w:pPr>
            <w:r w:rsidRPr="00AE78C2">
              <w:rPr>
                <w:b/>
                <w:sz w:val="28"/>
                <w:szCs w:val="28"/>
              </w:rPr>
              <w:t>Enhance laboratory capacity for state and local detection and response to new and emerging HAI issues.</w:t>
            </w:r>
          </w:p>
          <w:p w:rsidR="00C13389" w:rsidRPr="00AE78C2" w:rsidRDefault="00C13389" w:rsidP="002220A9">
            <w:pPr>
              <w:autoSpaceDE w:val="0"/>
              <w:autoSpaceDN w:val="0"/>
              <w:adjustRightInd w:val="0"/>
              <w:ind w:left="720"/>
              <w:rPr>
                <w:color w:val="365F91"/>
              </w:rPr>
            </w:pPr>
          </w:p>
          <w:p w:rsidR="00C13389" w:rsidRPr="00AE78C2" w:rsidRDefault="00CE7471" w:rsidP="002F5EB7">
            <w:pPr>
              <w:autoSpaceDE w:val="0"/>
              <w:autoSpaceDN w:val="0"/>
              <w:adjustRightInd w:val="0"/>
              <w:ind w:left="720"/>
              <w:rPr>
                <w:color w:val="000000"/>
                <w:sz w:val="22"/>
                <w:szCs w:val="22"/>
              </w:rPr>
            </w:pPr>
            <w:r w:rsidRPr="00AE78C2">
              <w:rPr>
                <w:color w:val="000000"/>
              </w:rPr>
              <w:t>All clinical laboratories reporting electronically by using HL-7 messaging and LOINC and SNOMED codes.  Laboratory response network (LRN) protocols in place</w:t>
            </w:r>
            <w:r w:rsidR="00F60070" w:rsidRPr="00AE78C2">
              <w:rPr>
                <w:color w:val="000000"/>
              </w:rPr>
              <w:t>.</w:t>
            </w:r>
          </w:p>
        </w:tc>
        <w:tc>
          <w:tcPr>
            <w:tcW w:w="2340" w:type="dxa"/>
            <w:tcBorders>
              <w:top w:val="single" w:sz="4" w:space="0" w:color="auto"/>
              <w:left w:val="single" w:sz="4" w:space="0" w:color="auto"/>
              <w:bottom w:val="single" w:sz="4" w:space="0" w:color="auto"/>
            </w:tcBorders>
            <w:shd w:val="clear" w:color="auto" w:fill="auto"/>
          </w:tcPr>
          <w:p w:rsidR="00CE7471" w:rsidRPr="00AE78C2" w:rsidRDefault="00CE7471" w:rsidP="006B742F">
            <w:pPr>
              <w:autoSpaceDE w:val="0"/>
              <w:autoSpaceDN w:val="0"/>
              <w:adjustRightInd w:val="0"/>
              <w:rPr>
                <w:sz w:val="22"/>
                <w:szCs w:val="22"/>
              </w:rPr>
            </w:pPr>
          </w:p>
          <w:p w:rsidR="00CE7471" w:rsidRPr="00AE78C2" w:rsidRDefault="00CE7471" w:rsidP="00CE7471">
            <w:pPr>
              <w:rPr>
                <w:sz w:val="22"/>
                <w:szCs w:val="22"/>
              </w:rPr>
            </w:pPr>
          </w:p>
          <w:p w:rsidR="00C13389" w:rsidRPr="00AE78C2" w:rsidRDefault="00C13389" w:rsidP="00CE7471">
            <w:pPr>
              <w:rPr>
                <w:color w:val="365F91"/>
                <w:sz w:val="22"/>
                <w:szCs w:val="22"/>
              </w:rPr>
            </w:pPr>
          </w:p>
          <w:p w:rsidR="00C235F9" w:rsidRPr="00AE78C2" w:rsidRDefault="00C235F9" w:rsidP="00A63D6A">
            <w:pPr>
              <w:rPr>
                <w:color w:val="000000"/>
              </w:rPr>
            </w:pPr>
          </w:p>
          <w:p w:rsidR="00F7428E" w:rsidRPr="00AE78C2" w:rsidRDefault="00F60070" w:rsidP="00A63D6A">
            <w:pPr>
              <w:rPr>
                <w:color w:val="365F91"/>
              </w:rPr>
            </w:pPr>
            <w:r w:rsidRPr="00AE78C2">
              <w:rPr>
                <w:color w:val="000000"/>
              </w:rPr>
              <w:t>2010 and ongoing</w:t>
            </w:r>
          </w:p>
        </w:tc>
      </w:tr>
      <w:tr w:rsidR="00F7428E" w:rsidRPr="00AE78C2" w:rsidTr="008A25EC">
        <w:tc>
          <w:tcPr>
            <w:tcW w:w="2970" w:type="dxa"/>
            <w:gridSpan w:val="2"/>
            <w:tcBorders>
              <w:top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single" w:sz="4" w:space="0" w:color="auto"/>
              <w:left w:val="single" w:sz="4" w:space="0" w:color="auto"/>
              <w:bottom w:val="single" w:sz="4" w:space="0" w:color="auto"/>
            </w:tcBorders>
            <w:shd w:val="clear" w:color="auto" w:fill="auto"/>
          </w:tcPr>
          <w:p w:rsidR="00F60070" w:rsidRPr="00AE78C2" w:rsidRDefault="00F7428E" w:rsidP="00CE7471">
            <w:pPr>
              <w:rPr>
                <w:i/>
                <w:sz w:val="22"/>
                <w:szCs w:val="22"/>
              </w:rPr>
            </w:pPr>
            <w:r w:rsidRPr="00AE78C2">
              <w:rPr>
                <w:i/>
                <w:sz w:val="22"/>
                <w:szCs w:val="22"/>
              </w:rPr>
              <w:t>Other activities or descriptions:</w:t>
            </w:r>
          </w:p>
          <w:p w:rsidR="00F60070" w:rsidRPr="00AE78C2" w:rsidRDefault="00F60070" w:rsidP="00CE7471">
            <w:pPr>
              <w:rPr>
                <w:i/>
                <w:sz w:val="22"/>
                <w:szCs w:val="22"/>
              </w:rPr>
            </w:pPr>
          </w:p>
        </w:tc>
        <w:tc>
          <w:tcPr>
            <w:tcW w:w="2340" w:type="dxa"/>
            <w:tcBorders>
              <w:top w:val="single" w:sz="4" w:space="0" w:color="auto"/>
              <w:left w:val="single" w:sz="4" w:space="0" w:color="auto"/>
              <w:bottom w:val="single" w:sz="4" w:space="0" w:color="auto"/>
            </w:tcBorders>
            <w:shd w:val="clear" w:color="auto" w:fill="auto"/>
          </w:tcPr>
          <w:p w:rsidR="00F7428E" w:rsidRPr="00AE78C2" w:rsidRDefault="00F7428E" w:rsidP="006B742F">
            <w:pPr>
              <w:autoSpaceDE w:val="0"/>
              <w:autoSpaceDN w:val="0"/>
              <w:adjustRightInd w:val="0"/>
              <w:rPr>
                <w:sz w:val="22"/>
                <w:szCs w:val="22"/>
              </w:rPr>
            </w:pPr>
          </w:p>
        </w:tc>
      </w:tr>
      <w:tr w:rsidR="00F7428E" w:rsidRPr="00AE78C2" w:rsidTr="008A25EC">
        <w:tc>
          <w:tcPr>
            <w:tcW w:w="162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135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0"/>
                <w:numId w:val="5"/>
              </w:numPr>
              <w:autoSpaceDE w:val="0"/>
              <w:autoSpaceDN w:val="0"/>
              <w:adjustRightInd w:val="0"/>
              <w:rPr>
                <w:b/>
                <w:sz w:val="28"/>
                <w:szCs w:val="28"/>
              </w:rPr>
            </w:pPr>
            <w:r w:rsidRPr="00AE78C2">
              <w:rPr>
                <w:b/>
                <w:sz w:val="28"/>
                <w:szCs w:val="28"/>
              </w:rPr>
              <w:t>Improve communication of HAI outbreaks and infection control breaches</w:t>
            </w:r>
          </w:p>
        </w:tc>
        <w:tc>
          <w:tcPr>
            <w:tcW w:w="234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rPr>
                <w:sz w:val="22"/>
                <w:szCs w:val="22"/>
              </w:rPr>
            </w:pP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B830B1" w:rsidRPr="00AE78C2" w:rsidRDefault="00F7428E" w:rsidP="009B7F2E">
            <w:pPr>
              <w:numPr>
                <w:ilvl w:val="0"/>
                <w:numId w:val="6"/>
              </w:numPr>
              <w:autoSpaceDE w:val="0"/>
              <w:autoSpaceDN w:val="0"/>
              <w:adjustRightInd w:val="0"/>
              <w:rPr>
                <w:b/>
                <w:szCs w:val="22"/>
              </w:rPr>
            </w:pPr>
            <w:r w:rsidRPr="00AE78C2">
              <w:rPr>
                <w:b/>
                <w:szCs w:val="22"/>
              </w:rPr>
              <w:t>Develop standard reporting criteria including, number, size</w:t>
            </w:r>
            <w:r w:rsidR="00D05EA4" w:rsidRPr="00AE78C2">
              <w:rPr>
                <w:b/>
                <w:szCs w:val="22"/>
              </w:rPr>
              <w:t>,</w:t>
            </w:r>
            <w:r w:rsidRPr="00AE78C2">
              <w:rPr>
                <w:b/>
                <w:szCs w:val="22"/>
              </w:rPr>
              <w:t xml:space="preserve"> and type of HAI outbreak for health departments and CDC </w:t>
            </w:r>
          </w:p>
          <w:p w:rsidR="00DB158D" w:rsidRPr="00AE78C2" w:rsidRDefault="00DB158D" w:rsidP="00B830B1">
            <w:pPr>
              <w:autoSpaceDE w:val="0"/>
              <w:autoSpaceDN w:val="0"/>
              <w:adjustRightInd w:val="0"/>
              <w:rPr>
                <w:szCs w:val="22"/>
              </w:rPr>
            </w:pPr>
          </w:p>
          <w:p w:rsidR="00B26820" w:rsidRPr="00AE78C2" w:rsidRDefault="00B830B1" w:rsidP="00FC31ED">
            <w:pPr>
              <w:autoSpaceDE w:val="0"/>
              <w:autoSpaceDN w:val="0"/>
              <w:adjustRightInd w:val="0"/>
              <w:ind w:left="882"/>
              <w:rPr>
                <w:color w:val="000000"/>
                <w:szCs w:val="22"/>
              </w:rPr>
            </w:pPr>
            <w:r w:rsidRPr="00AE78C2">
              <w:rPr>
                <w:color w:val="000000"/>
                <w:szCs w:val="22"/>
              </w:rPr>
              <w:t xml:space="preserve">The target date for implementation </w:t>
            </w:r>
            <w:r w:rsidR="00B26820" w:rsidRPr="00AE78C2">
              <w:rPr>
                <w:color w:val="000000"/>
                <w:szCs w:val="22"/>
              </w:rPr>
              <w:t xml:space="preserve">is dependent on the establishment of national criteria. </w:t>
            </w:r>
          </w:p>
          <w:p w:rsidR="001F24D6" w:rsidRPr="00AE78C2" w:rsidRDefault="001F24D6" w:rsidP="00FC31ED">
            <w:pPr>
              <w:autoSpaceDE w:val="0"/>
              <w:autoSpaceDN w:val="0"/>
              <w:adjustRightInd w:val="0"/>
              <w:ind w:left="882"/>
              <w:rPr>
                <w:b/>
                <w:color w:val="000000"/>
                <w:szCs w:val="22"/>
              </w:rPr>
            </w:pPr>
          </w:p>
          <w:p w:rsidR="00ED09CE" w:rsidRPr="00AE78C2" w:rsidRDefault="001F24D6" w:rsidP="00FC31ED">
            <w:pPr>
              <w:autoSpaceDE w:val="0"/>
              <w:autoSpaceDN w:val="0"/>
              <w:adjustRightInd w:val="0"/>
              <w:ind w:left="882"/>
            </w:pPr>
            <w:r w:rsidRPr="00AE78C2">
              <w:rPr>
                <w:color w:val="000000"/>
              </w:rPr>
              <w:t xml:space="preserve">Enhanced MDPH infrastructure </w:t>
            </w:r>
            <w:r w:rsidR="00E17070" w:rsidRPr="00AE78C2">
              <w:rPr>
                <w:color w:val="000000"/>
              </w:rPr>
              <w:t>supported by t</w:t>
            </w:r>
            <w:r w:rsidRPr="00AE78C2">
              <w:rPr>
                <w:color w:val="000000"/>
              </w:rPr>
              <w:t>he ELC 2015 Ebola funding has provided nurse con</w:t>
            </w:r>
            <w:r w:rsidR="00E17070" w:rsidRPr="00AE78C2">
              <w:rPr>
                <w:color w:val="000000"/>
              </w:rPr>
              <w:t xml:space="preserve">sultants </w:t>
            </w:r>
            <w:r w:rsidR="00875FC7" w:rsidRPr="00AE78C2">
              <w:rPr>
                <w:color w:val="000000"/>
              </w:rPr>
              <w:t xml:space="preserve">who </w:t>
            </w:r>
            <w:r w:rsidR="00E17070" w:rsidRPr="00AE78C2">
              <w:rPr>
                <w:color w:val="000000"/>
              </w:rPr>
              <w:t>will assist in the identification and mitigation of gaps in infection control practices and outbreak reporting</w:t>
            </w:r>
            <w:r w:rsidR="00E17070" w:rsidRPr="00AE78C2">
              <w:rPr>
                <w:color w:val="365F91"/>
              </w:rPr>
              <w:t>.</w:t>
            </w:r>
          </w:p>
          <w:p w:rsidR="00C97594" w:rsidRPr="00AE78C2" w:rsidRDefault="00C97594" w:rsidP="00FC31ED">
            <w:pPr>
              <w:autoSpaceDE w:val="0"/>
              <w:autoSpaceDN w:val="0"/>
              <w:adjustRightInd w:val="0"/>
              <w:ind w:left="882"/>
              <w:rPr>
                <w:sz w:val="22"/>
                <w:szCs w:val="22"/>
              </w:rPr>
            </w:pPr>
          </w:p>
        </w:tc>
        <w:tc>
          <w:tcPr>
            <w:tcW w:w="2340" w:type="dxa"/>
            <w:tcBorders>
              <w:top w:val="nil"/>
              <w:left w:val="single" w:sz="4" w:space="0" w:color="auto"/>
              <w:bottom w:val="nil"/>
              <w:right w:val="single" w:sz="4" w:space="0" w:color="auto"/>
            </w:tcBorders>
            <w:shd w:val="clear" w:color="auto" w:fill="auto"/>
          </w:tcPr>
          <w:p w:rsidR="00CE7471" w:rsidRPr="00AE78C2" w:rsidRDefault="00CE7471" w:rsidP="00CE7471">
            <w:pPr>
              <w:autoSpaceDE w:val="0"/>
              <w:autoSpaceDN w:val="0"/>
              <w:adjustRightInd w:val="0"/>
              <w:rPr>
                <w:color w:val="365F91"/>
                <w:szCs w:val="20"/>
              </w:rPr>
            </w:pPr>
          </w:p>
          <w:p w:rsidR="00F7428E" w:rsidRPr="00AE78C2" w:rsidRDefault="00F7428E" w:rsidP="00CE7471">
            <w:pPr>
              <w:autoSpaceDE w:val="0"/>
              <w:autoSpaceDN w:val="0"/>
              <w:adjustRightInd w:val="0"/>
              <w:rPr>
                <w:sz w:val="22"/>
                <w:szCs w:val="22"/>
              </w:rPr>
            </w:pPr>
          </w:p>
        </w:tc>
      </w:tr>
      <w:tr w:rsidR="00F7428E" w:rsidRPr="00AE78C2" w:rsidTr="008A25EC">
        <w:tc>
          <w:tcPr>
            <w:tcW w:w="1620" w:type="dxa"/>
            <w:tcBorders>
              <w:top w:val="nil"/>
              <w:left w:val="single" w:sz="4" w:space="0" w:color="auto"/>
              <w:bottom w:val="single" w:sz="4" w:space="0" w:color="auto"/>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6"/>
              </w:numPr>
              <w:rPr>
                <w:sz w:val="22"/>
                <w:szCs w:val="22"/>
              </w:rPr>
            </w:pPr>
            <w:r w:rsidRPr="00AE78C2">
              <w:rPr>
                <w:b/>
              </w:rPr>
              <w:t xml:space="preserve">Establish mechanisms or protocols for exchanging information about outbreaks </w:t>
            </w:r>
            <w:r w:rsidR="00D62A0E" w:rsidRPr="00AE78C2">
              <w:rPr>
                <w:b/>
              </w:rPr>
              <w:t>or breaches</w:t>
            </w:r>
            <w:r w:rsidRPr="00AE78C2">
              <w:rPr>
                <w:b/>
              </w:rPr>
              <w:t xml:space="preserve"> among state and local governmental partners (e.g., State Survey agencies,</w:t>
            </w:r>
            <w:r w:rsidR="00ED09CE" w:rsidRPr="00AE78C2">
              <w:rPr>
                <w:b/>
                <w:color w:val="365F91"/>
              </w:rPr>
              <w:t xml:space="preserve"> </w:t>
            </w:r>
            <w:r w:rsidR="00ED09CE" w:rsidRPr="00AE78C2">
              <w:rPr>
                <w:b/>
              </w:rPr>
              <w:t>Communicable Disease Control,</w:t>
            </w:r>
            <w:r w:rsidRPr="00AE78C2">
              <w:rPr>
                <w:b/>
              </w:rPr>
              <w:t xml:space="preserve"> state licensing boards</w:t>
            </w:r>
            <w:r w:rsidRPr="00AE78C2">
              <w:rPr>
                <w:sz w:val="22"/>
                <w:szCs w:val="22"/>
              </w:rPr>
              <w:t>)</w:t>
            </w:r>
          </w:p>
          <w:p w:rsidR="00FA5F98" w:rsidRPr="00AE78C2" w:rsidRDefault="00FA5F98" w:rsidP="00FA5F98">
            <w:pPr>
              <w:ind w:left="900"/>
              <w:rPr>
                <w:color w:val="365F91"/>
              </w:rPr>
            </w:pPr>
          </w:p>
          <w:p w:rsidR="00ED09CE" w:rsidRPr="00AE78C2" w:rsidRDefault="00E17070" w:rsidP="00FC31ED">
            <w:pPr>
              <w:ind w:left="900"/>
              <w:rPr>
                <w:color w:val="000000"/>
              </w:rPr>
            </w:pPr>
            <w:r w:rsidRPr="00AE78C2">
              <w:rPr>
                <w:color w:val="000000"/>
              </w:rPr>
              <w:t xml:space="preserve">Surveillance data, information reported to the MDPH Healthcare Facility Reporting System (HCFRS), as well as lapses in infection control identified by the MDPH survey process are routinely communicated. </w:t>
            </w:r>
            <w:r w:rsidR="008976A4" w:rsidRPr="00AE78C2">
              <w:rPr>
                <w:color w:val="000000"/>
              </w:rPr>
              <w:t>There has also been longstanding collaboration between the Bureau of Infectious Disease and Laboratory Sciences, the Bureau of Health Care Safety and Quality, and the Sharps Injury Surveillance and Prevention Program.</w:t>
            </w:r>
          </w:p>
          <w:p w:rsidR="008976A4" w:rsidRPr="00AE78C2" w:rsidRDefault="008976A4" w:rsidP="000B20BD">
            <w:pPr>
              <w:ind w:left="900"/>
              <w:rPr>
                <w:color w:val="000000"/>
              </w:rPr>
            </w:pPr>
          </w:p>
          <w:p w:rsidR="000B20BD" w:rsidRPr="00AE78C2" w:rsidRDefault="000B20BD" w:rsidP="000B20BD">
            <w:pPr>
              <w:ind w:left="900"/>
              <w:rPr>
                <w:color w:val="000000"/>
              </w:rPr>
            </w:pPr>
            <w:r w:rsidRPr="00AE78C2">
              <w:rPr>
                <w:color w:val="000000"/>
              </w:rPr>
              <w:t xml:space="preserve">State public health officials rely on local boards of health, healthcare providers, laboratories and other public health personnel to report the occurrence of notifiable diseases as required by law </w:t>
            </w:r>
            <w:r w:rsidRPr="00AE78C2">
              <w:rPr>
                <w:color w:val="000000"/>
              </w:rPr>
              <w:lastRenderedPageBreak/>
              <w:t xml:space="preserve">(Massachusetts General Laws, Chapter 111, sections 3, 6, 7, 109, 110, 111 and 112 and Chapter 111D, Section 6. These laws are implemented by regulation under Chapter 105, Code of Massachusetts Regulations (CMR), </w:t>
            </w:r>
            <w:proofErr w:type="gramStart"/>
            <w:r w:rsidRPr="00AE78C2">
              <w:rPr>
                <w:color w:val="000000"/>
              </w:rPr>
              <w:t>Section</w:t>
            </w:r>
            <w:proofErr w:type="gramEnd"/>
            <w:r w:rsidRPr="00AE78C2">
              <w:rPr>
                <w:color w:val="000000"/>
              </w:rPr>
              <w:t xml:space="preserve"> 300.000: Reportable Diseases, Surveillance, and Isolation &amp; Quarantine Requirements.)</w:t>
            </w:r>
          </w:p>
          <w:p w:rsidR="000B20BD" w:rsidRPr="00AE78C2" w:rsidRDefault="000B20BD" w:rsidP="000B20BD">
            <w:pPr>
              <w:ind w:left="900"/>
              <w:rPr>
                <w:color w:val="000000"/>
              </w:rPr>
            </w:pPr>
          </w:p>
          <w:p w:rsidR="000B20BD" w:rsidRPr="00AE78C2" w:rsidRDefault="000B20BD" w:rsidP="000B20BD">
            <w:pPr>
              <w:ind w:left="900"/>
              <w:rPr>
                <w:color w:val="000000"/>
              </w:rPr>
            </w:pPr>
            <w:r w:rsidRPr="00AE78C2">
              <w:rPr>
                <w:color w:val="000000"/>
              </w:rPr>
              <w:t>105 CMR 300.134 requires the reporting of outbreaks or clusters-the occurrence in a community, facility, workplace or region of cases of an illness clearly in excess of the number of cases usually expected. The number of cases indicating an outbreak or cluster will vary according to the infectious agent or the site conditions/hazards, size and type of population exposed, previous experience or lack of exposure to the disease, and time and place of occurrence. Outbreaks or clusters are therefore identified by significant increases in the usual frequency of the disease in the same area, among the specified population, at the same season of the year.</w:t>
            </w:r>
          </w:p>
          <w:p w:rsidR="000B20BD" w:rsidRPr="00AE78C2" w:rsidRDefault="000B20BD" w:rsidP="000B20BD">
            <w:pPr>
              <w:ind w:left="900"/>
              <w:rPr>
                <w:color w:val="000000"/>
              </w:rPr>
            </w:pPr>
          </w:p>
          <w:p w:rsidR="000B20BD" w:rsidRPr="00AE78C2" w:rsidRDefault="000B20BD" w:rsidP="000B20BD">
            <w:pPr>
              <w:ind w:left="900"/>
              <w:rPr>
                <w:color w:val="000000"/>
              </w:rPr>
            </w:pPr>
            <w:r w:rsidRPr="00AE78C2">
              <w:rPr>
                <w:color w:val="000000"/>
              </w:rPr>
              <w:t>Serious breaches in infection control identified during state licensing and complaint surveys and the infections of concern identified through surveillance data and provider reports are routinely shared with the HAI Coordinator.</w:t>
            </w:r>
          </w:p>
          <w:p w:rsidR="008976A4" w:rsidRPr="00AE78C2" w:rsidRDefault="008976A4" w:rsidP="000B20BD">
            <w:pPr>
              <w:ind w:left="900"/>
              <w:rPr>
                <w:color w:val="000000"/>
              </w:rPr>
            </w:pPr>
          </w:p>
          <w:p w:rsidR="008976A4" w:rsidRPr="00AE78C2" w:rsidRDefault="008976A4" w:rsidP="0034567B">
            <w:pPr>
              <w:ind w:left="900"/>
              <w:rPr>
                <w:color w:val="365F91"/>
                <w:sz w:val="22"/>
                <w:szCs w:val="22"/>
              </w:rPr>
            </w:pPr>
            <w:r w:rsidRPr="00AE78C2">
              <w:rPr>
                <w:color w:val="000000"/>
              </w:rPr>
              <w:t>In all these circumstance</w:t>
            </w:r>
            <w:r w:rsidR="003910EB" w:rsidRPr="00AE78C2">
              <w:rPr>
                <w:color w:val="000000"/>
              </w:rPr>
              <w:t>s</w:t>
            </w:r>
            <w:proofErr w:type="gramStart"/>
            <w:r w:rsidR="003910EB" w:rsidRPr="00AE78C2">
              <w:rPr>
                <w:color w:val="000000"/>
              </w:rPr>
              <w:t xml:space="preserve">, </w:t>
            </w:r>
            <w:r w:rsidRPr="00AE78C2">
              <w:rPr>
                <w:color w:val="000000"/>
              </w:rPr>
              <w:t xml:space="preserve"> joint</w:t>
            </w:r>
            <w:proofErr w:type="gramEnd"/>
            <w:r w:rsidRPr="00AE78C2">
              <w:rPr>
                <w:color w:val="000000"/>
              </w:rPr>
              <w:t xml:space="preserve"> action of the Bureau of Health Care Safety and Quality and the Bureau of Infectious Disease and Laboratory Sciences is taken to both investigate outbreaks and</w:t>
            </w:r>
            <w:r w:rsidRPr="00AE78C2">
              <w:rPr>
                <w:color w:val="365F91"/>
              </w:rPr>
              <w:t xml:space="preserve"> </w:t>
            </w:r>
            <w:r w:rsidRPr="00AE78C2">
              <w:rPr>
                <w:color w:val="000000"/>
              </w:rPr>
              <w:t>evaluate facility practices and breaches in evidence based infection control.</w:t>
            </w:r>
            <w:r w:rsidR="00705221" w:rsidRPr="00AE78C2">
              <w:rPr>
                <w:color w:val="365F91"/>
              </w:rPr>
              <w:t xml:space="preserve"> </w:t>
            </w:r>
            <w:r w:rsidR="0034567B" w:rsidRPr="00AE78C2">
              <w:rPr>
                <w:color w:val="365F91"/>
              </w:rPr>
              <w:t xml:space="preserve"> </w:t>
            </w:r>
            <w:r w:rsidR="006520ED" w:rsidRPr="00AE78C2">
              <w:rPr>
                <w:color w:val="365F91"/>
              </w:rPr>
              <w:t xml:space="preserve"> </w:t>
            </w:r>
          </w:p>
        </w:tc>
        <w:tc>
          <w:tcPr>
            <w:tcW w:w="2340" w:type="dxa"/>
            <w:tcBorders>
              <w:top w:val="nil"/>
              <w:left w:val="single" w:sz="4" w:space="0" w:color="auto"/>
              <w:bottom w:val="single" w:sz="4" w:space="0" w:color="auto"/>
              <w:right w:val="single" w:sz="4" w:space="0" w:color="auto"/>
            </w:tcBorders>
            <w:shd w:val="clear" w:color="auto" w:fill="auto"/>
          </w:tcPr>
          <w:p w:rsidR="00F7428E" w:rsidRPr="00AE78C2" w:rsidRDefault="00F7428E" w:rsidP="00125ACE">
            <w:pPr>
              <w:rPr>
                <w:sz w:val="22"/>
                <w:szCs w:val="22"/>
              </w:rPr>
            </w:pPr>
          </w:p>
          <w:p w:rsidR="00ED09CE" w:rsidRPr="00AE78C2" w:rsidRDefault="00ED09CE" w:rsidP="00125ACE">
            <w:pPr>
              <w:rPr>
                <w:sz w:val="22"/>
                <w:szCs w:val="22"/>
              </w:rPr>
            </w:pPr>
          </w:p>
          <w:p w:rsidR="00ED09CE" w:rsidRPr="00AE78C2" w:rsidRDefault="00ED09CE" w:rsidP="00125ACE">
            <w:pPr>
              <w:rPr>
                <w:sz w:val="22"/>
                <w:szCs w:val="22"/>
              </w:rPr>
            </w:pPr>
          </w:p>
          <w:p w:rsidR="00ED09CE" w:rsidRPr="00AE78C2" w:rsidRDefault="00ED09CE" w:rsidP="00125ACE">
            <w:pPr>
              <w:rPr>
                <w:sz w:val="22"/>
                <w:szCs w:val="22"/>
              </w:rPr>
            </w:pPr>
          </w:p>
          <w:p w:rsidR="00ED09CE" w:rsidRPr="00AE78C2" w:rsidRDefault="00ED09CE" w:rsidP="00125ACE">
            <w:pPr>
              <w:rPr>
                <w:sz w:val="22"/>
                <w:szCs w:val="22"/>
              </w:rPr>
            </w:pPr>
          </w:p>
          <w:p w:rsidR="00ED09CE" w:rsidRPr="00AE78C2" w:rsidRDefault="00ED09CE" w:rsidP="00125ACE">
            <w:pPr>
              <w:rPr>
                <w:color w:val="000000"/>
                <w:sz w:val="22"/>
                <w:szCs w:val="22"/>
              </w:rPr>
            </w:pPr>
            <w:r w:rsidRPr="00AE78C2">
              <w:rPr>
                <w:color w:val="000000"/>
              </w:rPr>
              <w:t xml:space="preserve">Established and ongoing </w:t>
            </w:r>
          </w:p>
        </w:tc>
      </w:tr>
      <w:tr w:rsidR="00F7428E" w:rsidRPr="00AE78C2" w:rsidTr="008A25EC">
        <w:tc>
          <w:tcPr>
            <w:tcW w:w="2970" w:type="dxa"/>
            <w:gridSpan w:val="2"/>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ED09CE">
            <w:pPr>
              <w:rPr>
                <w:i/>
                <w:sz w:val="22"/>
                <w:szCs w:val="22"/>
              </w:rPr>
            </w:pPr>
            <w:r w:rsidRPr="00AE78C2">
              <w:rPr>
                <w:i/>
                <w:sz w:val="22"/>
                <w:szCs w:val="22"/>
              </w:rPr>
              <w:t>Other activities or descriptions:</w:t>
            </w:r>
          </w:p>
          <w:p w:rsidR="00B26820" w:rsidRPr="00AE78C2" w:rsidRDefault="00B26820" w:rsidP="00A63D6A">
            <w:pPr>
              <w:autoSpaceDE w:val="0"/>
              <w:autoSpaceDN w:val="0"/>
              <w:adjustRightInd w:val="0"/>
              <w:ind w:left="720"/>
              <w:rPr>
                <w:sz w:val="22"/>
                <w:szCs w:val="22"/>
              </w:rPr>
            </w:pPr>
          </w:p>
        </w:tc>
        <w:tc>
          <w:tcPr>
            <w:tcW w:w="2340" w:type="dxa"/>
            <w:tcBorders>
              <w:top w:val="nil"/>
              <w:left w:val="single" w:sz="4" w:space="0" w:color="auto"/>
              <w:bottom w:val="single" w:sz="4" w:space="0" w:color="auto"/>
              <w:right w:val="single" w:sz="4" w:space="0" w:color="auto"/>
            </w:tcBorders>
            <w:shd w:val="clear" w:color="auto" w:fill="auto"/>
          </w:tcPr>
          <w:p w:rsidR="00F7428E" w:rsidRPr="00AE78C2" w:rsidRDefault="00F7428E" w:rsidP="00125ACE">
            <w:pPr>
              <w:rPr>
                <w:sz w:val="22"/>
                <w:szCs w:val="22"/>
              </w:rPr>
            </w:pPr>
          </w:p>
        </w:tc>
      </w:tr>
      <w:tr w:rsidR="00F7428E" w:rsidRPr="00AE78C2" w:rsidTr="008A25EC">
        <w:tc>
          <w:tcPr>
            <w:tcW w:w="162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135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0"/>
                <w:numId w:val="5"/>
              </w:numPr>
              <w:rPr>
                <w:b/>
                <w:sz w:val="28"/>
                <w:szCs w:val="28"/>
              </w:rPr>
            </w:pPr>
            <w:r w:rsidRPr="00AE78C2">
              <w:rPr>
                <w:b/>
                <w:sz w:val="28"/>
                <w:szCs w:val="28"/>
              </w:rPr>
              <w:t xml:space="preserve">Identify at least 2 priority prevention targets for </w:t>
            </w:r>
            <w:r w:rsidRPr="00AE78C2">
              <w:rPr>
                <w:b/>
                <w:sz w:val="28"/>
                <w:szCs w:val="28"/>
              </w:rPr>
              <w:lastRenderedPageBreak/>
              <w:t>surveillance in support of the HHS HAI Action Plan</w:t>
            </w:r>
          </w:p>
        </w:tc>
        <w:tc>
          <w:tcPr>
            <w:tcW w:w="2340" w:type="dxa"/>
            <w:tcBorders>
              <w:top w:val="single" w:sz="4" w:space="0" w:color="auto"/>
              <w:left w:val="single" w:sz="4" w:space="0" w:color="auto"/>
              <w:bottom w:val="nil"/>
              <w:right w:val="single" w:sz="4" w:space="0" w:color="auto"/>
            </w:tcBorders>
            <w:shd w:val="clear" w:color="auto" w:fill="auto"/>
          </w:tcPr>
          <w:p w:rsidR="00F7428E" w:rsidRPr="00AE78C2" w:rsidRDefault="00F7428E" w:rsidP="00125ACE">
            <w:pPr>
              <w:rPr>
                <w:sz w:val="22"/>
                <w:szCs w:val="22"/>
              </w:rPr>
            </w:pP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F7428E" w:rsidRPr="00AE78C2" w:rsidRDefault="00F7428E" w:rsidP="009B7F2E">
            <w:pPr>
              <w:numPr>
                <w:ilvl w:val="0"/>
                <w:numId w:val="25"/>
              </w:numPr>
              <w:rPr>
                <w:b/>
                <w:sz w:val="22"/>
                <w:szCs w:val="22"/>
              </w:rPr>
            </w:pPr>
            <w:r w:rsidRPr="00AE78C2">
              <w:rPr>
                <w:b/>
                <w:szCs w:val="22"/>
              </w:rPr>
              <w:t>Central Line-associated Bloodstream Infections (CLABSI</w:t>
            </w:r>
            <w:proofErr w:type="gramStart"/>
            <w:r w:rsidRPr="00AE78C2">
              <w:rPr>
                <w:b/>
                <w:szCs w:val="22"/>
              </w:rPr>
              <w:t>)</w:t>
            </w:r>
            <w:proofErr w:type="gramEnd"/>
            <w:r w:rsidR="002220A9" w:rsidRPr="00AE78C2">
              <w:rPr>
                <w:b/>
                <w:szCs w:val="22"/>
              </w:rPr>
              <w:br/>
            </w:r>
            <w:r w:rsidR="002220A9" w:rsidRPr="00AE78C2">
              <w:rPr>
                <w:b/>
                <w:szCs w:val="22"/>
              </w:rPr>
              <w:br/>
            </w:r>
            <w:r w:rsidR="000338F3" w:rsidRPr="00AE78C2">
              <w:rPr>
                <w:color w:val="000000"/>
                <w:szCs w:val="22"/>
              </w:rPr>
              <w:t xml:space="preserve">All acute care hospital adult, pediatric and neonatal ICUSs </w:t>
            </w:r>
            <w:r w:rsidR="00E17070" w:rsidRPr="00AE78C2">
              <w:rPr>
                <w:color w:val="000000"/>
                <w:szCs w:val="22"/>
              </w:rPr>
              <w:t xml:space="preserve">are required to </w:t>
            </w:r>
            <w:r w:rsidR="000338F3" w:rsidRPr="00AE78C2">
              <w:rPr>
                <w:color w:val="000000"/>
                <w:szCs w:val="22"/>
              </w:rPr>
              <w:t>report CLASBI to NHSN</w:t>
            </w:r>
            <w:r w:rsidR="0045032A" w:rsidRPr="00AE78C2">
              <w:rPr>
                <w:color w:val="365F91"/>
                <w:szCs w:val="22"/>
              </w:rPr>
              <w:t>.</w:t>
            </w:r>
            <w:r w:rsidR="002220A9" w:rsidRPr="00AE78C2">
              <w:rPr>
                <w:b/>
                <w:szCs w:val="22"/>
              </w:rPr>
              <w:br/>
            </w:r>
          </w:p>
        </w:tc>
        <w:tc>
          <w:tcPr>
            <w:tcW w:w="2340" w:type="dxa"/>
            <w:tcBorders>
              <w:top w:val="nil"/>
              <w:left w:val="single" w:sz="4" w:space="0" w:color="auto"/>
              <w:bottom w:val="nil"/>
              <w:right w:val="single" w:sz="4" w:space="0" w:color="auto"/>
            </w:tcBorders>
            <w:shd w:val="clear" w:color="auto" w:fill="auto"/>
          </w:tcPr>
          <w:p w:rsidR="000338F3" w:rsidRPr="00AE78C2" w:rsidRDefault="000338F3" w:rsidP="000338F3">
            <w:pPr>
              <w:rPr>
                <w:color w:val="000000"/>
              </w:rPr>
            </w:pPr>
          </w:p>
          <w:p w:rsidR="000338F3" w:rsidRPr="00AE78C2" w:rsidRDefault="000338F3" w:rsidP="000338F3">
            <w:pPr>
              <w:rPr>
                <w:color w:val="000000"/>
              </w:rPr>
            </w:pPr>
          </w:p>
          <w:p w:rsidR="00F7428E" w:rsidRPr="00AE78C2" w:rsidRDefault="00904840" w:rsidP="00A63D6A">
            <w:pPr>
              <w:rPr>
                <w:color w:val="000000"/>
                <w:sz w:val="22"/>
                <w:szCs w:val="22"/>
              </w:rPr>
            </w:pPr>
            <w:r w:rsidRPr="00AE78C2">
              <w:rPr>
                <w:color w:val="000000"/>
              </w:rPr>
              <w:t xml:space="preserve">Ongoing since </w:t>
            </w:r>
            <w:r w:rsidR="000338F3" w:rsidRPr="00AE78C2">
              <w:rPr>
                <w:color w:val="000000"/>
              </w:rPr>
              <w:t>2008</w:t>
            </w:r>
            <w:r w:rsidRPr="00AE78C2">
              <w:rPr>
                <w:color w:val="000000"/>
              </w:rPr>
              <w:t xml:space="preserve"> </w:t>
            </w: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F7428E" w:rsidRPr="00AE78C2" w:rsidRDefault="00F7428E" w:rsidP="009B7F2E">
            <w:pPr>
              <w:numPr>
                <w:ilvl w:val="0"/>
                <w:numId w:val="25"/>
              </w:numPr>
              <w:rPr>
                <w:b/>
                <w:sz w:val="22"/>
                <w:szCs w:val="22"/>
              </w:rPr>
            </w:pPr>
            <w:r w:rsidRPr="00AE78C2">
              <w:rPr>
                <w:b/>
                <w:i/>
                <w:szCs w:val="22"/>
              </w:rPr>
              <w:t>Clostridium difficile</w:t>
            </w:r>
            <w:r w:rsidRPr="00AE78C2">
              <w:rPr>
                <w:b/>
                <w:szCs w:val="22"/>
              </w:rPr>
              <w:t xml:space="preserve"> Infections (CDI</w:t>
            </w:r>
            <w:proofErr w:type="gramStart"/>
            <w:r w:rsidRPr="00AE78C2">
              <w:rPr>
                <w:b/>
                <w:szCs w:val="22"/>
              </w:rPr>
              <w:t>)</w:t>
            </w:r>
            <w:proofErr w:type="gramEnd"/>
            <w:r w:rsidR="002220A9" w:rsidRPr="00AE78C2">
              <w:rPr>
                <w:b/>
                <w:szCs w:val="22"/>
              </w:rPr>
              <w:br/>
            </w:r>
            <w:r w:rsidR="002220A9" w:rsidRPr="00AE78C2">
              <w:rPr>
                <w:b/>
                <w:szCs w:val="22"/>
              </w:rPr>
              <w:br/>
            </w:r>
            <w:r w:rsidR="000338F3" w:rsidRPr="00AE78C2">
              <w:rPr>
                <w:color w:val="000000"/>
                <w:szCs w:val="22"/>
              </w:rPr>
              <w:t xml:space="preserve">All acute care hospitals are required to report </w:t>
            </w:r>
            <w:r w:rsidR="001A4F77" w:rsidRPr="00AE78C2">
              <w:rPr>
                <w:color w:val="000000"/>
                <w:szCs w:val="22"/>
              </w:rPr>
              <w:t xml:space="preserve">facility wide laboratory ID </w:t>
            </w:r>
            <w:r w:rsidR="00DF71D4" w:rsidRPr="00AE78C2">
              <w:rPr>
                <w:color w:val="000000"/>
                <w:szCs w:val="22"/>
              </w:rPr>
              <w:t xml:space="preserve">events </w:t>
            </w:r>
            <w:r w:rsidR="000338F3" w:rsidRPr="00AE78C2">
              <w:rPr>
                <w:color w:val="000000"/>
                <w:szCs w:val="22"/>
              </w:rPr>
              <w:t>to NHSN</w:t>
            </w:r>
            <w:r w:rsidR="00C86730" w:rsidRPr="00AE78C2">
              <w:rPr>
                <w:color w:val="000000"/>
                <w:szCs w:val="22"/>
              </w:rPr>
              <w:t>.</w:t>
            </w:r>
            <w:r w:rsidR="002220A9" w:rsidRPr="00AE78C2">
              <w:rPr>
                <w:b/>
                <w:szCs w:val="22"/>
              </w:rPr>
              <w:br/>
            </w:r>
          </w:p>
        </w:tc>
        <w:tc>
          <w:tcPr>
            <w:tcW w:w="2340" w:type="dxa"/>
            <w:tcBorders>
              <w:top w:val="nil"/>
              <w:left w:val="single" w:sz="4" w:space="0" w:color="auto"/>
              <w:bottom w:val="nil"/>
              <w:right w:val="single" w:sz="4" w:space="0" w:color="auto"/>
            </w:tcBorders>
            <w:shd w:val="clear" w:color="auto" w:fill="auto"/>
          </w:tcPr>
          <w:p w:rsidR="00F7428E" w:rsidRPr="00AE78C2" w:rsidRDefault="00904840" w:rsidP="000338F3">
            <w:pPr>
              <w:rPr>
                <w:color w:val="000000"/>
              </w:rPr>
            </w:pPr>
            <w:r w:rsidRPr="00AE78C2">
              <w:rPr>
                <w:color w:val="000000"/>
              </w:rPr>
              <w:t xml:space="preserve"> </w:t>
            </w:r>
          </w:p>
          <w:p w:rsidR="000338F3" w:rsidRPr="00AE78C2" w:rsidRDefault="000338F3" w:rsidP="000338F3">
            <w:pPr>
              <w:rPr>
                <w:color w:val="000000"/>
              </w:rPr>
            </w:pPr>
          </w:p>
          <w:p w:rsidR="000338F3" w:rsidRPr="00AE78C2" w:rsidRDefault="000338F3" w:rsidP="000338F3">
            <w:pPr>
              <w:rPr>
                <w:i/>
                <w:color w:val="000000"/>
                <w:sz w:val="22"/>
                <w:szCs w:val="22"/>
              </w:rPr>
            </w:pPr>
            <w:r w:rsidRPr="00AE78C2">
              <w:rPr>
                <w:color w:val="000000"/>
              </w:rPr>
              <w:t>Ongoing since 2014</w:t>
            </w: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F7428E" w:rsidRPr="00AE78C2" w:rsidRDefault="00F7428E" w:rsidP="009B7F2E">
            <w:pPr>
              <w:numPr>
                <w:ilvl w:val="0"/>
                <w:numId w:val="25"/>
              </w:numPr>
              <w:rPr>
                <w:b/>
                <w:szCs w:val="22"/>
              </w:rPr>
            </w:pPr>
            <w:r w:rsidRPr="00AE78C2">
              <w:rPr>
                <w:b/>
                <w:szCs w:val="22"/>
              </w:rPr>
              <w:t>Catheter-associated Urinary Tract Infections (CAUTI)</w:t>
            </w:r>
          </w:p>
          <w:p w:rsidR="00CD13B1" w:rsidRPr="00AE78C2" w:rsidRDefault="002220A9" w:rsidP="00CD13B1">
            <w:pPr>
              <w:ind w:left="900"/>
              <w:rPr>
                <w:color w:val="000000"/>
                <w:szCs w:val="22"/>
              </w:rPr>
            </w:pPr>
            <w:r w:rsidRPr="00AE78C2">
              <w:rPr>
                <w:color w:val="365F91"/>
              </w:rPr>
              <w:br/>
            </w:r>
            <w:r w:rsidR="00B67655" w:rsidRPr="00AE78C2">
              <w:rPr>
                <w:color w:val="000000"/>
                <w:szCs w:val="22"/>
              </w:rPr>
              <w:t>All acute care hospital</w:t>
            </w:r>
            <w:r w:rsidR="00CD13B1" w:rsidRPr="00AE78C2">
              <w:rPr>
                <w:color w:val="000000"/>
                <w:szCs w:val="22"/>
              </w:rPr>
              <w:t xml:space="preserve"> ICUs</w:t>
            </w:r>
            <w:r w:rsidR="00B67655" w:rsidRPr="00AE78C2">
              <w:rPr>
                <w:color w:val="000000"/>
                <w:szCs w:val="22"/>
              </w:rPr>
              <w:t xml:space="preserve"> are required to report </w:t>
            </w:r>
            <w:r w:rsidR="00C86730" w:rsidRPr="00AE78C2">
              <w:rPr>
                <w:color w:val="000000"/>
                <w:szCs w:val="22"/>
              </w:rPr>
              <w:t xml:space="preserve">CAUTI </w:t>
            </w:r>
            <w:r w:rsidR="00B67655" w:rsidRPr="00AE78C2">
              <w:rPr>
                <w:color w:val="000000"/>
                <w:szCs w:val="22"/>
              </w:rPr>
              <w:t>to NHSN</w:t>
            </w:r>
            <w:r w:rsidR="00CD13B1" w:rsidRPr="00AE78C2">
              <w:rPr>
                <w:color w:val="000000"/>
                <w:szCs w:val="22"/>
              </w:rPr>
              <w:t xml:space="preserve">.  </w:t>
            </w:r>
          </w:p>
          <w:p w:rsidR="0077208B" w:rsidRPr="00AE78C2" w:rsidRDefault="0077208B" w:rsidP="0077208B">
            <w:pPr>
              <w:ind w:left="900"/>
              <w:rPr>
                <w:color w:val="000000"/>
                <w:szCs w:val="22"/>
              </w:rPr>
            </w:pPr>
          </w:p>
          <w:p w:rsidR="00904840" w:rsidRPr="00AE78C2" w:rsidRDefault="00CD13B1" w:rsidP="0077208B">
            <w:pPr>
              <w:ind w:left="900"/>
              <w:rPr>
                <w:color w:val="365F91"/>
                <w:sz w:val="22"/>
                <w:szCs w:val="22"/>
              </w:rPr>
            </w:pPr>
            <w:r w:rsidRPr="00AE78C2">
              <w:rPr>
                <w:color w:val="000000"/>
                <w:szCs w:val="22"/>
              </w:rPr>
              <w:t xml:space="preserve">We </w:t>
            </w:r>
            <w:r w:rsidR="0077208B" w:rsidRPr="00AE78C2">
              <w:rPr>
                <w:color w:val="000000"/>
                <w:szCs w:val="22"/>
              </w:rPr>
              <w:t>plan</w:t>
            </w:r>
            <w:r w:rsidRPr="00AE78C2">
              <w:rPr>
                <w:color w:val="000000"/>
                <w:szCs w:val="22"/>
              </w:rPr>
              <w:t xml:space="preserve"> to expand this requirement to all adult</w:t>
            </w:r>
            <w:r w:rsidR="0077208B" w:rsidRPr="00AE78C2">
              <w:rPr>
                <w:color w:val="000000"/>
                <w:szCs w:val="22"/>
              </w:rPr>
              <w:t xml:space="preserve"> </w:t>
            </w:r>
            <w:r w:rsidRPr="00AE78C2">
              <w:rPr>
                <w:color w:val="000000"/>
                <w:szCs w:val="22"/>
              </w:rPr>
              <w:t>and pedi</w:t>
            </w:r>
            <w:r w:rsidR="0077208B" w:rsidRPr="00AE78C2">
              <w:rPr>
                <w:color w:val="000000"/>
                <w:szCs w:val="22"/>
              </w:rPr>
              <w:t>atric</w:t>
            </w:r>
            <w:r w:rsidRPr="00AE78C2">
              <w:rPr>
                <w:color w:val="000000"/>
                <w:szCs w:val="22"/>
              </w:rPr>
              <w:t xml:space="preserve"> medical, surgical and med</w:t>
            </w:r>
            <w:r w:rsidR="0077208B" w:rsidRPr="00AE78C2">
              <w:rPr>
                <w:color w:val="000000"/>
                <w:szCs w:val="22"/>
              </w:rPr>
              <w:t>ical</w:t>
            </w:r>
            <w:r w:rsidRPr="00AE78C2">
              <w:rPr>
                <w:color w:val="000000"/>
                <w:szCs w:val="22"/>
              </w:rPr>
              <w:t>/surg</w:t>
            </w:r>
            <w:r w:rsidR="0077208B" w:rsidRPr="00AE78C2">
              <w:rPr>
                <w:color w:val="000000"/>
                <w:szCs w:val="22"/>
              </w:rPr>
              <w:t>ical</w:t>
            </w:r>
            <w:r w:rsidRPr="00AE78C2">
              <w:rPr>
                <w:color w:val="000000"/>
                <w:szCs w:val="22"/>
              </w:rPr>
              <w:t xml:space="preserve"> wards.</w:t>
            </w:r>
            <w:r w:rsidRPr="00AE78C2">
              <w:rPr>
                <w:color w:val="365F91"/>
                <w:szCs w:val="22"/>
              </w:rPr>
              <w:t xml:space="preserve">   </w:t>
            </w:r>
          </w:p>
        </w:tc>
        <w:tc>
          <w:tcPr>
            <w:tcW w:w="2340" w:type="dxa"/>
            <w:tcBorders>
              <w:top w:val="nil"/>
              <w:left w:val="single" w:sz="4" w:space="0" w:color="auto"/>
              <w:bottom w:val="nil"/>
              <w:right w:val="single" w:sz="4" w:space="0" w:color="auto"/>
            </w:tcBorders>
            <w:shd w:val="clear" w:color="auto" w:fill="auto"/>
          </w:tcPr>
          <w:p w:rsidR="00904840" w:rsidRPr="00AE78C2" w:rsidRDefault="00904840" w:rsidP="00904840">
            <w:pPr>
              <w:rPr>
                <w:strike/>
                <w:color w:val="000000"/>
              </w:rPr>
            </w:pPr>
          </w:p>
          <w:p w:rsidR="00B67655" w:rsidRPr="00AE78C2" w:rsidRDefault="00B67655" w:rsidP="00904840">
            <w:pPr>
              <w:rPr>
                <w:strike/>
                <w:color w:val="000000"/>
              </w:rPr>
            </w:pPr>
          </w:p>
          <w:p w:rsidR="00CD13B1" w:rsidRPr="00AE78C2" w:rsidRDefault="00B67655" w:rsidP="00125ACE">
            <w:pPr>
              <w:rPr>
                <w:color w:val="000000"/>
              </w:rPr>
            </w:pPr>
            <w:r w:rsidRPr="00AE78C2">
              <w:rPr>
                <w:color w:val="000000"/>
              </w:rPr>
              <w:t>Ongoing since 2014</w:t>
            </w:r>
          </w:p>
          <w:p w:rsidR="00CD13B1" w:rsidRPr="00AE78C2" w:rsidRDefault="00CD13B1" w:rsidP="00CD13B1">
            <w:pPr>
              <w:rPr>
                <w:color w:val="000000"/>
              </w:rPr>
            </w:pPr>
          </w:p>
          <w:p w:rsidR="00CD13B1" w:rsidRPr="00AE78C2" w:rsidRDefault="00CD13B1" w:rsidP="00CD13B1">
            <w:pPr>
              <w:rPr>
                <w:color w:val="000000"/>
              </w:rPr>
            </w:pPr>
          </w:p>
          <w:p w:rsidR="00F7428E" w:rsidRPr="00AE78C2" w:rsidRDefault="0077208B" w:rsidP="00CD13B1">
            <w:pPr>
              <w:rPr>
                <w:color w:val="000000"/>
              </w:rPr>
            </w:pPr>
            <w:r w:rsidRPr="00AE78C2">
              <w:rPr>
                <w:color w:val="000000"/>
              </w:rPr>
              <w:t>2016</w:t>
            </w: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F7428E" w:rsidRPr="00AE78C2" w:rsidRDefault="00F7428E" w:rsidP="009B7F2E">
            <w:pPr>
              <w:numPr>
                <w:ilvl w:val="0"/>
                <w:numId w:val="25"/>
              </w:numPr>
              <w:rPr>
                <w:sz w:val="22"/>
                <w:szCs w:val="22"/>
              </w:rPr>
            </w:pPr>
            <w:r w:rsidRPr="00AE78C2">
              <w:rPr>
                <w:b/>
                <w:szCs w:val="22"/>
              </w:rPr>
              <w:t>Methicillin-resistant Staphylococcus aureus (MRSA</w:t>
            </w:r>
            <w:r w:rsidRPr="00AE78C2">
              <w:rPr>
                <w:sz w:val="22"/>
                <w:szCs w:val="22"/>
              </w:rPr>
              <w:t xml:space="preserve">) </w:t>
            </w:r>
            <w:r w:rsidRPr="00AE78C2">
              <w:rPr>
                <w:b/>
                <w:szCs w:val="22"/>
              </w:rPr>
              <w:t>Infections</w:t>
            </w:r>
          </w:p>
          <w:p w:rsidR="00B67655" w:rsidRPr="00AE78C2" w:rsidRDefault="00B67655" w:rsidP="0077208B">
            <w:pPr>
              <w:ind w:left="900"/>
              <w:rPr>
                <w:color w:val="000000"/>
                <w:sz w:val="22"/>
                <w:szCs w:val="22"/>
              </w:rPr>
            </w:pPr>
          </w:p>
          <w:p w:rsidR="00904840" w:rsidRPr="00AE78C2" w:rsidRDefault="00904840" w:rsidP="00B67655">
            <w:pPr>
              <w:ind w:left="900"/>
              <w:rPr>
                <w:color w:val="365F91"/>
                <w:sz w:val="22"/>
                <w:szCs w:val="22"/>
              </w:rPr>
            </w:pPr>
            <w:r w:rsidRPr="00AE78C2">
              <w:rPr>
                <w:color w:val="000000"/>
              </w:rPr>
              <w:t>Surveillance for invasive disease in place since 1999 will be enhanced by full ELR.</w:t>
            </w:r>
            <w:r w:rsidR="002220A9" w:rsidRPr="00AE78C2">
              <w:rPr>
                <w:color w:val="000000"/>
              </w:rPr>
              <w:br/>
            </w:r>
            <w:r w:rsidR="002220A9" w:rsidRPr="00AE78C2">
              <w:rPr>
                <w:color w:val="000000"/>
              </w:rPr>
              <w:br/>
            </w:r>
            <w:r w:rsidR="00DF71D4" w:rsidRPr="00AE78C2">
              <w:rPr>
                <w:color w:val="000000"/>
              </w:rPr>
              <w:t>All acute care hospitals are required to report facility wide laboratory ID events to NHSN</w:t>
            </w:r>
            <w:r w:rsidR="00A63D6A" w:rsidRPr="00AE78C2">
              <w:rPr>
                <w:color w:val="000000"/>
              </w:rPr>
              <w:t>.</w:t>
            </w:r>
            <w:r w:rsidR="002220A9" w:rsidRPr="00AE78C2">
              <w:rPr>
                <w:color w:val="365F91"/>
              </w:rPr>
              <w:br/>
            </w:r>
            <w:r w:rsidR="00E35BD3" w:rsidRPr="00AE78C2">
              <w:rPr>
                <w:color w:val="365F91"/>
                <w:sz w:val="22"/>
                <w:szCs w:val="22"/>
              </w:rPr>
              <w:br/>
            </w:r>
            <w:r w:rsidR="00E35BD3" w:rsidRPr="00AE78C2">
              <w:rPr>
                <w:color w:val="365F91"/>
                <w:sz w:val="22"/>
                <w:szCs w:val="22"/>
              </w:rPr>
              <w:br/>
            </w:r>
          </w:p>
        </w:tc>
        <w:tc>
          <w:tcPr>
            <w:tcW w:w="2340" w:type="dxa"/>
            <w:tcBorders>
              <w:top w:val="nil"/>
              <w:left w:val="single" w:sz="4" w:space="0" w:color="auto"/>
              <w:bottom w:val="nil"/>
              <w:right w:val="single" w:sz="4" w:space="0" w:color="auto"/>
            </w:tcBorders>
            <w:shd w:val="clear" w:color="auto" w:fill="auto"/>
          </w:tcPr>
          <w:p w:rsidR="00F7428E" w:rsidRPr="00AE78C2" w:rsidRDefault="00F7428E" w:rsidP="00B67655">
            <w:pPr>
              <w:rPr>
                <w:color w:val="365F91"/>
                <w:sz w:val="22"/>
                <w:szCs w:val="22"/>
              </w:rPr>
            </w:pPr>
          </w:p>
          <w:p w:rsidR="00B67655" w:rsidRPr="00AE78C2" w:rsidRDefault="00B67655" w:rsidP="00B67655">
            <w:pPr>
              <w:rPr>
                <w:color w:val="365F91"/>
                <w:sz w:val="22"/>
                <w:szCs w:val="22"/>
              </w:rPr>
            </w:pPr>
          </w:p>
          <w:p w:rsidR="00B67655" w:rsidRPr="00AE78C2" w:rsidRDefault="00B67655" w:rsidP="00B67655">
            <w:pPr>
              <w:rPr>
                <w:color w:val="365F91"/>
                <w:sz w:val="22"/>
                <w:szCs w:val="22"/>
              </w:rPr>
            </w:pPr>
          </w:p>
          <w:p w:rsidR="00DF71D4" w:rsidRPr="00AE78C2" w:rsidRDefault="00DF71D4" w:rsidP="00B67655">
            <w:pPr>
              <w:rPr>
                <w:color w:val="365F91"/>
              </w:rPr>
            </w:pPr>
          </w:p>
          <w:p w:rsidR="00DF71D4" w:rsidRPr="00AE78C2" w:rsidRDefault="00DF71D4" w:rsidP="00B67655">
            <w:pPr>
              <w:rPr>
                <w:color w:val="365F91"/>
              </w:rPr>
            </w:pPr>
          </w:p>
          <w:p w:rsidR="00B67655" w:rsidRPr="00AE78C2" w:rsidRDefault="00B67655" w:rsidP="00B67655">
            <w:pPr>
              <w:rPr>
                <w:color w:val="000000"/>
                <w:sz w:val="22"/>
                <w:szCs w:val="22"/>
              </w:rPr>
            </w:pPr>
            <w:r w:rsidRPr="00AE78C2">
              <w:rPr>
                <w:color w:val="000000"/>
              </w:rPr>
              <w:t>Ongoing since 2014</w:t>
            </w:r>
          </w:p>
        </w:tc>
      </w:tr>
      <w:tr w:rsidR="00F7428E" w:rsidRPr="00AE78C2" w:rsidTr="008A25EC">
        <w:tc>
          <w:tcPr>
            <w:tcW w:w="1620" w:type="dxa"/>
            <w:tcBorders>
              <w:top w:val="nil"/>
              <w:left w:val="single" w:sz="4" w:space="0" w:color="auto"/>
              <w:bottom w:val="nil"/>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A63D6A" w:rsidRPr="00AE78C2" w:rsidRDefault="00F7428E" w:rsidP="009B7F2E">
            <w:pPr>
              <w:numPr>
                <w:ilvl w:val="0"/>
                <w:numId w:val="25"/>
              </w:numPr>
              <w:rPr>
                <w:b/>
                <w:sz w:val="22"/>
                <w:szCs w:val="22"/>
              </w:rPr>
            </w:pPr>
            <w:r w:rsidRPr="00AE78C2">
              <w:rPr>
                <w:b/>
                <w:szCs w:val="22"/>
              </w:rPr>
              <w:t>Surgical Site Infections (SSI)</w:t>
            </w:r>
            <w:r w:rsidR="002220A9" w:rsidRPr="00AE78C2">
              <w:rPr>
                <w:b/>
                <w:szCs w:val="22"/>
              </w:rPr>
              <w:br/>
            </w:r>
          </w:p>
          <w:p w:rsidR="001A7619" w:rsidRPr="00AE78C2" w:rsidRDefault="00B67655" w:rsidP="0045032A">
            <w:pPr>
              <w:ind w:left="900"/>
              <w:rPr>
                <w:b/>
                <w:color w:val="000000"/>
                <w:sz w:val="22"/>
                <w:szCs w:val="22"/>
              </w:rPr>
            </w:pPr>
            <w:r w:rsidRPr="00AE78C2">
              <w:rPr>
                <w:color w:val="000000"/>
                <w:szCs w:val="22"/>
              </w:rPr>
              <w:t xml:space="preserve">All acute care hospitals are required to report to NHSN the </w:t>
            </w:r>
            <w:r w:rsidRPr="00AE78C2">
              <w:rPr>
                <w:color w:val="000000"/>
                <w:szCs w:val="22"/>
              </w:rPr>
              <w:lastRenderedPageBreak/>
              <w:t xml:space="preserve">following SSIs:  CABG, hip arthroplasty, knee arthroplasty, </w:t>
            </w:r>
            <w:r w:rsidR="003D0629" w:rsidRPr="00AE78C2">
              <w:rPr>
                <w:color w:val="000000"/>
                <w:szCs w:val="22"/>
              </w:rPr>
              <w:t xml:space="preserve">abdominal hysterectomy, </w:t>
            </w:r>
            <w:r w:rsidRPr="00AE78C2">
              <w:rPr>
                <w:color w:val="000000"/>
                <w:szCs w:val="22"/>
              </w:rPr>
              <w:t>vaginal hysterectomy, and colon procedures.</w:t>
            </w:r>
          </w:p>
        </w:tc>
        <w:tc>
          <w:tcPr>
            <w:tcW w:w="2340" w:type="dxa"/>
            <w:tcBorders>
              <w:top w:val="nil"/>
              <w:left w:val="single" w:sz="4" w:space="0" w:color="auto"/>
              <w:bottom w:val="nil"/>
              <w:right w:val="single" w:sz="4" w:space="0" w:color="auto"/>
            </w:tcBorders>
            <w:shd w:val="clear" w:color="auto" w:fill="auto"/>
          </w:tcPr>
          <w:p w:rsidR="00C86730" w:rsidRPr="00AE78C2" w:rsidRDefault="00C86730" w:rsidP="00B67655">
            <w:pPr>
              <w:rPr>
                <w:color w:val="365F91"/>
              </w:rPr>
            </w:pPr>
          </w:p>
          <w:p w:rsidR="00F12661" w:rsidRPr="00AE78C2" w:rsidRDefault="00904840" w:rsidP="00B67655">
            <w:pPr>
              <w:rPr>
                <w:color w:val="000000"/>
              </w:rPr>
            </w:pPr>
            <w:r w:rsidRPr="00AE78C2">
              <w:rPr>
                <w:color w:val="000000"/>
              </w:rPr>
              <w:t>Ongoing sinc</w:t>
            </w:r>
            <w:r w:rsidR="00B67655" w:rsidRPr="00AE78C2">
              <w:rPr>
                <w:color w:val="000000"/>
              </w:rPr>
              <w:t xml:space="preserve">e 2008 for </w:t>
            </w:r>
            <w:r w:rsidR="003910EB" w:rsidRPr="00AE78C2">
              <w:rPr>
                <w:color w:val="000000"/>
              </w:rPr>
              <w:t>CABG, hip</w:t>
            </w:r>
            <w:r w:rsidR="00F12661" w:rsidRPr="00AE78C2">
              <w:rPr>
                <w:color w:val="000000"/>
              </w:rPr>
              <w:t xml:space="preserve"> </w:t>
            </w:r>
            <w:r w:rsidR="00F12661" w:rsidRPr="00AE78C2">
              <w:rPr>
                <w:color w:val="000000"/>
              </w:rPr>
              <w:lastRenderedPageBreak/>
              <w:t>arthroplasty, knee arthroplasty,  abdominal hysterectomy, vaginal hysterectomy,</w:t>
            </w:r>
            <w:r w:rsidR="00C86730" w:rsidRPr="00AE78C2">
              <w:rPr>
                <w:color w:val="000000"/>
              </w:rPr>
              <w:t xml:space="preserve"> and</w:t>
            </w:r>
            <w:r w:rsidR="003910EB" w:rsidRPr="00AE78C2">
              <w:rPr>
                <w:color w:val="000000"/>
              </w:rPr>
              <w:t xml:space="preserve"> since</w:t>
            </w:r>
          </w:p>
          <w:p w:rsidR="00F7428E" w:rsidRPr="00AE78C2" w:rsidRDefault="00B67655" w:rsidP="00CB791B">
            <w:pPr>
              <w:rPr>
                <w:color w:val="365F91"/>
                <w:sz w:val="22"/>
                <w:szCs w:val="22"/>
              </w:rPr>
            </w:pPr>
            <w:r w:rsidRPr="00AE78C2">
              <w:rPr>
                <w:color w:val="000000"/>
              </w:rPr>
              <w:t>2014 for</w:t>
            </w:r>
            <w:r w:rsidR="0077208B" w:rsidRPr="00AE78C2">
              <w:rPr>
                <w:color w:val="000000"/>
              </w:rPr>
              <w:t xml:space="preserve"> </w:t>
            </w:r>
            <w:r w:rsidR="00F12661" w:rsidRPr="00AE78C2">
              <w:rPr>
                <w:color w:val="000000"/>
              </w:rPr>
              <w:t>colon procedures.</w:t>
            </w:r>
          </w:p>
        </w:tc>
      </w:tr>
      <w:tr w:rsidR="00F7428E" w:rsidRPr="00AE78C2" w:rsidTr="008A25EC">
        <w:tc>
          <w:tcPr>
            <w:tcW w:w="1620" w:type="dxa"/>
            <w:tcBorders>
              <w:top w:val="nil"/>
              <w:left w:val="single" w:sz="4" w:space="0" w:color="auto"/>
              <w:bottom w:val="single" w:sz="4" w:space="0" w:color="auto"/>
              <w:right w:val="single" w:sz="4" w:space="0" w:color="auto"/>
            </w:tcBorders>
            <w:shd w:val="clear" w:color="auto" w:fill="auto"/>
          </w:tcPr>
          <w:p w:rsidR="00F7428E" w:rsidRPr="00AE78C2" w:rsidRDefault="000E2951"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25"/>
              </w:numPr>
              <w:rPr>
                <w:b/>
                <w:szCs w:val="22"/>
              </w:rPr>
            </w:pPr>
            <w:r w:rsidRPr="00AE78C2">
              <w:rPr>
                <w:b/>
                <w:szCs w:val="22"/>
              </w:rPr>
              <w:t>Ventilator-associated Pneumonia (VAP)</w:t>
            </w:r>
          </w:p>
          <w:p w:rsidR="003D0629" w:rsidRPr="00AE78C2" w:rsidRDefault="003D0629" w:rsidP="003D0629">
            <w:pPr>
              <w:ind w:left="900"/>
              <w:rPr>
                <w:b/>
                <w:szCs w:val="22"/>
              </w:rPr>
            </w:pPr>
          </w:p>
          <w:p w:rsidR="00904840" w:rsidRPr="00AE78C2" w:rsidRDefault="00904840" w:rsidP="00EB7D91">
            <w:pPr>
              <w:ind w:left="900"/>
              <w:rPr>
                <w:color w:val="365F91"/>
              </w:rPr>
            </w:pPr>
            <w:r w:rsidRPr="00AE78C2">
              <w:rPr>
                <w:color w:val="000000"/>
              </w:rPr>
              <w:t>Preventive best practices</w:t>
            </w:r>
            <w:r w:rsidR="00D51777" w:rsidRPr="00AE78C2">
              <w:rPr>
                <w:color w:val="000000"/>
              </w:rPr>
              <w:t xml:space="preserve"> have been</w:t>
            </w:r>
            <w:r w:rsidRPr="00AE78C2">
              <w:rPr>
                <w:color w:val="000000"/>
              </w:rPr>
              <w:t xml:space="preserve"> identified. Further direction on metrics and targets will be guided by CDC and the TAG</w:t>
            </w:r>
            <w:r w:rsidRPr="00AE78C2">
              <w:rPr>
                <w:color w:val="365F91"/>
              </w:rPr>
              <w:t>.</w:t>
            </w:r>
          </w:p>
        </w:tc>
        <w:tc>
          <w:tcPr>
            <w:tcW w:w="2340" w:type="dxa"/>
            <w:tcBorders>
              <w:top w:val="nil"/>
              <w:left w:val="single" w:sz="4" w:space="0" w:color="auto"/>
              <w:bottom w:val="single" w:sz="4" w:space="0" w:color="auto"/>
              <w:right w:val="single" w:sz="4" w:space="0" w:color="auto"/>
            </w:tcBorders>
            <w:shd w:val="clear" w:color="auto" w:fill="auto"/>
          </w:tcPr>
          <w:p w:rsidR="00F7428E" w:rsidRPr="00AE78C2" w:rsidRDefault="00F7428E" w:rsidP="00125ACE">
            <w:pPr>
              <w:rPr>
                <w:sz w:val="22"/>
                <w:szCs w:val="22"/>
              </w:rPr>
            </w:pPr>
          </w:p>
        </w:tc>
      </w:tr>
      <w:tr w:rsidR="00F7428E" w:rsidRPr="00AE78C2" w:rsidTr="008A25EC">
        <w:tc>
          <w:tcPr>
            <w:tcW w:w="2970" w:type="dxa"/>
            <w:gridSpan w:val="2"/>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D05EA4">
            <w:pPr>
              <w:rPr>
                <w:i/>
                <w:sz w:val="22"/>
                <w:szCs w:val="22"/>
              </w:rPr>
            </w:pPr>
            <w:r w:rsidRPr="00AE78C2">
              <w:rPr>
                <w:i/>
                <w:sz w:val="22"/>
                <w:szCs w:val="22"/>
              </w:rPr>
              <w:t>Ot</w:t>
            </w:r>
            <w:r w:rsidR="00D05EA4" w:rsidRPr="00AE78C2">
              <w:rPr>
                <w:i/>
                <w:sz w:val="22"/>
                <w:szCs w:val="22"/>
              </w:rPr>
              <w:t>her activities or descriptions</w:t>
            </w:r>
            <w:r w:rsidRPr="00AE78C2">
              <w:rPr>
                <w:i/>
                <w:sz w:val="22"/>
                <w:szCs w:val="22"/>
              </w:rPr>
              <w:t>:</w:t>
            </w:r>
          </w:p>
          <w:p w:rsidR="0077208B" w:rsidRPr="00AE78C2" w:rsidRDefault="003D0629" w:rsidP="00EB7D91">
            <w:pPr>
              <w:ind w:left="342"/>
              <w:rPr>
                <w:color w:val="365F91"/>
              </w:rPr>
            </w:pPr>
            <w:r w:rsidRPr="00AE78C2">
              <w:rPr>
                <w:color w:val="000000"/>
              </w:rPr>
              <w:t>Massachusetts produces annually</w:t>
            </w:r>
            <w:r w:rsidR="0077208B" w:rsidRPr="00AE78C2">
              <w:rPr>
                <w:color w:val="000000"/>
              </w:rPr>
              <w:t xml:space="preserve"> a </w:t>
            </w:r>
            <w:r w:rsidRPr="00AE78C2">
              <w:rPr>
                <w:color w:val="000000"/>
              </w:rPr>
              <w:t>statewide hospital summary of HAI rates. The most recent report can be found at this link:</w:t>
            </w:r>
            <w:r w:rsidR="00AC190B" w:rsidRPr="00AE78C2">
              <w:rPr>
                <w:color w:val="000000"/>
              </w:rPr>
              <w:t xml:space="preserve"> </w:t>
            </w:r>
            <w:hyperlink r:id="rId14" w:history="1">
              <w:r w:rsidR="0077208B" w:rsidRPr="00AE78C2">
                <w:rPr>
                  <w:rStyle w:val="Hyperlink"/>
                </w:rPr>
                <w:t>http://www.mass.gov/eohhs/gov/departments/dph/programs/hcq/healthcare-quality/health-care-faci</w:t>
              </w:r>
              <w:r w:rsidR="0077208B" w:rsidRPr="00AE78C2">
                <w:rPr>
                  <w:rStyle w:val="Hyperlink"/>
                </w:rPr>
                <w:t>l</w:t>
              </w:r>
              <w:r w:rsidR="0077208B" w:rsidRPr="00AE78C2">
                <w:rPr>
                  <w:rStyle w:val="Hyperlink"/>
                </w:rPr>
                <w:t>ities/hospitals/h</w:t>
              </w:r>
              <w:r w:rsidR="0077208B" w:rsidRPr="00AE78C2">
                <w:rPr>
                  <w:rStyle w:val="Hyperlink"/>
                </w:rPr>
                <w:t>e</w:t>
              </w:r>
              <w:r w:rsidR="0077208B" w:rsidRPr="00AE78C2">
                <w:rPr>
                  <w:rStyle w:val="Hyperlink"/>
                </w:rPr>
                <w:t>althcare-assoc-infections/healthcare-associated-infections-reports.html</w:t>
              </w:r>
            </w:hyperlink>
          </w:p>
          <w:p w:rsidR="00C86730" w:rsidRPr="00AE78C2" w:rsidRDefault="00C86730" w:rsidP="00D05EA4">
            <w:pPr>
              <w:rPr>
                <w:color w:val="365F91"/>
              </w:rPr>
            </w:pPr>
          </w:p>
          <w:p w:rsidR="00EB7D91" w:rsidRPr="00AE78C2" w:rsidRDefault="00C86730" w:rsidP="00A63D6A">
            <w:pPr>
              <w:ind w:left="342"/>
              <w:rPr>
                <w:i/>
                <w:color w:val="000000"/>
                <w:sz w:val="22"/>
                <w:szCs w:val="22"/>
              </w:rPr>
            </w:pPr>
            <w:r w:rsidRPr="00AE78C2">
              <w:rPr>
                <w:color w:val="000000"/>
              </w:rPr>
              <w:t xml:space="preserve">MDPH works closely with key collaborators including the Massachusetts </w:t>
            </w:r>
            <w:r w:rsidR="0096665E" w:rsidRPr="00AE78C2">
              <w:rPr>
                <w:color w:val="000000"/>
              </w:rPr>
              <w:t xml:space="preserve">Health and </w:t>
            </w:r>
            <w:r w:rsidRPr="00AE78C2">
              <w:rPr>
                <w:color w:val="000000"/>
              </w:rPr>
              <w:t xml:space="preserve">Hospital Association and Healthcentrics, the New England Quality Improvement </w:t>
            </w:r>
            <w:r w:rsidR="00A63D6A" w:rsidRPr="00AE78C2">
              <w:rPr>
                <w:color w:val="000000"/>
              </w:rPr>
              <w:t>Organization</w:t>
            </w:r>
            <w:r w:rsidR="00545117" w:rsidRPr="00AE78C2">
              <w:rPr>
                <w:color w:val="000000"/>
              </w:rPr>
              <w:t>,</w:t>
            </w:r>
            <w:r w:rsidRPr="00AE78C2">
              <w:rPr>
                <w:color w:val="000000"/>
              </w:rPr>
              <w:t xml:space="preserve"> to promote alignment of goals and avoid duplication of efforts.</w:t>
            </w:r>
          </w:p>
        </w:tc>
        <w:tc>
          <w:tcPr>
            <w:tcW w:w="2340" w:type="dxa"/>
            <w:tcBorders>
              <w:top w:val="nil"/>
              <w:left w:val="single" w:sz="4" w:space="0" w:color="auto"/>
              <w:bottom w:val="single" w:sz="4" w:space="0" w:color="auto"/>
              <w:right w:val="single" w:sz="4" w:space="0" w:color="auto"/>
            </w:tcBorders>
            <w:shd w:val="clear" w:color="auto" w:fill="auto"/>
          </w:tcPr>
          <w:p w:rsidR="00F7428E" w:rsidRPr="00AE78C2" w:rsidRDefault="00F7428E" w:rsidP="00125ACE">
            <w:pPr>
              <w:rPr>
                <w:sz w:val="22"/>
                <w:szCs w:val="22"/>
              </w:rPr>
            </w:pPr>
          </w:p>
        </w:tc>
      </w:tr>
      <w:tr w:rsidR="00F7428E" w:rsidRPr="00AE78C2" w:rsidTr="008A25EC">
        <w:trPr>
          <w:cantSplit/>
        </w:trPr>
        <w:tc>
          <w:tcPr>
            <w:tcW w:w="1620" w:type="dxa"/>
            <w:tcBorders>
              <w:top w:val="nil"/>
              <w:left w:val="single" w:sz="4" w:space="0" w:color="auto"/>
              <w:bottom w:val="single" w:sz="4" w:space="0" w:color="auto"/>
              <w:right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E35BD3" w:rsidRPr="00AE78C2" w:rsidRDefault="00E35BD3" w:rsidP="006B742F">
            <w:pPr>
              <w:jc w:val="center"/>
              <w:rPr>
                <w:sz w:val="22"/>
                <w:szCs w:val="22"/>
              </w:rPr>
            </w:pPr>
          </w:p>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C11A2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single" w:sz="4" w:space="0" w:color="auto"/>
              <w:right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E35BD3" w:rsidRPr="00AE78C2" w:rsidRDefault="00E35BD3" w:rsidP="006B742F">
            <w:pPr>
              <w:jc w:val="center"/>
              <w:rPr>
                <w:sz w:val="22"/>
                <w:szCs w:val="22"/>
              </w:rPr>
            </w:pPr>
          </w:p>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E35BD3" w:rsidRPr="00AE78C2" w:rsidRDefault="00E35BD3" w:rsidP="006B742F">
            <w:pPr>
              <w:jc w:val="center"/>
              <w:rPr>
                <w:sz w:val="22"/>
                <w:szCs w:val="22"/>
              </w:rPr>
            </w:pPr>
          </w:p>
          <w:p w:rsidR="00E35BD3" w:rsidRPr="00AE78C2" w:rsidRDefault="00E35BD3"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single" w:sz="4" w:space="0" w:color="auto"/>
              <w:right w:val="single" w:sz="4" w:space="0" w:color="auto"/>
            </w:tcBorders>
            <w:shd w:val="clear" w:color="auto" w:fill="auto"/>
          </w:tcPr>
          <w:p w:rsidR="00976F1C" w:rsidRPr="00AE78C2" w:rsidRDefault="00976F1C" w:rsidP="009B7F2E">
            <w:pPr>
              <w:numPr>
                <w:ilvl w:val="0"/>
                <w:numId w:val="42"/>
              </w:numPr>
              <w:autoSpaceDE w:val="0"/>
              <w:autoSpaceDN w:val="0"/>
              <w:adjustRightInd w:val="0"/>
              <w:rPr>
                <w:b/>
                <w:sz w:val="28"/>
                <w:szCs w:val="22"/>
              </w:rPr>
            </w:pPr>
            <w:r w:rsidRPr="00AE78C2">
              <w:rPr>
                <w:b/>
                <w:sz w:val="28"/>
                <w:szCs w:val="28"/>
              </w:rPr>
              <w:t xml:space="preserve">Adopt national standards for data and technology to track HAIs (e.g., NHSN).  </w:t>
            </w:r>
          </w:p>
          <w:p w:rsidR="00F7428E" w:rsidRPr="00AE78C2" w:rsidRDefault="00F7428E" w:rsidP="009B7F2E">
            <w:pPr>
              <w:numPr>
                <w:ilvl w:val="0"/>
                <w:numId w:val="16"/>
              </w:numPr>
              <w:autoSpaceDE w:val="0"/>
              <w:autoSpaceDN w:val="0"/>
              <w:adjustRightInd w:val="0"/>
              <w:rPr>
                <w:b/>
                <w:szCs w:val="22"/>
              </w:rPr>
            </w:pPr>
            <w:r w:rsidRPr="00AE78C2">
              <w:rPr>
                <w:b/>
                <w:szCs w:val="22"/>
              </w:rPr>
              <w:t>Develop metrics to measure progress towards national goals (align with targeted state goals). (See Appendix 1).</w:t>
            </w:r>
          </w:p>
          <w:p w:rsidR="00976F1C" w:rsidRPr="00AE78C2" w:rsidRDefault="00976F1C" w:rsidP="00976F1C">
            <w:pPr>
              <w:autoSpaceDE w:val="0"/>
              <w:autoSpaceDN w:val="0"/>
              <w:adjustRightInd w:val="0"/>
              <w:ind w:left="900"/>
              <w:rPr>
                <w:b/>
                <w:szCs w:val="22"/>
              </w:rPr>
            </w:pPr>
          </w:p>
          <w:p w:rsidR="00976F1C" w:rsidRPr="00AE78C2" w:rsidRDefault="00976F1C" w:rsidP="00976F1C">
            <w:pPr>
              <w:autoSpaceDE w:val="0"/>
              <w:autoSpaceDN w:val="0"/>
              <w:adjustRightInd w:val="0"/>
              <w:ind w:left="900"/>
              <w:rPr>
                <w:color w:val="000000"/>
                <w:szCs w:val="22"/>
              </w:rPr>
            </w:pPr>
            <w:r w:rsidRPr="00AE78C2">
              <w:rPr>
                <w:color w:val="000000"/>
                <w:szCs w:val="22"/>
              </w:rPr>
              <w:t>MDPH’s ultimate goal is to eliminate all preventable HAIs</w:t>
            </w:r>
            <w:r w:rsidR="00A63D6A" w:rsidRPr="00AE78C2">
              <w:rPr>
                <w:color w:val="000000"/>
                <w:szCs w:val="22"/>
              </w:rPr>
              <w:t>.</w:t>
            </w:r>
            <w:r w:rsidR="00AF1D15" w:rsidRPr="00AE78C2">
              <w:rPr>
                <w:color w:val="000000"/>
                <w:szCs w:val="22"/>
              </w:rPr>
              <w:t xml:space="preserve">  Metrics are based on infection rates and SIRs established using the most recent available NHSN baselines, risk adjusted where appropriate. </w:t>
            </w:r>
          </w:p>
          <w:p w:rsidR="00976F1C" w:rsidRPr="00AE78C2" w:rsidRDefault="00976F1C" w:rsidP="00976F1C">
            <w:pPr>
              <w:autoSpaceDE w:val="0"/>
              <w:autoSpaceDN w:val="0"/>
              <w:adjustRightInd w:val="0"/>
              <w:rPr>
                <w:b/>
                <w:szCs w:val="22"/>
              </w:rPr>
            </w:pPr>
          </w:p>
          <w:p w:rsidR="00976F1C" w:rsidRPr="00AE78C2" w:rsidRDefault="00976F1C" w:rsidP="009B7F2E">
            <w:pPr>
              <w:numPr>
                <w:ilvl w:val="0"/>
                <w:numId w:val="16"/>
              </w:numPr>
              <w:autoSpaceDE w:val="0"/>
              <w:autoSpaceDN w:val="0"/>
              <w:adjustRightInd w:val="0"/>
              <w:rPr>
                <w:b/>
                <w:szCs w:val="22"/>
              </w:rPr>
            </w:pPr>
            <w:r w:rsidRPr="00AE78C2">
              <w:rPr>
                <w:b/>
                <w:szCs w:val="22"/>
              </w:rPr>
              <w:t>Establish baseline measurements for prevention targets.</w:t>
            </w:r>
          </w:p>
          <w:p w:rsidR="00976F1C" w:rsidRPr="00AE78C2" w:rsidRDefault="00976F1C" w:rsidP="00976F1C">
            <w:pPr>
              <w:autoSpaceDE w:val="0"/>
              <w:autoSpaceDN w:val="0"/>
              <w:adjustRightInd w:val="0"/>
              <w:ind w:left="882"/>
              <w:rPr>
                <w:color w:val="365F91"/>
                <w:szCs w:val="22"/>
              </w:rPr>
            </w:pPr>
          </w:p>
          <w:p w:rsidR="00976F1C" w:rsidRPr="00AE78C2" w:rsidRDefault="00976F1C" w:rsidP="005718F2">
            <w:pPr>
              <w:autoSpaceDE w:val="0"/>
              <w:autoSpaceDN w:val="0"/>
              <w:adjustRightInd w:val="0"/>
              <w:spacing w:after="120"/>
              <w:ind w:left="878"/>
              <w:rPr>
                <w:color w:val="000000"/>
                <w:szCs w:val="22"/>
              </w:rPr>
            </w:pPr>
            <w:r w:rsidRPr="00AE78C2">
              <w:rPr>
                <w:color w:val="000000"/>
                <w:szCs w:val="22"/>
              </w:rPr>
              <w:t>The following targets have been established</w:t>
            </w:r>
            <w:r w:rsidR="00D636D9" w:rsidRPr="00AE78C2">
              <w:rPr>
                <w:color w:val="000000"/>
                <w:szCs w:val="22"/>
              </w:rPr>
              <w:t>, with targets based on national reduction goals</w:t>
            </w:r>
            <w:r w:rsidRPr="00AE78C2">
              <w:rPr>
                <w:color w:val="000000"/>
                <w:szCs w:val="22"/>
              </w:rPr>
              <w:t>:</w:t>
            </w:r>
          </w:p>
          <w:p w:rsidR="00976F1C" w:rsidRPr="00AE78C2" w:rsidRDefault="00976F1C" w:rsidP="005718F2">
            <w:pPr>
              <w:pStyle w:val="NormalWeb"/>
              <w:spacing w:before="0" w:beforeAutospacing="0" w:after="120" w:afterAutospacing="0"/>
              <w:ind w:left="878"/>
              <w:rPr>
                <w:color w:val="000000"/>
              </w:rPr>
            </w:pPr>
            <w:r w:rsidRPr="00AE78C2">
              <w:rPr>
                <w:color w:val="000000"/>
              </w:rPr>
              <w:t>Reduce the CLABSI SIR by at least 50% from baseline or to zero in ICU and other locations</w:t>
            </w:r>
            <w:r w:rsidRPr="00AE78C2" w:rsidDel="00DF0F6F">
              <w:rPr>
                <w:color w:val="000000"/>
              </w:rPr>
              <w:t xml:space="preserve"> </w:t>
            </w:r>
          </w:p>
          <w:p w:rsidR="00976F1C" w:rsidRPr="00AE78C2" w:rsidRDefault="00976F1C" w:rsidP="005718F2">
            <w:pPr>
              <w:pStyle w:val="NormalWeb"/>
              <w:spacing w:before="0" w:beforeAutospacing="0" w:after="120" w:afterAutospacing="0"/>
              <w:ind w:left="878"/>
              <w:rPr>
                <w:color w:val="000000"/>
              </w:rPr>
            </w:pPr>
            <w:r w:rsidRPr="00AE78C2">
              <w:rPr>
                <w:color w:val="000000"/>
              </w:rPr>
              <w:t xml:space="preserve">MDPH provides analysis of CLABSI data that includes comparison to both state and national baseline data. </w:t>
            </w:r>
          </w:p>
          <w:p w:rsidR="00976F1C" w:rsidRPr="00AE78C2" w:rsidRDefault="00976F1C" w:rsidP="005718F2">
            <w:pPr>
              <w:pStyle w:val="NormalWeb"/>
              <w:spacing w:before="0" w:beforeAutospacing="0" w:after="120" w:afterAutospacing="0"/>
              <w:ind w:left="878"/>
              <w:rPr>
                <w:color w:val="000000"/>
              </w:rPr>
            </w:pPr>
            <w:r w:rsidRPr="00AE78C2">
              <w:rPr>
                <w:color w:val="000000"/>
              </w:rPr>
              <w:t>Reduce the CAUTI SIR by at least 25% from baseline or to zero in ICU and other locations</w:t>
            </w:r>
          </w:p>
          <w:p w:rsidR="00AF1D15" w:rsidRPr="00AE78C2" w:rsidRDefault="00976F1C" w:rsidP="005718F2">
            <w:pPr>
              <w:autoSpaceDE w:val="0"/>
              <w:autoSpaceDN w:val="0"/>
              <w:adjustRightInd w:val="0"/>
              <w:spacing w:after="120"/>
              <w:ind w:left="878"/>
              <w:rPr>
                <w:color w:val="000000"/>
              </w:rPr>
            </w:pPr>
            <w:r w:rsidRPr="00AE78C2">
              <w:rPr>
                <w:color w:val="000000"/>
              </w:rPr>
              <w:t>Reduce the admission and readmission SSI SIR by at least 25% from baseline or to zero</w:t>
            </w:r>
          </w:p>
          <w:p w:rsidR="00976F1C" w:rsidRPr="00AE78C2" w:rsidRDefault="00976F1C" w:rsidP="005718F2">
            <w:pPr>
              <w:autoSpaceDE w:val="0"/>
              <w:autoSpaceDN w:val="0"/>
              <w:adjustRightInd w:val="0"/>
              <w:spacing w:after="120"/>
              <w:ind w:left="878"/>
              <w:rPr>
                <w:color w:val="000000"/>
              </w:rPr>
            </w:pPr>
            <w:r w:rsidRPr="00AE78C2">
              <w:rPr>
                <w:color w:val="000000"/>
              </w:rPr>
              <w:t>Reduce the facility-wide healthcare facility-onset MRSA bacteremia LabID event SIR by at least 25% from baseline or to zero</w:t>
            </w:r>
          </w:p>
          <w:p w:rsidR="00976F1C" w:rsidRPr="00AE78C2" w:rsidRDefault="00976F1C" w:rsidP="00A8512C">
            <w:pPr>
              <w:autoSpaceDE w:val="0"/>
              <w:autoSpaceDN w:val="0"/>
              <w:adjustRightInd w:val="0"/>
              <w:spacing w:after="120"/>
              <w:ind w:left="882"/>
              <w:rPr>
                <w:color w:val="365F91"/>
              </w:rPr>
            </w:pPr>
            <w:r w:rsidRPr="00AE78C2">
              <w:rPr>
                <w:color w:val="000000"/>
              </w:rPr>
              <w:t>Reduce the facility-wide healthcare facility-onset C. difficile LabID event SIR by at least 30% from baseline or to zero</w:t>
            </w:r>
          </w:p>
        </w:tc>
        <w:tc>
          <w:tcPr>
            <w:tcW w:w="2340" w:type="dxa"/>
            <w:tcBorders>
              <w:top w:val="nil"/>
              <w:left w:val="single" w:sz="4" w:space="0" w:color="auto"/>
              <w:bottom w:val="single" w:sz="4" w:space="0" w:color="auto"/>
              <w:right w:val="single" w:sz="4" w:space="0" w:color="auto"/>
            </w:tcBorders>
            <w:shd w:val="clear" w:color="auto" w:fill="auto"/>
          </w:tcPr>
          <w:p w:rsidR="005844AA" w:rsidRPr="00AE78C2" w:rsidRDefault="003D0629" w:rsidP="005844AA">
            <w:pPr>
              <w:autoSpaceDE w:val="0"/>
              <w:autoSpaceDN w:val="0"/>
              <w:adjustRightInd w:val="0"/>
              <w:rPr>
                <w:color w:val="365F91"/>
              </w:rPr>
            </w:pPr>
            <w:r w:rsidRPr="00AE78C2">
              <w:rPr>
                <w:color w:val="365F91"/>
              </w:rPr>
              <w:t xml:space="preserve"> </w:t>
            </w:r>
          </w:p>
          <w:p w:rsidR="00F7428E" w:rsidRPr="00AE78C2" w:rsidRDefault="00F7428E" w:rsidP="006B742F">
            <w:pPr>
              <w:autoSpaceDE w:val="0"/>
              <w:autoSpaceDN w:val="0"/>
              <w:adjustRightInd w:val="0"/>
              <w:rPr>
                <w:color w:val="365F91"/>
                <w:sz w:val="22"/>
                <w:szCs w:val="22"/>
              </w:rPr>
            </w:pPr>
          </w:p>
          <w:p w:rsidR="003D0629" w:rsidRPr="00AE78C2" w:rsidRDefault="003D0629" w:rsidP="006B742F">
            <w:pPr>
              <w:autoSpaceDE w:val="0"/>
              <w:autoSpaceDN w:val="0"/>
              <w:adjustRightInd w:val="0"/>
              <w:rPr>
                <w:color w:val="365F91"/>
                <w:sz w:val="22"/>
                <w:szCs w:val="22"/>
              </w:rPr>
            </w:pPr>
          </w:p>
          <w:p w:rsidR="00976F1C" w:rsidRPr="00AE78C2" w:rsidRDefault="00976F1C" w:rsidP="00EB7D91">
            <w:pPr>
              <w:autoSpaceDE w:val="0"/>
              <w:autoSpaceDN w:val="0"/>
              <w:adjustRightInd w:val="0"/>
              <w:rPr>
                <w:color w:val="365F91"/>
                <w:sz w:val="22"/>
                <w:szCs w:val="22"/>
              </w:rPr>
            </w:pPr>
          </w:p>
          <w:p w:rsidR="00976F1C" w:rsidRPr="00AE78C2" w:rsidRDefault="00976F1C" w:rsidP="00EB7D91">
            <w:pPr>
              <w:autoSpaceDE w:val="0"/>
              <w:autoSpaceDN w:val="0"/>
              <w:adjustRightInd w:val="0"/>
              <w:rPr>
                <w:color w:val="365F91"/>
                <w:sz w:val="22"/>
                <w:szCs w:val="22"/>
              </w:rPr>
            </w:pPr>
          </w:p>
          <w:p w:rsidR="00A63D6A" w:rsidRPr="00AE78C2" w:rsidRDefault="00A63D6A" w:rsidP="00EB7D91">
            <w:pPr>
              <w:autoSpaceDE w:val="0"/>
              <w:autoSpaceDN w:val="0"/>
              <w:adjustRightInd w:val="0"/>
              <w:rPr>
                <w:color w:val="365F91"/>
                <w:sz w:val="22"/>
                <w:szCs w:val="22"/>
              </w:rPr>
            </w:pPr>
          </w:p>
          <w:p w:rsidR="0045032A" w:rsidRPr="00AE78C2" w:rsidRDefault="0045032A" w:rsidP="00EB7D91">
            <w:pPr>
              <w:autoSpaceDE w:val="0"/>
              <w:autoSpaceDN w:val="0"/>
              <w:adjustRightInd w:val="0"/>
              <w:rPr>
                <w:color w:val="365F91"/>
              </w:rPr>
            </w:pPr>
          </w:p>
          <w:p w:rsidR="0045032A" w:rsidRPr="00AE78C2" w:rsidRDefault="0045032A" w:rsidP="00EB7D91">
            <w:pPr>
              <w:autoSpaceDE w:val="0"/>
              <w:autoSpaceDN w:val="0"/>
              <w:adjustRightInd w:val="0"/>
              <w:rPr>
                <w:color w:val="365F91"/>
              </w:rPr>
            </w:pPr>
          </w:p>
          <w:p w:rsidR="0045032A" w:rsidRPr="00AE78C2" w:rsidRDefault="0045032A" w:rsidP="00EB7D91">
            <w:pPr>
              <w:autoSpaceDE w:val="0"/>
              <w:autoSpaceDN w:val="0"/>
              <w:adjustRightInd w:val="0"/>
              <w:rPr>
                <w:color w:val="365F91"/>
              </w:rPr>
            </w:pPr>
          </w:p>
          <w:p w:rsidR="0045032A" w:rsidRPr="00AE78C2" w:rsidRDefault="0045032A" w:rsidP="00EB7D91">
            <w:pPr>
              <w:autoSpaceDE w:val="0"/>
              <w:autoSpaceDN w:val="0"/>
              <w:adjustRightInd w:val="0"/>
              <w:rPr>
                <w:color w:val="365F91"/>
              </w:rPr>
            </w:pPr>
          </w:p>
          <w:p w:rsidR="00042AC7" w:rsidRPr="00AE78C2" w:rsidRDefault="00042AC7" w:rsidP="00EB7D91">
            <w:pPr>
              <w:autoSpaceDE w:val="0"/>
              <w:autoSpaceDN w:val="0"/>
              <w:adjustRightInd w:val="0"/>
              <w:rPr>
                <w:color w:val="365F91"/>
              </w:rPr>
            </w:pPr>
          </w:p>
          <w:p w:rsidR="00042AC7" w:rsidRPr="00AE78C2" w:rsidRDefault="00042AC7" w:rsidP="00EB7D91">
            <w:pPr>
              <w:autoSpaceDE w:val="0"/>
              <w:autoSpaceDN w:val="0"/>
              <w:adjustRightInd w:val="0"/>
              <w:rPr>
                <w:color w:val="365F91"/>
              </w:rPr>
            </w:pPr>
          </w:p>
          <w:p w:rsidR="00042AC7" w:rsidRPr="00AE78C2" w:rsidRDefault="00042AC7" w:rsidP="00EB7D91">
            <w:pPr>
              <w:autoSpaceDE w:val="0"/>
              <w:autoSpaceDN w:val="0"/>
              <w:adjustRightInd w:val="0"/>
              <w:rPr>
                <w:color w:val="365F91"/>
              </w:rPr>
            </w:pPr>
          </w:p>
          <w:p w:rsidR="00EB7D91" w:rsidRPr="00AE78C2" w:rsidRDefault="005844AA" w:rsidP="00EB7D91">
            <w:pPr>
              <w:autoSpaceDE w:val="0"/>
              <w:autoSpaceDN w:val="0"/>
              <w:adjustRightInd w:val="0"/>
              <w:rPr>
                <w:color w:val="000000"/>
              </w:rPr>
            </w:pPr>
            <w:r w:rsidRPr="00AE78C2">
              <w:rPr>
                <w:color w:val="000000"/>
              </w:rPr>
              <w:t>Ongoing</w:t>
            </w:r>
          </w:p>
        </w:tc>
      </w:tr>
      <w:tr w:rsidR="00A8512C" w:rsidRPr="00AE78C2" w:rsidTr="00A8512C">
        <w:tc>
          <w:tcPr>
            <w:tcW w:w="1620" w:type="dxa"/>
            <w:tcBorders>
              <w:top w:val="single" w:sz="4" w:space="0" w:color="auto"/>
              <w:left w:val="single" w:sz="4" w:space="0" w:color="auto"/>
              <w:bottom w:val="single" w:sz="4" w:space="0" w:color="auto"/>
              <w:right w:val="single" w:sz="4" w:space="0" w:color="auto"/>
            </w:tcBorders>
            <w:shd w:val="clear" w:color="auto" w:fill="auto"/>
          </w:tcPr>
          <w:p w:rsidR="00A8512C" w:rsidRPr="00AE78C2" w:rsidRDefault="00A8512C" w:rsidP="006B742F">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8512C" w:rsidRPr="00AE78C2" w:rsidRDefault="00A8512C" w:rsidP="006B742F">
            <w:pPr>
              <w:jc w:val="center"/>
              <w:rPr>
                <w:sz w:val="22"/>
                <w:szCs w:val="22"/>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A8512C" w:rsidRPr="00AE78C2" w:rsidRDefault="00A8512C" w:rsidP="00A8512C">
            <w:pPr>
              <w:ind w:left="882"/>
              <w:rPr>
                <w:i/>
                <w:color w:val="000000"/>
                <w:sz w:val="22"/>
                <w:szCs w:val="22"/>
              </w:rPr>
            </w:pPr>
            <w:r w:rsidRPr="00AE78C2">
              <w:rPr>
                <w:color w:val="000000"/>
              </w:rPr>
              <w:t xml:space="preserve">MDPH will select further targets in conjunction with the TAG, and as CDC and the US Department of Health and Human Services </w:t>
            </w:r>
            <w:proofErr w:type="gramStart"/>
            <w:r w:rsidRPr="00AE78C2">
              <w:rPr>
                <w:color w:val="000000"/>
              </w:rPr>
              <w:t>identify</w:t>
            </w:r>
            <w:proofErr w:type="gramEnd"/>
            <w:r w:rsidRPr="00AE78C2">
              <w:rPr>
                <w:color w:val="000000"/>
              </w:rPr>
              <w:t xml:space="preserve"> new and enhanced prevention goals.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A8512C" w:rsidRPr="00AE78C2" w:rsidRDefault="00A8512C" w:rsidP="005844AA">
            <w:pPr>
              <w:autoSpaceDE w:val="0"/>
              <w:autoSpaceDN w:val="0"/>
              <w:adjustRightInd w:val="0"/>
            </w:pPr>
          </w:p>
        </w:tc>
      </w:tr>
      <w:tr w:rsidR="00F7428E" w:rsidRPr="00AE78C2" w:rsidTr="008A25E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9C5577">
            <w:pPr>
              <w:rPr>
                <w:i/>
                <w:sz w:val="22"/>
                <w:szCs w:val="22"/>
              </w:rPr>
            </w:pPr>
            <w:r w:rsidRPr="00AE78C2">
              <w:rPr>
                <w:i/>
                <w:sz w:val="22"/>
                <w:szCs w:val="22"/>
              </w:rPr>
              <w:t>Ot</w:t>
            </w:r>
            <w:r w:rsidR="00D05EA4" w:rsidRPr="00AE78C2">
              <w:rPr>
                <w:i/>
                <w:sz w:val="22"/>
                <w:szCs w:val="22"/>
              </w:rPr>
              <w:t>her activities or descriptions</w:t>
            </w:r>
            <w:r w:rsidRPr="00AE78C2">
              <w:rPr>
                <w:i/>
                <w:sz w:val="22"/>
                <w:szCs w:val="22"/>
              </w:rPr>
              <w:t>:</w:t>
            </w:r>
          </w:p>
          <w:p w:rsidR="002C5C68" w:rsidRPr="00AE78C2" w:rsidRDefault="00093CA9" w:rsidP="00976F1C">
            <w:pPr>
              <w:autoSpaceDE w:val="0"/>
              <w:autoSpaceDN w:val="0"/>
              <w:adjustRightInd w:val="0"/>
              <w:ind w:left="432"/>
              <w:rPr>
                <w:sz w:val="22"/>
                <w:szCs w:val="22"/>
              </w:rPr>
            </w:pPr>
            <w:r w:rsidRPr="00AE78C2">
              <w:t>Conduct additional analyses of Hospital Discharge Data Set (HDDS).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5844AA" w:rsidRPr="00AE78C2" w:rsidRDefault="005844AA" w:rsidP="005844AA">
            <w:pPr>
              <w:autoSpaceDE w:val="0"/>
              <w:autoSpaceDN w:val="0"/>
              <w:adjustRightInd w:val="0"/>
            </w:pPr>
          </w:p>
          <w:p w:rsidR="00F7428E" w:rsidRPr="00AE78C2" w:rsidRDefault="00F7428E" w:rsidP="00EE7398">
            <w:pPr>
              <w:autoSpaceDE w:val="0"/>
              <w:autoSpaceDN w:val="0"/>
              <w:adjustRightInd w:val="0"/>
              <w:rPr>
                <w:sz w:val="22"/>
                <w:szCs w:val="22"/>
              </w:rPr>
            </w:pPr>
          </w:p>
        </w:tc>
      </w:tr>
      <w:tr w:rsidR="00F7428E" w:rsidRPr="00AE78C2" w:rsidTr="008A25EC">
        <w:tc>
          <w:tcPr>
            <w:tcW w:w="162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135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0"/>
                <w:numId w:val="43"/>
              </w:numPr>
              <w:autoSpaceDE w:val="0"/>
              <w:autoSpaceDN w:val="0"/>
              <w:adjustRightInd w:val="0"/>
              <w:rPr>
                <w:b/>
                <w:szCs w:val="28"/>
              </w:rPr>
            </w:pPr>
            <w:r w:rsidRPr="00AE78C2">
              <w:rPr>
                <w:b/>
                <w:szCs w:val="28"/>
              </w:rPr>
              <w:t xml:space="preserve">Develop state surveillance training competencies </w:t>
            </w:r>
          </w:p>
        </w:tc>
        <w:tc>
          <w:tcPr>
            <w:tcW w:w="234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rPr>
                <w:sz w:val="22"/>
                <w:szCs w:val="22"/>
              </w:rPr>
            </w:pPr>
          </w:p>
        </w:tc>
      </w:tr>
      <w:tr w:rsidR="00F7428E" w:rsidRPr="00AE78C2" w:rsidTr="008A25EC">
        <w:tc>
          <w:tcPr>
            <w:tcW w:w="1620" w:type="dxa"/>
            <w:tcBorders>
              <w:top w:val="nil"/>
              <w:left w:val="single" w:sz="4" w:space="0" w:color="auto"/>
              <w:bottom w:val="single" w:sz="4" w:space="0" w:color="auto"/>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single" w:sz="4" w:space="0" w:color="auto"/>
              <w:right w:val="single" w:sz="4" w:space="0" w:color="auto"/>
            </w:tcBorders>
            <w:shd w:val="clear" w:color="auto" w:fill="auto"/>
          </w:tcPr>
          <w:p w:rsidR="00F17B06" w:rsidRPr="00AE78C2" w:rsidRDefault="00F7428E" w:rsidP="009B7F2E">
            <w:pPr>
              <w:numPr>
                <w:ilvl w:val="0"/>
                <w:numId w:val="7"/>
              </w:numPr>
              <w:autoSpaceDE w:val="0"/>
              <w:autoSpaceDN w:val="0"/>
              <w:adjustRightInd w:val="0"/>
              <w:rPr>
                <w:b/>
                <w:szCs w:val="22"/>
              </w:rPr>
            </w:pPr>
            <w:r w:rsidRPr="00AE78C2">
              <w:rPr>
                <w:b/>
                <w:szCs w:val="22"/>
              </w:rPr>
              <w:t>Conduct local training for appropriate use of surveillance systems (e.g., NHSN) including facility and group enrollment, data collection, management, and analysis</w:t>
            </w:r>
          </w:p>
          <w:p w:rsidR="00885904" w:rsidRPr="00AE78C2" w:rsidRDefault="00885904" w:rsidP="00885904">
            <w:pPr>
              <w:autoSpaceDE w:val="0"/>
              <w:autoSpaceDN w:val="0"/>
              <w:adjustRightInd w:val="0"/>
              <w:ind w:left="900"/>
              <w:rPr>
                <w:b/>
                <w:szCs w:val="22"/>
              </w:rPr>
            </w:pPr>
          </w:p>
          <w:p w:rsidR="005844AA" w:rsidRPr="00AE78C2" w:rsidRDefault="005844AA" w:rsidP="00885904">
            <w:pPr>
              <w:autoSpaceDE w:val="0"/>
              <w:autoSpaceDN w:val="0"/>
              <w:adjustRightInd w:val="0"/>
              <w:ind w:left="882"/>
              <w:rPr>
                <w:color w:val="000000"/>
              </w:rPr>
            </w:pPr>
            <w:r w:rsidRPr="00AE78C2">
              <w:rPr>
                <w:color w:val="000000"/>
              </w:rPr>
              <w:t>Ongoing technical assistance is</w:t>
            </w:r>
            <w:r w:rsidR="00DF71D4" w:rsidRPr="00AE78C2">
              <w:rPr>
                <w:color w:val="000000"/>
              </w:rPr>
              <w:t xml:space="preserve"> provided by epidemiologists and the HAI Coordinator </w:t>
            </w:r>
            <w:r w:rsidRPr="00AE78C2">
              <w:rPr>
                <w:color w:val="000000"/>
              </w:rPr>
              <w:t>for</w:t>
            </w:r>
            <w:r w:rsidR="00DF71D4" w:rsidRPr="00AE78C2">
              <w:rPr>
                <w:color w:val="000000"/>
              </w:rPr>
              <w:t xml:space="preserve"> NHSN facility users</w:t>
            </w:r>
            <w:r w:rsidRPr="00AE78C2">
              <w:rPr>
                <w:color w:val="000000"/>
              </w:rPr>
              <w:t xml:space="preserve">.  </w:t>
            </w:r>
          </w:p>
          <w:p w:rsidR="00F17B06" w:rsidRPr="00AE78C2" w:rsidRDefault="00F17B06" w:rsidP="00885904">
            <w:pPr>
              <w:autoSpaceDE w:val="0"/>
              <w:autoSpaceDN w:val="0"/>
              <w:adjustRightInd w:val="0"/>
              <w:ind w:left="882"/>
              <w:rPr>
                <w:color w:val="000000"/>
                <w:szCs w:val="20"/>
              </w:rPr>
            </w:pPr>
          </w:p>
          <w:p w:rsidR="003F2FE1" w:rsidRPr="00AE78C2" w:rsidRDefault="005844AA" w:rsidP="00545117">
            <w:pPr>
              <w:autoSpaceDE w:val="0"/>
              <w:autoSpaceDN w:val="0"/>
              <w:adjustRightInd w:val="0"/>
              <w:ind w:left="882"/>
              <w:rPr>
                <w:sz w:val="22"/>
                <w:szCs w:val="22"/>
              </w:rPr>
            </w:pPr>
            <w:r w:rsidRPr="00AE78C2">
              <w:rPr>
                <w:color w:val="000000"/>
                <w:szCs w:val="20"/>
              </w:rPr>
              <w:t xml:space="preserve">MDPH in collaboration with </w:t>
            </w:r>
            <w:r w:rsidR="00EE7398" w:rsidRPr="00AE78C2">
              <w:rPr>
                <w:color w:val="000000"/>
                <w:szCs w:val="20"/>
              </w:rPr>
              <w:t>Health</w:t>
            </w:r>
            <w:r w:rsidR="00545117" w:rsidRPr="00AE78C2">
              <w:rPr>
                <w:color w:val="000000"/>
                <w:szCs w:val="20"/>
              </w:rPr>
              <w:t>c</w:t>
            </w:r>
            <w:r w:rsidR="00EE7398" w:rsidRPr="00AE78C2">
              <w:rPr>
                <w:color w:val="000000"/>
                <w:szCs w:val="20"/>
              </w:rPr>
              <w:t>entrics, the QIO, is working to enroll up to 80 nursing homes in NHSN as a demonstration project.</w:t>
            </w:r>
          </w:p>
        </w:tc>
        <w:tc>
          <w:tcPr>
            <w:tcW w:w="234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autoSpaceDE w:val="0"/>
              <w:autoSpaceDN w:val="0"/>
              <w:adjustRightInd w:val="0"/>
              <w:rPr>
                <w:sz w:val="22"/>
                <w:szCs w:val="22"/>
              </w:rPr>
            </w:pPr>
          </w:p>
          <w:p w:rsidR="005844AA" w:rsidRPr="00AE78C2" w:rsidRDefault="005844AA" w:rsidP="006B742F">
            <w:pPr>
              <w:autoSpaceDE w:val="0"/>
              <w:autoSpaceDN w:val="0"/>
              <w:adjustRightInd w:val="0"/>
              <w:rPr>
                <w:sz w:val="22"/>
                <w:szCs w:val="22"/>
              </w:rPr>
            </w:pPr>
          </w:p>
          <w:p w:rsidR="005844AA" w:rsidRPr="00AE78C2" w:rsidRDefault="005844AA" w:rsidP="006B742F">
            <w:pPr>
              <w:autoSpaceDE w:val="0"/>
              <w:autoSpaceDN w:val="0"/>
              <w:adjustRightInd w:val="0"/>
              <w:rPr>
                <w:sz w:val="22"/>
                <w:szCs w:val="22"/>
              </w:rPr>
            </w:pPr>
          </w:p>
          <w:p w:rsidR="005844AA" w:rsidRPr="00AE78C2" w:rsidRDefault="005844AA" w:rsidP="006B742F">
            <w:pPr>
              <w:autoSpaceDE w:val="0"/>
              <w:autoSpaceDN w:val="0"/>
              <w:adjustRightInd w:val="0"/>
              <w:rPr>
                <w:sz w:val="22"/>
                <w:szCs w:val="22"/>
              </w:rPr>
            </w:pPr>
          </w:p>
          <w:p w:rsidR="005844AA" w:rsidRPr="00AE78C2" w:rsidRDefault="003F2FE1" w:rsidP="005844AA">
            <w:pPr>
              <w:autoSpaceDE w:val="0"/>
              <w:autoSpaceDN w:val="0"/>
              <w:adjustRightInd w:val="0"/>
              <w:rPr>
                <w:color w:val="000000"/>
              </w:rPr>
            </w:pPr>
            <w:r w:rsidRPr="00AE78C2">
              <w:rPr>
                <w:color w:val="000000"/>
              </w:rPr>
              <w:t>O</w:t>
            </w:r>
            <w:r w:rsidR="005844AA" w:rsidRPr="00AE78C2">
              <w:rPr>
                <w:color w:val="000000"/>
              </w:rPr>
              <w:t>ngoing</w:t>
            </w:r>
          </w:p>
          <w:p w:rsidR="00DF71D4" w:rsidRPr="00AE78C2" w:rsidRDefault="00DF71D4" w:rsidP="005844AA">
            <w:pPr>
              <w:autoSpaceDE w:val="0"/>
              <w:autoSpaceDN w:val="0"/>
              <w:adjustRightInd w:val="0"/>
              <w:rPr>
                <w:color w:val="000000"/>
              </w:rPr>
            </w:pPr>
          </w:p>
          <w:p w:rsidR="00885904" w:rsidRPr="00AE78C2" w:rsidRDefault="00885904" w:rsidP="005844AA">
            <w:pPr>
              <w:autoSpaceDE w:val="0"/>
              <w:autoSpaceDN w:val="0"/>
              <w:adjustRightInd w:val="0"/>
              <w:rPr>
                <w:color w:val="000000"/>
              </w:rPr>
            </w:pPr>
          </w:p>
          <w:p w:rsidR="00DF71D4" w:rsidRPr="00AE78C2" w:rsidRDefault="00DF71D4" w:rsidP="005844AA">
            <w:pPr>
              <w:autoSpaceDE w:val="0"/>
              <w:autoSpaceDN w:val="0"/>
              <w:adjustRightInd w:val="0"/>
              <w:rPr>
                <w:color w:val="000000"/>
              </w:rPr>
            </w:pPr>
            <w:r w:rsidRPr="00AE78C2">
              <w:rPr>
                <w:color w:val="000000"/>
              </w:rPr>
              <w:t xml:space="preserve">January 2016 </w:t>
            </w:r>
          </w:p>
          <w:p w:rsidR="00DF71D4" w:rsidRPr="00AE78C2" w:rsidRDefault="00DF71D4" w:rsidP="005844AA">
            <w:pPr>
              <w:autoSpaceDE w:val="0"/>
              <w:autoSpaceDN w:val="0"/>
              <w:adjustRightInd w:val="0"/>
              <w:rPr>
                <w:sz w:val="22"/>
                <w:szCs w:val="22"/>
              </w:rPr>
            </w:pPr>
          </w:p>
        </w:tc>
      </w:tr>
      <w:tr w:rsidR="00F7428E" w:rsidRPr="00AE78C2" w:rsidTr="008A25EC">
        <w:tc>
          <w:tcPr>
            <w:tcW w:w="2970" w:type="dxa"/>
            <w:gridSpan w:val="2"/>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p>
        </w:tc>
        <w:tc>
          <w:tcPr>
            <w:tcW w:w="765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autoSpaceDE w:val="0"/>
              <w:autoSpaceDN w:val="0"/>
              <w:adjustRightInd w:val="0"/>
              <w:rPr>
                <w:i/>
                <w:sz w:val="22"/>
                <w:szCs w:val="22"/>
              </w:rPr>
            </w:pPr>
            <w:r w:rsidRPr="00AE78C2">
              <w:rPr>
                <w:i/>
                <w:sz w:val="22"/>
                <w:szCs w:val="22"/>
              </w:rPr>
              <w:t>Ot</w:t>
            </w:r>
            <w:r w:rsidR="00D05EA4" w:rsidRPr="00AE78C2">
              <w:rPr>
                <w:i/>
                <w:sz w:val="22"/>
                <w:szCs w:val="22"/>
              </w:rPr>
              <w:t>her activities or descriptions</w:t>
            </w:r>
            <w:r w:rsidRPr="00AE78C2">
              <w:rPr>
                <w:i/>
                <w:sz w:val="22"/>
                <w:szCs w:val="22"/>
              </w:rPr>
              <w:t>:</w:t>
            </w:r>
          </w:p>
          <w:p w:rsidR="00F7428E" w:rsidRPr="00AE78C2" w:rsidRDefault="00F7428E" w:rsidP="0014292D">
            <w:pPr>
              <w:autoSpaceDE w:val="0"/>
              <w:autoSpaceDN w:val="0"/>
              <w:adjustRightInd w:val="0"/>
              <w:ind w:left="900"/>
              <w:rPr>
                <w:sz w:val="22"/>
                <w:szCs w:val="22"/>
              </w:rPr>
            </w:pPr>
          </w:p>
        </w:tc>
        <w:tc>
          <w:tcPr>
            <w:tcW w:w="234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autoSpaceDE w:val="0"/>
              <w:autoSpaceDN w:val="0"/>
              <w:adjustRightInd w:val="0"/>
              <w:rPr>
                <w:sz w:val="22"/>
                <w:szCs w:val="22"/>
              </w:rPr>
            </w:pPr>
          </w:p>
        </w:tc>
      </w:tr>
      <w:tr w:rsidR="00F7428E" w:rsidRPr="00AE78C2" w:rsidTr="008A25EC">
        <w:tc>
          <w:tcPr>
            <w:tcW w:w="1620" w:type="dxa"/>
            <w:tcBorders>
              <w:top w:val="single" w:sz="4" w:space="0" w:color="auto"/>
              <w:bottom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F7428E" w:rsidRPr="00AE78C2" w:rsidRDefault="00F7428E" w:rsidP="00C11A2E">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single" w:sz="4" w:space="0" w:color="auto"/>
            </w:tcBorders>
            <w:shd w:val="clear" w:color="auto" w:fill="auto"/>
          </w:tcPr>
          <w:p w:rsidR="005844AA" w:rsidRPr="00AE78C2" w:rsidRDefault="00F7428E" w:rsidP="009B7F2E">
            <w:pPr>
              <w:numPr>
                <w:ilvl w:val="0"/>
                <w:numId w:val="43"/>
              </w:numPr>
              <w:autoSpaceDE w:val="0"/>
              <w:autoSpaceDN w:val="0"/>
              <w:adjustRightInd w:val="0"/>
              <w:rPr>
                <w:b/>
                <w:sz w:val="28"/>
                <w:szCs w:val="28"/>
              </w:rPr>
            </w:pPr>
            <w:r w:rsidRPr="00AE78C2">
              <w:rPr>
                <w:b/>
                <w:sz w:val="28"/>
                <w:szCs w:val="28"/>
              </w:rPr>
              <w:t>Develop tailored reports of data analyses for state or region prepared by state personnel</w:t>
            </w:r>
          </w:p>
          <w:p w:rsidR="003F2FE1" w:rsidRPr="00AE78C2" w:rsidRDefault="003F2FE1" w:rsidP="0014292D">
            <w:pPr>
              <w:ind w:left="900"/>
              <w:rPr>
                <w:color w:val="365F91"/>
              </w:rPr>
            </w:pPr>
          </w:p>
          <w:p w:rsidR="005844AA" w:rsidRPr="00AE78C2" w:rsidRDefault="003F2FE1" w:rsidP="0014292D">
            <w:pPr>
              <w:ind w:left="900"/>
              <w:rPr>
                <w:color w:val="000000"/>
              </w:rPr>
            </w:pPr>
            <w:r w:rsidRPr="00AE78C2">
              <w:rPr>
                <w:color w:val="000000"/>
              </w:rPr>
              <w:t xml:space="preserve">HAI reports are intended to provide meaningful, relevant and easily understandable information for a wide variety of stakeholders and audiences.  Consideration of the needs, background and expectations of the reader is critical to communicating results and will increase the likelihood that the reports will have an impact. </w:t>
            </w:r>
            <w:r w:rsidR="00D636D9" w:rsidRPr="00AE78C2">
              <w:rPr>
                <w:color w:val="000000"/>
              </w:rPr>
              <w:t>U</w:t>
            </w:r>
            <w:r w:rsidR="00BB6483" w:rsidRPr="00AE78C2">
              <w:rPr>
                <w:color w:val="000000"/>
              </w:rPr>
              <w:t>pdate</w:t>
            </w:r>
            <w:r w:rsidR="00D636D9" w:rsidRPr="00AE78C2">
              <w:rPr>
                <w:color w:val="000000"/>
              </w:rPr>
              <w:t>s</w:t>
            </w:r>
            <w:r w:rsidRPr="00AE78C2">
              <w:rPr>
                <w:color w:val="000000"/>
              </w:rPr>
              <w:t xml:space="preserve"> on HAIs in Massachusetts acute care hospitals</w:t>
            </w:r>
            <w:r w:rsidR="005844AA" w:rsidRPr="00AE78C2">
              <w:rPr>
                <w:color w:val="000000"/>
              </w:rPr>
              <w:t xml:space="preserve"> that include hospital specific data</w:t>
            </w:r>
            <w:r w:rsidRPr="00AE78C2">
              <w:rPr>
                <w:color w:val="000000"/>
              </w:rPr>
              <w:t xml:space="preserve"> and SIRs,</w:t>
            </w:r>
            <w:r w:rsidR="005844AA" w:rsidRPr="00AE78C2">
              <w:rPr>
                <w:color w:val="000000"/>
              </w:rPr>
              <w:t xml:space="preserve"> </w:t>
            </w:r>
            <w:r w:rsidR="00D636D9" w:rsidRPr="00AE78C2">
              <w:rPr>
                <w:color w:val="000000"/>
              </w:rPr>
              <w:t>are</w:t>
            </w:r>
            <w:r w:rsidR="006A3111" w:rsidRPr="00AE78C2">
              <w:rPr>
                <w:color w:val="000000"/>
              </w:rPr>
              <w:t xml:space="preserve"> </w:t>
            </w:r>
            <w:r w:rsidR="005844AA" w:rsidRPr="00AE78C2">
              <w:rPr>
                <w:color w:val="000000"/>
              </w:rPr>
              <w:t>prepared</w:t>
            </w:r>
            <w:r w:rsidRPr="00AE78C2">
              <w:rPr>
                <w:color w:val="000000"/>
              </w:rPr>
              <w:t xml:space="preserve"> by MDPH</w:t>
            </w:r>
            <w:r w:rsidR="005844AA" w:rsidRPr="00AE78C2">
              <w:rPr>
                <w:color w:val="000000"/>
              </w:rPr>
              <w:t xml:space="preserve"> and made available to the public. </w:t>
            </w:r>
          </w:p>
          <w:p w:rsidR="00DF71D4" w:rsidRPr="00AE78C2" w:rsidRDefault="00A8512C" w:rsidP="00BB6483">
            <w:pPr>
              <w:ind w:left="1440"/>
              <w:rPr>
                <w:color w:val="365F91"/>
              </w:rPr>
            </w:pPr>
            <w:r w:rsidRPr="00AE78C2">
              <w:rPr>
                <w:color w:val="365F91"/>
              </w:rPr>
              <w:br/>
            </w:r>
          </w:p>
          <w:p w:rsidR="00BB6483" w:rsidRPr="00AE78C2" w:rsidRDefault="00014556" w:rsidP="00885904">
            <w:pPr>
              <w:ind w:left="882"/>
              <w:rPr>
                <w:color w:val="000000"/>
              </w:rPr>
            </w:pPr>
            <w:r w:rsidRPr="00AE78C2">
              <w:rPr>
                <w:color w:val="000000"/>
              </w:rPr>
              <w:lastRenderedPageBreak/>
              <w:t>The annual report includes state summary</w:t>
            </w:r>
            <w:r w:rsidR="009418B9" w:rsidRPr="00AE78C2">
              <w:rPr>
                <w:color w:val="000000"/>
              </w:rPr>
              <w:t xml:space="preserve"> measures for central line associated bloodstream infections (CLABSI) and specific surgical site infections (SSI)</w:t>
            </w:r>
            <w:r w:rsidR="00BB6483" w:rsidRPr="00AE78C2">
              <w:rPr>
                <w:color w:val="000000"/>
              </w:rPr>
              <w:t>, and healthcare personnel influenza vaccination data</w:t>
            </w:r>
            <w:r w:rsidR="009418B9" w:rsidRPr="00AE78C2">
              <w:rPr>
                <w:color w:val="000000"/>
              </w:rPr>
              <w:t>.</w:t>
            </w:r>
            <w:r w:rsidR="00BB6483" w:rsidRPr="00AE78C2">
              <w:rPr>
                <w:color w:val="000000"/>
              </w:rPr>
              <w:t xml:space="preserve"> </w:t>
            </w:r>
            <w:r w:rsidR="009418B9" w:rsidRPr="00AE78C2">
              <w:rPr>
                <w:color w:val="000000"/>
              </w:rPr>
              <w:t>The annual report also includes a hospital specific summary for each hospital.</w:t>
            </w:r>
          </w:p>
          <w:p w:rsidR="00BB6483" w:rsidRPr="00AE78C2" w:rsidRDefault="00BB6483" w:rsidP="00BB6483">
            <w:pPr>
              <w:ind w:left="540"/>
              <w:rPr>
                <w:color w:val="000000"/>
              </w:rPr>
            </w:pPr>
          </w:p>
          <w:p w:rsidR="003F2FE1" w:rsidRPr="00AE78C2" w:rsidRDefault="00BB6483" w:rsidP="00885904">
            <w:pPr>
              <w:ind w:left="882"/>
              <w:rPr>
                <w:sz w:val="22"/>
                <w:szCs w:val="22"/>
              </w:rPr>
            </w:pPr>
            <w:r w:rsidRPr="00AE78C2">
              <w:rPr>
                <w:color w:val="000000"/>
              </w:rPr>
              <w:t>CDI and MRSA facility wide laboratory events and CAUTI in all ICUs will be included in</w:t>
            </w:r>
            <w:r w:rsidR="0045032A" w:rsidRPr="00AE78C2">
              <w:rPr>
                <w:color w:val="000000"/>
              </w:rPr>
              <w:t xml:space="preserve"> future</w:t>
            </w:r>
            <w:r w:rsidRPr="00AE78C2">
              <w:rPr>
                <w:color w:val="000000"/>
              </w:rPr>
              <w:t xml:space="preserve"> annual data updates.</w:t>
            </w:r>
          </w:p>
        </w:tc>
        <w:tc>
          <w:tcPr>
            <w:tcW w:w="2340" w:type="dxa"/>
            <w:tcBorders>
              <w:top w:val="single" w:sz="4" w:space="0" w:color="auto"/>
            </w:tcBorders>
            <w:shd w:val="clear" w:color="auto" w:fill="auto"/>
          </w:tcPr>
          <w:p w:rsidR="003F2FE1" w:rsidRPr="00AE78C2" w:rsidRDefault="003F2FE1" w:rsidP="005844AA">
            <w:pPr>
              <w:autoSpaceDE w:val="0"/>
              <w:autoSpaceDN w:val="0"/>
              <w:adjustRightInd w:val="0"/>
              <w:rPr>
                <w:color w:val="365F91"/>
              </w:rPr>
            </w:pPr>
          </w:p>
          <w:p w:rsidR="003F2FE1" w:rsidRPr="00AE78C2" w:rsidRDefault="003F2FE1" w:rsidP="005844AA">
            <w:pPr>
              <w:autoSpaceDE w:val="0"/>
              <w:autoSpaceDN w:val="0"/>
              <w:adjustRightInd w:val="0"/>
              <w:rPr>
                <w:color w:val="365F91"/>
              </w:rPr>
            </w:pPr>
          </w:p>
          <w:p w:rsidR="003F2FE1" w:rsidRPr="00AE78C2" w:rsidRDefault="003F2FE1" w:rsidP="005844AA">
            <w:pPr>
              <w:autoSpaceDE w:val="0"/>
              <w:autoSpaceDN w:val="0"/>
              <w:adjustRightInd w:val="0"/>
              <w:rPr>
                <w:color w:val="365F91"/>
              </w:rPr>
            </w:pPr>
          </w:p>
          <w:p w:rsidR="00545117" w:rsidRPr="00AE78C2" w:rsidRDefault="00545117" w:rsidP="005844AA">
            <w:pPr>
              <w:autoSpaceDE w:val="0"/>
              <w:autoSpaceDN w:val="0"/>
              <w:adjustRightInd w:val="0"/>
              <w:rPr>
                <w:color w:val="365F91"/>
              </w:rPr>
            </w:pPr>
          </w:p>
          <w:p w:rsidR="00F7428E" w:rsidRPr="00AE78C2" w:rsidRDefault="005844AA" w:rsidP="005844AA">
            <w:pPr>
              <w:autoSpaceDE w:val="0"/>
              <w:autoSpaceDN w:val="0"/>
              <w:adjustRightInd w:val="0"/>
              <w:rPr>
                <w:color w:val="000000"/>
                <w:sz w:val="22"/>
                <w:szCs w:val="22"/>
              </w:rPr>
            </w:pPr>
            <w:r w:rsidRPr="00AE78C2">
              <w:rPr>
                <w:color w:val="000000"/>
              </w:rPr>
              <w:t xml:space="preserve">Initiated 2009 and ongoing  </w:t>
            </w:r>
          </w:p>
          <w:p w:rsidR="000B2E4F" w:rsidRPr="00AE78C2" w:rsidRDefault="000B2E4F" w:rsidP="005844AA">
            <w:pPr>
              <w:autoSpaceDE w:val="0"/>
              <w:autoSpaceDN w:val="0"/>
              <w:adjustRightInd w:val="0"/>
              <w:rPr>
                <w:sz w:val="22"/>
                <w:szCs w:val="22"/>
              </w:rPr>
            </w:pPr>
          </w:p>
          <w:p w:rsidR="00885904" w:rsidRPr="00AE78C2" w:rsidRDefault="00885904"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0B2E4F" w:rsidRPr="00AE78C2" w:rsidRDefault="000B2E4F" w:rsidP="005844AA">
            <w:pPr>
              <w:autoSpaceDE w:val="0"/>
              <w:autoSpaceDN w:val="0"/>
              <w:adjustRightInd w:val="0"/>
              <w:rPr>
                <w:sz w:val="22"/>
                <w:szCs w:val="22"/>
              </w:rPr>
            </w:pPr>
          </w:p>
          <w:p w:rsidR="00685197" w:rsidRPr="00AE78C2" w:rsidRDefault="00685197" w:rsidP="005844AA">
            <w:pPr>
              <w:autoSpaceDE w:val="0"/>
              <w:autoSpaceDN w:val="0"/>
              <w:adjustRightInd w:val="0"/>
              <w:rPr>
                <w:color w:val="365F91"/>
              </w:rPr>
            </w:pPr>
          </w:p>
          <w:p w:rsidR="000B2E4F" w:rsidRPr="00AE78C2" w:rsidRDefault="000B2E4F" w:rsidP="005844AA">
            <w:pPr>
              <w:autoSpaceDE w:val="0"/>
              <w:autoSpaceDN w:val="0"/>
              <w:adjustRightInd w:val="0"/>
              <w:rPr>
                <w:color w:val="000000"/>
              </w:rPr>
            </w:pPr>
            <w:r w:rsidRPr="00AE78C2">
              <w:rPr>
                <w:color w:val="000000"/>
              </w:rPr>
              <w:t>2016</w:t>
            </w:r>
          </w:p>
          <w:p w:rsidR="000B2E4F" w:rsidRPr="00AE78C2" w:rsidRDefault="000B2E4F" w:rsidP="005844AA">
            <w:pPr>
              <w:autoSpaceDE w:val="0"/>
              <w:autoSpaceDN w:val="0"/>
              <w:adjustRightInd w:val="0"/>
              <w:rPr>
                <w:sz w:val="22"/>
                <w:szCs w:val="22"/>
              </w:rPr>
            </w:pPr>
          </w:p>
        </w:tc>
      </w:tr>
      <w:tr w:rsidR="00F7428E" w:rsidRPr="00AE78C2" w:rsidTr="008A25EC">
        <w:tc>
          <w:tcPr>
            <w:tcW w:w="2970" w:type="dxa"/>
            <w:gridSpan w:val="2"/>
            <w:tcBorders>
              <w:top w:val="single" w:sz="4" w:space="0" w:color="auto"/>
              <w:bottom w:val="single" w:sz="4" w:space="0" w:color="auto"/>
            </w:tcBorders>
            <w:shd w:val="clear" w:color="auto" w:fill="auto"/>
          </w:tcPr>
          <w:p w:rsidR="00F7428E" w:rsidRPr="00AE78C2" w:rsidRDefault="00F7428E" w:rsidP="006B742F">
            <w:pPr>
              <w:jc w:val="center"/>
              <w:rPr>
                <w:sz w:val="22"/>
                <w:szCs w:val="22"/>
              </w:rPr>
            </w:pPr>
          </w:p>
        </w:tc>
        <w:tc>
          <w:tcPr>
            <w:tcW w:w="7650" w:type="dxa"/>
            <w:tcBorders>
              <w:top w:val="single" w:sz="4" w:space="0" w:color="auto"/>
              <w:bottom w:val="single" w:sz="4" w:space="0" w:color="auto"/>
            </w:tcBorders>
            <w:shd w:val="clear" w:color="auto" w:fill="auto"/>
          </w:tcPr>
          <w:p w:rsidR="00F7428E" w:rsidRPr="00AE78C2" w:rsidRDefault="00D05EA4" w:rsidP="006B742F">
            <w:pPr>
              <w:autoSpaceDE w:val="0"/>
              <w:autoSpaceDN w:val="0"/>
              <w:adjustRightInd w:val="0"/>
              <w:rPr>
                <w:i/>
                <w:sz w:val="22"/>
                <w:szCs w:val="22"/>
              </w:rPr>
            </w:pPr>
            <w:r w:rsidRPr="00AE78C2">
              <w:rPr>
                <w:i/>
                <w:sz w:val="22"/>
                <w:szCs w:val="22"/>
              </w:rPr>
              <w:t>Other activities or descriptions</w:t>
            </w:r>
            <w:r w:rsidR="00F7428E" w:rsidRPr="00AE78C2">
              <w:rPr>
                <w:i/>
                <w:sz w:val="22"/>
                <w:szCs w:val="22"/>
              </w:rPr>
              <w:t>:</w:t>
            </w:r>
          </w:p>
          <w:p w:rsidR="009418B9" w:rsidRPr="00AE78C2" w:rsidRDefault="0077208B" w:rsidP="00885904">
            <w:pPr>
              <w:ind w:left="432"/>
              <w:rPr>
                <w:color w:val="000000"/>
              </w:rPr>
            </w:pPr>
            <w:r w:rsidRPr="00AE78C2">
              <w:rPr>
                <w:color w:val="000000"/>
              </w:rPr>
              <w:t>T</w:t>
            </w:r>
            <w:r w:rsidR="009418B9" w:rsidRPr="00AE78C2">
              <w:rPr>
                <w:color w:val="000000"/>
              </w:rPr>
              <w:t>he standardized infection ratio (SIR) is a summary measure used to track HAIs over time. It compares actual HAI rates in a facility or state with baseline rates derived from aggregate data from NHSN. The CDC adjusts the SIR for risk factors that are most associated with differences in infection rates.  In other words, the SIR takes into account that different healthcare facilities treat patients with differences in disease type and severity.</w:t>
            </w:r>
          </w:p>
          <w:p w:rsidR="000B2E4F" w:rsidRPr="00AE78C2" w:rsidRDefault="000B2E4F" w:rsidP="000B2E4F">
            <w:pPr>
              <w:ind w:left="900"/>
              <w:rPr>
                <w:color w:val="000000"/>
              </w:rPr>
            </w:pPr>
          </w:p>
          <w:p w:rsidR="000B2E4F" w:rsidRPr="00AE78C2" w:rsidRDefault="000B2E4F" w:rsidP="00885904">
            <w:pPr>
              <w:ind w:left="432"/>
              <w:rPr>
                <w:color w:val="365F91"/>
              </w:rPr>
            </w:pPr>
            <w:r w:rsidRPr="00AE78C2">
              <w:rPr>
                <w:color w:val="000000"/>
              </w:rPr>
              <w:t xml:space="preserve">NHSN data are shared monthly with the Massachusetts Hospital Association (MHA) to monitor prevention activities and evaluate trends. MHA makes the data available on their Patient Care Link </w:t>
            </w:r>
            <w:hyperlink r:id="rId15" w:history="1">
              <w:r w:rsidRPr="00AE78C2">
                <w:rPr>
                  <w:rStyle w:val="Hyperlink"/>
                </w:rPr>
                <w:t>http://www.patientcarelink.org/Healthcare-Provider-Data/Hospital-Data/Statewide-Aggregate-Performance-Measures.aspx</w:t>
              </w:r>
            </w:hyperlink>
          </w:p>
          <w:p w:rsidR="000B2E4F" w:rsidRPr="00AE78C2" w:rsidRDefault="000B2E4F" w:rsidP="00885904">
            <w:pPr>
              <w:ind w:left="432"/>
              <w:rPr>
                <w:color w:val="365F91"/>
              </w:rPr>
            </w:pPr>
          </w:p>
          <w:p w:rsidR="000B2E4F" w:rsidRPr="00AE78C2" w:rsidRDefault="000B2E4F" w:rsidP="00885904">
            <w:pPr>
              <w:ind w:left="432"/>
              <w:rPr>
                <w:color w:val="000000"/>
              </w:rPr>
            </w:pPr>
            <w:r w:rsidRPr="00AE78C2">
              <w:rPr>
                <w:color w:val="000000"/>
              </w:rPr>
              <w:t>NHSN data was shared monthly with AHA/HRET Hospital Engagement Network (HEN) to monitor effectiveness of prevention initiatives</w:t>
            </w:r>
            <w:r w:rsidR="00763125" w:rsidRPr="00AE78C2">
              <w:rPr>
                <w:color w:val="000000"/>
              </w:rPr>
              <w:t>.</w:t>
            </w:r>
          </w:p>
          <w:p w:rsidR="000B2E4F" w:rsidRPr="00AE78C2" w:rsidRDefault="000B2E4F" w:rsidP="00885904">
            <w:pPr>
              <w:ind w:left="432"/>
              <w:rPr>
                <w:color w:val="000000"/>
              </w:rPr>
            </w:pPr>
          </w:p>
          <w:p w:rsidR="00F7428E" w:rsidRPr="00AE78C2" w:rsidRDefault="000B2E4F" w:rsidP="000E2951">
            <w:pPr>
              <w:ind w:left="432"/>
              <w:rPr>
                <w:sz w:val="22"/>
                <w:szCs w:val="22"/>
              </w:rPr>
            </w:pPr>
            <w:r w:rsidRPr="00AE78C2">
              <w:rPr>
                <w:color w:val="000000"/>
              </w:rPr>
              <w:t>NHSN data are shared quarterly with NeoQIC, the Neonatal Quality Improvement Collaborative of Massachusetts.  All Massachusetts NICUs participate (n=1</w:t>
            </w:r>
            <w:r w:rsidR="000E2951" w:rsidRPr="00AE78C2">
              <w:rPr>
                <w:color w:val="000000"/>
              </w:rPr>
              <w:t>0</w:t>
            </w:r>
            <w:r w:rsidRPr="00AE78C2">
              <w:rPr>
                <w:color w:val="000000"/>
              </w:rPr>
              <w:t>) in the collaborative.</w:t>
            </w:r>
            <w:r w:rsidR="00A8512C" w:rsidRPr="00AE78C2">
              <w:rPr>
                <w:color w:val="365F91"/>
              </w:rPr>
              <w:br/>
            </w:r>
          </w:p>
        </w:tc>
        <w:tc>
          <w:tcPr>
            <w:tcW w:w="2340" w:type="dxa"/>
            <w:tcBorders>
              <w:top w:val="single" w:sz="4" w:space="0" w:color="auto"/>
            </w:tcBorders>
            <w:shd w:val="clear" w:color="auto" w:fill="auto"/>
          </w:tcPr>
          <w:p w:rsidR="005844AA" w:rsidRPr="00AE78C2" w:rsidRDefault="005844AA" w:rsidP="005844AA">
            <w:pPr>
              <w:autoSpaceDE w:val="0"/>
              <w:autoSpaceDN w:val="0"/>
              <w:adjustRightInd w:val="0"/>
              <w:rPr>
                <w:color w:val="365F91"/>
              </w:rPr>
            </w:pPr>
          </w:p>
          <w:p w:rsidR="005844AA" w:rsidRPr="00AE78C2" w:rsidRDefault="00763125" w:rsidP="005844AA">
            <w:pPr>
              <w:autoSpaceDE w:val="0"/>
              <w:autoSpaceDN w:val="0"/>
              <w:adjustRightInd w:val="0"/>
              <w:rPr>
                <w:color w:val="000000"/>
              </w:rPr>
            </w:pPr>
            <w:r w:rsidRPr="00AE78C2">
              <w:rPr>
                <w:color w:val="000000"/>
              </w:rPr>
              <w:t>Ongoing</w:t>
            </w:r>
          </w:p>
          <w:p w:rsidR="003F2FE1" w:rsidRPr="00AE78C2" w:rsidRDefault="003F2FE1" w:rsidP="005844AA">
            <w:pPr>
              <w:autoSpaceDE w:val="0"/>
              <w:autoSpaceDN w:val="0"/>
              <w:adjustRightInd w:val="0"/>
              <w:rPr>
                <w:color w:val="365F91"/>
              </w:rPr>
            </w:pPr>
          </w:p>
          <w:p w:rsidR="005844AA" w:rsidRPr="00AE78C2" w:rsidRDefault="005844AA" w:rsidP="005844AA">
            <w:pPr>
              <w:autoSpaceDE w:val="0"/>
              <w:autoSpaceDN w:val="0"/>
              <w:adjustRightInd w:val="0"/>
              <w:rPr>
                <w:color w:val="365F91"/>
              </w:rPr>
            </w:pPr>
          </w:p>
          <w:p w:rsidR="005844AA" w:rsidRPr="00AE78C2" w:rsidRDefault="005844AA" w:rsidP="005844AA">
            <w:pPr>
              <w:autoSpaceDE w:val="0"/>
              <w:autoSpaceDN w:val="0"/>
              <w:adjustRightInd w:val="0"/>
              <w:rPr>
                <w:color w:val="365F91"/>
              </w:rPr>
            </w:pPr>
          </w:p>
          <w:p w:rsidR="00F7428E" w:rsidRPr="00AE78C2" w:rsidRDefault="00F7428E" w:rsidP="005844AA">
            <w:pPr>
              <w:autoSpaceDE w:val="0"/>
              <w:autoSpaceDN w:val="0"/>
              <w:adjustRightInd w:val="0"/>
              <w:rPr>
                <w:color w:val="365F91"/>
                <w:sz w:val="22"/>
                <w:szCs w:val="22"/>
              </w:rPr>
            </w:pPr>
          </w:p>
        </w:tc>
      </w:tr>
      <w:tr w:rsidR="00FB5142" w:rsidRPr="00AE78C2" w:rsidTr="008A25EC">
        <w:tc>
          <w:tcPr>
            <w:tcW w:w="1620" w:type="dxa"/>
            <w:vMerge w:val="restart"/>
            <w:tcBorders>
              <w:top w:val="single" w:sz="4" w:space="0" w:color="auto"/>
              <w:left w:val="single" w:sz="4" w:space="0" w:color="auto"/>
              <w:right w:val="single" w:sz="4" w:space="0" w:color="auto"/>
            </w:tcBorders>
            <w:shd w:val="clear" w:color="auto" w:fill="auto"/>
          </w:tcPr>
          <w:p w:rsidR="00FB5142" w:rsidRPr="00AE78C2" w:rsidRDefault="00FB5142" w:rsidP="006B742F">
            <w:pPr>
              <w:jc w:val="center"/>
              <w:rPr>
                <w:sz w:val="22"/>
                <w:szCs w:val="22"/>
              </w:rPr>
            </w:pPr>
          </w:p>
          <w:p w:rsidR="00FB5142" w:rsidRPr="00AE78C2" w:rsidRDefault="00FB5142" w:rsidP="00915C31">
            <w:pPr>
              <w:jc w:val="center"/>
              <w:rPr>
                <w:sz w:val="22"/>
                <w:szCs w:val="22"/>
              </w:rPr>
            </w:pPr>
          </w:p>
          <w:p w:rsidR="00FB5142" w:rsidRPr="00AE78C2" w:rsidRDefault="00FB5142" w:rsidP="00915C31">
            <w:pPr>
              <w:jc w:val="center"/>
              <w:rPr>
                <w:sz w:val="22"/>
                <w:szCs w:val="22"/>
              </w:rPr>
            </w:pPr>
          </w:p>
          <w:p w:rsidR="000A350A" w:rsidRPr="00AE78C2" w:rsidRDefault="000A350A" w:rsidP="00915C31">
            <w:pPr>
              <w:jc w:val="center"/>
              <w:rPr>
                <w:sz w:val="22"/>
                <w:szCs w:val="22"/>
              </w:rPr>
            </w:pPr>
          </w:p>
          <w:p w:rsidR="00FB5142" w:rsidRPr="00AE78C2" w:rsidRDefault="00E35BD3" w:rsidP="00915C31">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A25EC" w:rsidRPr="00AE78C2" w:rsidRDefault="008A25EC" w:rsidP="00915C31">
            <w:pPr>
              <w:jc w:val="center"/>
              <w:rPr>
                <w:sz w:val="22"/>
                <w:szCs w:val="22"/>
              </w:rPr>
            </w:pPr>
          </w:p>
          <w:p w:rsidR="00FB5142" w:rsidRPr="00AE78C2" w:rsidRDefault="00E35BD3" w:rsidP="00915C31">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B5142" w:rsidRPr="00AE78C2" w:rsidRDefault="00E35BD3" w:rsidP="00915C31">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B5142" w:rsidRPr="00AE78C2" w:rsidRDefault="00FB5142" w:rsidP="00915C31">
            <w:pPr>
              <w:jc w:val="center"/>
              <w:rPr>
                <w:sz w:val="22"/>
                <w:szCs w:val="22"/>
              </w:rPr>
            </w:pPr>
          </w:p>
          <w:p w:rsidR="00FB5142" w:rsidRPr="00AE78C2" w:rsidRDefault="00E35BD3" w:rsidP="00915C31">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B5142" w:rsidRPr="00AE78C2" w:rsidRDefault="00FB5142" w:rsidP="00FB5142">
            <w:pPr>
              <w:jc w:val="center"/>
              <w:rPr>
                <w:sz w:val="22"/>
                <w:szCs w:val="22"/>
              </w:rPr>
            </w:pPr>
            <w:r w:rsidRPr="00AE78C2">
              <w:rPr>
                <w:sz w:val="22"/>
                <w:szCs w:val="22"/>
              </w:rPr>
              <w:br/>
            </w:r>
            <w:r w:rsidR="00E35BD3" w:rsidRPr="00AE78C2">
              <w:rPr>
                <w:sz w:val="22"/>
                <w:szCs w:val="22"/>
              </w:rPr>
              <w:fldChar w:fldCharType="begin">
                <w:ffData>
                  <w:name w:val=""/>
                  <w:enabled/>
                  <w:calcOnExit w:val="0"/>
                  <w:checkBox>
                    <w:sizeAuto/>
                    <w:default w:val="1"/>
                  </w:checkBox>
                </w:ffData>
              </w:fldChar>
            </w:r>
            <w:r w:rsidR="00E35BD3" w:rsidRPr="00AE78C2">
              <w:rPr>
                <w:sz w:val="22"/>
                <w:szCs w:val="22"/>
              </w:rPr>
              <w:instrText xml:space="preserve"> FORMCHECKBOX </w:instrText>
            </w:r>
            <w:r w:rsidR="00E35BD3" w:rsidRPr="00AE78C2">
              <w:rPr>
                <w:sz w:val="22"/>
                <w:szCs w:val="22"/>
              </w:rPr>
            </w:r>
            <w:r w:rsidR="00E35BD3" w:rsidRPr="00AE78C2">
              <w:rPr>
                <w:sz w:val="22"/>
                <w:szCs w:val="22"/>
              </w:rPr>
              <w:fldChar w:fldCharType="end"/>
            </w:r>
          </w:p>
          <w:p w:rsidR="00FB5142" w:rsidRPr="00AE78C2" w:rsidRDefault="00E35BD3" w:rsidP="00FB5142">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vMerge w:val="restart"/>
            <w:tcBorders>
              <w:left w:val="single" w:sz="4" w:space="0" w:color="auto"/>
            </w:tcBorders>
            <w:shd w:val="clear" w:color="auto" w:fill="auto"/>
          </w:tcPr>
          <w:p w:rsidR="00FB5142" w:rsidRPr="00AE78C2" w:rsidRDefault="00FB5142" w:rsidP="006B742F">
            <w:pPr>
              <w:jc w:val="center"/>
              <w:rPr>
                <w:sz w:val="22"/>
                <w:szCs w:val="22"/>
              </w:rPr>
            </w:pPr>
          </w:p>
          <w:p w:rsidR="00FB5142" w:rsidRPr="00AE78C2" w:rsidRDefault="00FB5142" w:rsidP="00915C31">
            <w:pPr>
              <w:jc w:val="center"/>
              <w:rPr>
                <w:sz w:val="22"/>
                <w:szCs w:val="22"/>
              </w:rPr>
            </w:pPr>
          </w:p>
          <w:p w:rsidR="00FB5142" w:rsidRPr="00AE78C2" w:rsidRDefault="00FB5142" w:rsidP="00915C31">
            <w:pPr>
              <w:jc w:val="center"/>
              <w:rPr>
                <w:sz w:val="22"/>
                <w:szCs w:val="22"/>
              </w:rPr>
            </w:pPr>
          </w:p>
          <w:p w:rsidR="000A350A" w:rsidRPr="00AE78C2" w:rsidRDefault="000A350A" w:rsidP="00915C31">
            <w:pPr>
              <w:jc w:val="center"/>
              <w:rPr>
                <w:sz w:val="22"/>
                <w:szCs w:val="22"/>
              </w:rPr>
            </w:pPr>
          </w:p>
          <w:p w:rsidR="00FB5142" w:rsidRPr="00AE78C2" w:rsidRDefault="00FB5142" w:rsidP="00915C31">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A25EC" w:rsidRPr="00AE78C2" w:rsidRDefault="008A25EC" w:rsidP="00FB5142">
            <w:pPr>
              <w:jc w:val="center"/>
              <w:rPr>
                <w:sz w:val="22"/>
                <w:szCs w:val="22"/>
              </w:rPr>
            </w:pPr>
          </w:p>
          <w:p w:rsidR="00FB5142" w:rsidRPr="00AE78C2" w:rsidRDefault="00FB5142" w:rsidP="00FB5142">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B5142" w:rsidRPr="00AE78C2" w:rsidRDefault="00FB5142" w:rsidP="00FB5142">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B5142" w:rsidRPr="00AE78C2" w:rsidRDefault="00FB5142" w:rsidP="00FB5142">
            <w:pPr>
              <w:jc w:val="center"/>
              <w:rPr>
                <w:sz w:val="22"/>
                <w:szCs w:val="22"/>
              </w:rPr>
            </w:pPr>
          </w:p>
          <w:p w:rsidR="00FB5142" w:rsidRPr="00AE78C2" w:rsidRDefault="00FB5142" w:rsidP="00FB5142">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B5142" w:rsidRPr="00AE78C2" w:rsidRDefault="00FB5142" w:rsidP="00FB5142">
            <w:pPr>
              <w:jc w:val="center"/>
              <w:rPr>
                <w:sz w:val="22"/>
                <w:szCs w:val="22"/>
              </w:rPr>
            </w:pPr>
            <w:r w:rsidRPr="00AE78C2">
              <w:rPr>
                <w:sz w:val="22"/>
                <w:szCs w:val="22"/>
              </w:rPr>
              <w:br/>
            </w: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B5142" w:rsidRPr="00AE78C2" w:rsidRDefault="00FB5142" w:rsidP="00FB5142">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bottom w:val="nil"/>
            </w:tcBorders>
            <w:shd w:val="clear" w:color="auto" w:fill="auto"/>
          </w:tcPr>
          <w:p w:rsidR="00FB5142" w:rsidRPr="00AE78C2" w:rsidRDefault="00FB5142" w:rsidP="009B7F2E">
            <w:pPr>
              <w:numPr>
                <w:ilvl w:val="0"/>
                <w:numId w:val="43"/>
              </w:numPr>
              <w:autoSpaceDE w:val="0"/>
              <w:autoSpaceDN w:val="0"/>
              <w:adjustRightInd w:val="0"/>
              <w:rPr>
                <w:sz w:val="28"/>
                <w:szCs w:val="22"/>
              </w:rPr>
            </w:pPr>
            <w:r w:rsidRPr="00AE78C2">
              <w:rPr>
                <w:b/>
                <w:sz w:val="28"/>
                <w:szCs w:val="28"/>
              </w:rPr>
              <w:t xml:space="preserve">Validate data entered into HAI surveillance (e.g., through healthcare records review, parallel database comparison) to measure accuracy and reliability of HAI data collection. </w:t>
            </w:r>
          </w:p>
        </w:tc>
        <w:tc>
          <w:tcPr>
            <w:tcW w:w="2340" w:type="dxa"/>
            <w:tcBorders>
              <w:bottom w:val="nil"/>
            </w:tcBorders>
            <w:shd w:val="clear" w:color="auto" w:fill="auto"/>
          </w:tcPr>
          <w:p w:rsidR="00FB5142" w:rsidRPr="00AE78C2" w:rsidRDefault="00FB5142" w:rsidP="006B742F">
            <w:pPr>
              <w:autoSpaceDE w:val="0"/>
              <w:autoSpaceDN w:val="0"/>
              <w:adjustRightInd w:val="0"/>
              <w:rPr>
                <w:sz w:val="22"/>
                <w:szCs w:val="22"/>
              </w:rPr>
            </w:pPr>
          </w:p>
        </w:tc>
      </w:tr>
      <w:tr w:rsidR="00FB5142" w:rsidRPr="00AE78C2" w:rsidTr="008A25EC">
        <w:tc>
          <w:tcPr>
            <w:tcW w:w="1620" w:type="dxa"/>
            <w:vMerge/>
            <w:tcBorders>
              <w:left w:val="single" w:sz="4" w:space="0" w:color="auto"/>
              <w:bottom w:val="single" w:sz="4" w:space="0" w:color="auto"/>
              <w:right w:val="single" w:sz="4" w:space="0" w:color="auto"/>
            </w:tcBorders>
            <w:shd w:val="clear" w:color="auto" w:fill="auto"/>
          </w:tcPr>
          <w:p w:rsidR="00FB5142" w:rsidRPr="00AE78C2" w:rsidRDefault="00FB5142" w:rsidP="00915C31">
            <w:pPr>
              <w:jc w:val="center"/>
              <w:rPr>
                <w:sz w:val="22"/>
                <w:szCs w:val="22"/>
              </w:rPr>
            </w:pPr>
          </w:p>
        </w:tc>
        <w:tc>
          <w:tcPr>
            <w:tcW w:w="1350" w:type="dxa"/>
            <w:vMerge/>
            <w:tcBorders>
              <w:left w:val="single" w:sz="4" w:space="0" w:color="auto"/>
              <w:bottom w:val="single" w:sz="4" w:space="0" w:color="auto"/>
            </w:tcBorders>
            <w:shd w:val="clear" w:color="auto" w:fill="auto"/>
          </w:tcPr>
          <w:p w:rsidR="00FB5142" w:rsidRPr="00AE78C2" w:rsidRDefault="00FB5142" w:rsidP="00915C31">
            <w:pPr>
              <w:jc w:val="center"/>
              <w:rPr>
                <w:sz w:val="22"/>
                <w:szCs w:val="22"/>
              </w:rPr>
            </w:pPr>
          </w:p>
        </w:tc>
        <w:tc>
          <w:tcPr>
            <w:tcW w:w="7650" w:type="dxa"/>
            <w:tcBorders>
              <w:top w:val="nil"/>
              <w:bottom w:val="single" w:sz="4" w:space="0" w:color="auto"/>
              <w:right w:val="single" w:sz="4" w:space="0" w:color="auto"/>
            </w:tcBorders>
            <w:shd w:val="clear" w:color="auto" w:fill="auto"/>
          </w:tcPr>
          <w:p w:rsidR="00FB5142" w:rsidRPr="00AE78C2" w:rsidRDefault="00FB5142" w:rsidP="009B7F2E">
            <w:pPr>
              <w:numPr>
                <w:ilvl w:val="0"/>
                <w:numId w:val="20"/>
              </w:numPr>
              <w:autoSpaceDE w:val="0"/>
              <w:autoSpaceDN w:val="0"/>
              <w:adjustRightInd w:val="0"/>
              <w:rPr>
                <w:b/>
              </w:rPr>
            </w:pPr>
            <w:r w:rsidRPr="00AE78C2">
              <w:rPr>
                <w:b/>
              </w:rPr>
              <w:t>Develop a validation plan</w:t>
            </w:r>
          </w:p>
          <w:p w:rsidR="00FB5142" w:rsidRPr="00AE78C2" w:rsidRDefault="00FB5142" w:rsidP="009B7F2E">
            <w:pPr>
              <w:numPr>
                <w:ilvl w:val="0"/>
                <w:numId w:val="20"/>
              </w:numPr>
              <w:autoSpaceDE w:val="0"/>
              <w:autoSpaceDN w:val="0"/>
              <w:adjustRightInd w:val="0"/>
              <w:rPr>
                <w:b/>
              </w:rPr>
            </w:pPr>
            <w:r w:rsidRPr="00AE78C2">
              <w:rPr>
                <w:b/>
              </w:rPr>
              <w:t>Pilot test validation methods in a sample of healthcare facilities</w:t>
            </w:r>
          </w:p>
          <w:p w:rsidR="00FB5142" w:rsidRPr="00AE78C2" w:rsidRDefault="00FB5142" w:rsidP="009B7F2E">
            <w:pPr>
              <w:numPr>
                <w:ilvl w:val="0"/>
                <w:numId w:val="20"/>
              </w:numPr>
              <w:autoSpaceDE w:val="0"/>
              <w:autoSpaceDN w:val="0"/>
              <w:adjustRightInd w:val="0"/>
              <w:rPr>
                <w:b/>
              </w:rPr>
            </w:pPr>
            <w:r w:rsidRPr="00AE78C2">
              <w:rPr>
                <w:b/>
              </w:rPr>
              <w:t>Modify validation plan and methods in accordance with findings from pilot project</w:t>
            </w:r>
          </w:p>
          <w:p w:rsidR="00FB5142" w:rsidRPr="00AE78C2" w:rsidRDefault="00FB5142" w:rsidP="009B7F2E">
            <w:pPr>
              <w:numPr>
                <w:ilvl w:val="0"/>
                <w:numId w:val="20"/>
              </w:numPr>
              <w:autoSpaceDE w:val="0"/>
              <w:autoSpaceDN w:val="0"/>
              <w:adjustRightInd w:val="0"/>
              <w:rPr>
                <w:b/>
              </w:rPr>
            </w:pPr>
            <w:r w:rsidRPr="00AE78C2">
              <w:rPr>
                <w:b/>
              </w:rPr>
              <w:t>Implement validation plan and methods in all healthcare facilities participating in HAI surveillance</w:t>
            </w:r>
          </w:p>
          <w:p w:rsidR="00FB5142" w:rsidRPr="00AE78C2" w:rsidRDefault="00FB5142" w:rsidP="009B7F2E">
            <w:pPr>
              <w:numPr>
                <w:ilvl w:val="0"/>
                <w:numId w:val="20"/>
              </w:numPr>
              <w:autoSpaceDE w:val="0"/>
              <w:autoSpaceDN w:val="0"/>
              <w:adjustRightInd w:val="0"/>
              <w:rPr>
                <w:b/>
              </w:rPr>
            </w:pPr>
            <w:r w:rsidRPr="00AE78C2">
              <w:rPr>
                <w:b/>
              </w:rPr>
              <w:t>Analyze and report validation finding</w:t>
            </w:r>
          </w:p>
          <w:p w:rsidR="00FB5142" w:rsidRPr="00AE78C2" w:rsidRDefault="00FB5142" w:rsidP="009B7F2E">
            <w:pPr>
              <w:numPr>
                <w:ilvl w:val="0"/>
                <w:numId w:val="20"/>
              </w:numPr>
              <w:autoSpaceDE w:val="0"/>
              <w:autoSpaceDN w:val="0"/>
              <w:adjustRightInd w:val="0"/>
              <w:rPr>
                <w:b/>
                <w:szCs w:val="22"/>
              </w:rPr>
            </w:pPr>
            <w:r w:rsidRPr="00AE78C2">
              <w:rPr>
                <w:b/>
              </w:rPr>
              <w:t>Use validation findings to provide operational guidance for healthcare facilities that targets any data shortcomings detected</w:t>
            </w:r>
          </w:p>
          <w:p w:rsidR="00FB5142" w:rsidRPr="00AE78C2" w:rsidRDefault="00FB5142" w:rsidP="0077208B">
            <w:pPr>
              <w:autoSpaceDE w:val="0"/>
              <w:autoSpaceDN w:val="0"/>
              <w:adjustRightInd w:val="0"/>
              <w:ind w:left="900"/>
              <w:rPr>
                <w:b/>
                <w:szCs w:val="22"/>
                <w:highlight w:val="yellow"/>
              </w:rPr>
            </w:pPr>
          </w:p>
          <w:p w:rsidR="00FB5142" w:rsidRPr="00AE78C2" w:rsidRDefault="00FB5142" w:rsidP="00542AB4">
            <w:pPr>
              <w:autoSpaceDE w:val="0"/>
              <w:autoSpaceDN w:val="0"/>
              <w:adjustRightInd w:val="0"/>
              <w:ind w:left="882"/>
              <w:rPr>
                <w:color w:val="000000"/>
              </w:rPr>
            </w:pPr>
            <w:r w:rsidRPr="00AE78C2">
              <w:rPr>
                <w:color w:val="000000"/>
              </w:rPr>
              <w:t xml:space="preserve">External validation is essential to ensure high quality surveillance data. MDPH external validation of data is contingent on support received from the Centers for Disease Control and Prevention. </w:t>
            </w:r>
          </w:p>
          <w:p w:rsidR="00FB5142" w:rsidRPr="00AE78C2" w:rsidRDefault="00FB5142" w:rsidP="00542AB4">
            <w:pPr>
              <w:autoSpaceDE w:val="0"/>
              <w:autoSpaceDN w:val="0"/>
              <w:adjustRightInd w:val="0"/>
              <w:ind w:left="882"/>
              <w:rPr>
                <w:color w:val="000000"/>
              </w:rPr>
            </w:pPr>
          </w:p>
          <w:p w:rsidR="00FB5142" w:rsidRPr="00AE78C2" w:rsidRDefault="00FB5142" w:rsidP="00542AB4">
            <w:pPr>
              <w:autoSpaceDE w:val="0"/>
              <w:autoSpaceDN w:val="0"/>
              <w:adjustRightInd w:val="0"/>
              <w:ind w:left="882"/>
              <w:rPr>
                <w:color w:val="000000"/>
              </w:rPr>
            </w:pPr>
            <w:r w:rsidRPr="00AE78C2">
              <w:rPr>
                <w:color w:val="000000"/>
              </w:rPr>
              <w:t xml:space="preserve">Measures selected for external validation have included central line associated blood stream infections and surgical site infections related to abdominal hysterectomy procedures. MDPH is currently conducting an external validation of SSI related to vaginal hysterectomy procedures. </w:t>
            </w:r>
          </w:p>
          <w:p w:rsidR="00FB5142" w:rsidRPr="00AE78C2" w:rsidRDefault="00FB5142" w:rsidP="00542AB4">
            <w:pPr>
              <w:autoSpaceDE w:val="0"/>
              <w:autoSpaceDN w:val="0"/>
              <w:adjustRightInd w:val="0"/>
              <w:ind w:left="882"/>
              <w:rPr>
                <w:color w:val="000000"/>
              </w:rPr>
            </w:pPr>
          </w:p>
          <w:p w:rsidR="00FB5142" w:rsidRPr="00AE78C2" w:rsidRDefault="00FB5142" w:rsidP="00542AB4">
            <w:pPr>
              <w:autoSpaceDE w:val="0"/>
              <w:autoSpaceDN w:val="0"/>
              <w:adjustRightInd w:val="0"/>
              <w:ind w:left="882"/>
              <w:rPr>
                <w:color w:val="365F91"/>
              </w:rPr>
            </w:pPr>
            <w:r w:rsidRPr="00AE78C2">
              <w:rPr>
                <w:color w:val="000000"/>
              </w:rPr>
              <w:t>MDPH utilizes the NHSN External Validation Guidance and Toolkits to identify hospitals. Selected hospitals are identified using a targeted selection algorithm developed by the CDC that targets facilities with high volume of exposure to HAI risk. A team of MDPH epidemiologists conduct the on-site validation visits to review medical records</w:t>
            </w:r>
            <w:r w:rsidRPr="00AE78C2">
              <w:rPr>
                <w:color w:val="365F91"/>
              </w:rPr>
              <w:t>.</w:t>
            </w:r>
          </w:p>
          <w:p w:rsidR="00FB5142" w:rsidRPr="00AE78C2" w:rsidRDefault="00FB5142" w:rsidP="00542AB4">
            <w:pPr>
              <w:autoSpaceDE w:val="0"/>
              <w:autoSpaceDN w:val="0"/>
              <w:adjustRightInd w:val="0"/>
              <w:ind w:left="882"/>
              <w:rPr>
                <w:color w:val="365F91"/>
              </w:rPr>
            </w:pPr>
          </w:p>
          <w:p w:rsidR="00FB5142" w:rsidRPr="00AE78C2" w:rsidRDefault="00FB5142" w:rsidP="000A350A">
            <w:pPr>
              <w:autoSpaceDE w:val="0"/>
              <w:autoSpaceDN w:val="0"/>
              <w:adjustRightInd w:val="0"/>
              <w:ind w:left="882"/>
              <w:rPr>
                <w:sz w:val="22"/>
                <w:szCs w:val="22"/>
                <w:highlight w:val="yellow"/>
              </w:rPr>
            </w:pPr>
            <w:r w:rsidRPr="00AE78C2">
              <w:rPr>
                <w:color w:val="000000"/>
              </w:rPr>
              <w:lastRenderedPageBreak/>
              <w:t>Findings from hospital specific validation visits are summarized in a report and shared with hospital infection preventionists following the site visit. Information learned through the process has been shared with CDC</w:t>
            </w:r>
            <w:r w:rsidRPr="00AE78C2">
              <w:rPr>
                <w:color w:val="365F91"/>
              </w:rPr>
              <w:t>.</w:t>
            </w:r>
          </w:p>
        </w:tc>
        <w:tc>
          <w:tcPr>
            <w:tcW w:w="2340" w:type="dxa"/>
            <w:tcBorders>
              <w:top w:val="nil"/>
              <w:left w:val="single" w:sz="4" w:space="0" w:color="auto"/>
              <w:bottom w:val="single" w:sz="4" w:space="0" w:color="auto"/>
            </w:tcBorders>
            <w:shd w:val="clear" w:color="auto" w:fill="auto"/>
          </w:tcPr>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545117" w:rsidRPr="00AE78C2" w:rsidRDefault="00545117" w:rsidP="006B742F">
            <w:pPr>
              <w:autoSpaceDE w:val="0"/>
              <w:autoSpaceDN w:val="0"/>
              <w:adjustRightInd w:val="0"/>
              <w:rPr>
                <w:sz w:val="22"/>
                <w:szCs w:val="22"/>
              </w:rPr>
            </w:pPr>
          </w:p>
          <w:p w:rsidR="00FB5142" w:rsidRPr="00AE78C2" w:rsidRDefault="00FB5142" w:rsidP="006B742F">
            <w:pPr>
              <w:autoSpaceDE w:val="0"/>
              <w:autoSpaceDN w:val="0"/>
              <w:adjustRightInd w:val="0"/>
              <w:rPr>
                <w:color w:val="000000"/>
              </w:rPr>
            </w:pPr>
            <w:r w:rsidRPr="00AE78C2">
              <w:rPr>
                <w:color w:val="000000"/>
              </w:rPr>
              <w:t xml:space="preserve">2015-2016 </w:t>
            </w: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p>
          <w:p w:rsidR="00FB5142" w:rsidRPr="00AE78C2" w:rsidRDefault="00FB5142" w:rsidP="006B742F">
            <w:pPr>
              <w:autoSpaceDE w:val="0"/>
              <w:autoSpaceDN w:val="0"/>
              <w:adjustRightInd w:val="0"/>
              <w:rPr>
                <w:sz w:val="22"/>
                <w:szCs w:val="22"/>
              </w:rPr>
            </w:pPr>
            <w:r w:rsidRPr="00AE78C2">
              <w:rPr>
                <w:sz w:val="22"/>
                <w:szCs w:val="22"/>
              </w:rPr>
              <w:t xml:space="preserve"> </w:t>
            </w:r>
          </w:p>
        </w:tc>
      </w:tr>
      <w:tr w:rsidR="00542AB4" w:rsidRPr="00AE78C2" w:rsidTr="008A25E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rsidR="00542AB4" w:rsidRPr="00AE78C2" w:rsidRDefault="00542AB4" w:rsidP="006B742F">
            <w:pPr>
              <w:jc w:val="center"/>
              <w:rPr>
                <w:sz w:val="22"/>
                <w:szCs w:val="22"/>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542AB4" w:rsidRPr="00AE78C2" w:rsidRDefault="00542AB4" w:rsidP="006B742F">
            <w:pPr>
              <w:autoSpaceDE w:val="0"/>
              <w:autoSpaceDN w:val="0"/>
              <w:adjustRightInd w:val="0"/>
              <w:rPr>
                <w:i/>
                <w:sz w:val="22"/>
                <w:szCs w:val="22"/>
              </w:rPr>
            </w:pPr>
            <w:r w:rsidRPr="00AE78C2">
              <w:rPr>
                <w:i/>
                <w:sz w:val="22"/>
                <w:szCs w:val="22"/>
              </w:rPr>
              <w:t>Other activities or descriptions:</w:t>
            </w:r>
          </w:p>
          <w:p w:rsidR="00542AB4" w:rsidRPr="00AE78C2" w:rsidRDefault="00542AB4" w:rsidP="00FB5142">
            <w:pPr>
              <w:autoSpaceDE w:val="0"/>
              <w:autoSpaceDN w:val="0"/>
              <w:adjustRightInd w:val="0"/>
              <w:ind w:left="432"/>
              <w:rPr>
                <w:color w:val="000000"/>
                <w:highlight w:val="yellow"/>
              </w:rPr>
            </w:pPr>
            <w:r w:rsidRPr="00AE78C2">
              <w:rPr>
                <w:color w:val="000000"/>
              </w:rPr>
              <w:t>MDPH has established a quality assurance system to assess the completeness and accuracy of data reported to NHSN. The data cleaning reports are distributed quarterly to hospital infection preventionists to reconcile NHSN data. The quarterly reports align with CDC’s hospital internal validation guidance.</w:t>
            </w:r>
            <w:r w:rsidRPr="00AE78C2">
              <w:rPr>
                <w:color w:val="000000"/>
                <w:highlight w:val="yellow"/>
              </w:rPr>
              <w:t xml:space="preserve"> </w:t>
            </w:r>
          </w:p>
          <w:p w:rsidR="00542AB4" w:rsidRPr="00AE78C2" w:rsidRDefault="00542AB4" w:rsidP="00FB5142">
            <w:pPr>
              <w:autoSpaceDE w:val="0"/>
              <w:autoSpaceDN w:val="0"/>
              <w:adjustRightInd w:val="0"/>
              <w:ind w:left="432"/>
              <w:rPr>
                <w:color w:val="000000"/>
                <w:highlight w:val="yellow"/>
              </w:rPr>
            </w:pPr>
          </w:p>
          <w:p w:rsidR="00542AB4" w:rsidRPr="00AE78C2" w:rsidRDefault="00542AB4" w:rsidP="00FC3BE2">
            <w:pPr>
              <w:autoSpaceDE w:val="0"/>
              <w:autoSpaceDN w:val="0"/>
              <w:adjustRightInd w:val="0"/>
              <w:ind w:left="432"/>
              <w:rPr>
                <w:sz w:val="22"/>
                <w:szCs w:val="22"/>
                <w:highlight w:val="yellow"/>
              </w:rPr>
            </w:pPr>
            <w:r w:rsidRPr="00AE78C2">
              <w:rPr>
                <w:color w:val="000000"/>
              </w:rPr>
              <w:t>The statistical analysis software (SAS) program and the standard operating procedure developed by MDPH epidemiologists ha</w:t>
            </w:r>
            <w:r w:rsidR="00FC3BE2" w:rsidRPr="00AE78C2">
              <w:rPr>
                <w:color w:val="000000"/>
              </w:rPr>
              <w:t>ve</w:t>
            </w:r>
            <w:r w:rsidRPr="00AE78C2">
              <w:rPr>
                <w:color w:val="000000"/>
              </w:rPr>
              <w:t xml:space="preserve"> been made available to other states to support their HAI Programs.</w:t>
            </w:r>
          </w:p>
        </w:tc>
        <w:tc>
          <w:tcPr>
            <w:tcW w:w="2340" w:type="dxa"/>
            <w:tcBorders>
              <w:top w:val="single" w:sz="4" w:space="0" w:color="auto"/>
              <w:left w:val="single" w:sz="4" w:space="0" w:color="auto"/>
              <w:bottom w:val="single" w:sz="4" w:space="0" w:color="auto"/>
            </w:tcBorders>
            <w:shd w:val="clear" w:color="auto" w:fill="auto"/>
          </w:tcPr>
          <w:p w:rsidR="00542AB4" w:rsidRPr="00AE78C2" w:rsidRDefault="00542AB4" w:rsidP="006B742F">
            <w:pPr>
              <w:autoSpaceDE w:val="0"/>
              <w:autoSpaceDN w:val="0"/>
              <w:adjustRightInd w:val="0"/>
              <w:rPr>
                <w:sz w:val="22"/>
                <w:szCs w:val="22"/>
              </w:rPr>
            </w:pPr>
          </w:p>
          <w:p w:rsidR="00542AB4" w:rsidRPr="00AE78C2" w:rsidRDefault="00542AB4" w:rsidP="00B0602D">
            <w:pPr>
              <w:autoSpaceDE w:val="0"/>
              <w:autoSpaceDN w:val="0"/>
              <w:adjustRightInd w:val="0"/>
              <w:rPr>
                <w:sz w:val="22"/>
                <w:szCs w:val="22"/>
              </w:rPr>
            </w:pPr>
          </w:p>
          <w:p w:rsidR="00542AB4" w:rsidRPr="00AE78C2" w:rsidRDefault="00542AB4" w:rsidP="00B0602D">
            <w:pPr>
              <w:autoSpaceDE w:val="0"/>
              <w:autoSpaceDN w:val="0"/>
              <w:adjustRightInd w:val="0"/>
              <w:rPr>
                <w:sz w:val="22"/>
                <w:szCs w:val="22"/>
              </w:rPr>
            </w:pPr>
          </w:p>
          <w:p w:rsidR="00542AB4" w:rsidRPr="00AE78C2" w:rsidRDefault="00542AB4" w:rsidP="00B0602D">
            <w:pPr>
              <w:autoSpaceDE w:val="0"/>
              <w:autoSpaceDN w:val="0"/>
              <w:adjustRightInd w:val="0"/>
              <w:rPr>
                <w:sz w:val="22"/>
                <w:szCs w:val="22"/>
              </w:rPr>
            </w:pPr>
          </w:p>
          <w:p w:rsidR="00542AB4" w:rsidRPr="00AE78C2" w:rsidRDefault="00542AB4" w:rsidP="00B0602D">
            <w:pPr>
              <w:autoSpaceDE w:val="0"/>
              <w:autoSpaceDN w:val="0"/>
              <w:adjustRightInd w:val="0"/>
              <w:rPr>
                <w:sz w:val="22"/>
                <w:szCs w:val="22"/>
              </w:rPr>
            </w:pPr>
          </w:p>
          <w:p w:rsidR="00542AB4" w:rsidRPr="00AE78C2" w:rsidRDefault="00542AB4" w:rsidP="00B0602D">
            <w:pPr>
              <w:autoSpaceDE w:val="0"/>
              <w:autoSpaceDN w:val="0"/>
              <w:adjustRightInd w:val="0"/>
              <w:rPr>
                <w:sz w:val="22"/>
                <w:szCs w:val="22"/>
              </w:rPr>
            </w:pPr>
          </w:p>
          <w:p w:rsidR="00542AB4" w:rsidRPr="00AE78C2" w:rsidRDefault="00542AB4" w:rsidP="00B0602D">
            <w:pPr>
              <w:autoSpaceDE w:val="0"/>
              <w:autoSpaceDN w:val="0"/>
              <w:adjustRightInd w:val="0"/>
              <w:rPr>
                <w:sz w:val="22"/>
                <w:szCs w:val="22"/>
              </w:rPr>
            </w:pPr>
          </w:p>
          <w:p w:rsidR="00542AB4" w:rsidRPr="00AE78C2" w:rsidRDefault="00542AB4" w:rsidP="00B0602D">
            <w:pPr>
              <w:autoSpaceDE w:val="0"/>
              <w:autoSpaceDN w:val="0"/>
              <w:adjustRightInd w:val="0"/>
              <w:rPr>
                <w:color w:val="000000"/>
              </w:rPr>
            </w:pPr>
            <w:r w:rsidRPr="00AE78C2">
              <w:rPr>
                <w:color w:val="000000"/>
              </w:rPr>
              <w:t>2016</w:t>
            </w:r>
          </w:p>
        </w:tc>
      </w:tr>
      <w:tr w:rsidR="00542AB4" w:rsidRPr="00AE78C2" w:rsidTr="008A25EC">
        <w:tc>
          <w:tcPr>
            <w:tcW w:w="1620" w:type="dxa"/>
            <w:tcBorders>
              <w:top w:val="single" w:sz="4" w:space="0" w:color="auto"/>
              <w:left w:val="single" w:sz="4" w:space="0" w:color="auto"/>
              <w:bottom w:val="nil"/>
              <w:right w:val="single" w:sz="4" w:space="0" w:color="auto"/>
            </w:tcBorders>
            <w:shd w:val="clear" w:color="auto" w:fill="auto"/>
          </w:tcPr>
          <w:p w:rsidR="00542AB4" w:rsidRPr="00AE78C2" w:rsidRDefault="00542AB4" w:rsidP="006B742F">
            <w:pPr>
              <w:jc w:val="center"/>
              <w:rPr>
                <w:sz w:val="22"/>
                <w:szCs w:val="22"/>
              </w:rPr>
            </w:pPr>
          </w:p>
        </w:tc>
        <w:tc>
          <w:tcPr>
            <w:tcW w:w="1350" w:type="dxa"/>
            <w:tcBorders>
              <w:top w:val="nil"/>
              <w:left w:val="single" w:sz="4" w:space="0" w:color="auto"/>
              <w:bottom w:val="nil"/>
              <w:right w:val="single" w:sz="4" w:space="0" w:color="auto"/>
            </w:tcBorders>
            <w:shd w:val="clear" w:color="auto" w:fill="auto"/>
          </w:tcPr>
          <w:p w:rsidR="00542AB4" w:rsidRPr="00AE78C2" w:rsidRDefault="00542AB4" w:rsidP="006B742F">
            <w:pPr>
              <w:jc w:val="center"/>
              <w:rPr>
                <w:sz w:val="22"/>
                <w:szCs w:val="22"/>
              </w:rPr>
            </w:pPr>
          </w:p>
        </w:tc>
        <w:tc>
          <w:tcPr>
            <w:tcW w:w="7650" w:type="dxa"/>
            <w:tcBorders>
              <w:top w:val="nil"/>
              <w:left w:val="single" w:sz="4" w:space="0" w:color="auto"/>
              <w:bottom w:val="nil"/>
              <w:right w:val="single" w:sz="4" w:space="0" w:color="auto"/>
            </w:tcBorders>
            <w:shd w:val="clear" w:color="auto" w:fill="auto"/>
          </w:tcPr>
          <w:p w:rsidR="00542AB4" w:rsidRPr="00AE78C2" w:rsidRDefault="00542AB4" w:rsidP="009B7F2E">
            <w:pPr>
              <w:numPr>
                <w:ilvl w:val="0"/>
                <w:numId w:val="43"/>
              </w:numPr>
              <w:autoSpaceDE w:val="0"/>
              <w:autoSpaceDN w:val="0"/>
              <w:adjustRightInd w:val="0"/>
              <w:rPr>
                <w:b/>
                <w:sz w:val="28"/>
                <w:szCs w:val="28"/>
              </w:rPr>
            </w:pPr>
            <w:r w:rsidRPr="00AE78C2">
              <w:rPr>
                <w:b/>
                <w:sz w:val="28"/>
                <w:szCs w:val="28"/>
              </w:rPr>
              <w:t>Develop preparedness plans for improved response to HAI</w:t>
            </w:r>
          </w:p>
        </w:tc>
        <w:tc>
          <w:tcPr>
            <w:tcW w:w="2340" w:type="dxa"/>
            <w:tcBorders>
              <w:top w:val="single" w:sz="4" w:space="0" w:color="auto"/>
              <w:left w:val="single" w:sz="4" w:space="0" w:color="auto"/>
              <w:bottom w:val="nil"/>
              <w:right w:val="single" w:sz="4" w:space="0" w:color="auto"/>
            </w:tcBorders>
            <w:shd w:val="clear" w:color="auto" w:fill="auto"/>
          </w:tcPr>
          <w:p w:rsidR="00542AB4" w:rsidRPr="00AE78C2" w:rsidRDefault="00542AB4" w:rsidP="006B742F">
            <w:pPr>
              <w:autoSpaceDE w:val="0"/>
              <w:autoSpaceDN w:val="0"/>
              <w:adjustRightInd w:val="0"/>
              <w:rPr>
                <w:color w:val="365F91"/>
                <w:sz w:val="22"/>
                <w:szCs w:val="22"/>
              </w:rPr>
            </w:pPr>
          </w:p>
        </w:tc>
      </w:tr>
      <w:tr w:rsidR="00542AB4" w:rsidRPr="00AE78C2" w:rsidTr="008A25EC">
        <w:tc>
          <w:tcPr>
            <w:tcW w:w="1620" w:type="dxa"/>
            <w:tcBorders>
              <w:top w:val="nil"/>
              <w:left w:val="single" w:sz="4" w:space="0" w:color="auto"/>
              <w:bottom w:val="single" w:sz="4" w:space="0" w:color="auto"/>
              <w:right w:val="single" w:sz="4" w:space="0" w:color="auto"/>
            </w:tcBorders>
            <w:shd w:val="clear" w:color="auto" w:fill="auto"/>
          </w:tcPr>
          <w:p w:rsidR="00542AB4"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9B7F2E">
            <w:pPr>
              <w:numPr>
                <w:ilvl w:val="0"/>
                <w:numId w:val="8"/>
              </w:numPr>
              <w:autoSpaceDE w:val="0"/>
              <w:autoSpaceDN w:val="0"/>
              <w:adjustRightInd w:val="0"/>
              <w:rPr>
                <w:b/>
                <w:szCs w:val="22"/>
              </w:rPr>
            </w:pPr>
            <w:r w:rsidRPr="00AE78C2">
              <w:rPr>
                <w:b/>
                <w:szCs w:val="22"/>
              </w:rPr>
              <w:t>Define processes and tiered response criteria to handle increased reports of serious infection control breaches (e.g., syringe reuse), suspect cases/clusters, and outbreaks</w:t>
            </w:r>
          </w:p>
          <w:p w:rsidR="00542AB4" w:rsidRPr="00AE78C2" w:rsidRDefault="00542AB4" w:rsidP="0014292D">
            <w:pPr>
              <w:autoSpaceDE w:val="0"/>
              <w:autoSpaceDN w:val="0"/>
              <w:adjustRightInd w:val="0"/>
              <w:ind w:left="1440"/>
              <w:rPr>
                <w:color w:val="365F91"/>
                <w:sz w:val="18"/>
                <w:szCs w:val="20"/>
              </w:rPr>
            </w:pPr>
          </w:p>
          <w:p w:rsidR="00542AB4" w:rsidRPr="00AE78C2" w:rsidRDefault="00542AB4" w:rsidP="00C11A2E">
            <w:pPr>
              <w:autoSpaceDE w:val="0"/>
              <w:autoSpaceDN w:val="0"/>
              <w:adjustRightInd w:val="0"/>
              <w:ind w:left="882"/>
              <w:rPr>
                <w:color w:val="000000"/>
              </w:rPr>
            </w:pPr>
            <w:r w:rsidRPr="00AE78C2">
              <w:rPr>
                <w:color w:val="000000"/>
                <w:szCs w:val="20"/>
              </w:rPr>
              <w:t xml:space="preserve">Massachusetts demonstrates a well-established approach for public health preparedness. </w:t>
            </w:r>
            <w:r w:rsidRPr="00AE78C2">
              <w:rPr>
                <w:color w:val="000000"/>
              </w:rPr>
              <w:t xml:space="preserve">The Reportable Diseases, Surveillance, and Isolation and Quarantine Regulations (105 CMR 300.134) require </w:t>
            </w:r>
            <w:r w:rsidRPr="00AE78C2">
              <w:rPr>
                <w:color w:val="000000"/>
                <w:sz w:val="23"/>
                <w:szCs w:val="23"/>
              </w:rPr>
              <w:t xml:space="preserve">licensed hospitals </w:t>
            </w:r>
            <w:r w:rsidRPr="00AE78C2">
              <w:rPr>
                <w:color w:val="000000"/>
              </w:rPr>
              <w:t xml:space="preserve">to report illness believed to be part of an outbreak or cluster.  </w:t>
            </w:r>
          </w:p>
          <w:p w:rsidR="00545117" w:rsidRPr="00AE78C2" w:rsidRDefault="00545117" w:rsidP="00C11A2E">
            <w:pPr>
              <w:autoSpaceDE w:val="0"/>
              <w:autoSpaceDN w:val="0"/>
              <w:adjustRightInd w:val="0"/>
              <w:ind w:left="882"/>
              <w:rPr>
                <w:color w:val="000000"/>
                <w:sz w:val="16"/>
              </w:rPr>
            </w:pPr>
          </w:p>
          <w:p w:rsidR="00542AB4" w:rsidRPr="00AE78C2" w:rsidRDefault="00542AB4" w:rsidP="00C11A2E">
            <w:pPr>
              <w:autoSpaceDE w:val="0"/>
              <w:autoSpaceDN w:val="0"/>
              <w:adjustRightInd w:val="0"/>
              <w:ind w:left="882"/>
              <w:rPr>
                <w:color w:val="365F91"/>
              </w:rPr>
            </w:pPr>
            <w:r w:rsidRPr="00AE78C2">
              <w:rPr>
                <w:color w:val="000000"/>
              </w:rPr>
              <w:t>The hospital licensure regulations governing the reporting of serious incidents and accidents (105 CMR 130.331) require hospitals to report incidents that seriously affect the health and safety of patients, including “reportable infectious disease outbreaks</w:t>
            </w:r>
            <w:r w:rsidRPr="00AE78C2">
              <w:rPr>
                <w:color w:val="365F91"/>
              </w:rPr>
              <w:t>”.</w:t>
            </w:r>
          </w:p>
          <w:p w:rsidR="00542AB4" w:rsidRPr="00AE78C2" w:rsidRDefault="00542AB4" w:rsidP="00C11A2E">
            <w:pPr>
              <w:autoSpaceDE w:val="0"/>
              <w:autoSpaceDN w:val="0"/>
              <w:adjustRightInd w:val="0"/>
              <w:ind w:left="882"/>
              <w:rPr>
                <w:color w:val="365F91"/>
              </w:rPr>
            </w:pPr>
          </w:p>
          <w:p w:rsidR="00542AB4" w:rsidRPr="00AE78C2" w:rsidRDefault="00542AB4" w:rsidP="00C11A2E">
            <w:pPr>
              <w:autoSpaceDE w:val="0"/>
              <w:autoSpaceDN w:val="0"/>
              <w:adjustRightInd w:val="0"/>
              <w:ind w:left="882"/>
              <w:rPr>
                <w:color w:val="000000"/>
              </w:rPr>
            </w:pPr>
            <w:r w:rsidRPr="00AE78C2">
              <w:rPr>
                <w:color w:val="000000"/>
              </w:rPr>
              <w:lastRenderedPageBreak/>
              <w:t xml:space="preserve">The MDPH’s Epidemiology Program within the Bureau of Infectious Disease </w:t>
            </w:r>
            <w:r w:rsidR="006A3111" w:rsidRPr="00AE78C2">
              <w:rPr>
                <w:color w:val="000000"/>
              </w:rPr>
              <w:t xml:space="preserve">and Laboratory Sciences </w:t>
            </w:r>
            <w:r w:rsidRPr="00AE78C2">
              <w:rPr>
                <w:color w:val="000000"/>
              </w:rPr>
              <w:t>develops data collection mechanisms for new and emerging infections such as MERS and Ebola.</w:t>
            </w:r>
          </w:p>
          <w:p w:rsidR="00542AB4" w:rsidRPr="00AE78C2" w:rsidRDefault="00542AB4" w:rsidP="00C11A2E">
            <w:pPr>
              <w:autoSpaceDE w:val="0"/>
              <w:autoSpaceDN w:val="0"/>
              <w:adjustRightInd w:val="0"/>
              <w:ind w:left="882"/>
              <w:rPr>
                <w:color w:val="000000"/>
              </w:rPr>
            </w:pPr>
          </w:p>
          <w:p w:rsidR="00542AB4" w:rsidRPr="00AE78C2" w:rsidRDefault="00542AB4" w:rsidP="00C11A2E">
            <w:pPr>
              <w:autoSpaceDE w:val="0"/>
              <w:autoSpaceDN w:val="0"/>
              <w:adjustRightInd w:val="0"/>
              <w:ind w:left="882"/>
              <w:rPr>
                <w:color w:val="000000"/>
              </w:rPr>
            </w:pPr>
            <w:r w:rsidRPr="00AE78C2">
              <w:rPr>
                <w:color w:val="000000"/>
              </w:rPr>
              <w:t xml:space="preserve">Investigations are triggered in the following ways:  </w:t>
            </w:r>
          </w:p>
          <w:p w:rsidR="00542AB4" w:rsidRPr="00AE78C2" w:rsidRDefault="00542AB4" w:rsidP="00C11A2E">
            <w:pPr>
              <w:autoSpaceDE w:val="0"/>
              <w:autoSpaceDN w:val="0"/>
              <w:adjustRightInd w:val="0"/>
              <w:ind w:left="882"/>
              <w:rPr>
                <w:color w:val="000000"/>
              </w:rPr>
            </w:pPr>
          </w:p>
          <w:p w:rsidR="00542AB4" w:rsidRPr="00AE78C2" w:rsidRDefault="00542AB4" w:rsidP="00CD1E8E">
            <w:pPr>
              <w:numPr>
                <w:ilvl w:val="0"/>
                <w:numId w:val="46"/>
              </w:numPr>
              <w:autoSpaceDE w:val="0"/>
              <w:autoSpaceDN w:val="0"/>
              <w:adjustRightInd w:val="0"/>
              <w:rPr>
                <w:color w:val="000000"/>
              </w:rPr>
            </w:pPr>
            <w:r w:rsidRPr="00AE78C2">
              <w:rPr>
                <w:color w:val="000000"/>
              </w:rPr>
              <w:t>Surveillance data is monitored by state epidemiologists to detect possible clusters and outbreaks.</w:t>
            </w:r>
          </w:p>
          <w:p w:rsidR="00542AB4" w:rsidRPr="00AE78C2" w:rsidRDefault="00542AB4" w:rsidP="00C11A2E">
            <w:pPr>
              <w:autoSpaceDE w:val="0"/>
              <w:autoSpaceDN w:val="0"/>
              <w:adjustRightInd w:val="0"/>
              <w:ind w:left="882"/>
              <w:rPr>
                <w:color w:val="000000"/>
              </w:rPr>
            </w:pPr>
          </w:p>
          <w:p w:rsidR="00542AB4" w:rsidRPr="00AE78C2" w:rsidRDefault="00542AB4" w:rsidP="00CD1E8E">
            <w:pPr>
              <w:numPr>
                <w:ilvl w:val="0"/>
                <w:numId w:val="46"/>
              </w:numPr>
              <w:autoSpaceDE w:val="0"/>
              <w:autoSpaceDN w:val="0"/>
              <w:adjustRightInd w:val="0"/>
              <w:rPr>
                <w:color w:val="000000"/>
              </w:rPr>
            </w:pPr>
            <w:r w:rsidRPr="00AE78C2">
              <w:rPr>
                <w:color w:val="000000"/>
              </w:rPr>
              <w:t>Hospitals monitor data and consult with and report data to MDPH.</w:t>
            </w:r>
          </w:p>
          <w:p w:rsidR="00542AB4" w:rsidRPr="00AE78C2" w:rsidRDefault="00542AB4" w:rsidP="00C11A2E">
            <w:pPr>
              <w:pStyle w:val="ListParagraph"/>
              <w:ind w:left="882"/>
              <w:rPr>
                <w:color w:val="000000"/>
              </w:rPr>
            </w:pPr>
          </w:p>
          <w:p w:rsidR="00542AB4" w:rsidRPr="00AE78C2" w:rsidRDefault="00542AB4" w:rsidP="00CD1E8E">
            <w:pPr>
              <w:numPr>
                <w:ilvl w:val="0"/>
                <w:numId w:val="46"/>
              </w:numPr>
              <w:autoSpaceDE w:val="0"/>
              <w:autoSpaceDN w:val="0"/>
              <w:adjustRightInd w:val="0"/>
              <w:rPr>
                <w:color w:val="000000"/>
              </w:rPr>
            </w:pPr>
            <w:r w:rsidRPr="00AE78C2">
              <w:rPr>
                <w:color w:val="000000"/>
              </w:rPr>
              <w:t>The Bureau of Health</w:t>
            </w:r>
            <w:r w:rsidR="00A1629A" w:rsidRPr="00AE78C2">
              <w:rPr>
                <w:color w:val="000000"/>
              </w:rPr>
              <w:t xml:space="preserve"> C</w:t>
            </w:r>
            <w:r w:rsidRPr="00AE78C2">
              <w:rPr>
                <w:color w:val="000000"/>
              </w:rPr>
              <w:t>are Safety and Quality routinely communicates any suspected clusters or outbreaks identified through consumer complaints and on-site survey activities.</w:t>
            </w:r>
          </w:p>
          <w:p w:rsidR="00542AB4" w:rsidRPr="00AE78C2" w:rsidRDefault="00542AB4" w:rsidP="00C11A2E">
            <w:pPr>
              <w:pStyle w:val="ListParagraph"/>
              <w:ind w:left="882"/>
              <w:rPr>
                <w:color w:val="000000"/>
              </w:rPr>
            </w:pPr>
          </w:p>
          <w:p w:rsidR="00802E79" w:rsidRPr="00AE78C2" w:rsidRDefault="00802E79" w:rsidP="00C11A2E">
            <w:pPr>
              <w:autoSpaceDE w:val="0"/>
              <w:autoSpaceDN w:val="0"/>
              <w:adjustRightInd w:val="0"/>
              <w:ind w:left="882"/>
              <w:rPr>
                <w:color w:val="000000"/>
              </w:rPr>
            </w:pPr>
            <w:r w:rsidRPr="00AE78C2">
              <w:rPr>
                <w:color w:val="000000"/>
              </w:rPr>
              <w:t>MAVEN provides expedited data collection, communications and work flows as part of an Outbreak Module which can be readily configured for outbreaks.</w:t>
            </w:r>
          </w:p>
          <w:p w:rsidR="00802E79" w:rsidRPr="00AE78C2" w:rsidRDefault="00802E79" w:rsidP="00C11A2E">
            <w:pPr>
              <w:autoSpaceDE w:val="0"/>
              <w:autoSpaceDN w:val="0"/>
              <w:adjustRightInd w:val="0"/>
              <w:ind w:left="882"/>
              <w:rPr>
                <w:color w:val="000000"/>
              </w:rPr>
            </w:pPr>
          </w:p>
          <w:p w:rsidR="00542AB4" w:rsidRPr="00AE78C2" w:rsidRDefault="00542AB4" w:rsidP="00C11A2E">
            <w:pPr>
              <w:autoSpaceDE w:val="0"/>
              <w:autoSpaceDN w:val="0"/>
              <w:adjustRightInd w:val="0"/>
              <w:ind w:left="882"/>
              <w:rPr>
                <w:color w:val="000000"/>
              </w:rPr>
            </w:pPr>
            <w:r w:rsidRPr="00AE78C2">
              <w:rPr>
                <w:color w:val="000000"/>
              </w:rPr>
              <w:t>State capacity to respond to serious breaches or suspected clusters or outbreaks has been enhanced by the addition of contracted staff supported by the Ebola supplement.  Activities conducted under the Ebola supplement provided the state substantial opportunities to identify gaps in infection prevention and control practice in healthcare facilities.</w:t>
            </w:r>
          </w:p>
          <w:p w:rsidR="00542AB4" w:rsidRPr="00AE78C2" w:rsidRDefault="00542AB4" w:rsidP="00A73A2B">
            <w:pPr>
              <w:autoSpaceDE w:val="0"/>
              <w:autoSpaceDN w:val="0"/>
              <w:adjustRightInd w:val="0"/>
              <w:ind w:left="720"/>
              <w:rPr>
                <w:color w:val="000000"/>
              </w:rPr>
            </w:pPr>
          </w:p>
          <w:p w:rsidR="0075733A" w:rsidRPr="00AE78C2" w:rsidRDefault="00542AB4" w:rsidP="00C11A2E">
            <w:pPr>
              <w:autoSpaceDE w:val="0"/>
              <w:autoSpaceDN w:val="0"/>
              <w:adjustRightInd w:val="0"/>
              <w:ind w:left="882"/>
              <w:rPr>
                <w:color w:val="000000"/>
              </w:rPr>
            </w:pPr>
            <w:r w:rsidRPr="00AE78C2">
              <w:rPr>
                <w:color w:val="000000"/>
              </w:rPr>
              <w:t xml:space="preserve">CDC’s </w:t>
            </w:r>
            <w:r w:rsidR="0075733A" w:rsidRPr="00AE78C2">
              <w:rPr>
                <w:color w:val="000000"/>
              </w:rPr>
              <w:t xml:space="preserve">patient notification </w:t>
            </w:r>
            <w:r w:rsidRPr="00AE78C2">
              <w:rPr>
                <w:color w:val="000000"/>
              </w:rPr>
              <w:t>tool kit for responding to reports of</w:t>
            </w:r>
            <w:r w:rsidRPr="00AE78C2">
              <w:rPr>
                <w:color w:val="365F91"/>
              </w:rPr>
              <w:t xml:space="preserve"> </w:t>
            </w:r>
            <w:r w:rsidRPr="00AE78C2">
              <w:rPr>
                <w:color w:val="000000"/>
              </w:rPr>
              <w:t xml:space="preserve">infection control breaches, clusters or suspected outbreaks has been </w:t>
            </w:r>
            <w:r w:rsidRPr="00AE78C2">
              <w:rPr>
                <w:color w:val="000000"/>
              </w:rPr>
              <w:lastRenderedPageBreak/>
              <w:t>utilized when applicable.</w:t>
            </w:r>
          </w:p>
          <w:p w:rsidR="0075733A" w:rsidRPr="00AE78C2" w:rsidRDefault="0075733A" w:rsidP="00C11A2E">
            <w:pPr>
              <w:autoSpaceDE w:val="0"/>
              <w:autoSpaceDN w:val="0"/>
              <w:adjustRightInd w:val="0"/>
              <w:ind w:left="882"/>
              <w:rPr>
                <w:color w:val="000000"/>
              </w:rPr>
            </w:pPr>
          </w:p>
          <w:p w:rsidR="00542AB4" w:rsidRPr="00AE78C2" w:rsidRDefault="0075733A" w:rsidP="00C11A2E">
            <w:pPr>
              <w:autoSpaceDE w:val="0"/>
              <w:autoSpaceDN w:val="0"/>
              <w:adjustRightInd w:val="0"/>
              <w:ind w:left="882"/>
              <w:rPr>
                <w:color w:val="365F91"/>
              </w:rPr>
            </w:pPr>
            <w:r w:rsidRPr="00AE78C2">
              <w:rPr>
                <w:color w:val="000000"/>
              </w:rPr>
              <w:t>CDC’s outbreak assessment tool for responding to reports of infection control breaches, clusters or suspected outbreaks will be implemented when it is available</w:t>
            </w:r>
            <w:r w:rsidRPr="00AE78C2">
              <w:rPr>
                <w:color w:val="365F91"/>
              </w:rPr>
              <w:t>.</w:t>
            </w:r>
          </w:p>
          <w:p w:rsidR="0075733A" w:rsidRPr="00AE78C2" w:rsidRDefault="0075733A" w:rsidP="00C11A2E">
            <w:pPr>
              <w:autoSpaceDE w:val="0"/>
              <w:autoSpaceDN w:val="0"/>
              <w:adjustRightInd w:val="0"/>
              <w:ind w:left="882"/>
              <w:rPr>
                <w:sz w:val="22"/>
                <w:szCs w:val="22"/>
              </w:rPr>
            </w:pPr>
          </w:p>
        </w:tc>
        <w:tc>
          <w:tcPr>
            <w:tcW w:w="2340" w:type="dxa"/>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autoSpaceDE w:val="0"/>
              <w:autoSpaceDN w:val="0"/>
              <w:adjustRightInd w:val="0"/>
              <w:rPr>
                <w:sz w:val="22"/>
                <w:szCs w:val="22"/>
              </w:rPr>
            </w:pPr>
          </w:p>
          <w:p w:rsidR="00CD1E8E" w:rsidRPr="00AE78C2" w:rsidRDefault="00CD1E8E" w:rsidP="006B742F">
            <w:pPr>
              <w:autoSpaceDE w:val="0"/>
              <w:autoSpaceDN w:val="0"/>
              <w:adjustRightInd w:val="0"/>
              <w:rPr>
                <w:sz w:val="22"/>
                <w:szCs w:val="22"/>
              </w:rPr>
            </w:pPr>
          </w:p>
          <w:p w:rsidR="00CD1E8E" w:rsidRPr="00AE78C2" w:rsidRDefault="00CD1E8E" w:rsidP="006B742F">
            <w:pPr>
              <w:autoSpaceDE w:val="0"/>
              <w:autoSpaceDN w:val="0"/>
              <w:adjustRightInd w:val="0"/>
              <w:rPr>
                <w:sz w:val="22"/>
                <w:szCs w:val="22"/>
              </w:rPr>
            </w:pPr>
          </w:p>
          <w:p w:rsidR="00CD1E8E" w:rsidRPr="00AE78C2" w:rsidRDefault="00CD1E8E" w:rsidP="006B742F">
            <w:pPr>
              <w:autoSpaceDE w:val="0"/>
              <w:autoSpaceDN w:val="0"/>
              <w:adjustRightInd w:val="0"/>
              <w:rPr>
                <w:sz w:val="22"/>
                <w:szCs w:val="22"/>
              </w:rPr>
            </w:pPr>
          </w:p>
          <w:p w:rsidR="00CD1E8E" w:rsidRPr="00AE78C2" w:rsidRDefault="00CD1E8E" w:rsidP="006B742F">
            <w:pPr>
              <w:autoSpaceDE w:val="0"/>
              <w:autoSpaceDN w:val="0"/>
              <w:adjustRightInd w:val="0"/>
              <w:rPr>
                <w:color w:val="000000"/>
              </w:rPr>
            </w:pPr>
            <w:r w:rsidRPr="00AE78C2">
              <w:rPr>
                <w:color w:val="000000"/>
              </w:rPr>
              <w:t>Established and ongoing</w:t>
            </w: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365F91"/>
              </w:rPr>
            </w:pPr>
          </w:p>
          <w:p w:rsidR="0075733A" w:rsidRPr="00AE78C2" w:rsidRDefault="0075733A" w:rsidP="006B742F">
            <w:pPr>
              <w:autoSpaceDE w:val="0"/>
              <w:autoSpaceDN w:val="0"/>
              <w:adjustRightInd w:val="0"/>
              <w:rPr>
                <w:color w:val="000000"/>
              </w:rPr>
            </w:pPr>
            <w:r w:rsidRPr="00AE78C2">
              <w:rPr>
                <w:color w:val="000000"/>
              </w:rPr>
              <w:lastRenderedPageBreak/>
              <w:t>2016</w:t>
            </w:r>
          </w:p>
        </w:tc>
      </w:tr>
      <w:tr w:rsidR="00542AB4" w:rsidRPr="00AE78C2" w:rsidTr="008A25EC">
        <w:tc>
          <w:tcPr>
            <w:tcW w:w="2970" w:type="dxa"/>
            <w:gridSpan w:val="2"/>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jc w:val="center"/>
              <w:rPr>
                <w:sz w:val="22"/>
                <w:szCs w:val="22"/>
              </w:rPr>
            </w:pPr>
          </w:p>
        </w:tc>
        <w:tc>
          <w:tcPr>
            <w:tcW w:w="76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autoSpaceDE w:val="0"/>
              <w:autoSpaceDN w:val="0"/>
              <w:adjustRightInd w:val="0"/>
              <w:rPr>
                <w:sz w:val="22"/>
                <w:szCs w:val="22"/>
              </w:rPr>
            </w:pPr>
            <w:r w:rsidRPr="00AE78C2">
              <w:rPr>
                <w:i/>
                <w:sz w:val="22"/>
                <w:szCs w:val="22"/>
              </w:rPr>
              <w:t>Other activities or descriptions:</w:t>
            </w:r>
          </w:p>
          <w:p w:rsidR="00542AB4" w:rsidRPr="00AE78C2" w:rsidRDefault="00542AB4" w:rsidP="006B742F">
            <w:pPr>
              <w:autoSpaceDE w:val="0"/>
              <w:autoSpaceDN w:val="0"/>
              <w:adjustRightInd w:val="0"/>
              <w:rPr>
                <w:sz w:val="22"/>
                <w:szCs w:val="22"/>
              </w:rPr>
            </w:pPr>
          </w:p>
        </w:tc>
        <w:tc>
          <w:tcPr>
            <w:tcW w:w="2340" w:type="dxa"/>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autoSpaceDE w:val="0"/>
              <w:autoSpaceDN w:val="0"/>
              <w:adjustRightInd w:val="0"/>
              <w:rPr>
                <w:sz w:val="22"/>
                <w:szCs w:val="22"/>
              </w:rPr>
            </w:pPr>
          </w:p>
        </w:tc>
      </w:tr>
      <w:tr w:rsidR="00542AB4" w:rsidRPr="00AE78C2" w:rsidTr="008A25EC">
        <w:tc>
          <w:tcPr>
            <w:tcW w:w="1620" w:type="dxa"/>
            <w:tcBorders>
              <w:top w:val="single" w:sz="4" w:space="0" w:color="auto"/>
              <w:bottom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0A350A" w:rsidRPr="00AE78C2" w:rsidRDefault="000A350A" w:rsidP="006B742F">
            <w:pPr>
              <w:jc w:val="center"/>
              <w:rPr>
                <w:sz w:val="22"/>
                <w:szCs w:val="22"/>
              </w:rPr>
            </w:pPr>
          </w:p>
          <w:p w:rsidR="00542AB4"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single" w:sz="4" w:space="0" w:color="auto"/>
              <w:bottom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0A350A" w:rsidRPr="00AE78C2" w:rsidRDefault="000A350A" w:rsidP="006B742F">
            <w:pPr>
              <w:jc w:val="center"/>
              <w:rPr>
                <w:sz w:val="22"/>
                <w:szCs w:val="22"/>
              </w:rPr>
            </w:pPr>
          </w:p>
          <w:p w:rsidR="00542AB4" w:rsidRPr="00AE78C2" w:rsidRDefault="00542AB4"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single" w:sz="4" w:space="0" w:color="auto"/>
              <w:bottom w:val="single" w:sz="4" w:space="0" w:color="auto"/>
            </w:tcBorders>
            <w:shd w:val="clear" w:color="auto" w:fill="auto"/>
          </w:tcPr>
          <w:p w:rsidR="00542AB4" w:rsidRPr="00AE78C2" w:rsidRDefault="00542AB4" w:rsidP="009B7F2E">
            <w:pPr>
              <w:numPr>
                <w:ilvl w:val="0"/>
                <w:numId w:val="43"/>
              </w:numPr>
              <w:autoSpaceDE w:val="0"/>
              <w:autoSpaceDN w:val="0"/>
              <w:adjustRightInd w:val="0"/>
              <w:rPr>
                <w:b/>
                <w:sz w:val="28"/>
                <w:szCs w:val="22"/>
              </w:rPr>
            </w:pPr>
            <w:r w:rsidRPr="00AE78C2">
              <w:rPr>
                <w:b/>
                <w:sz w:val="28"/>
                <w:szCs w:val="22"/>
              </w:rPr>
              <w:t>Collaborate with professional licensing organizations to identify and investigate complaints related to provider infection control practice in non-hospital settings and set standards for continuing education and training</w:t>
            </w:r>
          </w:p>
          <w:p w:rsidR="00542AB4" w:rsidRPr="00AE78C2" w:rsidRDefault="00542AB4" w:rsidP="00FA66CB">
            <w:pPr>
              <w:autoSpaceDE w:val="0"/>
              <w:autoSpaceDN w:val="0"/>
              <w:adjustRightInd w:val="0"/>
              <w:ind w:left="360"/>
              <w:rPr>
                <w:sz w:val="22"/>
                <w:szCs w:val="22"/>
              </w:rPr>
            </w:pPr>
          </w:p>
          <w:p w:rsidR="00542AB4" w:rsidRPr="00AE78C2" w:rsidRDefault="00542AB4" w:rsidP="00763125">
            <w:pPr>
              <w:ind w:left="720"/>
              <w:rPr>
                <w:color w:val="000000"/>
              </w:rPr>
            </w:pPr>
            <w:r w:rsidRPr="00AE78C2">
              <w:rPr>
                <w:color w:val="000000"/>
              </w:rPr>
              <w:t xml:space="preserve">The Division of Health Professions Licensure within the Massachusetts Department of Public Health is comprised of eight boards of registration: Dentistry, Genetic Counselors, Nursing, Nursing Home Administrators, Perfusionists, Pharmacy, Physician Assistants and Respiratory Care. They establish rules and regulations to ensure the integrity and competence of licensees. The Board of Registration in Medicine licenses and regulates physicians. </w:t>
            </w:r>
          </w:p>
          <w:p w:rsidR="00542AB4" w:rsidRPr="00AE78C2" w:rsidRDefault="00542AB4" w:rsidP="00763125">
            <w:pPr>
              <w:ind w:left="720"/>
              <w:rPr>
                <w:color w:val="000000"/>
              </w:rPr>
            </w:pPr>
          </w:p>
          <w:p w:rsidR="00542AB4" w:rsidRPr="00AE78C2" w:rsidRDefault="00542AB4" w:rsidP="00763125">
            <w:pPr>
              <w:ind w:left="720"/>
              <w:rPr>
                <w:sz w:val="22"/>
                <w:szCs w:val="22"/>
              </w:rPr>
            </w:pPr>
            <w:r w:rsidRPr="00AE78C2">
              <w:rPr>
                <w:color w:val="000000"/>
                <w:szCs w:val="20"/>
              </w:rPr>
              <w:t xml:space="preserve">MDPH collaborates with professional licensing organizations to identify and investigate HAI-related complaints in physician offices, ambulatory surgical centers and </w:t>
            </w:r>
            <w:r w:rsidR="002A17A7" w:rsidRPr="00AE78C2">
              <w:rPr>
                <w:color w:val="000000"/>
                <w:szCs w:val="20"/>
              </w:rPr>
              <w:t>free-standing</w:t>
            </w:r>
            <w:r w:rsidRPr="00AE78C2">
              <w:rPr>
                <w:color w:val="000000"/>
                <w:szCs w:val="20"/>
              </w:rPr>
              <w:t xml:space="preserve"> dialysis centers.</w:t>
            </w:r>
          </w:p>
        </w:tc>
        <w:tc>
          <w:tcPr>
            <w:tcW w:w="2340" w:type="dxa"/>
            <w:tcBorders>
              <w:top w:val="single" w:sz="4" w:space="0" w:color="auto"/>
              <w:bottom w:val="single" w:sz="4" w:space="0" w:color="auto"/>
            </w:tcBorders>
            <w:shd w:val="clear" w:color="auto" w:fill="auto"/>
          </w:tcPr>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542AB4" w:rsidRPr="00AE78C2" w:rsidRDefault="00542AB4" w:rsidP="00B0602D">
            <w:pPr>
              <w:autoSpaceDE w:val="0"/>
              <w:autoSpaceDN w:val="0"/>
              <w:adjustRightInd w:val="0"/>
              <w:rPr>
                <w:color w:val="365F91"/>
                <w:szCs w:val="20"/>
              </w:rPr>
            </w:pPr>
          </w:p>
          <w:p w:rsidR="00CD1E8E" w:rsidRPr="00AE78C2" w:rsidRDefault="00CD1E8E" w:rsidP="00C11A2E">
            <w:pPr>
              <w:autoSpaceDE w:val="0"/>
              <w:autoSpaceDN w:val="0"/>
              <w:adjustRightInd w:val="0"/>
              <w:rPr>
                <w:color w:val="365F91"/>
                <w:szCs w:val="20"/>
              </w:rPr>
            </w:pPr>
          </w:p>
          <w:p w:rsidR="00542AB4" w:rsidRPr="00AE78C2" w:rsidRDefault="00542AB4" w:rsidP="00C11A2E">
            <w:pPr>
              <w:autoSpaceDE w:val="0"/>
              <w:autoSpaceDN w:val="0"/>
              <w:adjustRightInd w:val="0"/>
              <w:rPr>
                <w:color w:val="000000"/>
                <w:sz w:val="22"/>
                <w:szCs w:val="22"/>
              </w:rPr>
            </w:pPr>
            <w:r w:rsidRPr="00AE78C2">
              <w:rPr>
                <w:color w:val="000000"/>
                <w:szCs w:val="20"/>
              </w:rPr>
              <w:t>Established and ongoing</w:t>
            </w:r>
          </w:p>
        </w:tc>
      </w:tr>
      <w:tr w:rsidR="00542AB4" w:rsidRPr="00AE78C2" w:rsidTr="008A25EC">
        <w:tc>
          <w:tcPr>
            <w:tcW w:w="2970" w:type="dxa"/>
            <w:gridSpan w:val="2"/>
            <w:tcBorders>
              <w:top w:val="single" w:sz="4" w:space="0" w:color="auto"/>
              <w:bottom w:val="single" w:sz="4" w:space="0" w:color="auto"/>
            </w:tcBorders>
            <w:shd w:val="clear" w:color="auto" w:fill="auto"/>
          </w:tcPr>
          <w:p w:rsidR="00542AB4" w:rsidRPr="00AE78C2" w:rsidRDefault="00542AB4" w:rsidP="006B742F">
            <w:pPr>
              <w:jc w:val="center"/>
              <w:rPr>
                <w:sz w:val="22"/>
                <w:szCs w:val="22"/>
              </w:rPr>
            </w:pPr>
          </w:p>
        </w:tc>
        <w:tc>
          <w:tcPr>
            <w:tcW w:w="7650" w:type="dxa"/>
            <w:tcBorders>
              <w:top w:val="single" w:sz="4" w:space="0" w:color="auto"/>
              <w:bottom w:val="single" w:sz="4" w:space="0" w:color="auto"/>
            </w:tcBorders>
            <w:shd w:val="clear" w:color="auto" w:fill="auto"/>
          </w:tcPr>
          <w:p w:rsidR="00542AB4" w:rsidRPr="00AE78C2" w:rsidRDefault="00542AB4" w:rsidP="006B742F">
            <w:pPr>
              <w:autoSpaceDE w:val="0"/>
              <w:autoSpaceDN w:val="0"/>
              <w:adjustRightInd w:val="0"/>
              <w:rPr>
                <w:i/>
                <w:sz w:val="22"/>
                <w:szCs w:val="22"/>
              </w:rPr>
            </w:pPr>
            <w:r w:rsidRPr="00AE78C2">
              <w:rPr>
                <w:i/>
                <w:sz w:val="22"/>
                <w:szCs w:val="22"/>
              </w:rPr>
              <w:t>Other activities or descriptions:</w:t>
            </w:r>
          </w:p>
          <w:p w:rsidR="00542AB4" w:rsidRPr="00AE78C2" w:rsidRDefault="00542AB4" w:rsidP="006B742F">
            <w:pPr>
              <w:autoSpaceDE w:val="0"/>
              <w:autoSpaceDN w:val="0"/>
              <w:adjustRightInd w:val="0"/>
              <w:rPr>
                <w:i/>
                <w:sz w:val="22"/>
                <w:szCs w:val="22"/>
              </w:rPr>
            </w:pPr>
          </w:p>
        </w:tc>
        <w:tc>
          <w:tcPr>
            <w:tcW w:w="2340" w:type="dxa"/>
            <w:tcBorders>
              <w:top w:val="single" w:sz="4" w:space="0" w:color="auto"/>
              <w:bottom w:val="single" w:sz="4" w:space="0" w:color="auto"/>
            </w:tcBorders>
            <w:shd w:val="clear" w:color="auto" w:fill="auto"/>
          </w:tcPr>
          <w:p w:rsidR="00542AB4" w:rsidRPr="00AE78C2" w:rsidRDefault="00542AB4" w:rsidP="006B742F">
            <w:pPr>
              <w:autoSpaceDE w:val="0"/>
              <w:autoSpaceDN w:val="0"/>
              <w:adjustRightInd w:val="0"/>
              <w:rPr>
                <w:sz w:val="22"/>
                <w:szCs w:val="22"/>
              </w:rPr>
            </w:pPr>
          </w:p>
        </w:tc>
      </w:tr>
      <w:tr w:rsidR="00542AB4" w:rsidRPr="00AE78C2" w:rsidTr="008A25EC">
        <w:tc>
          <w:tcPr>
            <w:tcW w:w="1620" w:type="dxa"/>
            <w:tcBorders>
              <w:top w:val="single" w:sz="4" w:space="0" w:color="auto"/>
              <w:left w:val="single" w:sz="4" w:space="0" w:color="auto"/>
              <w:bottom w:val="nil"/>
              <w:right w:val="single" w:sz="4" w:space="0" w:color="auto"/>
            </w:tcBorders>
            <w:shd w:val="clear" w:color="auto" w:fill="auto"/>
          </w:tcPr>
          <w:p w:rsidR="00542AB4" w:rsidRPr="00AE78C2" w:rsidRDefault="00542AB4" w:rsidP="006B742F">
            <w:pPr>
              <w:jc w:val="center"/>
              <w:rPr>
                <w:sz w:val="22"/>
                <w:szCs w:val="22"/>
              </w:rPr>
            </w:pPr>
          </w:p>
        </w:tc>
        <w:tc>
          <w:tcPr>
            <w:tcW w:w="1350" w:type="dxa"/>
            <w:tcBorders>
              <w:top w:val="single" w:sz="4" w:space="0" w:color="auto"/>
              <w:left w:val="single" w:sz="4" w:space="0" w:color="auto"/>
              <w:bottom w:val="nil"/>
              <w:right w:val="single" w:sz="4" w:space="0" w:color="auto"/>
            </w:tcBorders>
            <w:shd w:val="clear" w:color="auto" w:fill="auto"/>
          </w:tcPr>
          <w:p w:rsidR="00542AB4" w:rsidRPr="00AE78C2" w:rsidRDefault="00542AB4" w:rsidP="006B742F">
            <w:pPr>
              <w:jc w:val="center"/>
              <w:rPr>
                <w:sz w:val="22"/>
                <w:szCs w:val="22"/>
              </w:rPr>
            </w:pPr>
          </w:p>
        </w:tc>
        <w:tc>
          <w:tcPr>
            <w:tcW w:w="7650" w:type="dxa"/>
            <w:tcBorders>
              <w:top w:val="single" w:sz="4" w:space="0" w:color="auto"/>
              <w:left w:val="single" w:sz="4" w:space="0" w:color="auto"/>
              <w:bottom w:val="nil"/>
              <w:right w:val="single" w:sz="4" w:space="0" w:color="auto"/>
            </w:tcBorders>
            <w:shd w:val="clear" w:color="auto" w:fill="auto"/>
          </w:tcPr>
          <w:p w:rsidR="00542AB4" w:rsidRPr="00AE78C2" w:rsidRDefault="00542AB4" w:rsidP="009B7F2E">
            <w:pPr>
              <w:numPr>
                <w:ilvl w:val="0"/>
                <w:numId w:val="43"/>
              </w:numPr>
              <w:rPr>
                <w:b/>
                <w:sz w:val="28"/>
                <w:szCs w:val="28"/>
              </w:rPr>
            </w:pPr>
            <w:r w:rsidRPr="00AE78C2">
              <w:rPr>
                <w:b/>
                <w:sz w:val="28"/>
                <w:szCs w:val="28"/>
              </w:rPr>
              <w:t xml:space="preserve">Adopt integration and interoperability standards for HAI information systems and data sources </w:t>
            </w:r>
          </w:p>
        </w:tc>
        <w:tc>
          <w:tcPr>
            <w:tcW w:w="2340" w:type="dxa"/>
            <w:tcBorders>
              <w:top w:val="single" w:sz="4" w:space="0" w:color="auto"/>
              <w:left w:val="single" w:sz="4" w:space="0" w:color="auto"/>
              <w:bottom w:val="nil"/>
              <w:right w:val="single" w:sz="4" w:space="0" w:color="auto"/>
            </w:tcBorders>
            <w:shd w:val="clear" w:color="auto" w:fill="auto"/>
          </w:tcPr>
          <w:p w:rsidR="00542AB4" w:rsidRPr="00AE78C2" w:rsidRDefault="00542AB4" w:rsidP="00CF2B96">
            <w:pPr>
              <w:rPr>
                <w:sz w:val="22"/>
                <w:szCs w:val="22"/>
              </w:rPr>
            </w:pPr>
          </w:p>
        </w:tc>
      </w:tr>
      <w:tr w:rsidR="00542AB4" w:rsidRPr="00AE78C2" w:rsidTr="008A25EC">
        <w:tc>
          <w:tcPr>
            <w:tcW w:w="1620" w:type="dxa"/>
            <w:tcBorders>
              <w:top w:val="nil"/>
              <w:left w:val="single" w:sz="4" w:space="0" w:color="auto"/>
              <w:bottom w:val="nil"/>
              <w:right w:val="single" w:sz="4" w:space="0" w:color="auto"/>
            </w:tcBorders>
            <w:shd w:val="clear" w:color="auto" w:fill="auto"/>
          </w:tcPr>
          <w:p w:rsidR="00542AB4"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nil"/>
              <w:right w:val="single" w:sz="4" w:space="0" w:color="auto"/>
            </w:tcBorders>
            <w:shd w:val="clear" w:color="auto" w:fill="auto"/>
          </w:tcPr>
          <w:p w:rsidR="00542AB4" w:rsidRPr="00AE78C2" w:rsidRDefault="00542AB4"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nil"/>
              <w:right w:val="single" w:sz="4" w:space="0" w:color="auto"/>
            </w:tcBorders>
            <w:shd w:val="clear" w:color="auto" w:fill="auto"/>
          </w:tcPr>
          <w:p w:rsidR="00542AB4" w:rsidRPr="00AE78C2" w:rsidRDefault="00542AB4" w:rsidP="009B7F2E">
            <w:pPr>
              <w:numPr>
                <w:ilvl w:val="0"/>
                <w:numId w:val="17"/>
              </w:numPr>
              <w:rPr>
                <w:b/>
                <w:sz w:val="22"/>
                <w:szCs w:val="22"/>
              </w:rPr>
            </w:pPr>
            <w:r w:rsidRPr="00AE78C2">
              <w:rPr>
                <w:b/>
                <w:szCs w:val="22"/>
              </w:rPr>
              <w:t xml:space="preserve">Improve overall use of surveillance data to identify and prevent HAI outbreaks or transmission in HC settings (e.g., hepatitis B, </w:t>
            </w:r>
            <w:r w:rsidRPr="00AE78C2">
              <w:rPr>
                <w:b/>
                <w:szCs w:val="22"/>
              </w:rPr>
              <w:lastRenderedPageBreak/>
              <w:t>hepatitis C, multi-drug resistant organisms (MDRO), and other reportable HAIs) across the spectrum of inpatient and outpatient healthcare settings</w:t>
            </w:r>
            <w:r w:rsidRPr="00AE78C2">
              <w:rPr>
                <w:b/>
                <w:szCs w:val="22"/>
              </w:rPr>
              <w:br/>
            </w:r>
          </w:p>
          <w:p w:rsidR="00542AB4" w:rsidRPr="00AE78C2" w:rsidRDefault="00542AB4" w:rsidP="00C11A2E">
            <w:pPr>
              <w:ind w:left="900"/>
              <w:rPr>
                <w:color w:val="365F91"/>
                <w:sz w:val="22"/>
                <w:szCs w:val="22"/>
              </w:rPr>
            </w:pPr>
            <w:r w:rsidRPr="00AE78C2">
              <w:rPr>
                <w:color w:val="000000"/>
                <w:szCs w:val="22"/>
              </w:rPr>
              <w:t>The infrastructure that supports infectious disease surveillance in Massachusetts is fully interoperable and compliant with all state and national standards for technology and security. MAVEN fully interfaces with MDPH’s Health Information Reporting Portal and can exchange information with Centers for Disease Control and Prevention (CDC) via standards-based electronic messaging.  Acute HBV and HCV infection cases are automatically placed in workflows for epidemiologists to investigate and determine exposure status. A new MDRO event will be used to capture individual cases of CRE and other drug-resistant organisms. Clusters of infections of HAI pathogens, including HBV, HCV and MDROs are managed via an outbreak module in MAVEN</w:t>
            </w:r>
            <w:r w:rsidRPr="00AE78C2">
              <w:rPr>
                <w:color w:val="365F91"/>
                <w:szCs w:val="22"/>
              </w:rPr>
              <w:t>.</w:t>
            </w:r>
            <w:r w:rsidRPr="00AE78C2">
              <w:rPr>
                <w:color w:val="365F91"/>
                <w:szCs w:val="22"/>
              </w:rPr>
              <w:br/>
            </w:r>
          </w:p>
        </w:tc>
        <w:tc>
          <w:tcPr>
            <w:tcW w:w="2340" w:type="dxa"/>
            <w:tcBorders>
              <w:top w:val="nil"/>
              <w:left w:val="single" w:sz="4" w:space="0" w:color="auto"/>
              <w:bottom w:val="nil"/>
              <w:right w:val="single" w:sz="4" w:space="0" w:color="auto"/>
            </w:tcBorders>
            <w:shd w:val="clear" w:color="auto" w:fill="auto"/>
          </w:tcPr>
          <w:p w:rsidR="00CD1E8E" w:rsidRPr="00AE78C2" w:rsidRDefault="00CD1E8E" w:rsidP="00CF2B96">
            <w:pPr>
              <w:rPr>
                <w:sz w:val="22"/>
                <w:szCs w:val="22"/>
              </w:rPr>
            </w:pPr>
          </w:p>
          <w:p w:rsidR="00CD1E8E" w:rsidRPr="00AE78C2" w:rsidRDefault="00CD1E8E" w:rsidP="00CF2B96">
            <w:pPr>
              <w:rPr>
                <w:sz w:val="22"/>
                <w:szCs w:val="22"/>
              </w:rPr>
            </w:pPr>
          </w:p>
          <w:p w:rsidR="00CD1E8E" w:rsidRPr="00AE78C2" w:rsidRDefault="00CD1E8E" w:rsidP="00CF2B96">
            <w:pPr>
              <w:rPr>
                <w:sz w:val="22"/>
                <w:szCs w:val="22"/>
              </w:rPr>
            </w:pPr>
          </w:p>
          <w:p w:rsidR="00CD1E8E" w:rsidRPr="00AE78C2" w:rsidRDefault="00CD1E8E" w:rsidP="00CF2B96">
            <w:pPr>
              <w:rPr>
                <w:sz w:val="22"/>
                <w:szCs w:val="22"/>
              </w:rPr>
            </w:pPr>
          </w:p>
          <w:p w:rsidR="00CD1E8E" w:rsidRPr="00AE78C2" w:rsidRDefault="00CD1E8E" w:rsidP="00CF2B96">
            <w:pPr>
              <w:rPr>
                <w:sz w:val="22"/>
                <w:szCs w:val="22"/>
              </w:rPr>
            </w:pPr>
          </w:p>
          <w:p w:rsidR="00CD1E8E" w:rsidRPr="00AE78C2" w:rsidRDefault="00CD1E8E" w:rsidP="00CF2B96">
            <w:pPr>
              <w:rPr>
                <w:sz w:val="22"/>
                <w:szCs w:val="22"/>
              </w:rPr>
            </w:pPr>
          </w:p>
          <w:p w:rsidR="00CD1E8E" w:rsidRPr="00AE78C2" w:rsidRDefault="00CD1E8E" w:rsidP="00CF2B96">
            <w:pPr>
              <w:rPr>
                <w:sz w:val="22"/>
                <w:szCs w:val="22"/>
              </w:rPr>
            </w:pPr>
          </w:p>
          <w:p w:rsidR="00542AB4" w:rsidRPr="00AE78C2" w:rsidRDefault="00542AB4" w:rsidP="00CF2B96">
            <w:pPr>
              <w:rPr>
                <w:color w:val="000000"/>
              </w:rPr>
            </w:pPr>
            <w:r w:rsidRPr="00AE78C2">
              <w:rPr>
                <w:color w:val="000000"/>
              </w:rPr>
              <w:t>Ongoing</w:t>
            </w:r>
          </w:p>
        </w:tc>
      </w:tr>
      <w:tr w:rsidR="00542AB4" w:rsidRPr="00AE78C2" w:rsidTr="008A25EC">
        <w:tc>
          <w:tcPr>
            <w:tcW w:w="1620" w:type="dxa"/>
            <w:tcBorders>
              <w:top w:val="nil"/>
              <w:left w:val="single" w:sz="4" w:space="0" w:color="auto"/>
              <w:bottom w:val="single" w:sz="4" w:space="0" w:color="auto"/>
              <w:right w:val="single" w:sz="4" w:space="0" w:color="auto"/>
            </w:tcBorders>
            <w:shd w:val="clear" w:color="auto" w:fill="auto"/>
          </w:tcPr>
          <w:p w:rsidR="00542AB4"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9B7F2E">
            <w:pPr>
              <w:numPr>
                <w:ilvl w:val="0"/>
                <w:numId w:val="17"/>
              </w:numPr>
              <w:rPr>
                <w:b/>
                <w:szCs w:val="22"/>
              </w:rPr>
            </w:pPr>
            <w:r w:rsidRPr="00AE78C2">
              <w:rPr>
                <w:b/>
                <w:szCs w:val="22"/>
              </w:rPr>
              <w:t>Promote definitional alignment and data element standardization needed to link HAI data across the nation.</w:t>
            </w:r>
          </w:p>
          <w:p w:rsidR="00542AB4" w:rsidRPr="00AE78C2" w:rsidRDefault="00542AB4" w:rsidP="001A7619">
            <w:pPr>
              <w:ind w:left="900"/>
              <w:rPr>
                <w:b/>
                <w:szCs w:val="22"/>
              </w:rPr>
            </w:pPr>
          </w:p>
          <w:p w:rsidR="00542AB4" w:rsidRPr="00AE78C2" w:rsidRDefault="00542AB4" w:rsidP="00D04BD9">
            <w:pPr>
              <w:ind w:left="900"/>
              <w:rPr>
                <w:color w:val="000000"/>
              </w:rPr>
            </w:pPr>
            <w:r w:rsidRPr="00AE78C2">
              <w:rPr>
                <w:color w:val="000000"/>
              </w:rPr>
              <w:t>MDPH is committed to the promotion of electronic laboratory reporting (ELR) by healthcare facilities. ELR has demonstrated the potential to reduce the reporting burden and increase efficiency and reliability of the data.</w:t>
            </w:r>
            <w:r w:rsidR="00802E79" w:rsidRPr="00AE78C2">
              <w:rPr>
                <w:color w:val="000000"/>
              </w:rPr>
              <w:t xml:space="preserve">  Currently, all hospital clinical laboratories except for the two smallest hospitals and half of the commercial laboratories in Massachusetts are submitting data through ELR.  Remaining laboratories are in process of being connected.</w:t>
            </w:r>
          </w:p>
          <w:p w:rsidR="00542AB4" w:rsidRPr="00AE78C2" w:rsidRDefault="00542AB4" w:rsidP="00D04BD9">
            <w:pPr>
              <w:ind w:left="900"/>
              <w:rPr>
                <w:color w:val="365F91"/>
              </w:rPr>
            </w:pPr>
          </w:p>
          <w:p w:rsidR="00542AB4" w:rsidRPr="00AE78C2" w:rsidRDefault="00542AB4" w:rsidP="00481860">
            <w:pPr>
              <w:ind w:left="900"/>
              <w:rPr>
                <w:color w:val="000000"/>
              </w:rPr>
            </w:pPr>
            <w:r w:rsidRPr="00AE78C2">
              <w:rPr>
                <w:color w:val="000000"/>
              </w:rPr>
              <w:t xml:space="preserve">NHSN is the largest HAI reporting system in the United States. NHSN provides standard methods and definitions, online training modules, user support, and facility comparison tools. U.S. hospitals </w:t>
            </w:r>
            <w:r w:rsidRPr="00AE78C2">
              <w:rPr>
                <w:color w:val="000000"/>
              </w:rPr>
              <w:lastRenderedPageBreak/>
              <w:t>and dialysis facilities are able to successfully report to NHSN, making it an important tool for national HAI tracking.</w:t>
            </w:r>
            <w:r w:rsidR="00CD1E8E" w:rsidRPr="00AE78C2">
              <w:rPr>
                <w:color w:val="000000"/>
              </w:rPr>
              <w:t xml:space="preserve"> All Massachusetts acute care hospitals report HAIs </w:t>
            </w:r>
            <w:r w:rsidR="00481860" w:rsidRPr="00AE78C2">
              <w:rPr>
                <w:color w:val="000000"/>
              </w:rPr>
              <w:t>through</w:t>
            </w:r>
            <w:r w:rsidR="00CD1E8E" w:rsidRPr="00AE78C2">
              <w:rPr>
                <w:color w:val="000000"/>
              </w:rPr>
              <w:t xml:space="preserve"> NHSN.</w:t>
            </w:r>
          </w:p>
        </w:tc>
        <w:tc>
          <w:tcPr>
            <w:tcW w:w="2340" w:type="dxa"/>
            <w:tcBorders>
              <w:top w:val="nil"/>
              <w:left w:val="single" w:sz="4" w:space="0" w:color="auto"/>
              <w:bottom w:val="single" w:sz="4" w:space="0" w:color="auto"/>
              <w:right w:val="single" w:sz="4" w:space="0" w:color="auto"/>
            </w:tcBorders>
            <w:shd w:val="clear" w:color="auto" w:fill="auto"/>
          </w:tcPr>
          <w:p w:rsidR="00542AB4" w:rsidRPr="00AE78C2" w:rsidRDefault="00542AB4" w:rsidP="00CF2B96">
            <w:pPr>
              <w:rPr>
                <w:sz w:val="22"/>
                <w:szCs w:val="22"/>
              </w:rPr>
            </w:pPr>
          </w:p>
          <w:p w:rsidR="00542AB4" w:rsidRPr="00AE78C2" w:rsidRDefault="00542AB4" w:rsidP="00B0602D">
            <w:pPr>
              <w:rPr>
                <w:sz w:val="22"/>
                <w:szCs w:val="22"/>
              </w:rPr>
            </w:pPr>
          </w:p>
          <w:p w:rsidR="00542AB4" w:rsidRPr="00AE78C2" w:rsidRDefault="00542AB4" w:rsidP="00B0602D">
            <w:pPr>
              <w:rPr>
                <w:sz w:val="22"/>
                <w:szCs w:val="22"/>
              </w:rPr>
            </w:pPr>
          </w:p>
          <w:p w:rsidR="00542AB4" w:rsidRPr="00AE78C2" w:rsidRDefault="00542AB4" w:rsidP="00B0602D">
            <w:pPr>
              <w:rPr>
                <w:color w:val="000000"/>
              </w:rPr>
            </w:pPr>
            <w:r w:rsidRPr="00AE78C2">
              <w:rPr>
                <w:color w:val="000000"/>
              </w:rPr>
              <w:t xml:space="preserve">2011 and ongoing </w:t>
            </w:r>
          </w:p>
          <w:p w:rsidR="00542AB4" w:rsidRPr="00AE78C2" w:rsidRDefault="00542AB4" w:rsidP="00B0602D"/>
          <w:p w:rsidR="00542AB4" w:rsidRPr="00AE78C2" w:rsidRDefault="00542AB4" w:rsidP="00B0602D">
            <w:pPr>
              <w:rPr>
                <w:szCs w:val="20"/>
              </w:rPr>
            </w:pPr>
          </w:p>
          <w:p w:rsidR="00542AB4" w:rsidRPr="00AE78C2" w:rsidRDefault="00542AB4" w:rsidP="00B0602D">
            <w:pPr>
              <w:rPr>
                <w:szCs w:val="20"/>
              </w:rPr>
            </w:pPr>
          </w:p>
          <w:p w:rsidR="00542AB4" w:rsidRPr="00AE78C2" w:rsidRDefault="00542AB4" w:rsidP="00B0602D">
            <w:pPr>
              <w:rPr>
                <w:szCs w:val="20"/>
              </w:rPr>
            </w:pPr>
          </w:p>
          <w:p w:rsidR="00A00FFD" w:rsidRPr="00AE78C2" w:rsidRDefault="00A00FFD" w:rsidP="00B0602D">
            <w:pPr>
              <w:rPr>
                <w:color w:val="365F91"/>
                <w:szCs w:val="20"/>
              </w:rPr>
            </w:pPr>
          </w:p>
          <w:p w:rsidR="00A00FFD" w:rsidRPr="00AE78C2" w:rsidRDefault="00A00FFD" w:rsidP="00B0602D">
            <w:pPr>
              <w:rPr>
                <w:color w:val="365F91"/>
                <w:szCs w:val="20"/>
              </w:rPr>
            </w:pPr>
          </w:p>
          <w:p w:rsidR="00A00FFD" w:rsidRPr="00AE78C2" w:rsidRDefault="00A00FFD" w:rsidP="00B0602D">
            <w:pPr>
              <w:rPr>
                <w:color w:val="365F91"/>
                <w:szCs w:val="20"/>
              </w:rPr>
            </w:pPr>
          </w:p>
          <w:p w:rsidR="00542AB4" w:rsidRPr="00AE78C2" w:rsidRDefault="00A00FFD" w:rsidP="00A00FFD">
            <w:pPr>
              <w:rPr>
                <w:color w:val="000000"/>
                <w:sz w:val="22"/>
                <w:szCs w:val="22"/>
              </w:rPr>
            </w:pPr>
            <w:r w:rsidRPr="00AE78C2">
              <w:rPr>
                <w:color w:val="000000"/>
                <w:szCs w:val="20"/>
              </w:rPr>
              <w:t>Established and o</w:t>
            </w:r>
            <w:r w:rsidR="00542AB4" w:rsidRPr="00AE78C2">
              <w:rPr>
                <w:color w:val="000000"/>
                <w:szCs w:val="20"/>
              </w:rPr>
              <w:t>ngoing</w:t>
            </w:r>
          </w:p>
        </w:tc>
      </w:tr>
      <w:tr w:rsidR="00542AB4" w:rsidRPr="00AE78C2" w:rsidTr="008A25EC">
        <w:tc>
          <w:tcPr>
            <w:tcW w:w="2970" w:type="dxa"/>
            <w:gridSpan w:val="2"/>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jc w:val="center"/>
              <w:rPr>
                <w:sz w:val="22"/>
                <w:szCs w:val="22"/>
              </w:rPr>
            </w:pPr>
          </w:p>
        </w:tc>
        <w:tc>
          <w:tcPr>
            <w:tcW w:w="76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B0602D">
            <w:pPr>
              <w:autoSpaceDE w:val="0"/>
              <w:autoSpaceDN w:val="0"/>
              <w:adjustRightInd w:val="0"/>
              <w:rPr>
                <w:i/>
                <w:sz w:val="22"/>
                <w:szCs w:val="22"/>
              </w:rPr>
            </w:pPr>
            <w:r w:rsidRPr="00AE78C2">
              <w:rPr>
                <w:i/>
                <w:sz w:val="22"/>
                <w:szCs w:val="22"/>
              </w:rPr>
              <w:t>Other activities or descriptions:</w:t>
            </w:r>
          </w:p>
          <w:p w:rsidR="00542AB4" w:rsidRPr="00AE78C2" w:rsidRDefault="00542AB4" w:rsidP="001D3D3E">
            <w:pPr>
              <w:rPr>
                <w:sz w:val="22"/>
                <w:szCs w:val="22"/>
              </w:rPr>
            </w:pPr>
          </w:p>
        </w:tc>
        <w:tc>
          <w:tcPr>
            <w:tcW w:w="2340" w:type="dxa"/>
            <w:tcBorders>
              <w:top w:val="nil"/>
              <w:left w:val="single" w:sz="4" w:space="0" w:color="auto"/>
              <w:bottom w:val="single" w:sz="4" w:space="0" w:color="auto"/>
              <w:right w:val="single" w:sz="4" w:space="0" w:color="auto"/>
            </w:tcBorders>
            <w:shd w:val="clear" w:color="auto" w:fill="auto"/>
          </w:tcPr>
          <w:p w:rsidR="00542AB4" w:rsidRPr="00AE78C2" w:rsidRDefault="00542AB4" w:rsidP="00CF2B96">
            <w:pPr>
              <w:rPr>
                <w:sz w:val="22"/>
                <w:szCs w:val="22"/>
              </w:rPr>
            </w:pPr>
          </w:p>
        </w:tc>
      </w:tr>
      <w:tr w:rsidR="00542AB4" w:rsidRPr="00AE78C2" w:rsidTr="008A25EC">
        <w:trPr>
          <w:trHeight w:val="926"/>
        </w:trPr>
        <w:tc>
          <w:tcPr>
            <w:tcW w:w="1620" w:type="dxa"/>
            <w:tcBorders>
              <w:top w:val="single" w:sz="4" w:space="0" w:color="auto"/>
              <w:left w:val="single" w:sz="4" w:space="0" w:color="auto"/>
              <w:bottom w:val="nil"/>
              <w:right w:val="single" w:sz="4" w:space="0" w:color="auto"/>
            </w:tcBorders>
            <w:shd w:val="clear" w:color="auto" w:fill="auto"/>
          </w:tcPr>
          <w:p w:rsidR="00542AB4" w:rsidRPr="00AE78C2" w:rsidRDefault="00542AB4" w:rsidP="006B742F">
            <w:pPr>
              <w:jc w:val="center"/>
              <w:rPr>
                <w:sz w:val="22"/>
                <w:szCs w:val="22"/>
              </w:rPr>
            </w:pPr>
          </w:p>
        </w:tc>
        <w:tc>
          <w:tcPr>
            <w:tcW w:w="1350" w:type="dxa"/>
            <w:tcBorders>
              <w:top w:val="single" w:sz="4" w:space="0" w:color="auto"/>
              <w:left w:val="single" w:sz="4" w:space="0" w:color="auto"/>
              <w:bottom w:val="nil"/>
              <w:right w:val="single" w:sz="4" w:space="0" w:color="auto"/>
            </w:tcBorders>
            <w:shd w:val="clear" w:color="auto" w:fill="auto"/>
          </w:tcPr>
          <w:p w:rsidR="00542AB4" w:rsidRPr="00AE78C2" w:rsidRDefault="00542AB4" w:rsidP="006B742F">
            <w:pPr>
              <w:jc w:val="center"/>
              <w:rPr>
                <w:sz w:val="22"/>
                <w:szCs w:val="22"/>
              </w:rPr>
            </w:pPr>
          </w:p>
        </w:tc>
        <w:tc>
          <w:tcPr>
            <w:tcW w:w="7650" w:type="dxa"/>
            <w:tcBorders>
              <w:top w:val="single" w:sz="4" w:space="0" w:color="auto"/>
              <w:left w:val="single" w:sz="4" w:space="0" w:color="auto"/>
              <w:bottom w:val="nil"/>
              <w:right w:val="single" w:sz="4" w:space="0" w:color="auto"/>
            </w:tcBorders>
            <w:shd w:val="clear" w:color="auto" w:fill="auto"/>
          </w:tcPr>
          <w:p w:rsidR="00542AB4" w:rsidRPr="00AE78C2" w:rsidRDefault="00542AB4" w:rsidP="009B7F2E">
            <w:pPr>
              <w:numPr>
                <w:ilvl w:val="0"/>
                <w:numId w:val="43"/>
              </w:numPr>
              <w:rPr>
                <w:b/>
                <w:sz w:val="28"/>
                <w:szCs w:val="28"/>
              </w:rPr>
            </w:pPr>
            <w:r w:rsidRPr="00AE78C2">
              <w:rPr>
                <w:b/>
                <w:sz w:val="28"/>
                <w:szCs w:val="28"/>
              </w:rPr>
              <w:t>Enhance electronic reporting and information technology for healthcare facilities to reduce reporting burden and increase timeliness, efficiency, comprehensiveness, and reliability of the data</w:t>
            </w:r>
          </w:p>
        </w:tc>
        <w:tc>
          <w:tcPr>
            <w:tcW w:w="2340" w:type="dxa"/>
            <w:tcBorders>
              <w:top w:val="single" w:sz="4" w:space="0" w:color="auto"/>
              <w:left w:val="single" w:sz="4" w:space="0" w:color="auto"/>
              <w:bottom w:val="nil"/>
              <w:right w:val="single" w:sz="4" w:space="0" w:color="auto"/>
            </w:tcBorders>
            <w:shd w:val="clear" w:color="auto" w:fill="auto"/>
          </w:tcPr>
          <w:p w:rsidR="00542AB4" w:rsidRPr="00AE78C2" w:rsidRDefault="00542AB4" w:rsidP="00CF2B96">
            <w:pPr>
              <w:rPr>
                <w:sz w:val="22"/>
                <w:szCs w:val="22"/>
              </w:rPr>
            </w:pPr>
          </w:p>
        </w:tc>
      </w:tr>
      <w:tr w:rsidR="00542AB4" w:rsidRPr="00AE78C2" w:rsidTr="008A25EC">
        <w:tc>
          <w:tcPr>
            <w:tcW w:w="1620" w:type="dxa"/>
            <w:tcBorders>
              <w:top w:val="nil"/>
              <w:left w:val="single" w:sz="4" w:space="0" w:color="auto"/>
              <w:bottom w:val="single" w:sz="4" w:space="0" w:color="auto"/>
              <w:right w:val="single" w:sz="4" w:space="0" w:color="auto"/>
            </w:tcBorders>
            <w:shd w:val="clear" w:color="auto" w:fill="auto"/>
          </w:tcPr>
          <w:p w:rsidR="00542AB4"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9B7F2E">
            <w:pPr>
              <w:numPr>
                <w:ilvl w:val="0"/>
                <w:numId w:val="9"/>
              </w:numPr>
              <w:autoSpaceDE w:val="0"/>
              <w:autoSpaceDN w:val="0"/>
              <w:adjustRightInd w:val="0"/>
              <w:rPr>
                <w:sz w:val="22"/>
                <w:szCs w:val="22"/>
              </w:rPr>
            </w:pPr>
            <w:r w:rsidRPr="00AE78C2">
              <w:rPr>
                <w:b/>
                <w:szCs w:val="22"/>
              </w:rPr>
              <w:t>Report HAI data to the public</w:t>
            </w:r>
          </w:p>
          <w:p w:rsidR="00542AB4" w:rsidRPr="00AE78C2" w:rsidRDefault="00542AB4" w:rsidP="00242AFD">
            <w:pPr>
              <w:autoSpaceDE w:val="0"/>
              <w:autoSpaceDN w:val="0"/>
              <w:adjustRightInd w:val="0"/>
              <w:ind w:left="1440"/>
              <w:rPr>
                <w:color w:val="365F91"/>
                <w:szCs w:val="20"/>
              </w:rPr>
            </w:pPr>
          </w:p>
          <w:p w:rsidR="00542AB4" w:rsidRPr="00AE78C2" w:rsidRDefault="00542AB4" w:rsidP="00C11A2E">
            <w:pPr>
              <w:autoSpaceDE w:val="0"/>
              <w:autoSpaceDN w:val="0"/>
              <w:adjustRightInd w:val="0"/>
              <w:ind w:left="720"/>
              <w:rPr>
                <w:sz w:val="22"/>
                <w:szCs w:val="22"/>
              </w:rPr>
            </w:pPr>
            <w:r w:rsidRPr="00AE78C2">
              <w:rPr>
                <w:color w:val="000000"/>
                <w:szCs w:val="20"/>
              </w:rPr>
              <w:t>NHSN data is reported by all acute care hospitals and to CMS. Reports on HAI rates in Massachusetts hospitals are available to the public on the MDPH website and the Medicare Hospital Compare website.  See the most recent report at this link</w:t>
            </w:r>
            <w:r w:rsidRPr="00AE78C2">
              <w:rPr>
                <w:color w:val="365F91"/>
                <w:szCs w:val="20"/>
              </w:rPr>
              <w:t>:</w:t>
            </w:r>
            <w:r w:rsidRPr="00AE78C2">
              <w:t xml:space="preserve"> </w:t>
            </w:r>
            <w:hyperlink r:id="rId16" w:history="1">
              <w:r w:rsidRPr="00AE78C2">
                <w:rPr>
                  <w:rStyle w:val="Hyperlink"/>
                  <w:szCs w:val="20"/>
                </w:rPr>
                <w:t>http://www.mass.gov/eohhs/gov/departments/dph/programs/hcq/healthcare-quality/health-care-facilities/hospitals/healthcare-assoc-infections/healthcare-associated-infections-reports.html</w:t>
              </w:r>
            </w:hyperlink>
          </w:p>
        </w:tc>
        <w:tc>
          <w:tcPr>
            <w:tcW w:w="2340" w:type="dxa"/>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autoSpaceDE w:val="0"/>
              <w:autoSpaceDN w:val="0"/>
              <w:adjustRightInd w:val="0"/>
              <w:rPr>
                <w:sz w:val="22"/>
                <w:szCs w:val="22"/>
              </w:rPr>
            </w:pPr>
          </w:p>
          <w:p w:rsidR="00542AB4" w:rsidRPr="00AE78C2" w:rsidRDefault="00542AB4" w:rsidP="00027A94">
            <w:pPr>
              <w:rPr>
                <w:color w:val="365F91"/>
                <w:sz w:val="22"/>
                <w:szCs w:val="22"/>
              </w:rPr>
            </w:pPr>
          </w:p>
          <w:p w:rsidR="00542AB4" w:rsidRPr="00AE78C2" w:rsidRDefault="00542AB4" w:rsidP="00027A94">
            <w:pPr>
              <w:rPr>
                <w:color w:val="000000"/>
              </w:rPr>
            </w:pPr>
            <w:r w:rsidRPr="00AE78C2">
              <w:rPr>
                <w:color w:val="000000"/>
              </w:rPr>
              <w:t>Established and ongoing</w:t>
            </w:r>
          </w:p>
          <w:p w:rsidR="00542AB4" w:rsidRPr="00AE78C2" w:rsidRDefault="00542AB4" w:rsidP="00027A94">
            <w:pPr>
              <w:rPr>
                <w:color w:val="365F91"/>
                <w:sz w:val="22"/>
                <w:szCs w:val="22"/>
              </w:rPr>
            </w:pPr>
          </w:p>
          <w:p w:rsidR="00542AB4" w:rsidRPr="00AE78C2" w:rsidRDefault="00542AB4" w:rsidP="00027A94">
            <w:pPr>
              <w:rPr>
                <w:color w:val="365F91"/>
                <w:sz w:val="22"/>
                <w:szCs w:val="22"/>
              </w:rPr>
            </w:pPr>
          </w:p>
          <w:p w:rsidR="00542AB4" w:rsidRPr="00AE78C2" w:rsidRDefault="00542AB4" w:rsidP="00027A94">
            <w:pPr>
              <w:rPr>
                <w:sz w:val="22"/>
                <w:szCs w:val="22"/>
              </w:rPr>
            </w:pPr>
          </w:p>
        </w:tc>
      </w:tr>
      <w:tr w:rsidR="00542AB4" w:rsidRPr="00AE78C2" w:rsidTr="008A25EC">
        <w:tc>
          <w:tcPr>
            <w:tcW w:w="2970" w:type="dxa"/>
            <w:gridSpan w:val="2"/>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jc w:val="center"/>
              <w:rPr>
                <w:sz w:val="22"/>
                <w:szCs w:val="22"/>
              </w:rPr>
            </w:pPr>
          </w:p>
        </w:tc>
        <w:tc>
          <w:tcPr>
            <w:tcW w:w="7650" w:type="dxa"/>
            <w:tcBorders>
              <w:top w:val="nil"/>
              <w:left w:val="single" w:sz="4" w:space="0" w:color="auto"/>
              <w:bottom w:val="single" w:sz="4" w:space="0" w:color="auto"/>
              <w:right w:val="single" w:sz="4" w:space="0" w:color="auto"/>
            </w:tcBorders>
            <w:shd w:val="clear" w:color="auto" w:fill="auto"/>
          </w:tcPr>
          <w:p w:rsidR="00542AB4" w:rsidRPr="00AE78C2" w:rsidRDefault="00542AB4" w:rsidP="00027A94">
            <w:pPr>
              <w:autoSpaceDE w:val="0"/>
              <w:autoSpaceDN w:val="0"/>
              <w:adjustRightInd w:val="0"/>
              <w:rPr>
                <w:i/>
                <w:sz w:val="22"/>
                <w:szCs w:val="22"/>
              </w:rPr>
            </w:pPr>
            <w:r w:rsidRPr="00AE78C2">
              <w:rPr>
                <w:i/>
                <w:sz w:val="22"/>
                <w:szCs w:val="22"/>
              </w:rPr>
              <w:t>Other activities or descriptions:</w:t>
            </w:r>
          </w:p>
          <w:p w:rsidR="00542AB4" w:rsidRPr="00AE78C2" w:rsidRDefault="00542AB4" w:rsidP="00FA0F13">
            <w:pPr>
              <w:autoSpaceDE w:val="0"/>
              <w:autoSpaceDN w:val="0"/>
              <w:adjustRightInd w:val="0"/>
              <w:rPr>
                <w:sz w:val="22"/>
                <w:szCs w:val="22"/>
              </w:rPr>
            </w:pPr>
          </w:p>
        </w:tc>
        <w:tc>
          <w:tcPr>
            <w:tcW w:w="2340" w:type="dxa"/>
            <w:tcBorders>
              <w:top w:val="nil"/>
              <w:left w:val="single" w:sz="4" w:space="0" w:color="auto"/>
              <w:bottom w:val="single" w:sz="4" w:space="0" w:color="auto"/>
              <w:right w:val="single" w:sz="4" w:space="0" w:color="auto"/>
            </w:tcBorders>
            <w:shd w:val="clear" w:color="auto" w:fill="auto"/>
          </w:tcPr>
          <w:p w:rsidR="00542AB4" w:rsidRPr="00AE78C2" w:rsidRDefault="00542AB4" w:rsidP="006B742F">
            <w:pPr>
              <w:autoSpaceDE w:val="0"/>
              <w:autoSpaceDN w:val="0"/>
              <w:adjustRightInd w:val="0"/>
              <w:rPr>
                <w:sz w:val="22"/>
                <w:szCs w:val="22"/>
              </w:rPr>
            </w:pPr>
          </w:p>
        </w:tc>
      </w:tr>
      <w:tr w:rsidR="00542AB4" w:rsidRPr="00AE78C2" w:rsidTr="008A25EC">
        <w:tc>
          <w:tcPr>
            <w:tcW w:w="1620" w:type="dxa"/>
            <w:tcBorders>
              <w:top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0A350A" w:rsidRPr="00AE78C2" w:rsidRDefault="000A350A" w:rsidP="006B742F">
            <w:pPr>
              <w:jc w:val="center"/>
              <w:rPr>
                <w:sz w:val="22"/>
                <w:szCs w:val="22"/>
              </w:rPr>
            </w:pPr>
          </w:p>
          <w:p w:rsidR="00542AB4"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350" w:type="dxa"/>
            <w:tcBorders>
              <w:top w:val="single" w:sz="4" w:space="0" w:color="auto"/>
            </w:tcBorders>
            <w:shd w:val="clear" w:color="auto" w:fill="auto"/>
          </w:tcPr>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C11A2E" w:rsidRPr="00AE78C2" w:rsidRDefault="00C11A2E" w:rsidP="006B742F">
            <w:pPr>
              <w:jc w:val="center"/>
              <w:rPr>
                <w:sz w:val="22"/>
                <w:szCs w:val="22"/>
              </w:rPr>
            </w:pPr>
          </w:p>
          <w:p w:rsidR="000A350A" w:rsidRPr="00AE78C2" w:rsidRDefault="000A350A" w:rsidP="00C11A2E">
            <w:pPr>
              <w:jc w:val="center"/>
              <w:rPr>
                <w:sz w:val="22"/>
                <w:szCs w:val="22"/>
              </w:rPr>
            </w:pPr>
          </w:p>
          <w:p w:rsidR="00542AB4" w:rsidRPr="00AE78C2" w:rsidRDefault="00542AB4" w:rsidP="00C11A2E">
            <w:pPr>
              <w:jc w:val="center"/>
              <w:rPr>
                <w:sz w:val="22"/>
                <w:szCs w:val="22"/>
              </w:rPr>
            </w:pPr>
            <w:r w:rsidRPr="00AE78C2">
              <w:rPr>
                <w:sz w:val="22"/>
                <w:szCs w:val="22"/>
              </w:rPr>
              <w:fldChar w:fldCharType="begin">
                <w:ffData>
                  <w:name w:val="Check3"/>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7650" w:type="dxa"/>
            <w:tcBorders>
              <w:top w:val="single" w:sz="4" w:space="0" w:color="auto"/>
            </w:tcBorders>
            <w:shd w:val="clear" w:color="auto" w:fill="auto"/>
          </w:tcPr>
          <w:p w:rsidR="00542AB4" w:rsidRPr="00AE78C2" w:rsidRDefault="00542AB4" w:rsidP="009B7F2E">
            <w:pPr>
              <w:numPr>
                <w:ilvl w:val="0"/>
                <w:numId w:val="43"/>
              </w:numPr>
              <w:rPr>
                <w:b/>
                <w:sz w:val="28"/>
                <w:szCs w:val="28"/>
              </w:rPr>
            </w:pPr>
            <w:r w:rsidRPr="00AE78C2">
              <w:rPr>
                <w:b/>
                <w:sz w:val="28"/>
                <w:szCs w:val="28"/>
              </w:rPr>
              <w:t>Make available risk-adjusted HAI data that enable state agencies to make comparisons between hospitals.</w:t>
            </w:r>
          </w:p>
          <w:p w:rsidR="00542AB4" w:rsidRPr="00AE78C2" w:rsidRDefault="00542AB4" w:rsidP="00027A94">
            <w:pPr>
              <w:rPr>
                <w:sz w:val="22"/>
                <w:szCs w:val="22"/>
              </w:rPr>
            </w:pPr>
          </w:p>
          <w:p w:rsidR="00542AB4" w:rsidRPr="00AE78C2" w:rsidRDefault="00542AB4" w:rsidP="00D04BD9">
            <w:pPr>
              <w:ind w:left="720"/>
              <w:rPr>
                <w:color w:val="000000"/>
              </w:rPr>
            </w:pPr>
            <w:r w:rsidRPr="00AE78C2">
              <w:rPr>
                <w:color w:val="000000"/>
              </w:rPr>
              <w:t>The basis for comparison of data includes national and state benchmarks. Massachusetts HAI reports include standardized infection ratios (SIR).</w:t>
            </w:r>
          </w:p>
          <w:p w:rsidR="00542AB4" w:rsidRPr="00AE78C2" w:rsidRDefault="00542AB4" w:rsidP="00D04BD9">
            <w:pPr>
              <w:ind w:left="720"/>
              <w:rPr>
                <w:color w:val="365F91"/>
              </w:rPr>
            </w:pPr>
          </w:p>
          <w:p w:rsidR="00542AB4" w:rsidRPr="00AE78C2" w:rsidRDefault="00542AB4" w:rsidP="00D04BD9">
            <w:pPr>
              <w:ind w:left="720"/>
              <w:rPr>
                <w:color w:val="000000"/>
              </w:rPr>
            </w:pPr>
            <w:r w:rsidRPr="00AE78C2">
              <w:rPr>
                <w:color w:val="000000"/>
              </w:rPr>
              <w:t xml:space="preserve">“TAP Reports” were implemented in NHSN in alignment with CDC’s Targeted Assessment for Prevention (TAP) strategy. The TAP strategy allows for the ranking of facilities (or locations) in order to </w:t>
            </w:r>
            <w:r w:rsidRPr="00AE78C2">
              <w:rPr>
                <w:color w:val="000000"/>
              </w:rPr>
              <w:lastRenderedPageBreak/>
              <w:t xml:space="preserve">identify and target those areas with the greatest need for improvement. </w:t>
            </w:r>
            <w:r w:rsidR="00481860" w:rsidRPr="00AE78C2">
              <w:rPr>
                <w:color w:val="000000"/>
              </w:rPr>
              <w:t xml:space="preserve"> </w:t>
            </w:r>
          </w:p>
          <w:p w:rsidR="00481860" w:rsidRPr="00AE78C2" w:rsidRDefault="00481860" w:rsidP="00D04BD9">
            <w:pPr>
              <w:ind w:left="720"/>
              <w:rPr>
                <w:color w:val="000000"/>
              </w:rPr>
            </w:pPr>
          </w:p>
          <w:p w:rsidR="00542AB4" w:rsidRPr="00AE78C2" w:rsidRDefault="00542AB4" w:rsidP="00FE498A">
            <w:pPr>
              <w:ind w:left="720"/>
              <w:rPr>
                <w:color w:val="000000"/>
              </w:rPr>
            </w:pPr>
            <w:r w:rsidRPr="00AE78C2">
              <w:rPr>
                <w:color w:val="000000"/>
              </w:rPr>
              <w:t>TAP strategy uses a metric called the cumulative attributable difference (CAD) to</w:t>
            </w:r>
            <w:r w:rsidR="00481860" w:rsidRPr="00AE78C2">
              <w:rPr>
                <w:color w:val="000000"/>
              </w:rPr>
              <w:t xml:space="preserve"> </w:t>
            </w:r>
            <w:r w:rsidRPr="00AE78C2">
              <w:rPr>
                <w:color w:val="000000"/>
              </w:rPr>
              <w:t>quantify and rank the excess number of infections in reference to a comparison goal based on a target SIR (e.g., 1, HHS HAI Action Plan goal, state-specific goal).</w:t>
            </w:r>
            <w:r w:rsidR="00481860" w:rsidRPr="00AE78C2">
              <w:rPr>
                <w:color w:val="000000"/>
              </w:rPr>
              <w:t xml:space="preserve"> </w:t>
            </w:r>
            <w:r w:rsidRPr="00AE78C2">
              <w:rPr>
                <w:color w:val="000000"/>
              </w:rPr>
              <w:t>The CAD subtracts the number of predicted infections (given the target SIR) from the number of observed infections. Lower CADs are better. More information</w:t>
            </w:r>
            <w:r w:rsidR="00481860" w:rsidRPr="00AE78C2">
              <w:rPr>
                <w:color w:val="000000"/>
              </w:rPr>
              <w:t xml:space="preserve"> </w:t>
            </w:r>
            <w:r w:rsidRPr="00AE78C2">
              <w:rPr>
                <w:color w:val="000000"/>
              </w:rPr>
              <w:t>about the TAP strategy can be found here:</w:t>
            </w:r>
          </w:p>
          <w:p w:rsidR="00542AB4" w:rsidRPr="00AE78C2" w:rsidRDefault="00481860" w:rsidP="00FE498A">
            <w:pPr>
              <w:ind w:left="720"/>
              <w:rPr>
                <w:color w:val="365F91"/>
              </w:rPr>
            </w:pPr>
            <w:hyperlink r:id="rId17" w:history="1">
              <w:r w:rsidRPr="00AE78C2">
                <w:rPr>
                  <w:rStyle w:val="Hyperlink"/>
                </w:rPr>
                <w:t>http://www.cdc.gov/hai/prevent/tap.html</w:t>
              </w:r>
            </w:hyperlink>
          </w:p>
          <w:p w:rsidR="00481860" w:rsidRPr="00AE78C2" w:rsidRDefault="00481860" w:rsidP="00FE498A">
            <w:pPr>
              <w:ind w:left="720"/>
              <w:rPr>
                <w:color w:val="365F91"/>
              </w:rPr>
            </w:pPr>
          </w:p>
          <w:p w:rsidR="00542AB4" w:rsidRPr="00AE78C2" w:rsidRDefault="00542AB4" w:rsidP="00FE498A">
            <w:pPr>
              <w:ind w:left="720"/>
              <w:rPr>
                <w:color w:val="365F91"/>
              </w:rPr>
            </w:pPr>
          </w:p>
          <w:p w:rsidR="00481860" w:rsidRPr="00AE78C2" w:rsidRDefault="00542AB4" w:rsidP="00FE498A">
            <w:pPr>
              <w:ind w:left="720"/>
              <w:rPr>
                <w:color w:val="000000"/>
              </w:rPr>
            </w:pPr>
            <w:r w:rsidRPr="00AE78C2">
              <w:rPr>
                <w:color w:val="000000"/>
              </w:rPr>
              <w:t xml:space="preserve">The TAP strategy allows for the ranking of facilities (or locations) in order to identify and target those areas with the greatest need for improvement. </w:t>
            </w:r>
          </w:p>
          <w:p w:rsidR="00481860" w:rsidRPr="00AE78C2" w:rsidRDefault="00481860" w:rsidP="00FE498A">
            <w:pPr>
              <w:ind w:left="720"/>
              <w:rPr>
                <w:color w:val="000000"/>
              </w:rPr>
            </w:pPr>
          </w:p>
          <w:p w:rsidR="00481860" w:rsidRPr="00AE78C2" w:rsidRDefault="00542AB4" w:rsidP="00FC3BE2">
            <w:pPr>
              <w:ind w:left="720"/>
              <w:rPr>
                <w:color w:val="000000"/>
              </w:rPr>
            </w:pPr>
            <w:r w:rsidRPr="00AE78C2">
              <w:rPr>
                <w:color w:val="000000"/>
              </w:rPr>
              <w:t>MDPH will disseminate quarterly aggregate and hospital specific TAP reports to hospital infection preventionists. Findings from TAP reports will be used as tools for</w:t>
            </w:r>
            <w:r w:rsidR="00481860" w:rsidRPr="00AE78C2">
              <w:rPr>
                <w:color w:val="000000"/>
              </w:rPr>
              <w:t xml:space="preserve"> </w:t>
            </w:r>
            <w:r w:rsidR="00763125" w:rsidRPr="00AE78C2">
              <w:rPr>
                <w:color w:val="000000"/>
              </w:rPr>
              <w:t>identification</w:t>
            </w:r>
            <w:r w:rsidRPr="00AE78C2">
              <w:rPr>
                <w:color w:val="000000"/>
              </w:rPr>
              <w:t xml:space="preserve"> and evaluation of infection prevention interventions.</w:t>
            </w:r>
            <w:r w:rsidR="00481860" w:rsidRPr="00AE78C2">
              <w:rPr>
                <w:color w:val="000000"/>
              </w:rPr>
              <w:t xml:space="preserve"> </w:t>
            </w:r>
          </w:p>
          <w:p w:rsidR="00481860" w:rsidRPr="00AE78C2" w:rsidRDefault="00481860" w:rsidP="00FE498A">
            <w:pPr>
              <w:autoSpaceDE w:val="0"/>
              <w:autoSpaceDN w:val="0"/>
              <w:adjustRightInd w:val="0"/>
              <w:ind w:left="720"/>
              <w:rPr>
                <w:color w:val="000000"/>
              </w:rPr>
            </w:pPr>
          </w:p>
          <w:p w:rsidR="00542AB4" w:rsidRPr="00AE78C2" w:rsidRDefault="00542AB4" w:rsidP="00FE498A">
            <w:pPr>
              <w:autoSpaceDE w:val="0"/>
              <w:autoSpaceDN w:val="0"/>
              <w:adjustRightInd w:val="0"/>
              <w:ind w:left="720"/>
              <w:rPr>
                <w:color w:val="000000"/>
              </w:rPr>
            </w:pPr>
            <w:r w:rsidRPr="00AE78C2">
              <w:rPr>
                <w:color w:val="000000"/>
              </w:rPr>
              <w:t>NHSN data are shared monthly with the Massachusetts Hospital Association (MHA) to monitor prevention activit</w:t>
            </w:r>
            <w:r w:rsidR="00481860" w:rsidRPr="00AE78C2">
              <w:rPr>
                <w:color w:val="000000"/>
              </w:rPr>
              <w:t>i</w:t>
            </w:r>
            <w:r w:rsidRPr="00AE78C2">
              <w:rPr>
                <w:color w:val="000000"/>
              </w:rPr>
              <w:t xml:space="preserve">es and evaluate trends. MHA makes the data available on their Patient Care Link </w:t>
            </w:r>
            <w:hyperlink r:id="rId18" w:history="1">
              <w:r w:rsidRPr="00AE78C2">
                <w:rPr>
                  <w:rStyle w:val="Hyperlink"/>
                  <w:color w:val="000000"/>
                </w:rPr>
                <w:t>http://www.patientcare</w:t>
              </w:r>
              <w:r w:rsidRPr="00AE78C2">
                <w:rPr>
                  <w:rStyle w:val="Hyperlink"/>
                  <w:color w:val="000000"/>
                </w:rPr>
                <w:t>l</w:t>
              </w:r>
              <w:r w:rsidRPr="00AE78C2">
                <w:rPr>
                  <w:rStyle w:val="Hyperlink"/>
                  <w:color w:val="000000"/>
                </w:rPr>
                <w:t>ink.org/Healthcare-Provider-Data/Hospital-Data/Statewide-Aggregate-Performance-Measures.aspx</w:t>
              </w:r>
            </w:hyperlink>
          </w:p>
          <w:p w:rsidR="00542AB4" w:rsidRPr="00AE78C2" w:rsidRDefault="00542AB4" w:rsidP="00FE498A">
            <w:pPr>
              <w:autoSpaceDE w:val="0"/>
              <w:autoSpaceDN w:val="0"/>
              <w:adjustRightInd w:val="0"/>
              <w:ind w:left="720"/>
              <w:rPr>
                <w:color w:val="365F91"/>
              </w:rPr>
            </w:pPr>
          </w:p>
          <w:p w:rsidR="00542AB4" w:rsidRPr="00AE78C2" w:rsidRDefault="00542AB4" w:rsidP="00FE498A">
            <w:pPr>
              <w:autoSpaceDE w:val="0"/>
              <w:autoSpaceDN w:val="0"/>
              <w:adjustRightInd w:val="0"/>
              <w:ind w:left="720"/>
              <w:rPr>
                <w:color w:val="000000"/>
              </w:rPr>
            </w:pPr>
            <w:r w:rsidRPr="00AE78C2">
              <w:rPr>
                <w:color w:val="000000"/>
              </w:rPr>
              <w:t>NHSN data was shared monthly with AHA/HRET Hospital Engagement Network (HEN) to monitor effectiveness of prevention initiatives</w:t>
            </w:r>
            <w:r w:rsidR="00481860" w:rsidRPr="00AE78C2">
              <w:rPr>
                <w:color w:val="000000"/>
              </w:rPr>
              <w:t>.</w:t>
            </w:r>
          </w:p>
          <w:p w:rsidR="00542AB4" w:rsidRPr="00AE78C2" w:rsidRDefault="00542AB4" w:rsidP="00C11A2E">
            <w:pPr>
              <w:autoSpaceDE w:val="0"/>
              <w:autoSpaceDN w:val="0"/>
              <w:adjustRightInd w:val="0"/>
              <w:ind w:left="720"/>
              <w:rPr>
                <w:color w:val="365F91"/>
              </w:rPr>
            </w:pPr>
            <w:r w:rsidRPr="00AE78C2">
              <w:rPr>
                <w:color w:val="000000"/>
              </w:rPr>
              <w:lastRenderedPageBreak/>
              <w:t>NHSN data are shared quarterly with NeoQIC, the Neonatal Quality Improvement Collaborative of Massachusetts.  All Massachusetts NICUs participate (n=1</w:t>
            </w:r>
            <w:r w:rsidR="00EE34E7" w:rsidRPr="00AE78C2">
              <w:rPr>
                <w:color w:val="000000"/>
              </w:rPr>
              <w:t>0</w:t>
            </w:r>
            <w:r w:rsidRPr="00AE78C2">
              <w:rPr>
                <w:color w:val="000000"/>
              </w:rPr>
              <w:t>) in the collaborative.</w:t>
            </w:r>
            <w:r w:rsidRPr="00AE78C2">
              <w:rPr>
                <w:color w:val="4F81BD"/>
                <w:sz w:val="22"/>
                <w:szCs w:val="22"/>
              </w:rPr>
              <w:t xml:space="preserve"> </w:t>
            </w:r>
          </w:p>
        </w:tc>
        <w:tc>
          <w:tcPr>
            <w:tcW w:w="2340" w:type="dxa"/>
            <w:tcBorders>
              <w:top w:val="single" w:sz="4" w:space="0" w:color="auto"/>
            </w:tcBorders>
            <w:shd w:val="clear" w:color="auto" w:fill="auto"/>
          </w:tcPr>
          <w:p w:rsidR="00542AB4" w:rsidRPr="00AE78C2" w:rsidRDefault="00542AB4" w:rsidP="00CF2B96">
            <w:pPr>
              <w:rPr>
                <w:sz w:val="22"/>
                <w:szCs w:val="22"/>
              </w:rPr>
            </w:pPr>
          </w:p>
          <w:p w:rsidR="00542AB4" w:rsidRPr="00AE78C2" w:rsidRDefault="00542AB4" w:rsidP="00027A94">
            <w:pPr>
              <w:rPr>
                <w:sz w:val="22"/>
                <w:szCs w:val="22"/>
              </w:rPr>
            </w:pPr>
          </w:p>
          <w:p w:rsidR="00542AB4" w:rsidRPr="00AE78C2" w:rsidRDefault="00542AB4" w:rsidP="00027A94">
            <w:pPr>
              <w:rPr>
                <w:sz w:val="22"/>
                <w:szCs w:val="22"/>
              </w:rPr>
            </w:pPr>
          </w:p>
          <w:p w:rsidR="00481860" w:rsidRPr="00AE78C2" w:rsidRDefault="00481860" w:rsidP="00027A94"/>
          <w:p w:rsidR="00542AB4" w:rsidRPr="00AE78C2" w:rsidRDefault="00542AB4" w:rsidP="00027A94">
            <w:pPr>
              <w:rPr>
                <w:color w:val="000000"/>
                <w:sz w:val="22"/>
                <w:szCs w:val="22"/>
              </w:rPr>
            </w:pPr>
            <w:r w:rsidRPr="00AE78C2">
              <w:rPr>
                <w:color w:val="000000"/>
              </w:rPr>
              <w:t xml:space="preserve">Established and ongoing </w:t>
            </w:r>
          </w:p>
          <w:p w:rsidR="00542AB4" w:rsidRPr="00AE78C2" w:rsidRDefault="00542AB4" w:rsidP="00027A94">
            <w:pPr>
              <w:rPr>
                <w:sz w:val="22"/>
                <w:szCs w:val="22"/>
              </w:rPr>
            </w:pPr>
          </w:p>
          <w:p w:rsidR="00C11A2E" w:rsidRPr="00AE78C2" w:rsidRDefault="00C11A2E" w:rsidP="00027A94">
            <w:pPr>
              <w:rPr>
                <w:sz w:val="22"/>
                <w:szCs w:val="22"/>
              </w:rPr>
            </w:pPr>
          </w:p>
          <w:p w:rsidR="00542AB4" w:rsidRPr="00AE78C2" w:rsidRDefault="00542AB4" w:rsidP="00027A94">
            <w:pPr>
              <w:rPr>
                <w:color w:val="000000"/>
              </w:rPr>
            </w:pPr>
            <w:r w:rsidRPr="00AE78C2">
              <w:rPr>
                <w:color w:val="000000"/>
              </w:rPr>
              <w:t>2016</w:t>
            </w:r>
          </w:p>
        </w:tc>
      </w:tr>
      <w:tr w:rsidR="008A25EC" w:rsidRPr="00AE78C2" w:rsidTr="009B7F2E">
        <w:tc>
          <w:tcPr>
            <w:tcW w:w="2970" w:type="dxa"/>
            <w:gridSpan w:val="2"/>
            <w:shd w:val="clear" w:color="auto" w:fill="auto"/>
          </w:tcPr>
          <w:p w:rsidR="008A25EC" w:rsidRPr="00AE78C2" w:rsidRDefault="008A25EC" w:rsidP="006B742F">
            <w:pPr>
              <w:jc w:val="center"/>
              <w:rPr>
                <w:sz w:val="22"/>
                <w:szCs w:val="22"/>
              </w:rPr>
            </w:pPr>
          </w:p>
        </w:tc>
        <w:tc>
          <w:tcPr>
            <w:tcW w:w="7650" w:type="dxa"/>
            <w:shd w:val="clear" w:color="auto" w:fill="auto"/>
          </w:tcPr>
          <w:p w:rsidR="008A25EC" w:rsidRPr="00AE78C2" w:rsidRDefault="008A25EC" w:rsidP="00C11A2E">
            <w:pPr>
              <w:autoSpaceDE w:val="0"/>
              <w:autoSpaceDN w:val="0"/>
              <w:adjustRightInd w:val="0"/>
              <w:rPr>
                <w:i/>
                <w:sz w:val="22"/>
                <w:szCs w:val="22"/>
              </w:rPr>
            </w:pPr>
            <w:r w:rsidRPr="00AE78C2">
              <w:rPr>
                <w:i/>
                <w:sz w:val="22"/>
                <w:szCs w:val="22"/>
              </w:rPr>
              <w:t>Other activities or descriptions:</w:t>
            </w:r>
          </w:p>
          <w:p w:rsidR="008A25EC" w:rsidRPr="00AE78C2" w:rsidRDefault="008A25EC" w:rsidP="00C11A2E">
            <w:pPr>
              <w:autoSpaceDE w:val="0"/>
              <w:autoSpaceDN w:val="0"/>
              <w:adjustRightInd w:val="0"/>
              <w:rPr>
                <w:sz w:val="22"/>
                <w:szCs w:val="22"/>
              </w:rPr>
            </w:pPr>
          </w:p>
        </w:tc>
        <w:tc>
          <w:tcPr>
            <w:tcW w:w="2340" w:type="dxa"/>
            <w:shd w:val="clear" w:color="auto" w:fill="auto"/>
          </w:tcPr>
          <w:p w:rsidR="008A25EC" w:rsidRPr="00AE78C2" w:rsidRDefault="008A25EC" w:rsidP="00027A94">
            <w:pPr>
              <w:rPr>
                <w:sz w:val="22"/>
                <w:szCs w:val="22"/>
              </w:rPr>
            </w:pPr>
          </w:p>
        </w:tc>
      </w:tr>
    </w:tbl>
    <w:p w:rsidR="003B4420" w:rsidRPr="00AE78C2" w:rsidRDefault="003B4420" w:rsidP="003B4420">
      <w:pPr>
        <w:rPr>
          <w:sz w:val="22"/>
          <w:szCs w:val="22"/>
        </w:rPr>
      </w:pPr>
    </w:p>
    <w:p w:rsidR="00242AFD" w:rsidRPr="00AE78C2" w:rsidRDefault="00242AFD" w:rsidP="0057200C">
      <w:pPr>
        <w:autoSpaceDE w:val="0"/>
        <w:autoSpaceDN w:val="0"/>
        <w:adjustRightInd w:val="0"/>
        <w:rPr>
          <w:b/>
          <w:sz w:val="22"/>
          <w:szCs w:val="22"/>
        </w:rPr>
        <w:sectPr w:rsidR="00242AFD" w:rsidRPr="00AE78C2" w:rsidSect="00042757">
          <w:type w:val="continuous"/>
          <w:pgSz w:w="15840" w:h="12240" w:orient="landscape"/>
          <w:pgMar w:top="1440" w:right="1440" w:bottom="1440" w:left="1440" w:header="720" w:footer="720" w:gutter="0"/>
          <w:cols w:space="720"/>
          <w:noEndnote/>
        </w:sectPr>
      </w:pPr>
    </w:p>
    <w:p w:rsidR="003B4420" w:rsidRPr="00AE78C2" w:rsidRDefault="008152EC" w:rsidP="0057200C">
      <w:pPr>
        <w:autoSpaceDE w:val="0"/>
        <w:autoSpaceDN w:val="0"/>
        <w:adjustRightInd w:val="0"/>
        <w:rPr>
          <w:b/>
          <w:sz w:val="22"/>
          <w:szCs w:val="22"/>
        </w:rPr>
      </w:pPr>
      <w:r w:rsidRPr="00AE78C2">
        <w:rPr>
          <w:b/>
          <w:sz w:val="22"/>
          <w:szCs w:val="22"/>
        </w:rPr>
        <w:lastRenderedPageBreak/>
        <w:br w:type="page"/>
      </w:r>
      <w:r w:rsidR="00690A0A" w:rsidRPr="00AE78C2">
        <w:rPr>
          <w:b/>
          <w:sz w:val="22"/>
          <w:szCs w:val="22"/>
        </w:rPr>
        <w:lastRenderedPageBreak/>
        <w:t>3</w:t>
      </w:r>
      <w:r w:rsidR="00B12182" w:rsidRPr="00AE78C2">
        <w:rPr>
          <w:b/>
          <w:sz w:val="22"/>
          <w:szCs w:val="22"/>
        </w:rPr>
        <w:t>. Prevention</w:t>
      </w:r>
    </w:p>
    <w:p w:rsidR="00493BB7" w:rsidRPr="00AE78C2" w:rsidRDefault="00493BB7" w:rsidP="004663E3">
      <w:pPr>
        <w:rPr>
          <w:sz w:val="22"/>
          <w:szCs w:val="22"/>
        </w:rPr>
      </w:pPr>
    </w:p>
    <w:p w:rsidR="00990D83" w:rsidRPr="00AE78C2" w:rsidRDefault="00990D83" w:rsidP="00990D83">
      <w:pPr>
        <w:autoSpaceDE w:val="0"/>
        <w:autoSpaceDN w:val="0"/>
        <w:adjustRightInd w:val="0"/>
        <w:rPr>
          <w:i/>
          <w:sz w:val="22"/>
          <w:szCs w:val="22"/>
        </w:rPr>
      </w:pPr>
      <w:r w:rsidRPr="00AE78C2">
        <w:rPr>
          <w:sz w:val="22"/>
          <w:szCs w:val="22"/>
        </w:rPr>
        <w:t>State i</w:t>
      </w:r>
      <w:r w:rsidR="00493BB7" w:rsidRPr="00AE78C2">
        <w:rPr>
          <w:sz w:val="22"/>
          <w:szCs w:val="22"/>
        </w:rPr>
        <w:t xml:space="preserve">mplementation of </w:t>
      </w:r>
      <w:r w:rsidR="004663E3" w:rsidRPr="00AE78C2">
        <w:rPr>
          <w:sz w:val="22"/>
          <w:szCs w:val="22"/>
        </w:rPr>
        <w:t>HHS Healthcare Infection Control Practices Advisory Committee (HICPAC)</w:t>
      </w:r>
      <w:r w:rsidR="00493BB7" w:rsidRPr="00AE78C2">
        <w:rPr>
          <w:sz w:val="22"/>
          <w:szCs w:val="22"/>
        </w:rPr>
        <w:t xml:space="preserve"> recommendations is a critical step toward the elimination of HAIs.  CDC</w:t>
      </w:r>
      <w:r w:rsidRPr="00AE78C2">
        <w:rPr>
          <w:sz w:val="22"/>
          <w:szCs w:val="22"/>
        </w:rPr>
        <w:t xml:space="preserve"> </w:t>
      </w:r>
      <w:r w:rsidR="007958DC" w:rsidRPr="00AE78C2">
        <w:rPr>
          <w:sz w:val="22"/>
          <w:szCs w:val="22"/>
        </w:rPr>
        <w:t xml:space="preserve">and </w:t>
      </w:r>
      <w:r w:rsidRPr="00AE78C2">
        <w:rPr>
          <w:sz w:val="22"/>
          <w:szCs w:val="22"/>
        </w:rPr>
        <w:t>HICPAC</w:t>
      </w:r>
      <w:r w:rsidR="000A3167" w:rsidRPr="00AE78C2">
        <w:rPr>
          <w:sz w:val="22"/>
          <w:szCs w:val="22"/>
        </w:rPr>
        <w:t xml:space="preserve"> </w:t>
      </w:r>
      <w:r w:rsidR="00F632C8" w:rsidRPr="00AE78C2">
        <w:rPr>
          <w:sz w:val="22"/>
          <w:szCs w:val="22"/>
        </w:rPr>
        <w:t>ha</w:t>
      </w:r>
      <w:r w:rsidR="007958DC" w:rsidRPr="00AE78C2">
        <w:rPr>
          <w:sz w:val="22"/>
          <w:szCs w:val="22"/>
        </w:rPr>
        <w:t>ve</w:t>
      </w:r>
      <w:r w:rsidR="004663E3" w:rsidRPr="00AE78C2">
        <w:rPr>
          <w:sz w:val="22"/>
          <w:szCs w:val="22"/>
        </w:rPr>
        <w:t xml:space="preserve"> developed evidence-based </w:t>
      </w:r>
      <w:r w:rsidRPr="00AE78C2">
        <w:rPr>
          <w:sz w:val="22"/>
          <w:szCs w:val="22"/>
        </w:rPr>
        <w:t xml:space="preserve">HAI prevention </w:t>
      </w:r>
      <w:r w:rsidR="004663E3" w:rsidRPr="00AE78C2">
        <w:rPr>
          <w:sz w:val="22"/>
          <w:szCs w:val="22"/>
        </w:rPr>
        <w:t xml:space="preserve">guidelines </w:t>
      </w:r>
      <w:r w:rsidRPr="00AE78C2">
        <w:rPr>
          <w:sz w:val="22"/>
          <w:szCs w:val="22"/>
        </w:rPr>
        <w:t>cited in the HHS Action Plan for implementation</w:t>
      </w:r>
      <w:r w:rsidR="004663E3" w:rsidRPr="00AE78C2">
        <w:rPr>
          <w:sz w:val="22"/>
          <w:szCs w:val="22"/>
        </w:rPr>
        <w:t>. These guidelines are translated into practice</w:t>
      </w:r>
      <w:r w:rsidR="000A3167" w:rsidRPr="00AE78C2">
        <w:rPr>
          <w:sz w:val="22"/>
          <w:szCs w:val="22"/>
        </w:rPr>
        <w:t xml:space="preserve"> </w:t>
      </w:r>
      <w:r w:rsidR="004663E3" w:rsidRPr="00AE78C2">
        <w:rPr>
          <w:sz w:val="22"/>
          <w:szCs w:val="22"/>
        </w:rPr>
        <w:t>and implemented by multiple groups in hospital settings for the prevention of HAIs.</w:t>
      </w:r>
      <w:r w:rsidR="007958DC" w:rsidRPr="00AE78C2">
        <w:rPr>
          <w:sz w:val="22"/>
          <w:szCs w:val="22"/>
        </w:rPr>
        <w:t xml:space="preserve"> </w:t>
      </w:r>
      <w:r w:rsidR="004663E3" w:rsidRPr="00AE78C2">
        <w:rPr>
          <w:sz w:val="22"/>
          <w:szCs w:val="22"/>
        </w:rPr>
        <w:t xml:space="preserve"> </w:t>
      </w:r>
      <w:r w:rsidR="00493BB7" w:rsidRPr="00AE78C2">
        <w:rPr>
          <w:sz w:val="22"/>
          <w:szCs w:val="22"/>
        </w:rPr>
        <w:t>CDC guidelines</w:t>
      </w:r>
      <w:r w:rsidR="004663E3" w:rsidRPr="00AE78C2">
        <w:rPr>
          <w:sz w:val="22"/>
          <w:szCs w:val="22"/>
        </w:rPr>
        <w:t xml:space="preserve"> have also served as the basis </w:t>
      </w:r>
      <w:r w:rsidR="007958DC" w:rsidRPr="00AE78C2">
        <w:rPr>
          <w:sz w:val="22"/>
          <w:szCs w:val="22"/>
        </w:rPr>
        <w:t xml:space="preserve">for </w:t>
      </w:r>
      <w:r w:rsidR="00493BB7" w:rsidRPr="00AE78C2">
        <w:rPr>
          <w:sz w:val="22"/>
          <w:szCs w:val="22"/>
        </w:rPr>
        <w:t xml:space="preserve">the </w:t>
      </w:r>
      <w:r w:rsidR="004663E3" w:rsidRPr="00AE78C2">
        <w:rPr>
          <w:sz w:val="22"/>
          <w:szCs w:val="22"/>
        </w:rPr>
        <w:t>Centers for Medicare and Medicaid Services (CMS) Sur</w:t>
      </w:r>
      <w:r w:rsidR="00493BB7" w:rsidRPr="00AE78C2">
        <w:rPr>
          <w:sz w:val="22"/>
          <w:szCs w:val="22"/>
        </w:rPr>
        <w:t xml:space="preserve">gical Care Improvement Project. </w:t>
      </w:r>
      <w:r w:rsidR="005533E9" w:rsidRPr="00AE78C2">
        <w:rPr>
          <w:sz w:val="22"/>
          <w:szCs w:val="22"/>
        </w:rPr>
        <w:t>T</w:t>
      </w:r>
      <w:r w:rsidR="004663E3" w:rsidRPr="00AE78C2">
        <w:rPr>
          <w:sz w:val="22"/>
          <w:szCs w:val="22"/>
        </w:rPr>
        <w:t>hese</w:t>
      </w:r>
      <w:r w:rsidR="00493BB7" w:rsidRPr="00AE78C2">
        <w:rPr>
          <w:sz w:val="22"/>
          <w:szCs w:val="22"/>
        </w:rPr>
        <w:t xml:space="preserve"> </w:t>
      </w:r>
      <w:r w:rsidR="004663E3" w:rsidRPr="00AE78C2">
        <w:rPr>
          <w:sz w:val="22"/>
          <w:szCs w:val="22"/>
        </w:rPr>
        <w:t>evidence-based recommendations have al</w:t>
      </w:r>
      <w:r w:rsidR="00493BB7" w:rsidRPr="00AE78C2">
        <w:rPr>
          <w:sz w:val="22"/>
          <w:szCs w:val="22"/>
        </w:rPr>
        <w:t xml:space="preserve">so been incorporated into Joint </w:t>
      </w:r>
      <w:r w:rsidR="004663E3" w:rsidRPr="00AE78C2">
        <w:rPr>
          <w:sz w:val="22"/>
          <w:szCs w:val="22"/>
        </w:rPr>
        <w:t>Commission standards for</w:t>
      </w:r>
      <w:r w:rsidR="00493BB7" w:rsidRPr="00AE78C2">
        <w:rPr>
          <w:sz w:val="22"/>
          <w:szCs w:val="22"/>
        </w:rPr>
        <w:t xml:space="preserve"> </w:t>
      </w:r>
      <w:r w:rsidR="004663E3" w:rsidRPr="00AE78C2">
        <w:rPr>
          <w:sz w:val="22"/>
          <w:szCs w:val="22"/>
        </w:rPr>
        <w:t>accreditation of U.S. hospitals and have been endorsed</w:t>
      </w:r>
      <w:r w:rsidRPr="00AE78C2">
        <w:rPr>
          <w:sz w:val="22"/>
          <w:szCs w:val="22"/>
        </w:rPr>
        <w:t xml:space="preserve"> by the National Quality Forum.  Please select areas for development or enhancement of </w:t>
      </w:r>
      <w:r w:rsidR="00F74EC8" w:rsidRPr="00AE78C2">
        <w:rPr>
          <w:sz w:val="22"/>
          <w:szCs w:val="22"/>
        </w:rPr>
        <w:t>state</w:t>
      </w:r>
      <w:r w:rsidR="00095A5B" w:rsidRPr="00AE78C2">
        <w:rPr>
          <w:sz w:val="22"/>
          <w:szCs w:val="22"/>
        </w:rPr>
        <w:t xml:space="preserve"> HAI prevention efforts.</w:t>
      </w:r>
    </w:p>
    <w:p w:rsidR="003B4420" w:rsidRPr="00AE78C2" w:rsidRDefault="003B4420"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sectPr w:rsidR="00242AFD" w:rsidRPr="00AE78C2" w:rsidSect="00042757">
          <w:footerReference w:type="default" r:id="rId19"/>
          <w:type w:val="continuous"/>
          <w:pgSz w:w="15840" w:h="12240" w:orient="landscape"/>
          <w:pgMar w:top="1440" w:right="1440" w:bottom="1440" w:left="1440" w:header="720" w:footer="720" w:gutter="0"/>
          <w:cols w:space="720"/>
          <w:noEndnote/>
        </w:sect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242AFD" w:rsidRPr="00AE78C2" w:rsidRDefault="00242AFD" w:rsidP="004663E3">
      <w:pPr>
        <w:rPr>
          <w:sz w:val="22"/>
          <w:szCs w:val="22"/>
        </w:rPr>
      </w:pPr>
    </w:p>
    <w:p w:rsidR="00EC0D53" w:rsidRPr="00AE78C2" w:rsidRDefault="00EC0D53" w:rsidP="00EC0D53">
      <w:pPr>
        <w:rPr>
          <w:sz w:val="22"/>
          <w:szCs w:val="22"/>
        </w:rPr>
      </w:pPr>
      <w:r w:rsidRPr="00AE78C2">
        <w:rPr>
          <w:b/>
          <w:sz w:val="22"/>
          <w:szCs w:val="22"/>
        </w:rPr>
        <w:t>Table 3:</w:t>
      </w:r>
      <w:r w:rsidRPr="00AE78C2">
        <w:rPr>
          <w:sz w:val="22"/>
          <w:szCs w:val="22"/>
        </w:rPr>
        <w:t xml:space="preserve"> State planning</w:t>
      </w:r>
      <w:r w:rsidR="00716764" w:rsidRPr="00AE78C2">
        <w:rPr>
          <w:sz w:val="22"/>
          <w:szCs w:val="22"/>
        </w:rPr>
        <w:t xml:space="preserve"> for</w:t>
      </w:r>
      <w:r w:rsidRPr="00AE78C2">
        <w:rPr>
          <w:sz w:val="22"/>
          <w:szCs w:val="22"/>
        </w:rPr>
        <w:t xml:space="preserve"> HAI prevention activities</w:t>
      </w:r>
    </w:p>
    <w:p w:rsidR="00EC0D53" w:rsidRPr="00AE78C2" w:rsidRDefault="00EC0D53" w:rsidP="004663E3">
      <w:pPr>
        <w:rPr>
          <w:sz w:val="22"/>
          <w:szCs w:val="22"/>
        </w:rPr>
      </w:pPr>
    </w:p>
    <w:tbl>
      <w:tblPr>
        <w:tblW w:w="12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987"/>
        <w:gridCol w:w="8134"/>
        <w:gridCol w:w="1720"/>
        <w:tblGridChange w:id="4">
          <w:tblGrid>
            <w:gridCol w:w="1194"/>
            <w:gridCol w:w="987"/>
            <w:gridCol w:w="8134"/>
            <w:gridCol w:w="1720"/>
          </w:tblGrid>
        </w:tblGridChange>
      </w:tblGrid>
      <w:tr w:rsidR="00F7428E" w:rsidRPr="00AE78C2" w:rsidTr="00190209">
        <w:trPr>
          <w:tblHeader/>
        </w:trPr>
        <w:tc>
          <w:tcPr>
            <w:tcW w:w="1162" w:type="dxa"/>
            <w:tcBorders>
              <w:bottom w:val="single" w:sz="4" w:space="0" w:color="auto"/>
            </w:tcBorders>
            <w:shd w:val="clear" w:color="auto" w:fill="auto"/>
          </w:tcPr>
          <w:p w:rsidR="00F7428E" w:rsidRPr="00AE78C2" w:rsidRDefault="00F7428E" w:rsidP="006B742F">
            <w:pPr>
              <w:jc w:val="center"/>
              <w:rPr>
                <w:b/>
                <w:sz w:val="22"/>
                <w:szCs w:val="22"/>
              </w:rPr>
            </w:pPr>
            <w:r w:rsidRPr="00AE78C2">
              <w:rPr>
                <w:b/>
                <w:sz w:val="22"/>
                <w:szCs w:val="22"/>
              </w:rPr>
              <w:lastRenderedPageBreak/>
              <w:t>Check Items Underway</w:t>
            </w:r>
          </w:p>
        </w:tc>
        <w:tc>
          <w:tcPr>
            <w:tcW w:w="961" w:type="dxa"/>
            <w:tcBorders>
              <w:bottom w:val="single" w:sz="4" w:space="0" w:color="auto"/>
            </w:tcBorders>
          </w:tcPr>
          <w:p w:rsidR="00F7428E" w:rsidRPr="00AE78C2" w:rsidRDefault="00F7428E" w:rsidP="006B742F">
            <w:pPr>
              <w:jc w:val="center"/>
              <w:rPr>
                <w:b/>
                <w:sz w:val="22"/>
                <w:szCs w:val="22"/>
              </w:rPr>
            </w:pPr>
            <w:r w:rsidRPr="00AE78C2">
              <w:rPr>
                <w:b/>
                <w:sz w:val="22"/>
                <w:szCs w:val="22"/>
              </w:rPr>
              <w:t>Check</w:t>
            </w:r>
          </w:p>
          <w:p w:rsidR="00F7428E" w:rsidRPr="00AE78C2" w:rsidRDefault="00F7428E" w:rsidP="006B742F">
            <w:pPr>
              <w:autoSpaceDE w:val="0"/>
              <w:autoSpaceDN w:val="0"/>
              <w:adjustRightInd w:val="0"/>
              <w:jc w:val="center"/>
              <w:rPr>
                <w:b/>
                <w:sz w:val="22"/>
                <w:szCs w:val="22"/>
              </w:rPr>
            </w:pPr>
            <w:r w:rsidRPr="00AE78C2">
              <w:rPr>
                <w:b/>
                <w:sz w:val="22"/>
                <w:szCs w:val="22"/>
              </w:rPr>
              <w:t>Items Planned</w:t>
            </w:r>
          </w:p>
        </w:tc>
        <w:tc>
          <w:tcPr>
            <w:tcW w:w="8216" w:type="dxa"/>
            <w:tcBorders>
              <w:bottom w:val="single" w:sz="4" w:space="0" w:color="auto"/>
            </w:tcBorders>
            <w:shd w:val="clear" w:color="auto" w:fill="auto"/>
          </w:tcPr>
          <w:p w:rsidR="00F7428E" w:rsidRPr="00AE78C2" w:rsidRDefault="00F7428E" w:rsidP="006B742F">
            <w:pPr>
              <w:autoSpaceDE w:val="0"/>
              <w:autoSpaceDN w:val="0"/>
              <w:adjustRightInd w:val="0"/>
              <w:ind w:left="94"/>
              <w:rPr>
                <w:b/>
                <w:sz w:val="22"/>
                <w:szCs w:val="22"/>
              </w:rPr>
            </w:pPr>
            <w:r w:rsidRPr="00AE78C2">
              <w:rPr>
                <w:b/>
                <w:sz w:val="22"/>
                <w:szCs w:val="22"/>
              </w:rPr>
              <w:t>Items Planned for Implementation (or currently underway)</w:t>
            </w:r>
          </w:p>
          <w:p w:rsidR="00F7428E" w:rsidRPr="00AE78C2" w:rsidRDefault="00F7428E" w:rsidP="006B742F">
            <w:pPr>
              <w:autoSpaceDE w:val="0"/>
              <w:autoSpaceDN w:val="0"/>
              <w:adjustRightInd w:val="0"/>
              <w:ind w:left="94"/>
              <w:rPr>
                <w:b/>
                <w:sz w:val="22"/>
                <w:szCs w:val="22"/>
              </w:rPr>
            </w:pPr>
          </w:p>
        </w:tc>
        <w:tc>
          <w:tcPr>
            <w:tcW w:w="1696" w:type="dxa"/>
            <w:tcBorders>
              <w:bottom w:val="single" w:sz="4" w:space="0" w:color="auto"/>
            </w:tcBorders>
          </w:tcPr>
          <w:p w:rsidR="00F7428E" w:rsidRPr="00AE78C2" w:rsidRDefault="00F7428E" w:rsidP="006B742F">
            <w:pPr>
              <w:autoSpaceDE w:val="0"/>
              <w:autoSpaceDN w:val="0"/>
              <w:adjustRightInd w:val="0"/>
              <w:rPr>
                <w:b/>
                <w:sz w:val="22"/>
                <w:szCs w:val="22"/>
              </w:rPr>
            </w:pPr>
            <w:r w:rsidRPr="00AE78C2">
              <w:rPr>
                <w:b/>
                <w:sz w:val="22"/>
                <w:szCs w:val="22"/>
              </w:rPr>
              <w:t>Target Dates for Implementation</w:t>
            </w:r>
          </w:p>
        </w:tc>
      </w:tr>
      <w:tr w:rsidR="00F7428E" w:rsidRPr="00AE78C2" w:rsidTr="000A350A">
        <w:tc>
          <w:tcPr>
            <w:tcW w:w="1162"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961"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8216"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0"/>
                <w:numId w:val="10"/>
              </w:numPr>
              <w:rPr>
                <w:b/>
                <w:sz w:val="28"/>
                <w:szCs w:val="28"/>
              </w:rPr>
            </w:pPr>
            <w:r w:rsidRPr="00AE78C2">
              <w:rPr>
                <w:b/>
                <w:sz w:val="28"/>
                <w:szCs w:val="28"/>
              </w:rPr>
              <w:t>I</w:t>
            </w:r>
            <w:r w:rsidR="007958DC" w:rsidRPr="00AE78C2">
              <w:rPr>
                <w:b/>
                <w:sz w:val="28"/>
                <w:szCs w:val="28"/>
              </w:rPr>
              <w:t>mplement HICPAC recommendations</w:t>
            </w:r>
          </w:p>
        </w:tc>
        <w:tc>
          <w:tcPr>
            <w:tcW w:w="1696" w:type="dxa"/>
            <w:tcBorders>
              <w:top w:val="single" w:sz="4" w:space="0" w:color="auto"/>
              <w:left w:val="single" w:sz="4" w:space="0" w:color="auto"/>
              <w:bottom w:val="nil"/>
              <w:right w:val="single" w:sz="4" w:space="0" w:color="auto"/>
            </w:tcBorders>
            <w:shd w:val="clear" w:color="auto" w:fill="auto"/>
          </w:tcPr>
          <w:p w:rsidR="00F7428E" w:rsidRPr="00AE78C2" w:rsidRDefault="00F7428E" w:rsidP="00916891">
            <w:pPr>
              <w:rPr>
                <w:sz w:val="22"/>
                <w:szCs w:val="22"/>
              </w:rPr>
            </w:pPr>
          </w:p>
        </w:tc>
      </w:tr>
      <w:tr w:rsidR="00F7428E" w:rsidRPr="00AE78C2" w:rsidTr="000A350A">
        <w:tc>
          <w:tcPr>
            <w:tcW w:w="1162" w:type="dxa"/>
            <w:tcBorders>
              <w:top w:val="nil"/>
              <w:left w:val="single" w:sz="4" w:space="0" w:color="auto"/>
              <w:bottom w:val="single" w:sz="4" w:space="0" w:color="auto"/>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Check4"/>
                  <w:enabled/>
                  <w:calcOnExit w:val="0"/>
                  <w:checkBox>
                    <w:sizeAuto/>
                    <w:default w:val="1"/>
                  </w:checkBox>
                </w:ffData>
              </w:fldChar>
            </w:r>
            <w:bookmarkStart w:id="5" w:name="Check4"/>
            <w:r w:rsidRPr="00AE78C2">
              <w:rPr>
                <w:sz w:val="22"/>
                <w:szCs w:val="22"/>
              </w:rPr>
              <w:instrText xml:space="preserve"> FORMCHECKBOX </w:instrText>
            </w:r>
            <w:r w:rsidRPr="00AE78C2">
              <w:rPr>
                <w:sz w:val="22"/>
                <w:szCs w:val="22"/>
              </w:rPr>
            </w:r>
            <w:r w:rsidRPr="00AE78C2">
              <w:rPr>
                <w:sz w:val="22"/>
                <w:szCs w:val="22"/>
              </w:rPr>
              <w:fldChar w:fldCharType="end"/>
            </w:r>
            <w:bookmarkEnd w:id="5"/>
          </w:p>
        </w:tc>
        <w:tc>
          <w:tcPr>
            <w:tcW w:w="961"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12"/>
              </w:numPr>
              <w:rPr>
                <w:b/>
                <w:szCs w:val="22"/>
              </w:rPr>
            </w:pPr>
            <w:r w:rsidRPr="00AE78C2">
              <w:rPr>
                <w:b/>
                <w:szCs w:val="22"/>
              </w:rPr>
              <w:t>Develop strategies for implementation of HICPAC recommendations for at least 2 prevention targets specified by the state multidisciplinary group.</w:t>
            </w:r>
          </w:p>
          <w:p w:rsidR="006569FA" w:rsidRPr="00AE78C2" w:rsidRDefault="006569FA" w:rsidP="00242AFD">
            <w:pPr>
              <w:ind w:left="1620"/>
              <w:rPr>
                <w:color w:val="365F91"/>
              </w:rPr>
            </w:pPr>
          </w:p>
          <w:p w:rsidR="00027A94" w:rsidRPr="00AE78C2" w:rsidRDefault="00027A94" w:rsidP="00CB1F67">
            <w:pPr>
              <w:ind w:left="900"/>
              <w:rPr>
                <w:color w:val="000000"/>
              </w:rPr>
            </w:pPr>
            <w:r w:rsidRPr="00AE78C2">
              <w:rPr>
                <w:color w:val="000000"/>
              </w:rPr>
              <w:t>Current targets and metrics</w:t>
            </w:r>
            <w:r w:rsidR="003C072D" w:rsidRPr="00AE78C2">
              <w:rPr>
                <w:color w:val="000000"/>
              </w:rPr>
              <w:t xml:space="preserve"> (for CLABSI, SSIs, VAP, MRSA and C-diff)</w:t>
            </w:r>
            <w:r w:rsidRPr="00AE78C2">
              <w:rPr>
                <w:color w:val="000000"/>
              </w:rPr>
              <w:t xml:space="preserve"> are consistent with those identified by national organizations including HICPAC, CDC, the National Quality Forum (NQF), the Society for Healthcare Epidemiology of America (SHEA), the Association of Professionals in Infection Control and Epidemiology (APIC) and the Infectious Diseases Society of America (IDSA). </w:t>
            </w:r>
          </w:p>
        </w:tc>
        <w:tc>
          <w:tcPr>
            <w:tcW w:w="1696" w:type="dxa"/>
            <w:tcBorders>
              <w:top w:val="nil"/>
              <w:left w:val="single" w:sz="4" w:space="0" w:color="auto"/>
              <w:bottom w:val="single" w:sz="4" w:space="0" w:color="auto"/>
              <w:right w:val="single" w:sz="4" w:space="0" w:color="auto"/>
            </w:tcBorders>
            <w:shd w:val="clear" w:color="auto" w:fill="auto"/>
          </w:tcPr>
          <w:p w:rsidR="00CB1F67" w:rsidRPr="00AE78C2" w:rsidRDefault="00CB1F67" w:rsidP="00916891">
            <w:pPr>
              <w:rPr>
                <w:color w:val="365F91"/>
              </w:rPr>
            </w:pPr>
          </w:p>
          <w:p w:rsidR="00CB1F67" w:rsidRPr="00AE78C2" w:rsidRDefault="00CB1F67" w:rsidP="00916891">
            <w:pPr>
              <w:rPr>
                <w:color w:val="365F91"/>
              </w:rPr>
            </w:pPr>
          </w:p>
          <w:p w:rsidR="00CB1F67" w:rsidRPr="00AE78C2" w:rsidRDefault="00CB1F67" w:rsidP="00916891">
            <w:pPr>
              <w:rPr>
                <w:color w:val="365F91"/>
              </w:rPr>
            </w:pPr>
          </w:p>
          <w:p w:rsidR="00CB1F67" w:rsidRPr="00AE78C2" w:rsidRDefault="00CB1F67" w:rsidP="00916891">
            <w:pPr>
              <w:rPr>
                <w:color w:val="365F91"/>
              </w:rPr>
            </w:pPr>
          </w:p>
          <w:p w:rsidR="00F7428E" w:rsidRPr="00AE78C2" w:rsidRDefault="00027A94" w:rsidP="00916891">
            <w:pPr>
              <w:rPr>
                <w:color w:val="000000"/>
                <w:sz w:val="22"/>
                <w:szCs w:val="22"/>
              </w:rPr>
            </w:pPr>
            <w:r w:rsidRPr="00AE78C2">
              <w:rPr>
                <w:color w:val="000000"/>
              </w:rPr>
              <w:t xml:space="preserve">Established </w:t>
            </w:r>
            <w:r w:rsidR="00425BE7" w:rsidRPr="00AE78C2">
              <w:rPr>
                <w:color w:val="000000"/>
              </w:rPr>
              <w:t xml:space="preserve">2008 </w:t>
            </w:r>
            <w:r w:rsidRPr="00AE78C2">
              <w:rPr>
                <w:color w:val="000000"/>
              </w:rPr>
              <w:t>and ongoing</w:t>
            </w:r>
          </w:p>
        </w:tc>
      </w:tr>
      <w:tr w:rsidR="00F7428E" w:rsidRPr="00AE78C2" w:rsidTr="000A350A">
        <w:tc>
          <w:tcPr>
            <w:tcW w:w="2123" w:type="dxa"/>
            <w:gridSpan w:val="2"/>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jc w:val="center"/>
              <w:rPr>
                <w:sz w:val="22"/>
                <w:szCs w:val="22"/>
              </w:rPr>
            </w:pPr>
          </w:p>
        </w:tc>
        <w:tc>
          <w:tcPr>
            <w:tcW w:w="8216" w:type="dxa"/>
            <w:tcBorders>
              <w:top w:val="nil"/>
              <w:left w:val="single" w:sz="4" w:space="0" w:color="auto"/>
              <w:bottom w:val="single" w:sz="4" w:space="0" w:color="auto"/>
              <w:right w:val="single" w:sz="4" w:space="0" w:color="auto"/>
            </w:tcBorders>
            <w:shd w:val="clear" w:color="auto" w:fill="auto"/>
          </w:tcPr>
          <w:p w:rsidR="00F7428E" w:rsidRPr="00AE78C2" w:rsidRDefault="00F7428E" w:rsidP="00027A94">
            <w:pPr>
              <w:autoSpaceDE w:val="0"/>
              <w:autoSpaceDN w:val="0"/>
              <w:adjustRightInd w:val="0"/>
              <w:rPr>
                <w:sz w:val="22"/>
                <w:szCs w:val="22"/>
              </w:rPr>
            </w:pPr>
            <w:r w:rsidRPr="00AE78C2">
              <w:rPr>
                <w:i/>
                <w:sz w:val="22"/>
                <w:szCs w:val="22"/>
              </w:rPr>
              <w:t>Other activities or descriptions:</w:t>
            </w:r>
          </w:p>
          <w:p w:rsidR="00F7428E" w:rsidRPr="00AE78C2" w:rsidRDefault="00F7428E" w:rsidP="00E371FD">
            <w:pPr>
              <w:rPr>
                <w:sz w:val="22"/>
                <w:szCs w:val="22"/>
              </w:rPr>
            </w:pPr>
          </w:p>
        </w:tc>
        <w:tc>
          <w:tcPr>
            <w:tcW w:w="1696" w:type="dxa"/>
            <w:tcBorders>
              <w:top w:val="nil"/>
              <w:left w:val="single" w:sz="4" w:space="0" w:color="auto"/>
              <w:bottom w:val="single" w:sz="4" w:space="0" w:color="auto"/>
              <w:right w:val="single" w:sz="4" w:space="0" w:color="auto"/>
            </w:tcBorders>
            <w:shd w:val="clear" w:color="auto" w:fill="auto"/>
          </w:tcPr>
          <w:p w:rsidR="00F7428E" w:rsidRPr="00AE78C2" w:rsidRDefault="00F7428E" w:rsidP="00916891">
            <w:pPr>
              <w:rPr>
                <w:sz w:val="22"/>
                <w:szCs w:val="22"/>
              </w:rPr>
            </w:pPr>
          </w:p>
        </w:tc>
      </w:tr>
      <w:tr w:rsidR="00F7428E" w:rsidRPr="00AE78C2" w:rsidTr="00190209">
        <w:tc>
          <w:tcPr>
            <w:tcW w:w="1162"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961" w:type="dxa"/>
            <w:tcBorders>
              <w:top w:val="single" w:sz="4" w:space="0" w:color="auto"/>
              <w:left w:val="single" w:sz="4" w:space="0" w:color="auto"/>
              <w:bottom w:val="nil"/>
              <w:right w:val="single" w:sz="4" w:space="0" w:color="auto"/>
            </w:tcBorders>
          </w:tcPr>
          <w:p w:rsidR="00F7428E" w:rsidRPr="00AE78C2" w:rsidRDefault="00F7428E" w:rsidP="006B742F">
            <w:pPr>
              <w:autoSpaceDE w:val="0"/>
              <w:autoSpaceDN w:val="0"/>
              <w:adjustRightInd w:val="0"/>
              <w:jc w:val="center"/>
              <w:rPr>
                <w:sz w:val="22"/>
                <w:szCs w:val="22"/>
              </w:rPr>
            </w:pPr>
          </w:p>
        </w:tc>
        <w:tc>
          <w:tcPr>
            <w:tcW w:w="8216"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0"/>
                <w:numId w:val="10"/>
              </w:numPr>
              <w:autoSpaceDE w:val="0"/>
              <w:autoSpaceDN w:val="0"/>
              <w:adjustRightInd w:val="0"/>
              <w:rPr>
                <w:b/>
                <w:sz w:val="28"/>
                <w:szCs w:val="28"/>
              </w:rPr>
            </w:pPr>
            <w:r w:rsidRPr="00AE78C2">
              <w:rPr>
                <w:b/>
                <w:sz w:val="28"/>
                <w:szCs w:val="28"/>
              </w:rPr>
              <w:t xml:space="preserve">Establish prevention working group under the state HAI advisory council to coordinate state HAI collaboratives </w:t>
            </w:r>
          </w:p>
        </w:tc>
        <w:tc>
          <w:tcPr>
            <w:tcW w:w="1696" w:type="dxa"/>
            <w:tcBorders>
              <w:top w:val="single" w:sz="4" w:space="0" w:color="auto"/>
              <w:left w:val="single" w:sz="4" w:space="0" w:color="auto"/>
              <w:bottom w:val="nil"/>
              <w:right w:val="single" w:sz="4" w:space="0" w:color="auto"/>
            </w:tcBorders>
          </w:tcPr>
          <w:p w:rsidR="00F7428E" w:rsidRPr="00AE78C2" w:rsidRDefault="00F7428E" w:rsidP="006B742F">
            <w:pPr>
              <w:autoSpaceDE w:val="0"/>
              <w:autoSpaceDN w:val="0"/>
              <w:adjustRightInd w:val="0"/>
              <w:rPr>
                <w:sz w:val="22"/>
                <w:szCs w:val="22"/>
              </w:rPr>
            </w:pPr>
          </w:p>
        </w:tc>
      </w:tr>
      <w:tr w:rsidR="00F7428E" w:rsidRPr="00AE78C2" w:rsidTr="00190209">
        <w:tc>
          <w:tcPr>
            <w:tcW w:w="1162" w:type="dxa"/>
            <w:tcBorders>
              <w:top w:val="nil"/>
              <w:left w:val="single" w:sz="4" w:space="0" w:color="auto"/>
              <w:bottom w:val="single" w:sz="4" w:space="0" w:color="auto"/>
              <w:right w:val="single" w:sz="4" w:space="0" w:color="auto"/>
            </w:tcBorders>
            <w:shd w:val="clear" w:color="auto" w:fill="auto"/>
          </w:tcPr>
          <w:p w:rsidR="00F7428E"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single" w:sz="4" w:space="0" w:color="auto"/>
              <w:right w:val="single" w:sz="4" w:space="0" w:color="auto"/>
            </w:tcBorders>
          </w:tcPr>
          <w:p w:rsidR="00F7428E" w:rsidRPr="00AE78C2" w:rsidRDefault="00F7428E"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14"/>
              </w:numPr>
              <w:autoSpaceDE w:val="0"/>
              <w:autoSpaceDN w:val="0"/>
              <w:adjustRightInd w:val="0"/>
              <w:rPr>
                <w:b/>
                <w:szCs w:val="22"/>
              </w:rPr>
            </w:pPr>
            <w:r w:rsidRPr="00AE78C2">
              <w:rPr>
                <w:b/>
                <w:szCs w:val="22"/>
              </w:rPr>
              <w:t>Assemble expertise to consult, advise, and coach inpatient healthcare facilities involved in HAI prevention collaboratives</w:t>
            </w:r>
          </w:p>
          <w:p w:rsidR="00E1414F" w:rsidRPr="00AE78C2" w:rsidRDefault="00E1414F" w:rsidP="00242AFD">
            <w:pPr>
              <w:autoSpaceDE w:val="0"/>
              <w:autoSpaceDN w:val="0"/>
              <w:adjustRightInd w:val="0"/>
              <w:ind w:left="1620"/>
              <w:rPr>
                <w:color w:val="365F91"/>
              </w:rPr>
            </w:pPr>
          </w:p>
          <w:p w:rsidR="006569FA" w:rsidRPr="00AE78C2" w:rsidRDefault="00D028FA" w:rsidP="000A350A">
            <w:pPr>
              <w:autoSpaceDE w:val="0"/>
              <w:autoSpaceDN w:val="0"/>
              <w:adjustRightInd w:val="0"/>
              <w:ind w:left="900"/>
              <w:rPr>
                <w:color w:val="000000"/>
                <w:sz w:val="22"/>
                <w:szCs w:val="22"/>
              </w:rPr>
            </w:pPr>
            <w:r w:rsidRPr="00AE78C2">
              <w:rPr>
                <w:color w:val="000000"/>
              </w:rPr>
              <w:t>Areas for focused collaborati</w:t>
            </w:r>
            <w:r w:rsidR="00E1414F" w:rsidRPr="00AE78C2">
              <w:rPr>
                <w:color w:val="000000"/>
              </w:rPr>
              <w:t>on</w:t>
            </w:r>
            <w:r w:rsidRPr="00AE78C2">
              <w:rPr>
                <w:color w:val="000000"/>
              </w:rPr>
              <w:t xml:space="preserve"> are guided by the Technical Advisory Group (TAG) and coordinated</w:t>
            </w:r>
            <w:r w:rsidR="00E1414F" w:rsidRPr="00AE78C2">
              <w:rPr>
                <w:color w:val="000000"/>
              </w:rPr>
              <w:t xml:space="preserve"> by the state HAI program in conjunction</w:t>
            </w:r>
            <w:r w:rsidRPr="00AE78C2">
              <w:rPr>
                <w:color w:val="000000"/>
              </w:rPr>
              <w:t xml:space="preserve"> with additional stakeholders including the Mas</w:t>
            </w:r>
            <w:r w:rsidR="00E1414F" w:rsidRPr="00AE78C2">
              <w:rPr>
                <w:color w:val="000000"/>
              </w:rPr>
              <w:t>sachusetts Hospital Association and</w:t>
            </w:r>
            <w:r w:rsidRPr="00AE78C2">
              <w:rPr>
                <w:color w:val="000000"/>
              </w:rPr>
              <w:t xml:space="preserve"> Healthcentrics</w:t>
            </w:r>
            <w:r w:rsidR="00FA08B9" w:rsidRPr="00AE78C2">
              <w:rPr>
                <w:color w:val="000000"/>
              </w:rPr>
              <w:t>, the QIO</w:t>
            </w:r>
            <w:r w:rsidR="00380F50" w:rsidRPr="00AE78C2">
              <w:rPr>
                <w:color w:val="000000"/>
              </w:rPr>
              <w:t xml:space="preserve">.  </w:t>
            </w:r>
            <w:r w:rsidR="00FE498A" w:rsidRPr="00AE78C2">
              <w:rPr>
                <w:color w:val="000000"/>
              </w:rPr>
              <w:t xml:space="preserve">Together we </w:t>
            </w:r>
            <w:r w:rsidR="00085DE5" w:rsidRPr="00AE78C2">
              <w:rPr>
                <w:color w:val="000000"/>
              </w:rPr>
              <w:t>work</w:t>
            </w:r>
            <w:r w:rsidR="00FE498A" w:rsidRPr="00AE78C2">
              <w:rPr>
                <w:color w:val="000000"/>
              </w:rPr>
              <w:t xml:space="preserve"> with healthcare providers to promote collaboration, avoid duplication and facilitate the sharing of tools, resources and strategies to promote improvement.</w:t>
            </w:r>
          </w:p>
          <w:p w:rsidR="006569FA" w:rsidRPr="00AE78C2" w:rsidRDefault="006569FA" w:rsidP="00E1414F">
            <w:pPr>
              <w:autoSpaceDE w:val="0"/>
              <w:autoSpaceDN w:val="0"/>
              <w:adjustRightInd w:val="0"/>
              <w:ind w:left="1620"/>
              <w:rPr>
                <w:color w:val="365F91"/>
                <w:sz w:val="22"/>
                <w:szCs w:val="22"/>
              </w:rPr>
            </w:pPr>
          </w:p>
          <w:p w:rsidR="006569FA" w:rsidRPr="00AE78C2" w:rsidRDefault="006569FA" w:rsidP="00E1414F">
            <w:pPr>
              <w:autoSpaceDE w:val="0"/>
              <w:autoSpaceDN w:val="0"/>
              <w:adjustRightInd w:val="0"/>
              <w:ind w:left="1620"/>
              <w:rPr>
                <w:color w:val="365F91"/>
                <w:sz w:val="22"/>
                <w:szCs w:val="22"/>
              </w:rPr>
            </w:pPr>
          </w:p>
        </w:tc>
        <w:tc>
          <w:tcPr>
            <w:tcW w:w="1696" w:type="dxa"/>
            <w:tcBorders>
              <w:top w:val="nil"/>
              <w:left w:val="single" w:sz="4" w:space="0" w:color="auto"/>
              <w:bottom w:val="single" w:sz="4" w:space="0" w:color="auto"/>
              <w:right w:val="single" w:sz="4" w:space="0" w:color="auto"/>
            </w:tcBorders>
          </w:tcPr>
          <w:p w:rsidR="00E1414F" w:rsidRPr="00AE78C2" w:rsidRDefault="00E1414F" w:rsidP="00D028FA">
            <w:pPr>
              <w:autoSpaceDE w:val="0"/>
              <w:autoSpaceDN w:val="0"/>
              <w:adjustRightInd w:val="0"/>
            </w:pPr>
          </w:p>
          <w:p w:rsidR="00E1414F" w:rsidRPr="00AE78C2" w:rsidRDefault="00E1414F" w:rsidP="00D028FA">
            <w:pPr>
              <w:autoSpaceDE w:val="0"/>
              <w:autoSpaceDN w:val="0"/>
              <w:adjustRightInd w:val="0"/>
            </w:pPr>
          </w:p>
          <w:p w:rsidR="00E1414F" w:rsidRPr="00AE78C2" w:rsidRDefault="00E1414F" w:rsidP="00D028FA">
            <w:pPr>
              <w:autoSpaceDE w:val="0"/>
              <w:autoSpaceDN w:val="0"/>
              <w:adjustRightInd w:val="0"/>
            </w:pPr>
          </w:p>
          <w:p w:rsidR="00D028FA" w:rsidRPr="00AE78C2" w:rsidRDefault="00D028FA" w:rsidP="00D028FA">
            <w:pPr>
              <w:autoSpaceDE w:val="0"/>
              <w:autoSpaceDN w:val="0"/>
              <w:adjustRightInd w:val="0"/>
              <w:rPr>
                <w:color w:val="000000"/>
              </w:rPr>
            </w:pPr>
            <w:r w:rsidRPr="00AE78C2">
              <w:rPr>
                <w:color w:val="000000"/>
              </w:rPr>
              <w:t>Established and ongoing</w:t>
            </w:r>
          </w:p>
          <w:p w:rsidR="00D028FA" w:rsidRPr="00AE78C2" w:rsidRDefault="00D028FA" w:rsidP="00D028FA">
            <w:pPr>
              <w:autoSpaceDE w:val="0"/>
              <w:autoSpaceDN w:val="0"/>
              <w:adjustRightInd w:val="0"/>
            </w:pPr>
          </w:p>
          <w:p w:rsidR="00F7428E" w:rsidRPr="00AE78C2" w:rsidRDefault="00F7428E" w:rsidP="00D028FA">
            <w:pPr>
              <w:autoSpaceDE w:val="0"/>
              <w:autoSpaceDN w:val="0"/>
              <w:adjustRightInd w:val="0"/>
              <w:rPr>
                <w:sz w:val="22"/>
                <w:szCs w:val="22"/>
              </w:rPr>
            </w:pPr>
          </w:p>
        </w:tc>
      </w:tr>
      <w:tr w:rsidR="000A350A" w:rsidRPr="00AE78C2" w:rsidTr="000A350A">
        <w:tc>
          <w:tcPr>
            <w:tcW w:w="1162" w:type="dxa"/>
            <w:tcBorders>
              <w:top w:val="nil"/>
              <w:left w:val="single" w:sz="4" w:space="0" w:color="auto"/>
              <w:bottom w:val="single" w:sz="4" w:space="0" w:color="auto"/>
              <w:right w:val="single" w:sz="4" w:space="0" w:color="auto"/>
            </w:tcBorders>
            <w:shd w:val="clear" w:color="auto" w:fill="auto"/>
          </w:tcPr>
          <w:p w:rsidR="000A350A" w:rsidRPr="00AE78C2" w:rsidRDefault="000A350A" w:rsidP="006B742F">
            <w:pPr>
              <w:autoSpaceDE w:val="0"/>
              <w:autoSpaceDN w:val="0"/>
              <w:adjustRightInd w:val="0"/>
              <w:jc w:val="center"/>
              <w:rPr>
                <w:sz w:val="22"/>
                <w:szCs w:val="22"/>
              </w:rPr>
            </w:pPr>
          </w:p>
        </w:tc>
        <w:tc>
          <w:tcPr>
            <w:tcW w:w="961" w:type="dxa"/>
            <w:tcBorders>
              <w:top w:val="nil"/>
              <w:left w:val="single" w:sz="4" w:space="0" w:color="auto"/>
              <w:bottom w:val="single" w:sz="4" w:space="0" w:color="auto"/>
              <w:right w:val="single" w:sz="4" w:space="0" w:color="auto"/>
            </w:tcBorders>
            <w:shd w:val="clear" w:color="auto" w:fill="auto"/>
          </w:tcPr>
          <w:p w:rsidR="000A350A" w:rsidRPr="00AE78C2" w:rsidRDefault="000A350A" w:rsidP="006B742F">
            <w:pPr>
              <w:autoSpaceDE w:val="0"/>
              <w:autoSpaceDN w:val="0"/>
              <w:adjustRightInd w:val="0"/>
              <w:jc w:val="center"/>
              <w:rPr>
                <w:sz w:val="22"/>
                <w:szCs w:val="22"/>
              </w:rPr>
            </w:pPr>
          </w:p>
        </w:tc>
        <w:tc>
          <w:tcPr>
            <w:tcW w:w="8216" w:type="dxa"/>
            <w:tcBorders>
              <w:top w:val="nil"/>
              <w:left w:val="single" w:sz="4" w:space="0" w:color="auto"/>
              <w:bottom w:val="single" w:sz="4" w:space="0" w:color="auto"/>
              <w:right w:val="single" w:sz="4" w:space="0" w:color="auto"/>
            </w:tcBorders>
            <w:shd w:val="clear" w:color="auto" w:fill="auto"/>
          </w:tcPr>
          <w:p w:rsidR="000A350A" w:rsidRPr="00AE78C2" w:rsidRDefault="000A350A" w:rsidP="006B742F">
            <w:pPr>
              <w:autoSpaceDE w:val="0"/>
              <w:autoSpaceDN w:val="0"/>
              <w:adjustRightInd w:val="0"/>
              <w:rPr>
                <w:sz w:val="22"/>
                <w:szCs w:val="22"/>
              </w:rPr>
            </w:pPr>
            <w:r w:rsidRPr="00AE78C2">
              <w:rPr>
                <w:i/>
                <w:sz w:val="22"/>
                <w:szCs w:val="22"/>
              </w:rPr>
              <w:t xml:space="preserve">Other activities </w:t>
            </w:r>
          </w:p>
          <w:p w:rsidR="000A350A" w:rsidRPr="00AE78C2" w:rsidRDefault="000A350A" w:rsidP="000A350A">
            <w:pPr>
              <w:autoSpaceDE w:val="0"/>
              <w:autoSpaceDN w:val="0"/>
              <w:adjustRightInd w:val="0"/>
              <w:ind w:left="397"/>
              <w:rPr>
                <w:color w:val="000000"/>
                <w:sz w:val="22"/>
                <w:szCs w:val="22"/>
              </w:rPr>
            </w:pPr>
            <w:r w:rsidRPr="00AE78C2">
              <w:rPr>
                <w:color w:val="000000"/>
              </w:rPr>
              <w:t>With funding from CDC, MDPH has developed an infection control training program for outpatient dialysis settings.</w:t>
            </w:r>
          </w:p>
          <w:p w:rsidR="000A350A" w:rsidRPr="00AE78C2" w:rsidRDefault="000A350A" w:rsidP="000A350A">
            <w:pPr>
              <w:autoSpaceDE w:val="0"/>
              <w:autoSpaceDN w:val="0"/>
              <w:adjustRightInd w:val="0"/>
              <w:ind w:left="397"/>
              <w:rPr>
                <w:color w:val="000000"/>
                <w:szCs w:val="20"/>
                <w:highlight w:val="yellow"/>
              </w:rPr>
            </w:pPr>
          </w:p>
          <w:p w:rsidR="000A350A" w:rsidRPr="00AE78C2" w:rsidRDefault="000A350A" w:rsidP="000A350A">
            <w:pPr>
              <w:autoSpaceDE w:val="0"/>
              <w:autoSpaceDN w:val="0"/>
              <w:adjustRightInd w:val="0"/>
              <w:ind w:left="397"/>
              <w:rPr>
                <w:color w:val="000000"/>
              </w:rPr>
            </w:pPr>
            <w:r w:rsidRPr="00AE78C2">
              <w:rPr>
                <w:color w:val="000000"/>
              </w:rPr>
              <w:t>MDPH will continue to explore the potential for collaboration with academic institutions and additional partners to promote improvement.</w:t>
            </w:r>
          </w:p>
          <w:p w:rsidR="000A350A" w:rsidRPr="00AE78C2" w:rsidRDefault="000A350A" w:rsidP="000A350A">
            <w:pPr>
              <w:autoSpaceDE w:val="0"/>
              <w:autoSpaceDN w:val="0"/>
              <w:adjustRightInd w:val="0"/>
              <w:ind w:left="397"/>
              <w:rPr>
                <w:color w:val="000000"/>
              </w:rPr>
            </w:pPr>
          </w:p>
          <w:p w:rsidR="000A350A" w:rsidRPr="00AE78C2" w:rsidRDefault="000A350A" w:rsidP="000A350A">
            <w:pPr>
              <w:autoSpaceDE w:val="0"/>
              <w:autoSpaceDN w:val="0"/>
              <w:adjustRightInd w:val="0"/>
              <w:ind w:left="397"/>
              <w:rPr>
                <w:color w:val="000000"/>
                <w:szCs w:val="20"/>
              </w:rPr>
            </w:pPr>
            <w:r w:rsidRPr="00AE78C2">
              <w:rPr>
                <w:color w:val="000000"/>
              </w:rPr>
              <w:t>Working with professional organizations and academic partners, MDPH will continue to offer or co-sponsor conferences and other opportunities in infection prevention education.</w:t>
            </w:r>
          </w:p>
          <w:p w:rsidR="000A350A" w:rsidRPr="00AE78C2" w:rsidRDefault="000A350A" w:rsidP="000A350A">
            <w:pPr>
              <w:autoSpaceDE w:val="0"/>
              <w:autoSpaceDN w:val="0"/>
              <w:adjustRightInd w:val="0"/>
              <w:ind w:left="397"/>
              <w:rPr>
                <w:color w:val="000000"/>
              </w:rPr>
            </w:pPr>
          </w:p>
          <w:p w:rsidR="000A350A" w:rsidRPr="00AE78C2" w:rsidRDefault="000A350A" w:rsidP="000A350A">
            <w:pPr>
              <w:autoSpaceDE w:val="0"/>
              <w:autoSpaceDN w:val="0"/>
              <w:adjustRightInd w:val="0"/>
              <w:ind w:left="397"/>
              <w:rPr>
                <w:color w:val="000000"/>
                <w:szCs w:val="20"/>
              </w:rPr>
            </w:pPr>
            <w:r w:rsidRPr="00AE78C2">
              <w:rPr>
                <w:color w:val="000000"/>
                <w:szCs w:val="20"/>
              </w:rPr>
              <w:t xml:space="preserve">MDPH program </w:t>
            </w:r>
            <w:proofErr w:type="gramStart"/>
            <w:r w:rsidRPr="00AE78C2">
              <w:rPr>
                <w:color w:val="000000"/>
                <w:szCs w:val="20"/>
              </w:rPr>
              <w:t>staff are</w:t>
            </w:r>
            <w:proofErr w:type="gramEnd"/>
            <w:r w:rsidRPr="00AE78C2">
              <w:rPr>
                <w:color w:val="000000"/>
                <w:szCs w:val="20"/>
              </w:rPr>
              <w:t xml:space="preserve"> available to provide formal presentations and updates at local and regional conferences and meetings upon request.</w:t>
            </w:r>
          </w:p>
          <w:p w:rsidR="000A350A" w:rsidRPr="00AE78C2" w:rsidRDefault="000A350A" w:rsidP="000A350A">
            <w:pPr>
              <w:autoSpaceDE w:val="0"/>
              <w:autoSpaceDN w:val="0"/>
              <w:adjustRightInd w:val="0"/>
              <w:ind w:left="397"/>
              <w:rPr>
                <w:color w:val="000000"/>
                <w:szCs w:val="20"/>
              </w:rPr>
            </w:pPr>
          </w:p>
          <w:p w:rsidR="000A350A" w:rsidRPr="00AE78C2" w:rsidRDefault="000A350A" w:rsidP="000A350A">
            <w:pPr>
              <w:autoSpaceDE w:val="0"/>
              <w:autoSpaceDN w:val="0"/>
              <w:adjustRightInd w:val="0"/>
              <w:ind w:left="397"/>
              <w:rPr>
                <w:sz w:val="22"/>
                <w:szCs w:val="22"/>
              </w:rPr>
            </w:pPr>
            <w:r w:rsidRPr="00AE78C2">
              <w:rPr>
                <w:color w:val="000000"/>
                <w:szCs w:val="20"/>
              </w:rPr>
              <w:t>Program staff will continue to participate in NHSN trainings, Council of State and Territorial Epidemiologists (CSTE) calls, and CDC collaborative meetings.</w:t>
            </w:r>
          </w:p>
        </w:tc>
        <w:tc>
          <w:tcPr>
            <w:tcW w:w="1696" w:type="dxa"/>
            <w:tcBorders>
              <w:top w:val="nil"/>
              <w:left w:val="single" w:sz="4" w:space="0" w:color="auto"/>
              <w:bottom w:val="single" w:sz="4" w:space="0" w:color="auto"/>
              <w:right w:val="single" w:sz="4" w:space="0" w:color="auto"/>
            </w:tcBorders>
          </w:tcPr>
          <w:p w:rsidR="000A350A" w:rsidRPr="00AE78C2" w:rsidRDefault="000A350A" w:rsidP="006B742F">
            <w:pPr>
              <w:autoSpaceDE w:val="0"/>
              <w:autoSpaceDN w:val="0"/>
              <w:adjustRightInd w:val="0"/>
              <w:rPr>
                <w:sz w:val="22"/>
                <w:szCs w:val="22"/>
              </w:rPr>
            </w:pPr>
          </w:p>
          <w:p w:rsidR="000A350A" w:rsidRPr="00AE78C2" w:rsidRDefault="000A350A" w:rsidP="006B742F">
            <w:pPr>
              <w:autoSpaceDE w:val="0"/>
              <w:autoSpaceDN w:val="0"/>
              <w:adjustRightInd w:val="0"/>
              <w:rPr>
                <w:color w:val="000000"/>
              </w:rPr>
            </w:pPr>
            <w:r w:rsidRPr="00AE78C2">
              <w:rPr>
                <w:color w:val="000000"/>
              </w:rPr>
              <w:t>2015-2017</w:t>
            </w:r>
          </w:p>
          <w:p w:rsidR="00085DE5" w:rsidRPr="00AE78C2" w:rsidRDefault="00085DE5" w:rsidP="006B742F">
            <w:pPr>
              <w:autoSpaceDE w:val="0"/>
              <w:autoSpaceDN w:val="0"/>
              <w:adjustRightInd w:val="0"/>
              <w:rPr>
                <w:color w:val="000000"/>
              </w:rPr>
            </w:pPr>
          </w:p>
          <w:p w:rsidR="00085DE5" w:rsidRPr="00AE78C2" w:rsidRDefault="00085DE5" w:rsidP="006B742F">
            <w:pPr>
              <w:autoSpaceDE w:val="0"/>
              <w:autoSpaceDN w:val="0"/>
              <w:adjustRightInd w:val="0"/>
              <w:rPr>
                <w:color w:val="000000"/>
              </w:rPr>
            </w:pPr>
          </w:p>
          <w:p w:rsidR="00085DE5" w:rsidRPr="00AE78C2" w:rsidRDefault="00085DE5" w:rsidP="006B742F">
            <w:pPr>
              <w:autoSpaceDE w:val="0"/>
              <w:autoSpaceDN w:val="0"/>
              <w:adjustRightInd w:val="0"/>
              <w:rPr>
                <w:color w:val="365F91"/>
              </w:rPr>
            </w:pPr>
            <w:r w:rsidRPr="00AE78C2">
              <w:rPr>
                <w:color w:val="000000"/>
              </w:rPr>
              <w:t>Ongoing</w:t>
            </w:r>
          </w:p>
        </w:tc>
      </w:tr>
      <w:tr w:rsidR="00D028FA" w:rsidRPr="00AE78C2" w:rsidTr="000A350A">
        <w:tc>
          <w:tcPr>
            <w:tcW w:w="1162" w:type="dxa"/>
            <w:tcBorders>
              <w:top w:val="single" w:sz="4" w:space="0" w:color="auto"/>
              <w:left w:val="single" w:sz="4" w:space="0" w:color="auto"/>
              <w:bottom w:val="nil"/>
              <w:right w:val="single" w:sz="4" w:space="0" w:color="auto"/>
            </w:tcBorders>
            <w:shd w:val="clear" w:color="auto" w:fill="auto"/>
          </w:tcPr>
          <w:p w:rsidR="00D028FA" w:rsidRPr="00AE78C2" w:rsidRDefault="00D028FA" w:rsidP="006B742F">
            <w:pPr>
              <w:jc w:val="center"/>
              <w:rPr>
                <w:sz w:val="22"/>
                <w:szCs w:val="22"/>
              </w:rPr>
            </w:pPr>
          </w:p>
        </w:tc>
        <w:tc>
          <w:tcPr>
            <w:tcW w:w="961" w:type="dxa"/>
            <w:tcBorders>
              <w:top w:val="single" w:sz="4" w:space="0" w:color="auto"/>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p>
        </w:tc>
        <w:tc>
          <w:tcPr>
            <w:tcW w:w="8216" w:type="dxa"/>
            <w:tcBorders>
              <w:top w:val="single" w:sz="4" w:space="0" w:color="auto"/>
              <w:left w:val="single" w:sz="4" w:space="0" w:color="auto"/>
              <w:bottom w:val="nil"/>
              <w:right w:val="single" w:sz="4" w:space="0" w:color="auto"/>
            </w:tcBorders>
            <w:shd w:val="clear" w:color="auto" w:fill="auto"/>
          </w:tcPr>
          <w:p w:rsidR="00D028FA" w:rsidRPr="00AE78C2" w:rsidRDefault="00D028FA" w:rsidP="009B7F2E">
            <w:pPr>
              <w:numPr>
                <w:ilvl w:val="0"/>
                <w:numId w:val="10"/>
              </w:numPr>
              <w:autoSpaceDE w:val="0"/>
              <w:autoSpaceDN w:val="0"/>
              <w:adjustRightInd w:val="0"/>
              <w:rPr>
                <w:b/>
                <w:sz w:val="28"/>
                <w:szCs w:val="28"/>
              </w:rPr>
            </w:pPr>
            <w:r w:rsidRPr="00AE78C2">
              <w:rPr>
                <w:b/>
                <w:sz w:val="28"/>
                <w:szCs w:val="28"/>
              </w:rPr>
              <w:t>Establish HAI collaboratives with at least 10 hospitals (this may require a multi-state or regional collaborative in low population density regions)</w:t>
            </w:r>
          </w:p>
          <w:p w:rsidR="00FE498A" w:rsidRPr="00AE78C2" w:rsidRDefault="00FE498A" w:rsidP="00FE498A">
            <w:pPr>
              <w:autoSpaceDE w:val="0"/>
              <w:autoSpaceDN w:val="0"/>
              <w:adjustRightInd w:val="0"/>
              <w:ind w:left="360"/>
              <w:rPr>
                <w:b/>
                <w:sz w:val="28"/>
                <w:szCs w:val="28"/>
              </w:rPr>
            </w:pPr>
          </w:p>
          <w:p w:rsidR="006F629F" w:rsidRPr="00AE78C2" w:rsidRDefault="00C11531" w:rsidP="00B14BB3">
            <w:pPr>
              <w:autoSpaceDE w:val="0"/>
              <w:autoSpaceDN w:val="0"/>
              <w:adjustRightInd w:val="0"/>
              <w:ind w:left="360"/>
              <w:rPr>
                <w:color w:val="000000"/>
              </w:rPr>
            </w:pPr>
            <w:r w:rsidRPr="00AE78C2">
              <w:rPr>
                <w:color w:val="000000"/>
              </w:rPr>
              <w:t>MDPH is collaborating with the Massachusetts Hospital Association and the QIO on a CDC</w:t>
            </w:r>
            <w:r w:rsidR="005D627C" w:rsidRPr="00AE78C2">
              <w:rPr>
                <w:color w:val="000000"/>
              </w:rPr>
              <w:t>/</w:t>
            </w:r>
            <w:r w:rsidRPr="00AE78C2">
              <w:rPr>
                <w:color w:val="000000"/>
              </w:rPr>
              <w:t>HRET initiative to improve i</w:t>
            </w:r>
            <w:r w:rsidR="006F629F" w:rsidRPr="00AE78C2">
              <w:rPr>
                <w:color w:val="000000"/>
              </w:rPr>
              <w:t xml:space="preserve">mplementation of infection </w:t>
            </w:r>
            <w:r w:rsidRPr="00AE78C2">
              <w:rPr>
                <w:color w:val="000000"/>
              </w:rPr>
              <w:t xml:space="preserve">prevention and control efforts in acute care hospitals. </w:t>
            </w:r>
            <w:r w:rsidR="00FE498A" w:rsidRPr="00AE78C2">
              <w:rPr>
                <w:color w:val="000000"/>
              </w:rPr>
              <w:t>The initial measure for focused intervention is CDI.</w:t>
            </w:r>
          </w:p>
          <w:p w:rsidR="00C11531" w:rsidRPr="00AE78C2" w:rsidRDefault="00C11531" w:rsidP="006F629F">
            <w:pPr>
              <w:autoSpaceDE w:val="0"/>
              <w:autoSpaceDN w:val="0"/>
              <w:adjustRightInd w:val="0"/>
              <w:rPr>
                <w:color w:val="000000"/>
              </w:rPr>
            </w:pPr>
          </w:p>
          <w:p w:rsidR="00D34F69" w:rsidRPr="00AE78C2" w:rsidRDefault="00D34F69" w:rsidP="00B14BB3">
            <w:pPr>
              <w:autoSpaceDE w:val="0"/>
              <w:autoSpaceDN w:val="0"/>
              <w:adjustRightInd w:val="0"/>
              <w:ind w:left="360"/>
              <w:rPr>
                <w:color w:val="365F91"/>
              </w:rPr>
            </w:pPr>
            <w:r w:rsidRPr="00AE78C2">
              <w:rPr>
                <w:color w:val="000000"/>
              </w:rPr>
              <w:t>The Massachusetts Neonatal Quality Improvement Collaborative (MassNeoQIC) represents all 10 level 3 neonatal intensive care units (NICUs) in Massachusetts.  MDPH routinely provides HAI data to MassNeoQIC to</w:t>
            </w:r>
            <w:r w:rsidRPr="00AE78C2">
              <w:rPr>
                <w:color w:val="365F91"/>
              </w:rPr>
              <w:t xml:space="preserve"> </w:t>
            </w:r>
            <w:r w:rsidRPr="00AE78C2">
              <w:rPr>
                <w:color w:val="000000"/>
              </w:rPr>
              <w:t>utilize for quality improvement initiatives.  MDPH recognizes NeoQIC as an additional source of consultation related to infection prevention issues in neonatal intensive care.</w:t>
            </w:r>
          </w:p>
          <w:p w:rsidR="00D34F69" w:rsidRPr="00AE78C2" w:rsidRDefault="00D34F69" w:rsidP="004A446C">
            <w:pPr>
              <w:autoSpaceDE w:val="0"/>
              <w:autoSpaceDN w:val="0"/>
              <w:adjustRightInd w:val="0"/>
              <w:rPr>
                <w:b/>
                <w:sz w:val="28"/>
                <w:szCs w:val="28"/>
              </w:rPr>
            </w:pPr>
          </w:p>
        </w:tc>
        <w:tc>
          <w:tcPr>
            <w:tcW w:w="1696" w:type="dxa"/>
            <w:tcBorders>
              <w:top w:val="single" w:sz="4" w:space="0" w:color="auto"/>
              <w:left w:val="single" w:sz="4" w:space="0" w:color="auto"/>
              <w:bottom w:val="nil"/>
              <w:right w:val="single" w:sz="4" w:space="0" w:color="auto"/>
            </w:tcBorders>
            <w:shd w:val="clear" w:color="auto" w:fill="auto"/>
          </w:tcPr>
          <w:p w:rsidR="00D028FA" w:rsidRPr="00AE78C2" w:rsidRDefault="00D028FA" w:rsidP="00D86DE0">
            <w:pPr>
              <w:autoSpaceDE w:val="0"/>
              <w:autoSpaceDN w:val="0"/>
              <w:adjustRightInd w:val="0"/>
            </w:pPr>
          </w:p>
          <w:p w:rsidR="00D34F69" w:rsidRPr="00AE78C2" w:rsidRDefault="00D34F69" w:rsidP="00D86DE0">
            <w:pPr>
              <w:autoSpaceDE w:val="0"/>
              <w:autoSpaceDN w:val="0"/>
              <w:adjustRightInd w:val="0"/>
            </w:pPr>
          </w:p>
          <w:p w:rsidR="00FE498A" w:rsidRPr="00AE78C2" w:rsidRDefault="00FE498A" w:rsidP="00D86DE0">
            <w:pPr>
              <w:autoSpaceDE w:val="0"/>
              <w:autoSpaceDN w:val="0"/>
              <w:adjustRightInd w:val="0"/>
            </w:pPr>
          </w:p>
          <w:p w:rsidR="00FE498A" w:rsidRPr="00AE78C2" w:rsidRDefault="00FE498A" w:rsidP="00D86DE0">
            <w:pPr>
              <w:autoSpaceDE w:val="0"/>
              <w:autoSpaceDN w:val="0"/>
              <w:adjustRightInd w:val="0"/>
            </w:pPr>
          </w:p>
          <w:p w:rsidR="000A350A" w:rsidRPr="00AE78C2" w:rsidRDefault="000A350A" w:rsidP="00D86DE0">
            <w:pPr>
              <w:autoSpaceDE w:val="0"/>
              <w:autoSpaceDN w:val="0"/>
              <w:adjustRightInd w:val="0"/>
            </w:pPr>
          </w:p>
          <w:p w:rsidR="00D34F69" w:rsidRPr="00AE78C2" w:rsidRDefault="00C11531" w:rsidP="00D86DE0">
            <w:pPr>
              <w:autoSpaceDE w:val="0"/>
              <w:autoSpaceDN w:val="0"/>
              <w:adjustRightInd w:val="0"/>
              <w:rPr>
                <w:color w:val="000000"/>
              </w:rPr>
            </w:pPr>
            <w:r w:rsidRPr="00AE78C2">
              <w:rPr>
                <w:color w:val="000000"/>
              </w:rPr>
              <w:t>2016-201</w:t>
            </w:r>
            <w:r w:rsidR="005D627C" w:rsidRPr="00AE78C2">
              <w:rPr>
                <w:color w:val="000000"/>
              </w:rPr>
              <w:t>8</w:t>
            </w:r>
            <w:r w:rsidRPr="00AE78C2">
              <w:rPr>
                <w:color w:val="000000"/>
              </w:rPr>
              <w:t xml:space="preserve"> </w:t>
            </w:r>
          </w:p>
        </w:tc>
      </w:tr>
      <w:tr w:rsidR="00D028FA" w:rsidRPr="00AE78C2" w:rsidTr="000A350A">
        <w:tc>
          <w:tcPr>
            <w:tcW w:w="1162" w:type="dxa"/>
            <w:tcBorders>
              <w:top w:val="nil"/>
              <w:left w:val="single" w:sz="4" w:space="0" w:color="auto"/>
              <w:bottom w:val="nil"/>
              <w:right w:val="single" w:sz="4" w:space="0" w:color="auto"/>
            </w:tcBorders>
            <w:shd w:val="clear" w:color="auto" w:fill="auto"/>
          </w:tcPr>
          <w:p w:rsidR="00D028FA"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nil"/>
              <w:right w:val="single" w:sz="4" w:space="0" w:color="auto"/>
            </w:tcBorders>
            <w:shd w:val="clear" w:color="auto" w:fill="auto"/>
          </w:tcPr>
          <w:p w:rsidR="00D028FA" w:rsidRPr="00AE78C2" w:rsidRDefault="00D028FA" w:rsidP="009B7F2E">
            <w:pPr>
              <w:numPr>
                <w:ilvl w:val="0"/>
                <w:numId w:val="24"/>
              </w:numPr>
              <w:autoSpaceDE w:val="0"/>
              <w:autoSpaceDN w:val="0"/>
              <w:adjustRightInd w:val="0"/>
              <w:rPr>
                <w:b/>
                <w:szCs w:val="22"/>
              </w:rPr>
            </w:pPr>
            <w:r w:rsidRPr="00AE78C2">
              <w:rPr>
                <w:b/>
                <w:szCs w:val="22"/>
              </w:rPr>
              <w:t>Identify staff trained in project coordination, infection control, and collaborative coordination</w:t>
            </w:r>
            <w:r w:rsidR="00242AFD" w:rsidRPr="00AE78C2">
              <w:rPr>
                <w:b/>
                <w:szCs w:val="22"/>
              </w:rPr>
              <w:br/>
            </w:r>
            <w:r w:rsidR="00242AFD" w:rsidRPr="00AE78C2">
              <w:rPr>
                <w:b/>
                <w:szCs w:val="22"/>
              </w:rPr>
              <w:br/>
            </w:r>
            <w:r w:rsidR="004A446C" w:rsidRPr="00AE78C2">
              <w:rPr>
                <w:color w:val="000000"/>
                <w:szCs w:val="20"/>
              </w:rPr>
              <w:t>MDPH is committed to collaborating with internal and external partners to support training to increase knowledge and skills on HAI surveillance and prevention.</w:t>
            </w:r>
            <w:r w:rsidR="004A446C" w:rsidRPr="00AE78C2">
              <w:rPr>
                <w:color w:val="365F91"/>
                <w:szCs w:val="20"/>
                <w:highlight w:val="yellow"/>
              </w:rPr>
              <w:t xml:space="preserve">  </w:t>
            </w:r>
            <w:r w:rsidR="00242AFD" w:rsidRPr="00AE78C2">
              <w:rPr>
                <w:b/>
                <w:szCs w:val="22"/>
              </w:rPr>
              <w:br/>
            </w:r>
          </w:p>
        </w:tc>
        <w:tc>
          <w:tcPr>
            <w:tcW w:w="1696" w:type="dxa"/>
            <w:tcBorders>
              <w:top w:val="nil"/>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pPr>
          </w:p>
          <w:p w:rsidR="00A613ED" w:rsidRPr="00AE78C2" w:rsidRDefault="00A613ED" w:rsidP="006B742F">
            <w:pPr>
              <w:autoSpaceDE w:val="0"/>
              <w:autoSpaceDN w:val="0"/>
              <w:adjustRightInd w:val="0"/>
            </w:pPr>
          </w:p>
          <w:p w:rsidR="00A613ED" w:rsidRPr="00AE78C2" w:rsidRDefault="00A613ED" w:rsidP="006B742F">
            <w:pPr>
              <w:autoSpaceDE w:val="0"/>
              <w:autoSpaceDN w:val="0"/>
              <w:adjustRightInd w:val="0"/>
            </w:pPr>
          </w:p>
          <w:p w:rsidR="00A613ED" w:rsidRPr="00AE78C2" w:rsidRDefault="00A613ED" w:rsidP="006B742F">
            <w:pPr>
              <w:autoSpaceDE w:val="0"/>
              <w:autoSpaceDN w:val="0"/>
              <w:adjustRightInd w:val="0"/>
              <w:rPr>
                <w:color w:val="000000"/>
              </w:rPr>
            </w:pPr>
            <w:r w:rsidRPr="00AE78C2">
              <w:rPr>
                <w:color w:val="000000"/>
              </w:rPr>
              <w:t>Ongoing</w:t>
            </w:r>
          </w:p>
        </w:tc>
      </w:tr>
      <w:tr w:rsidR="00D028FA" w:rsidRPr="00AE78C2" w:rsidTr="000A350A">
        <w:tc>
          <w:tcPr>
            <w:tcW w:w="1162" w:type="dxa"/>
            <w:tcBorders>
              <w:top w:val="nil"/>
              <w:left w:val="single" w:sz="4" w:space="0" w:color="auto"/>
              <w:bottom w:val="nil"/>
              <w:right w:val="single" w:sz="4" w:space="0" w:color="auto"/>
            </w:tcBorders>
            <w:shd w:val="clear" w:color="auto" w:fill="auto"/>
          </w:tcPr>
          <w:p w:rsidR="00D028FA"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nil"/>
              <w:right w:val="single" w:sz="4" w:space="0" w:color="auto"/>
            </w:tcBorders>
            <w:shd w:val="clear" w:color="auto" w:fill="auto"/>
          </w:tcPr>
          <w:p w:rsidR="00D34F69" w:rsidRPr="00AE78C2" w:rsidRDefault="00D028FA" w:rsidP="009B7F2E">
            <w:pPr>
              <w:numPr>
                <w:ilvl w:val="2"/>
                <w:numId w:val="24"/>
              </w:numPr>
              <w:autoSpaceDE w:val="0"/>
              <w:autoSpaceDN w:val="0"/>
              <w:adjustRightInd w:val="0"/>
              <w:rPr>
                <w:b/>
                <w:szCs w:val="22"/>
              </w:rPr>
            </w:pPr>
            <w:r w:rsidRPr="00AE78C2">
              <w:rPr>
                <w:b/>
                <w:szCs w:val="22"/>
              </w:rPr>
              <w:t>Develop a communication strategy to facilitate peer-to-peer learning and sharing of best practices</w:t>
            </w:r>
          </w:p>
          <w:p w:rsidR="00D34F69" w:rsidRPr="00AE78C2" w:rsidRDefault="00D34F69" w:rsidP="00D34F69">
            <w:pPr>
              <w:autoSpaceDE w:val="0"/>
              <w:autoSpaceDN w:val="0"/>
              <w:adjustRightInd w:val="0"/>
              <w:ind w:left="900"/>
              <w:rPr>
                <w:b/>
                <w:color w:val="000000"/>
                <w:szCs w:val="22"/>
              </w:rPr>
            </w:pPr>
          </w:p>
          <w:p w:rsidR="00D34F69" w:rsidRPr="00AE78C2" w:rsidRDefault="00D34F69" w:rsidP="000A350A">
            <w:pPr>
              <w:ind w:left="937"/>
              <w:rPr>
                <w:color w:val="000000"/>
              </w:rPr>
            </w:pPr>
            <w:r w:rsidRPr="00AE78C2">
              <w:rPr>
                <w:color w:val="000000"/>
              </w:rPr>
              <w:t xml:space="preserve">MDPH will </w:t>
            </w:r>
            <w:r w:rsidR="00CB1F67" w:rsidRPr="00AE78C2">
              <w:rPr>
                <w:color w:val="000000"/>
              </w:rPr>
              <w:t>c</w:t>
            </w:r>
            <w:r w:rsidRPr="00AE78C2">
              <w:rPr>
                <w:color w:val="000000"/>
              </w:rPr>
              <w:t>ontinue to collaborate with Healthcentrics the</w:t>
            </w:r>
            <w:r w:rsidR="00CA14A7" w:rsidRPr="00AE78C2">
              <w:rPr>
                <w:color w:val="000000"/>
              </w:rPr>
              <w:t xml:space="preserve"> New England</w:t>
            </w:r>
            <w:r w:rsidRPr="00AE78C2">
              <w:rPr>
                <w:color w:val="000000"/>
              </w:rPr>
              <w:t xml:space="preserve"> Quality Improvement Organization (QIO), during the </w:t>
            </w:r>
            <w:r w:rsidRPr="00AE78C2">
              <w:rPr>
                <w:color w:val="000000"/>
                <w:vertAlign w:val="superscript"/>
              </w:rPr>
              <w:t>11h</w:t>
            </w:r>
            <w:r w:rsidRPr="00AE78C2">
              <w:rPr>
                <w:color w:val="000000"/>
              </w:rPr>
              <w:t xml:space="preserve"> Scope of Work. Prevention strategies and data collection processes developed during this project have the potential to be used to inform and guide future state initiatives.</w:t>
            </w:r>
          </w:p>
          <w:p w:rsidR="00D028FA" w:rsidRPr="00AE78C2" w:rsidRDefault="00D028FA" w:rsidP="00D34F69">
            <w:pPr>
              <w:autoSpaceDE w:val="0"/>
              <w:autoSpaceDN w:val="0"/>
              <w:adjustRightInd w:val="0"/>
              <w:ind w:left="900"/>
              <w:rPr>
                <w:b/>
                <w:szCs w:val="22"/>
              </w:rPr>
            </w:pPr>
          </w:p>
        </w:tc>
        <w:tc>
          <w:tcPr>
            <w:tcW w:w="1696" w:type="dxa"/>
            <w:tcBorders>
              <w:top w:val="nil"/>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rPr>
                <w:sz w:val="22"/>
                <w:szCs w:val="22"/>
              </w:rPr>
            </w:pPr>
          </w:p>
          <w:p w:rsidR="00D34F69" w:rsidRPr="00AE78C2" w:rsidRDefault="00D34F69" w:rsidP="006B742F">
            <w:pPr>
              <w:autoSpaceDE w:val="0"/>
              <w:autoSpaceDN w:val="0"/>
              <w:adjustRightInd w:val="0"/>
              <w:rPr>
                <w:sz w:val="22"/>
                <w:szCs w:val="22"/>
              </w:rPr>
            </w:pPr>
          </w:p>
          <w:p w:rsidR="00D34F69" w:rsidRPr="00AE78C2" w:rsidRDefault="00D34F69" w:rsidP="006B742F">
            <w:pPr>
              <w:autoSpaceDE w:val="0"/>
              <w:autoSpaceDN w:val="0"/>
              <w:adjustRightInd w:val="0"/>
              <w:rPr>
                <w:sz w:val="22"/>
                <w:szCs w:val="22"/>
              </w:rPr>
            </w:pPr>
          </w:p>
          <w:p w:rsidR="00D34F69" w:rsidRPr="00AE78C2" w:rsidRDefault="00D34F69" w:rsidP="006B742F">
            <w:pPr>
              <w:autoSpaceDE w:val="0"/>
              <w:autoSpaceDN w:val="0"/>
              <w:adjustRightInd w:val="0"/>
              <w:rPr>
                <w:color w:val="000000"/>
              </w:rPr>
            </w:pPr>
            <w:r w:rsidRPr="00AE78C2">
              <w:rPr>
                <w:color w:val="000000"/>
              </w:rPr>
              <w:t>Established and ongoing</w:t>
            </w:r>
          </w:p>
        </w:tc>
      </w:tr>
      <w:tr w:rsidR="00D028FA" w:rsidRPr="00AE78C2" w:rsidTr="000A350A">
        <w:tc>
          <w:tcPr>
            <w:tcW w:w="1162" w:type="dxa"/>
            <w:tcBorders>
              <w:top w:val="nil"/>
              <w:left w:val="single" w:sz="4" w:space="0" w:color="auto"/>
              <w:bottom w:val="single" w:sz="4" w:space="0" w:color="auto"/>
              <w:right w:val="single" w:sz="4" w:space="0" w:color="auto"/>
            </w:tcBorders>
            <w:shd w:val="clear" w:color="auto" w:fill="auto"/>
          </w:tcPr>
          <w:p w:rsidR="00D028FA" w:rsidRPr="00AE78C2" w:rsidRDefault="003D4466"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single" w:sz="4" w:space="0" w:color="auto"/>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single" w:sz="4" w:space="0" w:color="auto"/>
              <w:right w:val="single" w:sz="4" w:space="0" w:color="auto"/>
            </w:tcBorders>
            <w:shd w:val="clear" w:color="auto" w:fill="auto"/>
          </w:tcPr>
          <w:p w:rsidR="00D028FA" w:rsidRPr="00AE78C2" w:rsidRDefault="00D028FA" w:rsidP="009B7F2E">
            <w:pPr>
              <w:numPr>
                <w:ilvl w:val="0"/>
                <w:numId w:val="34"/>
              </w:numPr>
              <w:autoSpaceDE w:val="0"/>
              <w:autoSpaceDN w:val="0"/>
              <w:adjustRightInd w:val="0"/>
              <w:rPr>
                <w:color w:val="365F91"/>
                <w:sz w:val="22"/>
                <w:szCs w:val="22"/>
              </w:rPr>
            </w:pPr>
            <w:r w:rsidRPr="00AE78C2">
              <w:rPr>
                <w:b/>
                <w:szCs w:val="22"/>
              </w:rPr>
              <w:t>Establish and adhere to feedback from standardized outcome data to track progress</w:t>
            </w:r>
          </w:p>
          <w:p w:rsidR="00D028FA" w:rsidRPr="00AE78C2" w:rsidRDefault="00D028FA" w:rsidP="000A350A">
            <w:pPr>
              <w:autoSpaceDE w:val="0"/>
              <w:autoSpaceDN w:val="0"/>
              <w:adjustRightInd w:val="0"/>
              <w:rPr>
                <w:color w:val="365F91"/>
                <w:sz w:val="22"/>
                <w:szCs w:val="22"/>
              </w:rPr>
            </w:pPr>
          </w:p>
          <w:p w:rsidR="00D028FA" w:rsidRPr="00AE78C2" w:rsidRDefault="00D34F69" w:rsidP="000A350A">
            <w:pPr>
              <w:autoSpaceDE w:val="0"/>
              <w:autoSpaceDN w:val="0"/>
              <w:adjustRightInd w:val="0"/>
              <w:ind w:left="937"/>
              <w:rPr>
                <w:color w:val="000000"/>
              </w:rPr>
            </w:pPr>
            <w:r w:rsidRPr="00AE78C2">
              <w:rPr>
                <w:color w:val="000000"/>
              </w:rPr>
              <w:t xml:space="preserve">MDPH epidemiologists have developed a plan and process to </w:t>
            </w:r>
            <w:r w:rsidRPr="00AE78C2">
              <w:rPr>
                <w:color w:val="000000"/>
                <w:sz w:val="23"/>
                <w:szCs w:val="23"/>
              </w:rPr>
              <w:t>provide HAI data to the Massachusetts Hospital Association to aid in monitoring progress on reducing HAIs and evaluating prevention initiatives</w:t>
            </w:r>
            <w:r w:rsidR="00CB1F67" w:rsidRPr="00AE78C2">
              <w:rPr>
                <w:color w:val="000000"/>
                <w:sz w:val="23"/>
                <w:szCs w:val="23"/>
              </w:rPr>
              <w:t>.</w:t>
            </w:r>
            <w:r w:rsidRPr="00AE78C2">
              <w:rPr>
                <w:color w:val="000000"/>
                <w:sz w:val="23"/>
                <w:szCs w:val="23"/>
              </w:rPr>
              <w:t xml:space="preserve"> </w:t>
            </w:r>
            <w:r w:rsidR="00DE1E3B" w:rsidRPr="00AE78C2">
              <w:rPr>
                <w:color w:val="000000"/>
              </w:rPr>
              <w:t>MDPH provides HAI outcome data to MHA</w:t>
            </w:r>
            <w:r w:rsidRPr="00AE78C2">
              <w:rPr>
                <w:color w:val="000000"/>
              </w:rPr>
              <w:t xml:space="preserve"> for these purposes</w:t>
            </w:r>
            <w:r w:rsidR="00DE1E3B" w:rsidRPr="00AE78C2">
              <w:rPr>
                <w:color w:val="000000"/>
              </w:rPr>
              <w:t>.</w:t>
            </w:r>
          </w:p>
          <w:p w:rsidR="000A350A" w:rsidRPr="00AE78C2" w:rsidRDefault="000A350A" w:rsidP="000A350A">
            <w:pPr>
              <w:autoSpaceDE w:val="0"/>
              <w:autoSpaceDN w:val="0"/>
              <w:adjustRightInd w:val="0"/>
              <w:ind w:left="937"/>
              <w:rPr>
                <w:color w:val="365F91"/>
              </w:rPr>
            </w:pPr>
          </w:p>
          <w:p w:rsidR="000A350A" w:rsidRPr="00AE78C2" w:rsidRDefault="000A350A" w:rsidP="000A350A">
            <w:pPr>
              <w:autoSpaceDE w:val="0"/>
              <w:autoSpaceDN w:val="0"/>
              <w:adjustRightInd w:val="0"/>
              <w:ind w:left="937"/>
              <w:rPr>
                <w:color w:val="365F91"/>
              </w:rPr>
            </w:pPr>
          </w:p>
          <w:p w:rsidR="000A350A" w:rsidRPr="00AE78C2" w:rsidRDefault="000A350A" w:rsidP="000A350A">
            <w:pPr>
              <w:autoSpaceDE w:val="0"/>
              <w:autoSpaceDN w:val="0"/>
              <w:adjustRightInd w:val="0"/>
              <w:ind w:left="937"/>
              <w:rPr>
                <w:color w:val="365F91"/>
              </w:rPr>
            </w:pPr>
          </w:p>
        </w:tc>
        <w:tc>
          <w:tcPr>
            <w:tcW w:w="1696" w:type="dxa"/>
            <w:tcBorders>
              <w:top w:val="nil"/>
              <w:left w:val="single" w:sz="4" w:space="0" w:color="auto"/>
              <w:bottom w:val="single" w:sz="4" w:space="0" w:color="auto"/>
              <w:right w:val="single" w:sz="4" w:space="0" w:color="auto"/>
            </w:tcBorders>
            <w:shd w:val="clear" w:color="auto" w:fill="auto"/>
          </w:tcPr>
          <w:p w:rsidR="008D160F" w:rsidRPr="00AE78C2" w:rsidRDefault="008D160F" w:rsidP="006B742F">
            <w:pPr>
              <w:autoSpaceDE w:val="0"/>
              <w:autoSpaceDN w:val="0"/>
              <w:adjustRightInd w:val="0"/>
              <w:rPr>
                <w:color w:val="365F91"/>
                <w:sz w:val="22"/>
                <w:szCs w:val="22"/>
              </w:rPr>
            </w:pPr>
          </w:p>
          <w:p w:rsidR="008D160F" w:rsidRPr="00AE78C2" w:rsidRDefault="008D160F" w:rsidP="008D160F">
            <w:pPr>
              <w:rPr>
                <w:color w:val="365F91"/>
                <w:sz w:val="22"/>
                <w:szCs w:val="22"/>
              </w:rPr>
            </w:pPr>
          </w:p>
          <w:p w:rsidR="008D160F" w:rsidRPr="00AE78C2" w:rsidRDefault="008D160F" w:rsidP="008D160F">
            <w:pPr>
              <w:rPr>
                <w:color w:val="365F91"/>
                <w:sz w:val="22"/>
                <w:szCs w:val="22"/>
              </w:rPr>
            </w:pPr>
          </w:p>
          <w:p w:rsidR="008D160F" w:rsidRPr="00AE78C2" w:rsidRDefault="008D160F" w:rsidP="008D160F">
            <w:pPr>
              <w:rPr>
                <w:color w:val="000000"/>
              </w:rPr>
            </w:pPr>
            <w:r w:rsidRPr="00AE78C2">
              <w:rPr>
                <w:color w:val="000000"/>
              </w:rPr>
              <w:t>Established and ongoing</w:t>
            </w:r>
          </w:p>
          <w:p w:rsidR="008D160F" w:rsidRPr="00AE78C2" w:rsidRDefault="008D160F" w:rsidP="008D160F">
            <w:pPr>
              <w:rPr>
                <w:color w:val="365F91"/>
              </w:rPr>
            </w:pPr>
          </w:p>
          <w:p w:rsidR="008D160F" w:rsidRPr="00AE78C2" w:rsidRDefault="008D160F" w:rsidP="008D160F">
            <w:pPr>
              <w:rPr>
                <w:color w:val="365F91"/>
                <w:sz w:val="22"/>
                <w:szCs w:val="22"/>
              </w:rPr>
            </w:pPr>
          </w:p>
        </w:tc>
      </w:tr>
      <w:tr w:rsidR="008A25EC" w:rsidRPr="00AE78C2" w:rsidTr="009B7F2E">
        <w:tc>
          <w:tcPr>
            <w:tcW w:w="2123" w:type="dxa"/>
            <w:gridSpan w:val="2"/>
            <w:tcBorders>
              <w:top w:val="nil"/>
              <w:left w:val="single" w:sz="4" w:space="0" w:color="auto"/>
              <w:bottom w:val="single" w:sz="4" w:space="0" w:color="auto"/>
              <w:right w:val="single" w:sz="4" w:space="0" w:color="auto"/>
            </w:tcBorders>
            <w:shd w:val="clear" w:color="auto" w:fill="auto"/>
          </w:tcPr>
          <w:p w:rsidR="008A25EC" w:rsidRPr="00AE78C2" w:rsidRDefault="008A25EC" w:rsidP="006B742F">
            <w:pPr>
              <w:autoSpaceDE w:val="0"/>
              <w:autoSpaceDN w:val="0"/>
              <w:adjustRightInd w:val="0"/>
              <w:jc w:val="center"/>
              <w:rPr>
                <w:sz w:val="22"/>
                <w:szCs w:val="22"/>
              </w:rPr>
            </w:pPr>
          </w:p>
        </w:tc>
        <w:tc>
          <w:tcPr>
            <w:tcW w:w="8216" w:type="dxa"/>
            <w:tcBorders>
              <w:top w:val="nil"/>
              <w:left w:val="single" w:sz="4" w:space="0" w:color="auto"/>
              <w:bottom w:val="single" w:sz="4" w:space="0" w:color="auto"/>
              <w:right w:val="single" w:sz="4" w:space="0" w:color="auto"/>
            </w:tcBorders>
            <w:shd w:val="clear" w:color="auto" w:fill="auto"/>
          </w:tcPr>
          <w:p w:rsidR="008A25EC" w:rsidRPr="00AE78C2" w:rsidRDefault="008A25EC" w:rsidP="004A446C">
            <w:pPr>
              <w:autoSpaceDE w:val="0"/>
              <w:autoSpaceDN w:val="0"/>
              <w:adjustRightInd w:val="0"/>
              <w:rPr>
                <w:color w:val="365F91"/>
              </w:rPr>
            </w:pPr>
            <w:r w:rsidRPr="00AE78C2">
              <w:rPr>
                <w:i/>
                <w:sz w:val="22"/>
                <w:szCs w:val="22"/>
              </w:rPr>
              <w:t>Other activities or descriptions:</w:t>
            </w:r>
          </w:p>
          <w:p w:rsidR="008A25EC" w:rsidRPr="00AE78C2" w:rsidRDefault="008A25EC" w:rsidP="00B46075">
            <w:pPr>
              <w:autoSpaceDE w:val="0"/>
              <w:autoSpaceDN w:val="0"/>
              <w:adjustRightInd w:val="0"/>
              <w:rPr>
                <w:sz w:val="22"/>
                <w:szCs w:val="22"/>
              </w:rPr>
            </w:pPr>
          </w:p>
        </w:tc>
        <w:tc>
          <w:tcPr>
            <w:tcW w:w="1696" w:type="dxa"/>
            <w:tcBorders>
              <w:top w:val="nil"/>
              <w:left w:val="single" w:sz="4" w:space="0" w:color="auto"/>
              <w:bottom w:val="single" w:sz="4" w:space="0" w:color="auto"/>
              <w:right w:val="single" w:sz="4" w:space="0" w:color="auto"/>
            </w:tcBorders>
            <w:shd w:val="clear" w:color="auto" w:fill="auto"/>
          </w:tcPr>
          <w:p w:rsidR="008A25EC" w:rsidRPr="00AE78C2" w:rsidRDefault="008A25EC" w:rsidP="006B742F">
            <w:pPr>
              <w:autoSpaceDE w:val="0"/>
              <w:autoSpaceDN w:val="0"/>
              <w:adjustRightInd w:val="0"/>
              <w:rPr>
                <w:sz w:val="22"/>
                <w:szCs w:val="22"/>
              </w:rPr>
            </w:pPr>
          </w:p>
        </w:tc>
      </w:tr>
      <w:tr w:rsidR="00D028FA" w:rsidRPr="00AE78C2" w:rsidTr="00190209">
        <w:tc>
          <w:tcPr>
            <w:tcW w:w="1162" w:type="dxa"/>
            <w:tcBorders>
              <w:top w:val="single" w:sz="4" w:space="0" w:color="auto"/>
              <w:left w:val="single" w:sz="4" w:space="0" w:color="auto"/>
              <w:bottom w:val="nil"/>
              <w:right w:val="single" w:sz="4" w:space="0" w:color="auto"/>
            </w:tcBorders>
            <w:shd w:val="clear" w:color="auto" w:fill="auto"/>
          </w:tcPr>
          <w:p w:rsidR="00D028FA" w:rsidRPr="00AE78C2" w:rsidRDefault="00D028FA" w:rsidP="006B742F">
            <w:pPr>
              <w:jc w:val="center"/>
              <w:rPr>
                <w:sz w:val="22"/>
                <w:szCs w:val="22"/>
              </w:rPr>
            </w:pPr>
          </w:p>
        </w:tc>
        <w:tc>
          <w:tcPr>
            <w:tcW w:w="961" w:type="dxa"/>
            <w:tcBorders>
              <w:top w:val="single" w:sz="4" w:space="0" w:color="auto"/>
              <w:left w:val="single" w:sz="4" w:space="0" w:color="auto"/>
              <w:bottom w:val="nil"/>
              <w:right w:val="single" w:sz="4" w:space="0" w:color="auto"/>
            </w:tcBorders>
          </w:tcPr>
          <w:p w:rsidR="00D028FA" w:rsidRPr="00AE78C2" w:rsidRDefault="00D028FA" w:rsidP="006B742F">
            <w:pPr>
              <w:autoSpaceDE w:val="0"/>
              <w:autoSpaceDN w:val="0"/>
              <w:adjustRightInd w:val="0"/>
              <w:jc w:val="center"/>
              <w:rPr>
                <w:sz w:val="22"/>
                <w:szCs w:val="22"/>
              </w:rPr>
            </w:pPr>
          </w:p>
        </w:tc>
        <w:tc>
          <w:tcPr>
            <w:tcW w:w="8216" w:type="dxa"/>
            <w:tcBorders>
              <w:top w:val="single" w:sz="4" w:space="0" w:color="auto"/>
              <w:left w:val="single" w:sz="4" w:space="0" w:color="auto"/>
              <w:bottom w:val="nil"/>
              <w:right w:val="single" w:sz="4" w:space="0" w:color="auto"/>
            </w:tcBorders>
            <w:shd w:val="clear" w:color="auto" w:fill="auto"/>
          </w:tcPr>
          <w:p w:rsidR="00D028FA" w:rsidRPr="00AE78C2" w:rsidRDefault="00D028FA" w:rsidP="009B7F2E">
            <w:pPr>
              <w:numPr>
                <w:ilvl w:val="0"/>
                <w:numId w:val="10"/>
              </w:numPr>
              <w:autoSpaceDE w:val="0"/>
              <w:autoSpaceDN w:val="0"/>
              <w:adjustRightInd w:val="0"/>
              <w:rPr>
                <w:b/>
                <w:sz w:val="28"/>
                <w:szCs w:val="28"/>
              </w:rPr>
            </w:pPr>
            <w:r w:rsidRPr="00AE78C2">
              <w:rPr>
                <w:b/>
                <w:sz w:val="28"/>
                <w:szCs w:val="28"/>
              </w:rPr>
              <w:t xml:space="preserve">Develop state HAI prevention training competencies </w:t>
            </w:r>
          </w:p>
        </w:tc>
        <w:tc>
          <w:tcPr>
            <w:tcW w:w="1696" w:type="dxa"/>
            <w:tcBorders>
              <w:top w:val="single" w:sz="4" w:space="0" w:color="auto"/>
              <w:left w:val="single" w:sz="4" w:space="0" w:color="auto"/>
              <w:bottom w:val="nil"/>
              <w:right w:val="single" w:sz="4" w:space="0" w:color="auto"/>
            </w:tcBorders>
          </w:tcPr>
          <w:p w:rsidR="00D028FA" w:rsidRPr="00AE78C2" w:rsidRDefault="00D028FA" w:rsidP="006B742F">
            <w:pPr>
              <w:autoSpaceDE w:val="0"/>
              <w:autoSpaceDN w:val="0"/>
              <w:adjustRightInd w:val="0"/>
              <w:rPr>
                <w:sz w:val="22"/>
                <w:szCs w:val="22"/>
              </w:rPr>
            </w:pPr>
          </w:p>
        </w:tc>
      </w:tr>
      <w:tr w:rsidR="00D028FA" w:rsidRPr="00AE78C2" w:rsidTr="00190209">
        <w:tc>
          <w:tcPr>
            <w:tcW w:w="1162" w:type="dxa"/>
            <w:tcBorders>
              <w:top w:val="nil"/>
              <w:left w:val="single" w:sz="4" w:space="0" w:color="auto"/>
              <w:bottom w:val="single" w:sz="4" w:space="0" w:color="auto"/>
              <w:right w:val="single" w:sz="4" w:space="0" w:color="auto"/>
            </w:tcBorders>
            <w:shd w:val="clear" w:color="auto" w:fill="auto"/>
          </w:tcPr>
          <w:p w:rsidR="00D028FA"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single" w:sz="4" w:space="0" w:color="auto"/>
              <w:right w:val="single" w:sz="4" w:space="0" w:color="auto"/>
            </w:tcBorders>
          </w:tcPr>
          <w:p w:rsidR="00D028FA" w:rsidRPr="00AE78C2" w:rsidRDefault="00D028FA"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single" w:sz="4" w:space="0" w:color="auto"/>
              <w:right w:val="single" w:sz="4" w:space="0" w:color="auto"/>
            </w:tcBorders>
            <w:shd w:val="clear" w:color="auto" w:fill="auto"/>
          </w:tcPr>
          <w:p w:rsidR="00D028FA" w:rsidRPr="00AE78C2" w:rsidRDefault="00D028FA" w:rsidP="009B7F2E">
            <w:pPr>
              <w:numPr>
                <w:ilvl w:val="0"/>
                <w:numId w:val="13"/>
              </w:numPr>
              <w:autoSpaceDE w:val="0"/>
              <w:autoSpaceDN w:val="0"/>
              <w:adjustRightInd w:val="0"/>
              <w:rPr>
                <w:b/>
                <w:szCs w:val="22"/>
              </w:rPr>
            </w:pPr>
            <w:r w:rsidRPr="00AE78C2">
              <w:rPr>
                <w:b/>
                <w:szCs w:val="22"/>
              </w:rPr>
              <w:t xml:space="preserve">Consider establishing requirements for education and training of healthcare professionals in HAI prevention (e.g., certification </w:t>
            </w:r>
            <w:r w:rsidRPr="00AE78C2">
              <w:rPr>
                <w:b/>
                <w:szCs w:val="22"/>
              </w:rPr>
              <w:lastRenderedPageBreak/>
              <w:t>requirements, public education campaigns, and targeted provider education) or work with healthcare partners to establish best practices for training and certification</w:t>
            </w:r>
          </w:p>
          <w:p w:rsidR="00DD1B6D" w:rsidRPr="00AE78C2" w:rsidRDefault="00DD1B6D" w:rsidP="00DD1B6D">
            <w:pPr>
              <w:autoSpaceDE w:val="0"/>
              <w:autoSpaceDN w:val="0"/>
              <w:adjustRightInd w:val="0"/>
              <w:ind w:left="900"/>
              <w:rPr>
                <w:b/>
                <w:szCs w:val="22"/>
              </w:rPr>
            </w:pPr>
          </w:p>
          <w:p w:rsidR="00DD1B6D" w:rsidRPr="00AE78C2" w:rsidRDefault="00DD1B6D" w:rsidP="000A350A">
            <w:pPr>
              <w:autoSpaceDE w:val="0"/>
              <w:autoSpaceDN w:val="0"/>
              <w:adjustRightInd w:val="0"/>
              <w:ind w:left="937"/>
              <w:rPr>
                <w:color w:val="000000"/>
                <w:szCs w:val="22"/>
              </w:rPr>
            </w:pPr>
            <w:r w:rsidRPr="00AE78C2">
              <w:rPr>
                <w:color w:val="000000"/>
                <w:szCs w:val="22"/>
              </w:rPr>
              <w:t>MDPH is committed to collaborating with internal and external partners to support training to increase knowledge and skills on HAI surveillance and prevention. Core competencies will be identified and implementation strategies developed.</w:t>
            </w:r>
          </w:p>
          <w:p w:rsidR="00AF6461" w:rsidRPr="00AE78C2" w:rsidRDefault="00AF6461" w:rsidP="000A350A">
            <w:pPr>
              <w:autoSpaceDE w:val="0"/>
              <w:autoSpaceDN w:val="0"/>
              <w:adjustRightInd w:val="0"/>
              <w:ind w:left="937"/>
              <w:rPr>
                <w:b/>
                <w:color w:val="000000"/>
                <w:szCs w:val="22"/>
              </w:rPr>
            </w:pPr>
          </w:p>
          <w:p w:rsidR="00D34F69" w:rsidRPr="00AE78C2" w:rsidRDefault="00AF6461" w:rsidP="000A350A">
            <w:pPr>
              <w:autoSpaceDE w:val="0"/>
              <w:autoSpaceDN w:val="0"/>
              <w:adjustRightInd w:val="0"/>
              <w:ind w:left="937"/>
              <w:rPr>
                <w:rStyle w:val="apple-converted-space"/>
                <w:i/>
                <w:iCs/>
                <w:color w:val="000000"/>
                <w:shd w:val="clear" w:color="auto" w:fill="FFFFFF"/>
              </w:rPr>
            </w:pPr>
            <w:r w:rsidRPr="00AE78C2">
              <w:rPr>
                <w:iCs/>
                <w:color w:val="000000"/>
                <w:shd w:val="clear" w:color="auto" w:fill="FFFFFF"/>
              </w:rPr>
              <w:t>MDPH is investigating current infection prevention and control education and training standards or requirements in MA healthcare facilities; collecting information from APIC, HICPAC, SHEA and other organizations on best practices and standards for education and training; and collecting</w:t>
            </w:r>
            <w:r w:rsidRPr="00AE78C2">
              <w:rPr>
                <w:rStyle w:val="apple-converted-space"/>
                <w:iCs/>
                <w:color w:val="000000"/>
                <w:shd w:val="clear" w:color="auto" w:fill="FFFFFF"/>
              </w:rPr>
              <w:t> </w:t>
            </w:r>
            <w:r w:rsidR="0019271C" w:rsidRPr="00AE78C2">
              <w:rPr>
                <w:iCs/>
                <w:color w:val="000000"/>
                <w:shd w:val="clear" w:color="auto" w:fill="FFFFFF"/>
              </w:rPr>
              <w:t>information from several other</w:t>
            </w:r>
            <w:r w:rsidRPr="00AE78C2">
              <w:rPr>
                <w:iCs/>
                <w:color w:val="000000"/>
                <w:shd w:val="clear" w:color="auto" w:fill="FFFFFF"/>
              </w:rPr>
              <w:t xml:space="preserve"> states (e.g., NY, CA, TN, NC, SC), that already have state regulations to require provision of education and training in healthcare facilities to inform the MA process.</w:t>
            </w:r>
            <w:r w:rsidRPr="00AE78C2">
              <w:rPr>
                <w:rStyle w:val="apple-converted-space"/>
                <w:i/>
                <w:iCs/>
                <w:color w:val="000000"/>
                <w:shd w:val="clear" w:color="auto" w:fill="FFFFFF"/>
              </w:rPr>
              <w:t> </w:t>
            </w:r>
          </w:p>
          <w:p w:rsidR="00D028FA" w:rsidRPr="00AE78C2" w:rsidRDefault="00D028FA" w:rsidP="000A350A">
            <w:pPr>
              <w:autoSpaceDE w:val="0"/>
              <w:autoSpaceDN w:val="0"/>
              <w:adjustRightInd w:val="0"/>
              <w:ind w:left="937"/>
              <w:rPr>
                <w:rStyle w:val="apple-converted-space"/>
                <w:i/>
                <w:iCs/>
                <w:color w:val="000000"/>
                <w:shd w:val="clear" w:color="auto" w:fill="FFFFFF"/>
              </w:rPr>
            </w:pPr>
          </w:p>
          <w:p w:rsidR="009D63F5" w:rsidRPr="00AE78C2" w:rsidRDefault="009D63F5" w:rsidP="000A350A">
            <w:pPr>
              <w:ind w:left="937"/>
              <w:rPr>
                <w:color w:val="000000"/>
                <w:szCs w:val="20"/>
              </w:rPr>
            </w:pPr>
            <w:r w:rsidRPr="00AE78C2">
              <w:rPr>
                <w:color w:val="000000"/>
                <w:szCs w:val="20"/>
              </w:rPr>
              <w:t xml:space="preserve">To develop continuing education and standards for competence and practice for all care settings, MDPH will engage the TAG in further defining best practices for training and certification of professionals in HAI prevention. </w:t>
            </w:r>
          </w:p>
          <w:p w:rsidR="009D63F5" w:rsidRPr="00AE78C2" w:rsidRDefault="009D63F5" w:rsidP="000A350A">
            <w:pPr>
              <w:ind w:left="937"/>
              <w:rPr>
                <w:color w:val="000000"/>
                <w:szCs w:val="20"/>
              </w:rPr>
            </w:pPr>
          </w:p>
          <w:p w:rsidR="009D63F5" w:rsidRPr="00AE78C2" w:rsidRDefault="009D63F5" w:rsidP="000A350A">
            <w:pPr>
              <w:autoSpaceDE w:val="0"/>
              <w:autoSpaceDN w:val="0"/>
              <w:adjustRightInd w:val="0"/>
              <w:ind w:left="937"/>
              <w:rPr>
                <w:sz w:val="22"/>
                <w:szCs w:val="22"/>
              </w:rPr>
            </w:pPr>
            <w:r w:rsidRPr="00AE78C2">
              <w:rPr>
                <w:color w:val="000000"/>
              </w:rPr>
              <w:t>MDPH will also consult with internal and external expertise in regard to establishing requirements for education, training and certification of healthcare professionals in HAI prevention</w:t>
            </w:r>
            <w:r w:rsidRPr="00AE78C2">
              <w:rPr>
                <w:color w:val="365F91"/>
              </w:rPr>
              <w:t>.</w:t>
            </w:r>
          </w:p>
        </w:tc>
        <w:tc>
          <w:tcPr>
            <w:tcW w:w="1696" w:type="dxa"/>
            <w:tcBorders>
              <w:top w:val="nil"/>
              <w:left w:val="single" w:sz="4" w:space="0" w:color="auto"/>
              <w:bottom w:val="single" w:sz="4" w:space="0" w:color="auto"/>
              <w:right w:val="single" w:sz="4" w:space="0" w:color="auto"/>
            </w:tcBorders>
          </w:tcPr>
          <w:p w:rsidR="008D160F" w:rsidRPr="00AE78C2" w:rsidRDefault="008D160F" w:rsidP="008D160F">
            <w:pPr>
              <w:autoSpaceDE w:val="0"/>
              <w:autoSpaceDN w:val="0"/>
              <w:adjustRightInd w:val="0"/>
              <w:rPr>
                <w:color w:val="365F91"/>
                <w:szCs w:val="20"/>
              </w:rPr>
            </w:pPr>
          </w:p>
          <w:p w:rsidR="008D160F" w:rsidRPr="00AE78C2" w:rsidRDefault="008D160F" w:rsidP="008D160F">
            <w:pPr>
              <w:autoSpaceDE w:val="0"/>
              <w:autoSpaceDN w:val="0"/>
              <w:adjustRightInd w:val="0"/>
              <w:rPr>
                <w:color w:val="365F91"/>
                <w:szCs w:val="20"/>
              </w:rPr>
            </w:pPr>
          </w:p>
          <w:p w:rsidR="008D160F" w:rsidRPr="00AE78C2" w:rsidRDefault="008D160F" w:rsidP="008D160F">
            <w:pPr>
              <w:autoSpaceDE w:val="0"/>
              <w:autoSpaceDN w:val="0"/>
              <w:adjustRightInd w:val="0"/>
              <w:rPr>
                <w:color w:val="365F91"/>
                <w:szCs w:val="20"/>
              </w:rPr>
            </w:pPr>
          </w:p>
          <w:p w:rsidR="008D160F" w:rsidRPr="00AE78C2" w:rsidRDefault="008D160F" w:rsidP="008D160F">
            <w:pPr>
              <w:autoSpaceDE w:val="0"/>
              <w:autoSpaceDN w:val="0"/>
              <w:adjustRightInd w:val="0"/>
              <w:rPr>
                <w:color w:val="365F91"/>
                <w:szCs w:val="20"/>
              </w:rPr>
            </w:pPr>
          </w:p>
          <w:p w:rsidR="008D160F" w:rsidRPr="00AE78C2" w:rsidRDefault="008D160F" w:rsidP="008D160F">
            <w:pPr>
              <w:autoSpaceDE w:val="0"/>
              <w:autoSpaceDN w:val="0"/>
              <w:adjustRightInd w:val="0"/>
              <w:rPr>
                <w:color w:val="365F91"/>
                <w:szCs w:val="20"/>
              </w:rPr>
            </w:pPr>
          </w:p>
          <w:p w:rsidR="00D028FA" w:rsidRPr="00AE78C2" w:rsidRDefault="00D028FA" w:rsidP="008D160F">
            <w:pPr>
              <w:autoSpaceDE w:val="0"/>
              <w:autoSpaceDN w:val="0"/>
              <w:adjustRightInd w:val="0"/>
              <w:rPr>
                <w:color w:val="365F91"/>
                <w:sz w:val="22"/>
                <w:szCs w:val="22"/>
              </w:rPr>
            </w:pPr>
          </w:p>
          <w:p w:rsidR="0019271C" w:rsidRPr="00AE78C2" w:rsidRDefault="0019271C" w:rsidP="008D160F">
            <w:pPr>
              <w:autoSpaceDE w:val="0"/>
              <w:autoSpaceDN w:val="0"/>
              <w:adjustRightInd w:val="0"/>
              <w:rPr>
                <w:color w:val="365F91"/>
                <w:sz w:val="22"/>
                <w:szCs w:val="22"/>
              </w:rPr>
            </w:pPr>
          </w:p>
          <w:p w:rsidR="0019271C" w:rsidRPr="00AE78C2" w:rsidRDefault="0019271C" w:rsidP="008D160F">
            <w:pPr>
              <w:autoSpaceDE w:val="0"/>
              <w:autoSpaceDN w:val="0"/>
              <w:adjustRightInd w:val="0"/>
              <w:rPr>
                <w:color w:val="365F91"/>
                <w:sz w:val="22"/>
                <w:szCs w:val="22"/>
              </w:rPr>
            </w:pPr>
          </w:p>
          <w:p w:rsidR="0019271C" w:rsidRPr="00AE78C2" w:rsidRDefault="0019271C" w:rsidP="008D160F">
            <w:pPr>
              <w:autoSpaceDE w:val="0"/>
              <w:autoSpaceDN w:val="0"/>
              <w:adjustRightInd w:val="0"/>
              <w:rPr>
                <w:color w:val="365F91"/>
                <w:sz w:val="22"/>
                <w:szCs w:val="22"/>
              </w:rPr>
            </w:pPr>
          </w:p>
          <w:p w:rsidR="0019271C" w:rsidRPr="00AE78C2" w:rsidRDefault="0019271C" w:rsidP="008D160F">
            <w:pPr>
              <w:autoSpaceDE w:val="0"/>
              <w:autoSpaceDN w:val="0"/>
              <w:adjustRightInd w:val="0"/>
              <w:rPr>
                <w:color w:val="365F91"/>
                <w:sz w:val="22"/>
                <w:szCs w:val="22"/>
              </w:rPr>
            </w:pPr>
          </w:p>
          <w:p w:rsidR="0019271C" w:rsidRPr="00AE78C2" w:rsidRDefault="0019271C" w:rsidP="008D160F">
            <w:pPr>
              <w:autoSpaceDE w:val="0"/>
              <w:autoSpaceDN w:val="0"/>
              <w:adjustRightInd w:val="0"/>
              <w:rPr>
                <w:color w:val="365F91"/>
                <w:sz w:val="22"/>
                <w:szCs w:val="22"/>
              </w:rPr>
            </w:pPr>
          </w:p>
          <w:p w:rsidR="0019271C" w:rsidRPr="00AE78C2" w:rsidRDefault="0019271C" w:rsidP="008D160F">
            <w:pPr>
              <w:autoSpaceDE w:val="0"/>
              <w:autoSpaceDN w:val="0"/>
              <w:adjustRightInd w:val="0"/>
              <w:rPr>
                <w:color w:val="000000"/>
              </w:rPr>
            </w:pPr>
            <w:r w:rsidRPr="00AE78C2">
              <w:rPr>
                <w:color w:val="000000"/>
              </w:rPr>
              <w:t>2016</w:t>
            </w:r>
          </w:p>
        </w:tc>
      </w:tr>
      <w:tr w:rsidR="008A25EC" w:rsidRPr="00AE78C2" w:rsidTr="009B7F2E">
        <w:tc>
          <w:tcPr>
            <w:tcW w:w="2123" w:type="dxa"/>
            <w:gridSpan w:val="2"/>
            <w:tcBorders>
              <w:top w:val="nil"/>
              <w:left w:val="single" w:sz="4" w:space="0" w:color="auto"/>
              <w:bottom w:val="single" w:sz="4" w:space="0" w:color="auto"/>
              <w:right w:val="single" w:sz="4" w:space="0" w:color="auto"/>
            </w:tcBorders>
            <w:shd w:val="clear" w:color="auto" w:fill="auto"/>
          </w:tcPr>
          <w:p w:rsidR="008A25EC" w:rsidRPr="00AE78C2" w:rsidRDefault="008A25EC" w:rsidP="006B742F">
            <w:pPr>
              <w:autoSpaceDE w:val="0"/>
              <w:autoSpaceDN w:val="0"/>
              <w:adjustRightInd w:val="0"/>
              <w:jc w:val="center"/>
              <w:rPr>
                <w:sz w:val="22"/>
                <w:szCs w:val="22"/>
              </w:rPr>
            </w:pPr>
          </w:p>
        </w:tc>
        <w:tc>
          <w:tcPr>
            <w:tcW w:w="8216" w:type="dxa"/>
            <w:tcBorders>
              <w:top w:val="nil"/>
              <w:left w:val="single" w:sz="4" w:space="0" w:color="auto"/>
              <w:bottom w:val="single" w:sz="4" w:space="0" w:color="auto"/>
              <w:right w:val="single" w:sz="4" w:space="0" w:color="auto"/>
            </w:tcBorders>
            <w:shd w:val="clear" w:color="auto" w:fill="auto"/>
          </w:tcPr>
          <w:p w:rsidR="008A25EC" w:rsidRPr="00AE78C2" w:rsidRDefault="008A25EC" w:rsidP="000A350A">
            <w:pPr>
              <w:autoSpaceDE w:val="0"/>
              <w:autoSpaceDN w:val="0"/>
              <w:adjustRightInd w:val="0"/>
              <w:rPr>
                <w:color w:val="365F91"/>
              </w:rPr>
            </w:pPr>
            <w:r w:rsidRPr="00AE78C2">
              <w:rPr>
                <w:i/>
                <w:sz w:val="22"/>
                <w:szCs w:val="22"/>
              </w:rPr>
              <w:t>Other activities or descriptions:</w:t>
            </w:r>
          </w:p>
          <w:p w:rsidR="008A25EC" w:rsidRPr="00AE78C2" w:rsidRDefault="008A25EC" w:rsidP="006B742F">
            <w:pPr>
              <w:autoSpaceDE w:val="0"/>
              <w:autoSpaceDN w:val="0"/>
              <w:adjustRightInd w:val="0"/>
              <w:rPr>
                <w:sz w:val="22"/>
                <w:szCs w:val="22"/>
              </w:rPr>
            </w:pPr>
          </w:p>
        </w:tc>
        <w:tc>
          <w:tcPr>
            <w:tcW w:w="1696" w:type="dxa"/>
            <w:tcBorders>
              <w:top w:val="nil"/>
              <w:left w:val="single" w:sz="4" w:space="0" w:color="auto"/>
              <w:bottom w:val="single" w:sz="4" w:space="0" w:color="auto"/>
              <w:right w:val="single" w:sz="4" w:space="0" w:color="auto"/>
            </w:tcBorders>
          </w:tcPr>
          <w:p w:rsidR="008A25EC" w:rsidRPr="00AE78C2" w:rsidRDefault="008A25EC" w:rsidP="006B742F">
            <w:pPr>
              <w:autoSpaceDE w:val="0"/>
              <w:autoSpaceDN w:val="0"/>
              <w:adjustRightInd w:val="0"/>
              <w:rPr>
                <w:sz w:val="22"/>
                <w:szCs w:val="22"/>
              </w:rPr>
            </w:pPr>
          </w:p>
        </w:tc>
      </w:tr>
      <w:tr w:rsidR="00D028FA" w:rsidRPr="00AE78C2" w:rsidTr="000A350A">
        <w:tc>
          <w:tcPr>
            <w:tcW w:w="1162" w:type="dxa"/>
            <w:tcBorders>
              <w:top w:val="single" w:sz="4" w:space="0" w:color="auto"/>
              <w:left w:val="single" w:sz="4" w:space="0" w:color="auto"/>
              <w:bottom w:val="nil"/>
              <w:right w:val="single" w:sz="4" w:space="0" w:color="auto"/>
            </w:tcBorders>
            <w:shd w:val="clear" w:color="auto" w:fill="auto"/>
          </w:tcPr>
          <w:p w:rsidR="00D028FA" w:rsidRPr="00AE78C2" w:rsidRDefault="00D028FA" w:rsidP="006B742F">
            <w:pPr>
              <w:jc w:val="center"/>
              <w:rPr>
                <w:sz w:val="22"/>
                <w:szCs w:val="22"/>
              </w:rPr>
            </w:pPr>
          </w:p>
        </w:tc>
        <w:tc>
          <w:tcPr>
            <w:tcW w:w="961" w:type="dxa"/>
            <w:tcBorders>
              <w:top w:val="single" w:sz="4" w:space="0" w:color="auto"/>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p>
        </w:tc>
        <w:tc>
          <w:tcPr>
            <w:tcW w:w="8216" w:type="dxa"/>
            <w:tcBorders>
              <w:top w:val="single" w:sz="4" w:space="0" w:color="auto"/>
              <w:left w:val="single" w:sz="4" w:space="0" w:color="auto"/>
              <w:bottom w:val="nil"/>
              <w:right w:val="single" w:sz="4" w:space="0" w:color="auto"/>
            </w:tcBorders>
            <w:shd w:val="clear" w:color="auto" w:fill="auto"/>
          </w:tcPr>
          <w:p w:rsidR="00D028FA" w:rsidRPr="00AE78C2" w:rsidRDefault="00D028FA" w:rsidP="009B7F2E">
            <w:pPr>
              <w:numPr>
                <w:ilvl w:val="0"/>
                <w:numId w:val="10"/>
              </w:numPr>
              <w:autoSpaceDE w:val="0"/>
              <w:autoSpaceDN w:val="0"/>
              <w:adjustRightInd w:val="0"/>
              <w:rPr>
                <w:b/>
                <w:sz w:val="28"/>
                <w:szCs w:val="28"/>
              </w:rPr>
            </w:pPr>
            <w:r w:rsidRPr="00AE78C2">
              <w:rPr>
                <w:b/>
                <w:sz w:val="28"/>
                <w:szCs w:val="28"/>
              </w:rPr>
              <w:t>Implement strategies for compliance to promote adherence to HICPAC recommendations</w:t>
            </w:r>
          </w:p>
        </w:tc>
        <w:tc>
          <w:tcPr>
            <w:tcW w:w="1696" w:type="dxa"/>
            <w:tcBorders>
              <w:top w:val="single" w:sz="4" w:space="0" w:color="auto"/>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rPr>
                <w:sz w:val="22"/>
                <w:szCs w:val="22"/>
              </w:rPr>
            </w:pPr>
          </w:p>
        </w:tc>
      </w:tr>
      <w:tr w:rsidR="00D028FA" w:rsidRPr="00AE78C2" w:rsidTr="000A350A">
        <w:tc>
          <w:tcPr>
            <w:tcW w:w="1162" w:type="dxa"/>
            <w:tcBorders>
              <w:top w:val="nil"/>
              <w:left w:val="single" w:sz="4" w:space="0" w:color="auto"/>
              <w:bottom w:val="nil"/>
              <w:right w:val="single" w:sz="4" w:space="0" w:color="auto"/>
            </w:tcBorders>
            <w:shd w:val="clear" w:color="auto" w:fill="auto"/>
          </w:tcPr>
          <w:p w:rsidR="00D028FA"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nil"/>
              <w:right w:val="single" w:sz="4" w:space="0" w:color="auto"/>
            </w:tcBorders>
            <w:shd w:val="clear" w:color="auto" w:fill="auto"/>
          </w:tcPr>
          <w:p w:rsidR="00D028FA" w:rsidRPr="00AE78C2" w:rsidRDefault="00D028FA" w:rsidP="009B7F2E">
            <w:pPr>
              <w:numPr>
                <w:ilvl w:val="0"/>
                <w:numId w:val="19"/>
              </w:numPr>
              <w:autoSpaceDE w:val="0"/>
              <w:autoSpaceDN w:val="0"/>
              <w:adjustRightInd w:val="0"/>
              <w:rPr>
                <w:b/>
                <w:szCs w:val="22"/>
              </w:rPr>
            </w:pPr>
            <w:r w:rsidRPr="00AE78C2">
              <w:rPr>
                <w:b/>
                <w:szCs w:val="22"/>
              </w:rPr>
              <w:t>Consider developing  statutory or regulatory standards for healthcare infection control and prevention or work with healthcare partners to establish best practices to ensure adherence</w:t>
            </w:r>
          </w:p>
          <w:p w:rsidR="009D63F5" w:rsidRPr="00AE78C2" w:rsidRDefault="009D63F5" w:rsidP="006D57DC">
            <w:pPr>
              <w:autoSpaceDE w:val="0"/>
              <w:autoSpaceDN w:val="0"/>
              <w:adjustRightInd w:val="0"/>
              <w:ind w:left="1440"/>
              <w:rPr>
                <w:color w:val="000000"/>
                <w:szCs w:val="20"/>
              </w:rPr>
            </w:pPr>
          </w:p>
          <w:p w:rsidR="009D63F5" w:rsidRPr="00AE78C2" w:rsidRDefault="009D63F5" w:rsidP="009D63F5">
            <w:pPr>
              <w:autoSpaceDE w:val="0"/>
              <w:autoSpaceDN w:val="0"/>
              <w:adjustRightInd w:val="0"/>
              <w:ind w:left="900"/>
              <w:rPr>
                <w:rStyle w:val="apple-converted-space"/>
                <w:i/>
                <w:iCs/>
                <w:color w:val="000000"/>
                <w:shd w:val="clear" w:color="auto" w:fill="FFFFFF"/>
              </w:rPr>
            </w:pPr>
            <w:r w:rsidRPr="00AE78C2">
              <w:rPr>
                <w:iCs/>
                <w:color w:val="000000"/>
                <w:shd w:val="clear" w:color="auto" w:fill="FFFFFF"/>
              </w:rPr>
              <w:t>MDPH is investigating current infection prevention and control education and training standards or requirements in MA healthcare facilities; collecting information from APIC, HICPAC, SHEA and other organizations on best practices and standards for education and training; and collecting</w:t>
            </w:r>
            <w:r w:rsidRPr="00AE78C2">
              <w:rPr>
                <w:rStyle w:val="apple-converted-space"/>
                <w:iCs/>
                <w:color w:val="000000"/>
                <w:shd w:val="clear" w:color="auto" w:fill="FFFFFF"/>
              </w:rPr>
              <w:t> </w:t>
            </w:r>
            <w:r w:rsidRPr="00AE78C2">
              <w:rPr>
                <w:iCs/>
                <w:color w:val="000000"/>
                <w:shd w:val="clear" w:color="auto" w:fill="FFFFFF"/>
              </w:rPr>
              <w:t>information from several others states (e.g., NY, CA, TN, NC, SC), that already have state regulations to require provision of education and training in healthcare facilities to inform the MA process.</w:t>
            </w:r>
            <w:r w:rsidRPr="00AE78C2">
              <w:rPr>
                <w:rStyle w:val="apple-converted-space"/>
                <w:i/>
                <w:iCs/>
                <w:color w:val="000000"/>
                <w:shd w:val="clear" w:color="auto" w:fill="FFFFFF"/>
              </w:rPr>
              <w:t> </w:t>
            </w:r>
          </w:p>
          <w:p w:rsidR="009D63F5" w:rsidRPr="00AE78C2" w:rsidRDefault="009D63F5" w:rsidP="009D63F5">
            <w:pPr>
              <w:autoSpaceDE w:val="0"/>
              <w:autoSpaceDN w:val="0"/>
              <w:adjustRightInd w:val="0"/>
              <w:ind w:left="900"/>
              <w:rPr>
                <w:rStyle w:val="apple-converted-space"/>
                <w:i/>
                <w:iCs/>
                <w:color w:val="000000"/>
                <w:shd w:val="clear" w:color="auto" w:fill="FFFFFF"/>
              </w:rPr>
            </w:pPr>
          </w:p>
          <w:p w:rsidR="008D160F" w:rsidRPr="00AE78C2" w:rsidRDefault="009D63F5" w:rsidP="009D63F5">
            <w:pPr>
              <w:autoSpaceDE w:val="0"/>
              <w:autoSpaceDN w:val="0"/>
              <w:adjustRightInd w:val="0"/>
              <w:ind w:left="900"/>
              <w:rPr>
                <w:color w:val="000000"/>
              </w:rPr>
            </w:pPr>
            <w:r w:rsidRPr="00AE78C2">
              <w:rPr>
                <w:iCs/>
                <w:color w:val="000000"/>
                <w:shd w:val="clear" w:color="auto" w:fill="FFFFFF"/>
              </w:rPr>
              <w:t>Using the information collected, MDPH will explore the feasibility of promulgating state regulations to require provision of infection prevention and control education and training</w:t>
            </w:r>
            <w:r w:rsidR="00802E79" w:rsidRPr="00AE78C2">
              <w:rPr>
                <w:iCs/>
                <w:color w:val="000000"/>
                <w:shd w:val="clear" w:color="auto" w:fill="FFFFFF"/>
              </w:rPr>
              <w:t xml:space="preserve"> as a condition of professional licensure</w:t>
            </w:r>
            <w:r w:rsidRPr="00AE78C2">
              <w:rPr>
                <w:iCs/>
                <w:color w:val="000000"/>
                <w:shd w:val="clear" w:color="auto" w:fill="FFFFFF"/>
              </w:rPr>
              <w:t>. Exploration will include seeking the input of the TAG and interviewing representatives of the MA Board of Registration in Medicine and MDPH Division of Health Professions Licensure.</w:t>
            </w:r>
            <w:r w:rsidR="006D57DC" w:rsidRPr="00AE78C2">
              <w:rPr>
                <w:color w:val="000000"/>
              </w:rPr>
              <w:br/>
            </w:r>
          </w:p>
          <w:p w:rsidR="009D63F5" w:rsidRPr="00AE78C2" w:rsidRDefault="009D63F5" w:rsidP="009D63F5">
            <w:pPr>
              <w:autoSpaceDE w:val="0"/>
              <w:autoSpaceDN w:val="0"/>
              <w:adjustRightInd w:val="0"/>
              <w:ind w:left="900"/>
              <w:rPr>
                <w:color w:val="000000"/>
              </w:rPr>
            </w:pPr>
            <w:r w:rsidRPr="00AE78C2">
              <w:rPr>
                <w:color w:val="000000"/>
              </w:rPr>
              <w:t>Details of proposed/considered regulations will be determined through the established regulatory development and promulgation processes.</w:t>
            </w:r>
          </w:p>
          <w:p w:rsidR="004B0DAC" w:rsidRPr="00AE78C2" w:rsidRDefault="004B0DAC" w:rsidP="009D63F5">
            <w:pPr>
              <w:autoSpaceDE w:val="0"/>
              <w:autoSpaceDN w:val="0"/>
              <w:adjustRightInd w:val="0"/>
              <w:ind w:left="900"/>
              <w:rPr>
                <w:color w:val="365F91"/>
              </w:rPr>
            </w:pPr>
          </w:p>
        </w:tc>
        <w:tc>
          <w:tcPr>
            <w:tcW w:w="1696" w:type="dxa"/>
            <w:tcBorders>
              <w:top w:val="nil"/>
              <w:left w:val="single" w:sz="4" w:space="0" w:color="auto"/>
              <w:bottom w:val="nil"/>
              <w:right w:val="single" w:sz="4" w:space="0" w:color="auto"/>
            </w:tcBorders>
            <w:shd w:val="clear" w:color="auto" w:fill="auto"/>
          </w:tcPr>
          <w:p w:rsidR="00190209" w:rsidRPr="00AE78C2" w:rsidRDefault="00190209" w:rsidP="00190209">
            <w:pPr>
              <w:rPr>
                <w:sz w:val="22"/>
                <w:szCs w:val="22"/>
              </w:rPr>
            </w:pPr>
          </w:p>
          <w:p w:rsidR="00D028FA" w:rsidRPr="00AE78C2" w:rsidRDefault="00D028FA" w:rsidP="00190209">
            <w:pPr>
              <w:rPr>
                <w:sz w:val="22"/>
                <w:szCs w:val="22"/>
              </w:rPr>
            </w:pPr>
          </w:p>
          <w:p w:rsidR="0019271C" w:rsidRPr="00AE78C2" w:rsidRDefault="0019271C" w:rsidP="00190209">
            <w:pPr>
              <w:rPr>
                <w:sz w:val="22"/>
                <w:szCs w:val="22"/>
              </w:rPr>
            </w:pPr>
          </w:p>
          <w:p w:rsidR="0019271C" w:rsidRPr="00AE78C2" w:rsidRDefault="0019271C" w:rsidP="00190209">
            <w:pPr>
              <w:rPr>
                <w:sz w:val="22"/>
                <w:szCs w:val="22"/>
              </w:rPr>
            </w:pPr>
          </w:p>
          <w:p w:rsidR="0019271C" w:rsidRPr="00AE78C2" w:rsidRDefault="0019271C" w:rsidP="00190209">
            <w:pPr>
              <w:rPr>
                <w:color w:val="000000"/>
              </w:rPr>
            </w:pPr>
            <w:r w:rsidRPr="00AE78C2">
              <w:rPr>
                <w:color w:val="000000"/>
              </w:rPr>
              <w:t>2016</w:t>
            </w:r>
          </w:p>
          <w:p w:rsidR="0019271C" w:rsidRPr="00AE78C2" w:rsidRDefault="0019271C" w:rsidP="00190209">
            <w:pPr>
              <w:rPr>
                <w:color w:val="365F91"/>
              </w:rPr>
            </w:pPr>
          </w:p>
          <w:p w:rsidR="0019271C" w:rsidRPr="00AE78C2" w:rsidRDefault="0019271C" w:rsidP="00190209">
            <w:pPr>
              <w:rPr>
                <w:color w:val="365F91"/>
              </w:rPr>
            </w:pPr>
          </w:p>
          <w:p w:rsidR="0019271C" w:rsidRPr="00AE78C2" w:rsidRDefault="0019271C" w:rsidP="00190209">
            <w:pPr>
              <w:rPr>
                <w:color w:val="365F91"/>
              </w:rPr>
            </w:pPr>
          </w:p>
          <w:p w:rsidR="0019271C" w:rsidRPr="00AE78C2" w:rsidRDefault="0019271C" w:rsidP="00190209">
            <w:pPr>
              <w:rPr>
                <w:color w:val="365F91"/>
              </w:rPr>
            </w:pPr>
          </w:p>
          <w:p w:rsidR="0019271C" w:rsidRPr="00AE78C2" w:rsidRDefault="0019271C" w:rsidP="00190209">
            <w:pPr>
              <w:rPr>
                <w:color w:val="365F91"/>
              </w:rPr>
            </w:pPr>
          </w:p>
          <w:p w:rsidR="0019271C" w:rsidRPr="00AE78C2" w:rsidRDefault="0019271C" w:rsidP="00190209">
            <w:pPr>
              <w:rPr>
                <w:color w:val="365F91"/>
              </w:rPr>
            </w:pPr>
          </w:p>
          <w:p w:rsidR="0019271C" w:rsidRPr="00AE78C2" w:rsidRDefault="0019271C" w:rsidP="00190209">
            <w:pPr>
              <w:rPr>
                <w:color w:val="365F91"/>
              </w:rPr>
            </w:pPr>
          </w:p>
          <w:p w:rsidR="0019271C" w:rsidRPr="00AE78C2" w:rsidRDefault="0019271C" w:rsidP="00190209">
            <w:pPr>
              <w:rPr>
                <w:color w:val="365F91"/>
              </w:rPr>
            </w:pPr>
          </w:p>
        </w:tc>
      </w:tr>
      <w:tr w:rsidR="00D028FA" w:rsidRPr="00AE78C2" w:rsidTr="000A350A">
        <w:tc>
          <w:tcPr>
            <w:tcW w:w="1162" w:type="dxa"/>
            <w:tcBorders>
              <w:top w:val="nil"/>
              <w:left w:val="single" w:sz="4" w:space="0" w:color="auto"/>
              <w:bottom w:val="nil"/>
              <w:right w:val="single" w:sz="4" w:space="0" w:color="auto"/>
            </w:tcBorders>
            <w:shd w:val="clear" w:color="auto" w:fill="auto"/>
          </w:tcPr>
          <w:p w:rsidR="00D028FA"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nil"/>
              <w:right w:val="single" w:sz="4" w:space="0" w:color="auto"/>
            </w:tcBorders>
            <w:shd w:val="clear" w:color="auto" w:fill="auto"/>
          </w:tcPr>
          <w:p w:rsidR="00D028FA" w:rsidRPr="00AE78C2" w:rsidRDefault="00D028FA" w:rsidP="009B7F2E">
            <w:pPr>
              <w:numPr>
                <w:ilvl w:val="0"/>
                <w:numId w:val="19"/>
              </w:numPr>
              <w:autoSpaceDE w:val="0"/>
              <w:autoSpaceDN w:val="0"/>
              <w:adjustRightInd w:val="0"/>
              <w:rPr>
                <w:b/>
                <w:szCs w:val="22"/>
              </w:rPr>
            </w:pPr>
            <w:r w:rsidRPr="00AE78C2">
              <w:rPr>
                <w:b/>
                <w:szCs w:val="22"/>
              </w:rPr>
              <w:t>Coordinate/liaise with regulation and oversight activities such as inpatient or outpatient facility licensing/accrediting bodies and professional licensing organizations to prevent HAIs</w:t>
            </w:r>
          </w:p>
          <w:p w:rsidR="009D63F5" w:rsidRPr="00AE78C2" w:rsidRDefault="009D63F5" w:rsidP="006D57DC">
            <w:pPr>
              <w:autoSpaceDE w:val="0"/>
              <w:autoSpaceDN w:val="0"/>
              <w:adjustRightInd w:val="0"/>
              <w:ind w:left="1440"/>
              <w:rPr>
                <w:color w:val="365F91"/>
                <w:szCs w:val="20"/>
              </w:rPr>
            </w:pPr>
          </w:p>
          <w:p w:rsidR="008D160F" w:rsidRPr="00AE78C2" w:rsidRDefault="008D160F" w:rsidP="000A350A">
            <w:pPr>
              <w:autoSpaceDE w:val="0"/>
              <w:autoSpaceDN w:val="0"/>
              <w:adjustRightInd w:val="0"/>
              <w:ind w:left="900"/>
              <w:rPr>
                <w:color w:val="000000"/>
                <w:sz w:val="22"/>
                <w:szCs w:val="22"/>
              </w:rPr>
            </w:pPr>
            <w:r w:rsidRPr="00AE78C2">
              <w:rPr>
                <w:color w:val="000000"/>
                <w:szCs w:val="20"/>
              </w:rPr>
              <w:t xml:space="preserve">Licensing bodies and organizations are all housed within MDPH and </w:t>
            </w:r>
            <w:proofErr w:type="gramStart"/>
            <w:r w:rsidRPr="00AE78C2">
              <w:rPr>
                <w:color w:val="000000"/>
                <w:szCs w:val="20"/>
              </w:rPr>
              <w:t>staff from these agencies participate</w:t>
            </w:r>
            <w:proofErr w:type="gramEnd"/>
            <w:r w:rsidRPr="00AE78C2">
              <w:rPr>
                <w:color w:val="000000"/>
                <w:szCs w:val="20"/>
              </w:rPr>
              <w:t xml:space="preserve"> as members of the HAI Leadership Group.</w:t>
            </w:r>
            <w:r w:rsidR="006D57DC" w:rsidRPr="00AE78C2">
              <w:rPr>
                <w:color w:val="000000"/>
                <w:szCs w:val="20"/>
              </w:rPr>
              <w:br/>
            </w:r>
          </w:p>
        </w:tc>
        <w:tc>
          <w:tcPr>
            <w:tcW w:w="1696" w:type="dxa"/>
            <w:tcBorders>
              <w:top w:val="nil"/>
              <w:left w:val="single" w:sz="4" w:space="0" w:color="auto"/>
              <w:bottom w:val="nil"/>
              <w:right w:val="single" w:sz="4" w:space="0" w:color="auto"/>
            </w:tcBorders>
            <w:shd w:val="clear" w:color="auto" w:fill="auto"/>
          </w:tcPr>
          <w:p w:rsidR="004B0DAC" w:rsidRPr="00AE78C2" w:rsidRDefault="004B0DAC" w:rsidP="006B742F">
            <w:pPr>
              <w:autoSpaceDE w:val="0"/>
              <w:autoSpaceDN w:val="0"/>
              <w:adjustRightInd w:val="0"/>
              <w:rPr>
                <w:szCs w:val="20"/>
              </w:rPr>
            </w:pPr>
          </w:p>
          <w:p w:rsidR="004B0DAC" w:rsidRPr="00AE78C2" w:rsidRDefault="004B0DAC" w:rsidP="006B742F">
            <w:pPr>
              <w:autoSpaceDE w:val="0"/>
              <w:autoSpaceDN w:val="0"/>
              <w:adjustRightInd w:val="0"/>
              <w:rPr>
                <w:szCs w:val="20"/>
              </w:rPr>
            </w:pPr>
          </w:p>
          <w:p w:rsidR="004B0DAC" w:rsidRPr="00AE78C2" w:rsidRDefault="004B0DAC" w:rsidP="006B742F">
            <w:pPr>
              <w:autoSpaceDE w:val="0"/>
              <w:autoSpaceDN w:val="0"/>
              <w:adjustRightInd w:val="0"/>
              <w:rPr>
                <w:szCs w:val="20"/>
              </w:rPr>
            </w:pPr>
          </w:p>
          <w:p w:rsidR="004B0DAC" w:rsidRPr="00AE78C2" w:rsidRDefault="004B0DAC" w:rsidP="006B742F">
            <w:pPr>
              <w:autoSpaceDE w:val="0"/>
              <w:autoSpaceDN w:val="0"/>
              <w:adjustRightInd w:val="0"/>
              <w:rPr>
                <w:szCs w:val="20"/>
              </w:rPr>
            </w:pPr>
          </w:p>
          <w:p w:rsidR="00D028FA" w:rsidRPr="00AE78C2" w:rsidRDefault="00190209" w:rsidP="006B742F">
            <w:pPr>
              <w:autoSpaceDE w:val="0"/>
              <w:autoSpaceDN w:val="0"/>
              <w:adjustRightInd w:val="0"/>
              <w:rPr>
                <w:color w:val="000000"/>
                <w:sz w:val="22"/>
                <w:szCs w:val="22"/>
              </w:rPr>
            </w:pPr>
            <w:r w:rsidRPr="00AE78C2">
              <w:rPr>
                <w:color w:val="000000"/>
                <w:szCs w:val="20"/>
              </w:rPr>
              <w:t>Ongoing</w:t>
            </w:r>
          </w:p>
        </w:tc>
      </w:tr>
      <w:tr w:rsidR="00D028FA" w:rsidRPr="00AE78C2" w:rsidTr="000A350A">
        <w:tc>
          <w:tcPr>
            <w:tcW w:w="1162" w:type="dxa"/>
            <w:tcBorders>
              <w:top w:val="nil"/>
              <w:left w:val="single" w:sz="4" w:space="0" w:color="auto"/>
              <w:bottom w:val="nil"/>
              <w:right w:val="single" w:sz="4" w:space="0" w:color="auto"/>
            </w:tcBorders>
            <w:shd w:val="clear" w:color="auto" w:fill="auto"/>
          </w:tcPr>
          <w:p w:rsidR="00D028FA" w:rsidRPr="00AE78C2" w:rsidRDefault="00E35BD3"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nil"/>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nil"/>
              <w:right w:val="single" w:sz="4" w:space="0" w:color="auto"/>
            </w:tcBorders>
            <w:shd w:val="clear" w:color="auto" w:fill="auto"/>
          </w:tcPr>
          <w:p w:rsidR="00190209" w:rsidRPr="00AE78C2" w:rsidRDefault="00D028FA" w:rsidP="009B7F2E">
            <w:pPr>
              <w:numPr>
                <w:ilvl w:val="0"/>
                <w:numId w:val="19"/>
              </w:numPr>
              <w:autoSpaceDE w:val="0"/>
              <w:autoSpaceDN w:val="0"/>
              <w:adjustRightInd w:val="0"/>
              <w:rPr>
                <w:b/>
                <w:szCs w:val="22"/>
              </w:rPr>
            </w:pPr>
            <w:r w:rsidRPr="00AE78C2">
              <w:rPr>
                <w:b/>
                <w:szCs w:val="22"/>
              </w:rPr>
              <w:t xml:space="preserve">Improve regulatory oversight of hospitals, enhance surveyor </w:t>
            </w:r>
            <w:r w:rsidRPr="00AE78C2">
              <w:rPr>
                <w:b/>
                <w:szCs w:val="22"/>
              </w:rPr>
              <w:lastRenderedPageBreak/>
              <w:t>training and tools, and add sources and uses of infection control data</w:t>
            </w:r>
          </w:p>
          <w:p w:rsidR="00190209" w:rsidRPr="00AE78C2" w:rsidRDefault="00190209" w:rsidP="006D57DC">
            <w:pPr>
              <w:autoSpaceDE w:val="0"/>
              <w:autoSpaceDN w:val="0"/>
              <w:adjustRightInd w:val="0"/>
              <w:ind w:left="1440"/>
              <w:rPr>
                <w:sz w:val="22"/>
                <w:szCs w:val="22"/>
              </w:rPr>
            </w:pPr>
          </w:p>
          <w:p w:rsidR="00190209" w:rsidRPr="00AE78C2" w:rsidRDefault="00CA14A7" w:rsidP="004B0DAC">
            <w:pPr>
              <w:ind w:left="900"/>
              <w:rPr>
                <w:color w:val="000000"/>
              </w:rPr>
            </w:pPr>
            <w:r w:rsidRPr="00AE78C2">
              <w:rPr>
                <w:color w:val="000000"/>
              </w:rPr>
              <w:t>Massachusetts licensed hea</w:t>
            </w:r>
            <w:r w:rsidR="00190209" w:rsidRPr="00AE78C2">
              <w:rPr>
                <w:color w:val="000000"/>
              </w:rPr>
              <w:t xml:space="preserve">lthcare facilities </w:t>
            </w:r>
            <w:r w:rsidR="004B0DAC" w:rsidRPr="00AE78C2">
              <w:rPr>
                <w:color w:val="000000"/>
              </w:rPr>
              <w:t>are</w:t>
            </w:r>
            <w:r w:rsidR="00190209" w:rsidRPr="00AE78C2">
              <w:rPr>
                <w:color w:val="000000"/>
              </w:rPr>
              <w:t xml:space="preserve"> held accountable under regulations of the MDPH </w:t>
            </w:r>
            <w:r w:rsidR="00E5571B" w:rsidRPr="00AE78C2">
              <w:rPr>
                <w:color w:val="000000"/>
              </w:rPr>
              <w:t>Bureau</w:t>
            </w:r>
            <w:r w:rsidR="00190209" w:rsidRPr="00AE78C2">
              <w:rPr>
                <w:color w:val="000000"/>
              </w:rPr>
              <w:t xml:space="preserve"> of Health</w:t>
            </w:r>
            <w:r w:rsidR="00A1629A" w:rsidRPr="00AE78C2">
              <w:rPr>
                <w:color w:val="000000"/>
              </w:rPr>
              <w:t xml:space="preserve"> C</w:t>
            </w:r>
            <w:r w:rsidR="00190209" w:rsidRPr="00AE78C2">
              <w:rPr>
                <w:color w:val="000000"/>
              </w:rPr>
              <w:t>are</w:t>
            </w:r>
            <w:r w:rsidR="002F1534" w:rsidRPr="00AE78C2">
              <w:rPr>
                <w:color w:val="000000"/>
              </w:rPr>
              <w:t xml:space="preserve"> Safety and</w:t>
            </w:r>
            <w:r w:rsidR="00190209" w:rsidRPr="00AE78C2">
              <w:rPr>
                <w:color w:val="000000"/>
              </w:rPr>
              <w:t xml:space="preserve"> Quality for full compliance with: </w:t>
            </w:r>
          </w:p>
          <w:p w:rsidR="00B92FB2" w:rsidRPr="00AE78C2" w:rsidRDefault="00B92FB2" w:rsidP="006D57DC">
            <w:pPr>
              <w:ind w:left="1980"/>
              <w:rPr>
                <w:color w:val="000000"/>
              </w:rPr>
            </w:pPr>
          </w:p>
          <w:p w:rsidR="00190209" w:rsidRPr="00AE78C2" w:rsidRDefault="00190209" w:rsidP="009B7F2E">
            <w:pPr>
              <w:numPr>
                <w:ilvl w:val="0"/>
                <w:numId w:val="37"/>
              </w:numPr>
              <w:rPr>
                <w:color w:val="000000"/>
              </w:rPr>
            </w:pPr>
            <w:r w:rsidRPr="00AE78C2">
              <w:rPr>
                <w:color w:val="000000"/>
              </w:rPr>
              <w:t>Im</w:t>
            </w:r>
            <w:r w:rsidR="00E865D9" w:rsidRPr="00AE78C2">
              <w:rPr>
                <w:color w:val="000000"/>
              </w:rPr>
              <w:t>plementation of best practices</w:t>
            </w:r>
          </w:p>
          <w:p w:rsidR="005A00B0" w:rsidRPr="00AE78C2" w:rsidRDefault="005A00B0" w:rsidP="009D63F5">
            <w:pPr>
              <w:ind w:left="1440"/>
              <w:rPr>
                <w:color w:val="000000"/>
              </w:rPr>
            </w:pPr>
          </w:p>
          <w:p w:rsidR="00190209" w:rsidRPr="00AE78C2" w:rsidRDefault="00190209" w:rsidP="009B7F2E">
            <w:pPr>
              <w:numPr>
                <w:ilvl w:val="0"/>
                <w:numId w:val="37"/>
              </w:numPr>
              <w:rPr>
                <w:color w:val="000000"/>
              </w:rPr>
            </w:pPr>
            <w:r w:rsidRPr="00AE78C2">
              <w:rPr>
                <w:color w:val="000000"/>
              </w:rPr>
              <w:t xml:space="preserve">The Healthcare Infection Control Practices Advisory Committee (HICPAC) Guidelines </w:t>
            </w:r>
          </w:p>
          <w:p w:rsidR="005A00B0" w:rsidRPr="00AE78C2" w:rsidRDefault="005A00B0" w:rsidP="009D63F5">
            <w:pPr>
              <w:ind w:left="1440"/>
              <w:rPr>
                <w:color w:val="000000"/>
              </w:rPr>
            </w:pPr>
          </w:p>
          <w:p w:rsidR="00190209" w:rsidRPr="00AE78C2" w:rsidRDefault="00190209" w:rsidP="009B7F2E">
            <w:pPr>
              <w:numPr>
                <w:ilvl w:val="0"/>
                <w:numId w:val="37"/>
              </w:numPr>
              <w:rPr>
                <w:color w:val="000000"/>
              </w:rPr>
            </w:pPr>
            <w:r w:rsidRPr="00AE78C2">
              <w:rPr>
                <w:color w:val="000000"/>
              </w:rPr>
              <w:t xml:space="preserve">The requirements of CMS </w:t>
            </w:r>
          </w:p>
          <w:p w:rsidR="005A00B0" w:rsidRPr="00AE78C2" w:rsidRDefault="005A00B0" w:rsidP="009D63F5">
            <w:pPr>
              <w:ind w:left="1440"/>
              <w:rPr>
                <w:color w:val="000000"/>
              </w:rPr>
            </w:pPr>
          </w:p>
          <w:p w:rsidR="00190209" w:rsidRPr="00AE78C2" w:rsidRDefault="00190209" w:rsidP="009B7F2E">
            <w:pPr>
              <w:numPr>
                <w:ilvl w:val="0"/>
                <w:numId w:val="37"/>
              </w:numPr>
              <w:rPr>
                <w:color w:val="000000"/>
              </w:rPr>
            </w:pPr>
            <w:r w:rsidRPr="00AE78C2">
              <w:rPr>
                <w:color w:val="000000"/>
              </w:rPr>
              <w:t>Maintenance of participation in NHSN and timely and accurate completion of data collection and entry</w:t>
            </w:r>
          </w:p>
          <w:p w:rsidR="005A00B0" w:rsidRPr="00AE78C2" w:rsidRDefault="005A00B0" w:rsidP="009D63F5">
            <w:pPr>
              <w:ind w:left="1440"/>
              <w:rPr>
                <w:color w:val="000000"/>
              </w:rPr>
            </w:pPr>
          </w:p>
          <w:p w:rsidR="00190209" w:rsidRPr="00AE78C2" w:rsidRDefault="00190209" w:rsidP="009B7F2E">
            <w:pPr>
              <w:numPr>
                <w:ilvl w:val="0"/>
                <w:numId w:val="37"/>
              </w:numPr>
              <w:rPr>
                <w:color w:val="000000"/>
              </w:rPr>
            </w:pPr>
            <w:r w:rsidRPr="00AE78C2">
              <w:rPr>
                <w:color w:val="000000"/>
              </w:rPr>
              <w:t xml:space="preserve">Full and complete reporting of mandated reporting measures </w:t>
            </w:r>
          </w:p>
          <w:p w:rsidR="00F3696F" w:rsidRPr="00AE78C2" w:rsidRDefault="00F3696F" w:rsidP="006D57DC">
            <w:pPr>
              <w:ind w:left="1260"/>
              <w:rPr>
                <w:color w:val="000000"/>
              </w:rPr>
            </w:pPr>
          </w:p>
          <w:p w:rsidR="00190209" w:rsidRPr="00AE78C2" w:rsidRDefault="00190209" w:rsidP="006D57DC">
            <w:pPr>
              <w:ind w:left="1260"/>
              <w:rPr>
                <w:color w:val="000000"/>
              </w:rPr>
            </w:pPr>
            <w:r w:rsidRPr="00AE78C2">
              <w:rPr>
                <w:color w:val="000000"/>
              </w:rPr>
              <w:t xml:space="preserve">Oversight </w:t>
            </w:r>
            <w:r w:rsidR="004B0DAC" w:rsidRPr="00AE78C2">
              <w:rPr>
                <w:color w:val="000000"/>
              </w:rPr>
              <w:t>includes:</w:t>
            </w:r>
          </w:p>
          <w:p w:rsidR="00F711CA" w:rsidRPr="00AE78C2" w:rsidRDefault="00F711CA" w:rsidP="006D57DC">
            <w:pPr>
              <w:ind w:left="1260"/>
              <w:rPr>
                <w:color w:val="000000"/>
              </w:rPr>
            </w:pPr>
          </w:p>
          <w:p w:rsidR="00190209" w:rsidRPr="00AE78C2" w:rsidRDefault="00190209" w:rsidP="006D57DC">
            <w:pPr>
              <w:ind w:left="1980"/>
              <w:rPr>
                <w:color w:val="000000"/>
              </w:rPr>
            </w:pPr>
            <w:r w:rsidRPr="00AE78C2">
              <w:rPr>
                <w:color w:val="000000"/>
              </w:rPr>
              <w:t>Incorporation of review for compliance with HAI prevention and reporting requirements in routine and other surveys</w:t>
            </w:r>
          </w:p>
          <w:p w:rsidR="00CA14A7" w:rsidRPr="00AE78C2" w:rsidRDefault="00CA14A7" w:rsidP="006D57DC">
            <w:pPr>
              <w:ind w:left="1980"/>
              <w:rPr>
                <w:color w:val="000000"/>
              </w:rPr>
            </w:pPr>
          </w:p>
          <w:p w:rsidR="00CA14A7" w:rsidRPr="00AE78C2" w:rsidRDefault="00CA14A7" w:rsidP="006D57DC">
            <w:pPr>
              <w:ind w:left="1980"/>
              <w:rPr>
                <w:color w:val="365F91"/>
              </w:rPr>
            </w:pPr>
            <w:r w:rsidRPr="00AE78C2">
              <w:rPr>
                <w:color w:val="000000"/>
              </w:rPr>
              <w:t>MDPH surveyors determine compliance with the infection control Conditions for Coverage. Items are assessed primarily</w:t>
            </w:r>
            <w:r w:rsidRPr="00AE78C2">
              <w:rPr>
                <w:color w:val="365F91"/>
              </w:rPr>
              <w:t xml:space="preserve"> </w:t>
            </w:r>
            <w:r w:rsidRPr="00AE78C2">
              <w:rPr>
                <w:color w:val="000000"/>
              </w:rPr>
              <w:t xml:space="preserve">by surveyor observation, with interviews used to provide additional confirming evidence of observations.  Healthcare facilities are required to comply with nationally </w:t>
            </w:r>
            <w:r w:rsidRPr="00AE78C2">
              <w:rPr>
                <w:color w:val="000000"/>
              </w:rPr>
              <w:lastRenderedPageBreak/>
              <w:t>recognized and accepted standards of practice.  Lapses in infection control are documented and facilities are required to submit corrective action plans indicating the process and timeline to complete the required improvements.</w:t>
            </w:r>
          </w:p>
          <w:p w:rsidR="00190209" w:rsidRPr="00AE78C2" w:rsidRDefault="00190209" w:rsidP="006D57DC">
            <w:pPr>
              <w:autoSpaceDE w:val="0"/>
              <w:autoSpaceDN w:val="0"/>
              <w:adjustRightInd w:val="0"/>
              <w:ind w:left="1260"/>
              <w:rPr>
                <w:color w:val="365F91"/>
                <w:sz w:val="22"/>
                <w:szCs w:val="22"/>
              </w:rPr>
            </w:pPr>
          </w:p>
        </w:tc>
        <w:tc>
          <w:tcPr>
            <w:tcW w:w="1696" w:type="dxa"/>
            <w:tcBorders>
              <w:top w:val="nil"/>
              <w:left w:val="single" w:sz="4" w:space="0" w:color="auto"/>
              <w:bottom w:val="nil"/>
              <w:right w:val="single" w:sz="4" w:space="0" w:color="auto"/>
            </w:tcBorders>
            <w:shd w:val="clear" w:color="auto" w:fill="auto"/>
          </w:tcPr>
          <w:p w:rsidR="00190209" w:rsidRPr="00AE78C2" w:rsidRDefault="00190209" w:rsidP="006B742F">
            <w:pPr>
              <w:autoSpaceDE w:val="0"/>
              <w:autoSpaceDN w:val="0"/>
              <w:adjustRightInd w:val="0"/>
              <w:rPr>
                <w:sz w:val="22"/>
                <w:szCs w:val="22"/>
              </w:rPr>
            </w:pPr>
          </w:p>
          <w:p w:rsidR="00190209" w:rsidRPr="00AE78C2" w:rsidRDefault="00190209" w:rsidP="00190209">
            <w:pPr>
              <w:rPr>
                <w:sz w:val="22"/>
                <w:szCs w:val="22"/>
              </w:rPr>
            </w:pPr>
          </w:p>
          <w:p w:rsidR="00190209" w:rsidRPr="00AE78C2" w:rsidRDefault="00190209" w:rsidP="00190209">
            <w:pPr>
              <w:rPr>
                <w:sz w:val="22"/>
                <w:szCs w:val="22"/>
              </w:rPr>
            </w:pPr>
          </w:p>
          <w:p w:rsidR="00190209" w:rsidRPr="00AE78C2" w:rsidRDefault="004B0DAC" w:rsidP="00190209">
            <w:pPr>
              <w:rPr>
                <w:color w:val="000000"/>
              </w:rPr>
            </w:pPr>
            <w:r w:rsidRPr="00AE78C2">
              <w:rPr>
                <w:color w:val="000000"/>
              </w:rPr>
              <w:t>Established and ongoing</w:t>
            </w:r>
          </w:p>
          <w:p w:rsidR="00190209" w:rsidRPr="00AE78C2" w:rsidRDefault="00190209" w:rsidP="00190209">
            <w:pPr>
              <w:autoSpaceDE w:val="0"/>
              <w:autoSpaceDN w:val="0"/>
              <w:adjustRightInd w:val="0"/>
              <w:rPr>
                <w:szCs w:val="20"/>
              </w:rPr>
            </w:pPr>
            <w:r w:rsidRPr="00AE78C2">
              <w:rPr>
                <w:szCs w:val="20"/>
              </w:rPr>
              <w:t xml:space="preserve"> </w:t>
            </w:r>
          </w:p>
          <w:p w:rsidR="00190209" w:rsidRPr="00AE78C2" w:rsidRDefault="00190209" w:rsidP="00190209">
            <w:pPr>
              <w:rPr>
                <w:szCs w:val="20"/>
              </w:rPr>
            </w:pPr>
          </w:p>
          <w:p w:rsidR="00190209" w:rsidRPr="00AE78C2" w:rsidRDefault="00190209" w:rsidP="00190209">
            <w:pPr>
              <w:rPr>
                <w:szCs w:val="20"/>
              </w:rPr>
            </w:pPr>
          </w:p>
          <w:p w:rsidR="00190209" w:rsidRPr="00AE78C2" w:rsidRDefault="00190209" w:rsidP="00190209">
            <w:pPr>
              <w:rPr>
                <w:szCs w:val="20"/>
              </w:rPr>
            </w:pPr>
          </w:p>
          <w:p w:rsidR="00190209" w:rsidRPr="00AE78C2" w:rsidRDefault="00190209" w:rsidP="00190209">
            <w:pPr>
              <w:rPr>
                <w:szCs w:val="20"/>
              </w:rPr>
            </w:pPr>
          </w:p>
          <w:p w:rsidR="00D028FA" w:rsidRPr="00AE78C2" w:rsidRDefault="00D028FA" w:rsidP="00190209">
            <w:pPr>
              <w:rPr>
                <w:szCs w:val="20"/>
              </w:rPr>
            </w:pPr>
          </w:p>
        </w:tc>
      </w:tr>
      <w:tr w:rsidR="00D028FA" w:rsidRPr="00AE78C2" w:rsidTr="000A350A">
        <w:tc>
          <w:tcPr>
            <w:tcW w:w="1162" w:type="dxa"/>
            <w:tcBorders>
              <w:top w:val="nil"/>
              <w:left w:val="single" w:sz="4" w:space="0" w:color="auto"/>
              <w:bottom w:val="single" w:sz="4" w:space="0" w:color="auto"/>
              <w:right w:val="single" w:sz="4" w:space="0" w:color="auto"/>
            </w:tcBorders>
            <w:shd w:val="clear" w:color="auto" w:fill="auto"/>
          </w:tcPr>
          <w:p w:rsidR="00D028FA" w:rsidRPr="00AE78C2" w:rsidRDefault="00E35BD3"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nil"/>
              <w:left w:val="single" w:sz="4" w:space="0" w:color="auto"/>
              <w:bottom w:val="single" w:sz="4" w:space="0" w:color="auto"/>
              <w:right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nil"/>
              <w:left w:val="single" w:sz="4" w:space="0" w:color="auto"/>
              <w:bottom w:val="single" w:sz="4" w:space="0" w:color="auto"/>
              <w:right w:val="single" w:sz="4" w:space="0" w:color="auto"/>
            </w:tcBorders>
            <w:shd w:val="clear" w:color="auto" w:fill="auto"/>
          </w:tcPr>
          <w:p w:rsidR="00D028FA" w:rsidRPr="00AE78C2" w:rsidRDefault="00D028FA" w:rsidP="009B7F2E">
            <w:pPr>
              <w:numPr>
                <w:ilvl w:val="0"/>
                <w:numId w:val="19"/>
              </w:numPr>
              <w:autoSpaceDE w:val="0"/>
              <w:autoSpaceDN w:val="0"/>
              <w:adjustRightInd w:val="0"/>
              <w:rPr>
                <w:b/>
                <w:szCs w:val="22"/>
              </w:rPr>
            </w:pPr>
            <w:r w:rsidRPr="00AE78C2">
              <w:rPr>
                <w:b/>
                <w:szCs w:val="22"/>
              </w:rPr>
              <w:t>Consider expanding regulation and oversight activities to currently unregulated settings where healthcare is delivered and work with healthcare partners to establish best practices to ensure adherence</w:t>
            </w:r>
          </w:p>
          <w:p w:rsidR="00EE1036" w:rsidRPr="00AE78C2" w:rsidRDefault="00EE1036" w:rsidP="00EE1036">
            <w:pPr>
              <w:autoSpaceDE w:val="0"/>
              <w:autoSpaceDN w:val="0"/>
              <w:adjustRightInd w:val="0"/>
              <w:ind w:left="900"/>
              <w:rPr>
                <w:b/>
                <w:szCs w:val="22"/>
              </w:rPr>
            </w:pPr>
          </w:p>
          <w:p w:rsidR="00190209" w:rsidRPr="00AE78C2" w:rsidRDefault="00EE1036" w:rsidP="00802E79">
            <w:pPr>
              <w:autoSpaceDE w:val="0"/>
              <w:autoSpaceDN w:val="0"/>
              <w:adjustRightInd w:val="0"/>
              <w:ind w:left="900"/>
              <w:rPr>
                <w:color w:val="000000"/>
                <w:sz w:val="22"/>
                <w:szCs w:val="22"/>
              </w:rPr>
            </w:pPr>
            <w:r w:rsidRPr="00AE78C2">
              <w:rPr>
                <w:color w:val="000000"/>
                <w:szCs w:val="22"/>
              </w:rPr>
              <w:t xml:space="preserve">MDPH will collaborate with the </w:t>
            </w:r>
            <w:r w:rsidR="00802E79" w:rsidRPr="00AE78C2">
              <w:rPr>
                <w:color w:val="000000"/>
                <w:szCs w:val="22"/>
              </w:rPr>
              <w:t xml:space="preserve">Executive Office </w:t>
            </w:r>
            <w:r w:rsidRPr="00AE78C2">
              <w:rPr>
                <w:color w:val="000000"/>
                <w:szCs w:val="22"/>
              </w:rPr>
              <w:t>of Elder Affairs to discuss issues related to infection control in assisted living facilities, and will provide technical consultation as requested.</w:t>
            </w:r>
          </w:p>
        </w:tc>
        <w:tc>
          <w:tcPr>
            <w:tcW w:w="1696" w:type="dxa"/>
            <w:tcBorders>
              <w:top w:val="nil"/>
              <w:left w:val="single" w:sz="4" w:space="0" w:color="auto"/>
              <w:bottom w:val="single" w:sz="4" w:space="0" w:color="auto"/>
              <w:right w:val="single" w:sz="4" w:space="0" w:color="auto"/>
            </w:tcBorders>
            <w:shd w:val="clear" w:color="auto" w:fill="auto"/>
          </w:tcPr>
          <w:p w:rsidR="00190209" w:rsidRPr="00AE78C2" w:rsidRDefault="00190209" w:rsidP="006B742F">
            <w:pPr>
              <w:autoSpaceDE w:val="0"/>
              <w:autoSpaceDN w:val="0"/>
              <w:adjustRightInd w:val="0"/>
              <w:rPr>
                <w:sz w:val="22"/>
                <w:szCs w:val="22"/>
              </w:rPr>
            </w:pPr>
          </w:p>
          <w:p w:rsidR="00763125" w:rsidRPr="00AE78C2" w:rsidRDefault="00763125" w:rsidP="00190209">
            <w:pPr>
              <w:rPr>
                <w:color w:val="365F91"/>
                <w:highlight w:val="green"/>
              </w:rPr>
            </w:pPr>
          </w:p>
          <w:p w:rsidR="00763125" w:rsidRPr="00AE78C2" w:rsidRDefault="00763125" w:rsidP="00190209">
            <w:pPr>
              <w:rPr>
                <w:color w:val="365F91"/>
                <w:highlight w:val="green"/>
              </w:rPr>
            </w:pPr>
          </w:p>
          <w:p w:rsidR="00763125" w:rsidRPr="00AE78C2" w:rsidRDefault="00763125" w:rsidP="00190209">
            <w:pPr>
              <w:rPr>
                <w:color w:val="365F91"/>
                <w:highlight w:val="green"/>
              </w:rPr>
            </w:pPr>
          </w:p>
          <w:p w:rsidR="00BD2B13" w:rsidRPr="00AE78C2" w:rsidRDefault="00BD2B13" w:rsidP="00190209">
            <w:pPr>
              <w:rPr>
                <w:color w:val="000000"/>
              </w:rPr>
            </w:pPr>
            <w:r w:rsidRPr="00AE78C2">
              <w:rPr>
                <w:color w:val="000000"/>
              </w:rPr>
              <w:t>2016</w:t>
            </w:r>
          </w:p>
          <w:p w:rsidR="00190209" w:rsidRPr="00AE78C2" w:rsidRDefault="00190209" w:rsidP="00190209">
            <w:pPr>
              <w:rPr>
                <w:sz w:val="22"/>
                <w:szCs w:val="22"/>
              </w:rPr>
            </w:pPr>
          </w:p>
          <w:p w:rsidR="00190209" w:rsidRPr="00AE78C2" w:rsidRDefault="00190209" w:rsidP="00190209">
            <w:pPr>
              <w:rPr>
                <w:sz w:val="22"/>
                <w:szCs w:val="22"/>
              </w:rPr>
            </w:pPr>
          </w:p>
          <w:p w:rsidR="00D028FA" w:rsidRPr="00AE78C2" w:rsidRDefault="00D028FA" w:rsidP="00190209">
            <w:pPr>
              <w:rPr>
                <w:sz w:val="22"/>
                <w:szCs w:val="22"/>
              </w:rPr>
            </w:pPr>
          </w:p>
        </w:tc>
      </w:tr>
      <w:tr w:rsidR="008A25EC" w:rsidRPr="00AE78C2" w:rsidTr="009B7F2E">
        <w:tc>
          <w:tcPr>
            <w:tcW w:w="2123" w:type="dxa"/>
            <w:gridSpan w:val="2"/>
            <w:tcBorders>
              <w:top w:val="nil"/>
              <w:left w:val="single" w:sz="4" w:space="0" w:color="auto"/>
              <w:bottom w:val="single" w:sz="4" w:space="0" w:color="auto"/>
              <w:right w:val="single" w:sz="4" w:space="0" w:color="auto"/>
            </w:tcBorders>
            <w:shd w:val="clear" w:color="auto" w:fill="auto"/>
          </w:tcPr>
          <w:p w:rsidR="008A25EC" w:rsidRPr="00AE78C2" w:rsidRDefault="008A25EC" w:rsidP="006B742F">
            <w:pPr>
              <w:autoSpaceDE w:val="0"/>
              <w:autoSpaceDN w:val="0"/>
              <w:adjustRightInd w:val="0"/>
              <w:jc w:val="center"/>
              <w:rPr>
                <w:sz w:val="22"/>
                <w:szCs w:val="22"/>
              </w:rPr>
            </w:pPr>
          </w:p>
        </w:tc>
        <w:tc>
          <w:tcPr>
            <w:tcW w:w="8216" w:type="dxa"/>
            <w:tcBorders>
              <w:top w:val="nil"/>
              <w:left w:val="single" w:sz="4" w:space="0" w:color="auto"/>
              <w:bottom w:val="single" w:sz="4" w:space="0" w:color="auto"/>
              <w:right w:val="single" w:sz="4" w:space="0" w:color="auto"/>
            </w:tcBorders>
            <w:shd w:val="clear" w:color="auto" w:fill="auto"/>
          </w:tcPr>
          <w:p w:rsidR="008A25EC" w:rsidRPr="00AE78C2" w:rsidRDefault="008A25EC" w:rsidP="000A350A">
            <w:pPr>
              <w:autoSpaceDE w:val="0"/>
              <w:autoSpaceDN w:val="0"/>
              <w:adjustRightInd w:val="0"/>
              <w:rPr>
                <w:sz w:val="22"/>
                <w:szCs w:val="22"/>
              </w:rPr>
            </w:pPr>
            <w:r w:rsidRPr="00AE78C2">
              <w:rPr>
                <w:i/>
                <w:sz w:val="22"/>
                <w:szCs w:val="22"/>
              </w:rPr>
              <w:t>Other activities or descriptions:</w:t>
            </w:r>
            <w:r w:rsidRPr="00AE78C2">
              <w:rPr>
                <w:sz w:val="22"/>
                <w:szCs w:val="22"/>
              </w:rPr>
              <w:t xml:space="preserve"> </w:t>
            </w:r>
          </w:p>
          <w:p w:rsidR="0019271C" w:rsidRPr="00AE78C2" w:rsidRDefault="0019271C" w:rsidP="000A350A">
            <w:pPr>
              <w:autoSpaceDE w:val="0"/>
              <w:autoSpaceDN w:val="0"/>
              <w:adjustRightInd w:val="0"/>
              <w:ind w:left="397"/>
              <w:rPr>
                <w:color w:val="365F91"/>
              </w:rPr>
            </w:pPr>
          </w:p>
          <w:p w:rsidR="008A25EC" w:rsidRPr="00AE78C2" w:rsidRDefault="008A25EC" w:rsidP="000A350A">
            <w:pPr>
              <w:autoSpaceDE w:val="0"/>
              <w:autoSpaceDN w:val="0"/>
              <w:adjustRightInd w:val="0"/>
              <w:ind w:left="397"/>
              <w:rPr>
                <w:color w:val="000000"/>
              </w:rPr>
            </w:pPr>
            <w:r w:rsidRPr="00AE78C2">
              <w:rPr>
                <w:color w:val="000000"/>
              </w:rPr>
              <w:t>The MA State Health Improvement Plan, or SHIP, is an action-oriented strategic plan that outlines the key health and health systems priority areas for the state, and how these priority areas will be addressed to ultimately improve the health of all people in the Commonwealth. The MA SHIP was created through a statewide, collaborative planning process that engages partners and organizations to develop, support, and implement the plan. This development process enables loosely-networked system partners to coordinate for more efficient, targeted and integrated health improvement efforts.</w:t>
            </w:r>
          </w:p>
          <w:p w:rsidR="008A25EC" w:rsidRPr="00AE78C2" w:rsidRDefault="008A25EC" w:rsidP="000A350A">
            <w:pPr>
              <w:autoSpaceDE w:val="0"/>
              <w:autoSpaceDN w:val="0"/>
              <w:adjustRightInd w:val="0"/>
              <w:ind w:left="397"/>
              <w:rPr>
                <w:color w:val="000000"/>
              </w:rPr>
            </w:pPr>
          </w:p>
          <w:p w:rsidR="008A25EC" w:rsidRPr="00AE78C2" w:rsidRDefault="008A25EC" w:rsidP="000A350A">
            <w:pPr>
              <w:autoSpaceDE w:val="0"/>
              <w:autoSpaceDN w:val="0"/>
              <w:adjustRightInd w:val="0"/>
              <w:ind w:left="397"/>
              <w:rPr>
                <w:color w:val="000000"/>
              </w:rPr>
            </w:pPr>
            <w:r w:rsidRPr="00AE78C2">
              <w:rPr>
                <w:color w:val="000000"/>
              </w:rPr>
              <w:t>The SHIP serves as a vision for health and a framework for organizations to use in leveraging resources, engaging partners, and identifying their own priorities and strategies for collective action towards improving community health and achieving health equity.</w:t>
            </w:r>
          </w:p>
          <w:p w:rsidR="008A25EC" w:rsidRPr="00AE78C2" w:rsidRDefault="008A25EC" w:rsidP="00E865D9">
            <w:pPr>
              <w:autoSpaceDE w:val="0"/>
              <w:autoSpaceDN w:val="0"/>
              <w:adjustRightInd w:val="0"/>
              <w:ind w:left="720"/>
              <w:rPr>
                <w:color w:val="000000"/>
              </w:rPr>
            </w:pPr>
            <w:r w:rsidRPr="00AE78C2">
              <w:rPr>
                <w:color w:val="000000"/>
              </w:rPr>
              <w:t xml:space="preserve"> </w:t>
            </w:r>
          </w:p>
          <w:p w:rsidR="008A25EC" w:rsidRPr="00AE78C2" w:rsidRDefault="008A25EC" w:rsidP="00E865D9">
            <w:pPr>
              <w:autoSpaceDE w:val="0"/>
              <w:autoSpaceDN w:val="0"/>
              <w:adjustRightInd w:val="0"/>
              <w:ind w:left="720"/>
              <w:rPr>
                <w:color w:val="000000"/>
              </w:rPr>
            </w:pPr>
            <w:r w:rsidRPr="00AE78C2">
              <w:rPr>
                <w:color w:val="000000"/>
              </w:rPr>
              <w:t>HAI related objectives include:</w:t>
            </w:r>
          </w:p>
          <w:p w:rsidR="008A25EC" w:rsidRPr="00AE78C2" w:rsidRDefault="008A25EC" w:rsidP="009B7F2E">
            <w:pPr>
              <w:numPr>
                <w:ilvl w:val="0"/>
                <w:numId w:val="40"/>
              </w:numPr>
              <w:autoSpaceDE w:val="0"/>
              <w:autoSpaceDN w:val="0"/>
              <w:adjustRightInd w:val="0"/>
              <w:ind w:left="1440"/>
              <w:rPr>
                <w:color w:val="000000"/>
              </w:rPr>
            </w:pPr>
            <w:r w:rsidRPr="00AE78C2">
              <w:rPr>
                <w:color w:val="000000"/>
              </w:rPr>
              <w:t xml:space="preserve">Maintain and enhance the Commonwealth’s public reporting </w:t>
            </w:r>
            <w:r w:rsidRPr="00AE78C2">
              <w:rPr>
                <w:color w:val="000000"/>
              </w:rPr>
              <w:lastRenderedPageBreak/>
              <w:t xml:space="preserve">infrastructure for Healthcare Associated Infections </w:t>
            </w:r>
          </w:p>
          <w:p w:rsidR="008A25EC" w:rsidRPr="00AE78C2" w:rsidRDefault="008A25EC" w:rsidP="009B7F2E">
            <w:pPr>
              <w:numPr>
                <w:ilvl w:val="0"/>
                <w:numId w:val="40"/>
              </w:numPr>
              <w:autoSpaceDE w:val="0"/>
              <w:autoSpaceDN w:val="0"/>
              <w:adjustRightInd w:val="0"/>
              <w:ind w:left="1440"/>
              <w:rPr>
                <w:color w:val="000000"/>
              </w:rPr>
            </w:pPr>
            <w:r w:rsidRPr="00AE78C2">
              <w:rPr>
                <w:color w:val="000000"/>
              </w:rPr>
              <w:t>Enhance public education and quality of evidence-based infection prevention and prudent and effective use of antimicrobials in all health care settings</w:t>
            </w:r>
          </w:p>
          <w:p w:rsidR="008A25EC" w:rsidRPr="00AE78C2" w:rsidRDefault="008A25EC" w:rsidP="009B7F2E">
            <w:pPr>
              <w:numPr>
                <w:ilvl w:val="0"/>
                <w:numId w:val="40"/>
              </w:numPr>
              <w:autoSpaceDE w:val="0"/>
              <w:autoSpaceDN w:val="0"/>
              <w:adjustRightInd w:val="0"/>
              <w:ind w:left="1440"/>
              <w:rPr>
                <w:color w:val="000000"/>
              </w:rPr>
            </w:pPr>
            <w:r w:rsidRPr="00AE78C2">
              <w:rPr>
                <w:color w:val="000000"/>
              </w:rPr>
              <w:t xml:space="preserve">Establish collaborative prevention programs </w:t>
            </w:r>
          </w:p>
          <w:p w:rsidR="008A25EC" w:rsidRPr="00AE78C2" w:rsidRDefault="008A25EC" w:rsidP="009B7F2E">
            <w:pPr>
              <w:numPr>
                <w:ilvl w:val="0"/>
                <w:numId w:val="40"/>
              </w:numPr>
              <w:autoSpaceDE w:val="0"/>
              <w:autoSpaceDN w:val="0"/>
              <w:adjustRightInd w:val="0"/>
              <w:ind w:left="1440"/>
              <w:rPr>
                <w:sz w:val="22"/>
                <w:szCs w:val="22"/>
              </w:rPr>
            </w:pPr>
            <w:r w:rsidRPr="00AE78C2">
              <w:rPr>
                <w:color w:val="000000"/>
              </w:rPr>
              <w:t>Reduce standard infection ratios (SIR) to 1.00 or below for CLABSI’s, SSI’s and CAUTI’s, in acute care hospitals through application of evidence-based interventions</w:t>
            </w:r>
            <w:r w:rsidRPr="00AE78C2">
              <w:rPr>
                <w:color w:val="365F91"/>
              </w:rPr>
              <w:t>.</w:t>
            </w:r>
          </w:p>
          <w:p w:rsidR="008A25EC" w:rsidRPr="00AE78C2" w:rsidRDefault="008A25EC" w:rsidP="00501010">
            <w:pPr>
              <w:autoSpaceDE w:val="0"/>
              <w:autoSpaceDN w:val="0"/>
              <w:adjustRightInd w:val="0"/>
              <w:rPr>
                <w:sz w:val="22"/>
                <w:szCs w:val="22"/>
              </w:rPr>
            </w:pPr>
            <w:r w:rsidRPr="00AE78C2">
              <w:rPr>
                <w:sz w:val="22"/>
                <w:szCs w:val="22"/>
              </w:rPr>
              <w:t xml:space="preserve"> </w:t>
            </w:r>
          </w:p>
          <w:p w:rsidR="008A25EC" w:rsidRPr="00AE78C2" w:rsidRDefault="008A25EC" w:rsidP="00501010">
            <w:pPr>
              <w:autoSpaceDE w:val="0"/>
              <w:autoSpaceDN w:val="0"/>
              <w:adjustRightInd w:val="0"/>
            </w:pPr>
            <w:hyperlink r:id="rId20" w:history="1">
              <w:r w:rsidRPr="00AE78C2">
                <w:rPr>
                  <w:rStyle w:val="Hyperlink"/>
                </w:rPr>
                <w:t>http://www.mass.gov/eohhs/docs/dph/health-planning/accreditation/state-health-improvement-plan.pdf</w:t>
              </w:r>
            </w:hyperlink>
          </w:p>
          <w:p w:rsidR="008A25EC" w:rsidRPr="00AE78C2" w:rsidRDefault="008A25EC" w:rsidP="00501010">
            <w:pPr>
              <w:autoSpaceDE w:val="0"/>
              <w:autoSpaceDN w:val="0"/>
              <w:adjustRightInd w:val="0"/>
              <w:rPr>
                <w:sz w:val="22"/>
                <w:szCs w:val="22"/>
              </w:rPr>
            </w:pPr>
          </w:p>
        </w:tc>
        <w:tc>
          <w:tcPr>
            <w:tcW w:w="1696" w:type="dxa"/>
            <w:tcBorders>
              <w:top w:val="nil"/>
              <w:left w:val="single" w:sz="4" w:space="0" w:color="auto"/>
              <w:bottom w:val="single" w:sz="4" w:space="0" w:color="auto"/>
              <w:right w:val="single" w:sz="4" w:space="0" w:color="auto"/>
            </w:tcBorders>
            <w:shd w:val="clear" w:color="auto" w:fill="auto"/>
          </w:tcPr>
          <w:p w:rsidR="008A25EC" w:rsidRPr="00AE78C2" w:rsidRDefault="008A25EC" w:rsidP="006B742F">
            <w:pPr>
              <w:autoSpaceDE w:val="0"/>
              <w:autoSpaceDN w:val="0"/>
              <w:adjustRightInd w:val="0"/>
              <w:rPr>
                <w:sz w:val="22"/>
                <w:szCs w:val="22"/>
              </w:rPr>
            </w:pPr>
          </w:p>
          <w:p w:rsidR="0019271C" w:rsidRPr="00AE78C2" w:rsidRDefault="0019271C" w:rsidP="006B742F">
            <w:pPr>
              <w:autoSpaceDE w:val="0"/>
              <w:autoSpaceDN w:val="0"/>
              <w:adjustRightInd w:val="0"/>
              <w:rPr>
                <w:sz w:val="22"/>
                <w:szCs w:val="22"/>
              </w:rPr>
            </w:pPr>
          </w:p>
          <w:p w:rsidR="0019271C" w:rsidRPr="00AE78C2" w:rsidRDefault="0019271C" w:rsidP="006B742F">
            <w:pPr>
              <w:autoSpaceDE w:val="0"/>
              <w:autoSpaceDN w:val="0"/>
              <w:adjustRightInd w:val="0"/>
              <w:rPr>
                <w:sz w:val="22"/>
                <w:szCs w:val="22"/>
              </w:rPr>
            </w:pPr>
          </w:p>
        </w:tc>
      </w:tr>
      <w:tr w:rsidR="00D028FA" w:rsidRPr="00AE78C2" w:rsidTr="00190209">
        <w:tc>
          <w:tcPr>
            <w:tcW w:w="1162" w:type="dxa"/>
            <w:tcBorders>
              <w:top w:val="single" w:sz="4" w:space="0" w:color="auto"/>
              <w:left w:val="single" w:sz="4" w:space="0" w:color="auto"/>
              <w:bottom w:val="single" w:sz="4" w:space="0" w:color="auto"/>
            </w:tcBorders>
            <w:shd w:val="clear" w:color="auto" w:fill="auto"/>
          </w:tcPr>
          <w:p w:rsidR="000A350A" w:rsidRPr="00AE78C2" w:rsidRDefault="000A350A" w:rsidP="006B742F">
            <w:pPr>
              <w:jc w:val="center"/>
              <w:rPr>
                <w:sz w:val="22"/>
                <w:szCs w:val="22"/>
              </w:rPr>
            </w:pPr>
          </w:p>
          <w:p w:rsidR="000A350A" w:rsidRPr="00AE78C2" w:rsidRDefault="000A350A" w:rsidP="006B742F">
            <w:pPr>
              <w:jc w:val="center"/>
              <w:rPr>
                <w:sz w:val="22"/>
                <w:szCs w:val="22"/>
              </w:rPr>
            </w:pPr>
          </w:p>
          <w:p w:rsidR="000A350A" w:rsidRPr="00AE78C2" w:rsidRDefault="000A350A" w:rsidP="006B742F">
            <w:pPr>
              <w:jc w:val="center"/>
              <w:rPr>
                <w:sz w:val="22"/>
                <w:szCs w:val="22"/>
              </w:rPr>
            </w:pPr>
          </w:p>
          <w:p w:rsidR="000A350A" w:rsidRPr="00AE78C2" w:rsidRDefault="000A350A" w:rsidP="006B742F">
            <w:pPr>
              <w:jc w:val="center"/>
              <w:rPr>
                <w:sz w:val="22"/>
                <w:szCs w:val="22"/>
              </w:rPr>
            </w:pPr>
          </w:p>
          <w:p w:rsidR="000A350A" w:rsidRPr="00AE78C2" w:rsidRDefault="000A350A" w:rsidP="006B742F">
            <w:pPr>
              <w:jc w:val="center"/>
              <w:rPr>
                <w:sz w:val="22"/>
                <w:szCs w:val="22"/>
              </w:rPr>
            </w:pPr>
          </w:p>
          <w:p w:rsidR="008F4690" w:rsidRPr="00AE78C2" w:rsidRDefault="008F4690" w:rsidP="006B742F">
            <w:pPr>
              <w:jc w:val="center"/>
              <w:rPr>
                <w:sz w:val="22"/>
                <w:szCs w:val="22"/>
              </w:rPr>
            </w:pPr>
          </w:p>
          <w:p w:rsidR="00D028FA" w:rsidRPr="00AE78C2" w:rsidRDefault="00D028FA" w:rsidP="006B742F">
            <w:pPr>
              <w:jc w:val="center"/>
              <w:rPr>
                <w:sz w:val="22"/>
                <w:szCs w:val="22"/>
              </w:rPr>
            </w:pPr>
            <w:r w:rsidRPr="00AE78C2">
              <w:rPr>
                <w:sz w:val="22"/>
                <w:szCs w:val="22"/>
              </w:rPr>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tcBorders>
              <w:top w:val="single" w:sz="4" w:space="0" w:color="auto"/>
              <w:bottom w:val="single" w:sz="4" w:space="0" w:color="auto"/>
            </w:tcBorders>
          </w:tcPr>
          <w:p w:rsidR="000A350A" w:rsidRPr="00AE78C2" w:rsidRDefault="000A350A" w:rsidP="006B742F">
            <w:pPr>
              <w:autoSpaceDE w:val="0"/>
              <w:autoSpaceDN w:val="0"/>
              <w:adjustRightInd w:val="0"/>
              <w:jc w:val="center"/>
              <w:rPr>
                <w:sz w:val="22"/>
                <w:szCs w:val="22"/>
              </w:rPr>
            </w:pPr>
          </w:p>
          <w:p w:rsidR="000A350A" w:rsidRPr="00AE78C2" w:rsidRDefault="000A350A" w:rsidP="006B742F">
            <w:pPr>
              <w:autoSpaceDE w:val="0"/>
              <w:autoSpaceDN w:val="0"/>
              <w:adjustRightInd w:val="0"/>
              <w:jc w:val="center"/>
              <w:rPr>
                <w:sz w:val="22"/>
                <w:szCs w:val="22"/>
              </w:rPr>
            </w:pPr>
          </w:p>
          <w:p w:rsidR="000A350A" w:rsidRPr="00AE78C2" w:rsidRDefault="000A350A" w:rsidP="006B742F">
            <w:pPr>
              <w:autoSpaceDE w:val="0"/>
              <w:autoSpaceDN w:val="0"/>
              <w:adjustRightInd w:val="0"/>
              <w:jc w:val="center"/>
              <w:rPr>
                <w:sz w:val="22"/>
                <w:szCs w:val="22"/>
              </w:rPr>
            </w:pPr>
          </w:p>
          <w:p w:rsidR="000A350A" w:rsidRPr="00AE78C2" w:rsidRDefault="000A350A" w:rsidP="006B742F">
            <w:pPr>
              <w:autoSpaceDE w:val="0"/>
              <w:autoSpaceDN w:val="0"/>
              <w:adjustRightInd w:val="0"/>
              <w:jc w:val="center"/>
              <w:rPr>
                <w:sz w:val="22"/>
                <w:szCs w:val="22"/>
              </w:rPr>
            </w:pPr>
          </w:p>
          <w:p w:rsidR="000A350A" w:rsidRPr="00AE78C2" w:rsidRDefault="000A350A" w:rsidP="006B742F">
            <w:pPr>
              <w:autoSpaceDE w:val="0"/>
              <w:autoSpaceDN w:val="0"/>
              <w:adjustRightInd w:val="0"/>
              <w:jc w:val="center"/>
              <w:rPr>
                <w:sz w:val="22"/>
                <w:szCs w:val="22"/>
              </w:rPr>
            </w:pPr>
          </w:p>
          <w:p w:rsidR="008F4690" w:rsidRPr="00AE78C2" w:rsidRDefault="008F4690" w:rsidP="006B742F">
            <w:pPr>
              <w:autoSpaceDE w:val="0"/>
              <w:autoSpaceDN w:val="0"/>
              <w:adjustRightInd w:val="0"/>
              <w:jc w:val="center"/>
              <w:rPr>
                <w:sz w:val="22"/>
                <w:szCs w:val="22"/>
              </w:rPr>
            </w:pPr>
          </w:p>
          <w:p w:rsidR="00D028FA" w:rsidRPr="00AE78C2" w:rsidRDefault="008F4690" w:rsidP="006B742F">
            <w:pPr>
              <w:autoSpaceDE w:val="0"/>
              <w:autoSpaceDN w:val="0"/>
              <w:adjustRightInd w:val="0"/>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tcBorders>
              <w:top w:val="single" w:sz="4" w:space="0" w:color="auto"/>
              <w:bottom w:val="single" w:sz="4" w:space="0" w:color="auto"/>
            </w:tcBorders>
            <w:shd w:val="clear" w:color="auto" w:fill="auto"/>
          </w:tcPr>
          <w:p w:rsidR="00D028FA" w:rsidRPr="00AE78C2" w:rsidRDefault="00D028FA" w:rsidP="009B7F2E">
            <w:pPr>
              <w:numPr>
                <w:ilvl w:val="0"/>
                <w:numId w:val="10"/>
              </w:numPr>
              <w:autoSpaceDE w:val="0"/>
              <w:autoSpaceDN w:val="0"/>
              <w:adjustRightInd w:val="0"/>
              <w:rPr>
                <w:b/>
                <w:sz w:val="28"/>
                <w:szCs w:val="28"/>
              </w:rPr>
            </w:pPr>
            <w:r w:rsidRPr="00AE78C2">
              <w:rPr>
                <w:b/>
                <w:sz w:val="28"/>
                <w:szCs w:val="28"/>
              </w:rPr>
              <w:t>Enhance prevention infrastructure by increasing joint collaboratives with at least 20 hospitals  (i.e. this may require a multi-state or regional collaborative in low population density regions)</w:t>
            </w:r>
          </w:p>
          <w:p w:rsidR="0019271C" w:rsidRPr="00AE78C2" w:rsidRDefault="0019271C" w:rsidP="0019271C">
            <w:pPr>
              <w:autoSpaceDE w:val="0"/>
              <w:autoSpaceDN w:val="0"/>
              <w:adjustRightInd w:val="0"/>
              <w:ind w:left="360"/>
              <w:rPr>
                <w:b/>
                <w:sz w:val="28"/>
                <w:szCs w:val="28"/>
              </w:rPr>
            </w:pPr>
          </w:p>
          <w:p w:rsidR="00190209" w:rsidRPr="00AE78C2" w:rsidRDefault="00190209" w:rsidP="000A350A">
            <w:pPr>
              <w:autoSpaceDE w:val="0"/>
              <w:autoSpaceDN w:val="0"/>
              <w:adjustRightInd w:val="0"/>
              <w:ind w:left="757"/>
              <w:rPr>
                <w:color w:val="000000"/>
                <w:sz w:val="22"/>
                <w:szCs w:val="22"/>
              </w:rPr>
            </w:pPr>
            <w:r w:rsidRPr="00AE78C2">
              <w:rPr>
                <w:color w:val="000000"/>
                <w:lang w:val="en"/>
              </w:rPr>
              <w:t>Massachusetts has well established effective prevention collaboratives working strategically at the state level with national partners to support clinicians and health care systems in the prevention of HAI.  Interstate collaboration and coordination of prevention efforts provides an opportunity to strengthen partnerships, share resources and leverage learning to accelerate improvement.</w:t>
            </w:r>
          </w:p>
        </w:tc>
        <w:tc>
          <w:tcPr>
            <w:tcW w:w="1696" w:type="dxa"/>
            <w:tcBorders>
              <w:top w:val="single" w:sz="4" w:space="0" w:color="auto"/>
              <w:bottom w:val="single" w:sz="4" w:space="0" w:color="auto"/>
            </w:tcBorders>
          </w:tcPr>
          <w:p w:rsidR="00190209" w:rsidRPr="00AE78C2" w:rsidRDefault="00190209" w:rsidP="006B742F">
            <w:pPr>
              <w:autoSpaceDE w:val="0"/>
              <w:autoSpaceDN w:val="0"/>
              <w:adjustRightInd w:val="0"/>
              <w:rPr>
                <w:color w:val="365F91"/>
                <w:sz w:val="22"/>
                <w:szCs w:val="22"/>
              </w:rPr>
            </w:pPr>
          </w:p>
          <w:p w:rsidR="00190209" w:rsidRPr="00AE78C2" w:rsidRDefault="00190209" w:rsidP="00190209">
            <w:pPr>
              <w:rPr>
                <w:color w:val="365F91"/>
                <w:sz w:val="22"/>
                <w:szCs w:val="22"/>
              </w:rPr>
            </w:pPr>
          </w:p>
          <w:p w:rsidR="00190209" w:rsidRPr="00AE78C2" w:rsidRDefault="00190209" w:rsidP="00190209">
            <w:pPr>
              <w:rPr>
                <w:color w:val="365F91"/>
                <w:sz w:val="22"/>
                <w:szCs w:val="22"/>
              </w:rPr>
            </w:pPr>
          </w:p>
          <w:p w:rsidR="00CA14A7" w:rsidRPr="00AE78C2" w:rsidRDefault="00CA14A7" w:rsidP="00190209">
            <w:pPr>
              <w:rPr>
                <w:color w:val="365F91"/>
              </w:rPr>
            </w:pPr>
          </w:p>
          <w:p w:rsidR="0019271C" w:rsidRPr="00AE78C2" w:rsidRDefault="0019271C" w:rsidP="00190209">
            <w:pPr>
              <w:rPr>
                <w:color w:val="365F91"/>
              </w:rPr>
            </w:pPr>
          </w:p>
          <w:p w:rsidR="0019271C" w:rsidRPr="00AE78C2" w:rsidRDefault="0019271C" w:rsidP="00190209">
            <w:pPr>
              <w:rPr>
                <w:color w:val="365F91"/>
              </w:rPr>
            </w:pPr>
          </w:p>
          <w:p w:rsidR="00D028FA" w:rsidRPr="00AE78C2" w:rsidRDefault="000E2951" w:rsidP="00190209">
            <w:pPr>
              <w:rPr>
                <w:color w:val="000000"/>
              </w:rPr>
            </w:pPr>
            <w:r w:rsidRPr="00AE78C2">
              <w:rPr>
                <w:color w:val="000000"/>
              </w:rPr>
              <w:t>2016-2017</w:t>
            </w:r>
          </w:p>
        </w:tc>
      </w:tr>
      <w:tr w:rsidR="00D028FA" w:rsidRPr="00AE78C2" w:rsidTr="00190209">
        <w:tc>
          <w:tcPr>
            <w:tcW w:w="2123" w:type="dxa"/>
            <w:gridSpan w:val="2"/>
            <w:tcBorders>
              <w:top w:val="single" w:sz="4" w:space="0" w:color="auto"/>
              <w:left w:val="single" w:sz="4" w:space="0" w:color="auto"/>
              <w:bottom w:val="single" w:sz="4" w:space="0" w:color="auto"/>
            </w:tcBorders>
            <w:shd w:val="clear" w:color="auto" w:fill="auto"/>
          </w:tcPr>
          <w:p w:rsidR="00D028FA" w:rsidRPr="00AE78C2" w:rsidRDefault="00D028FA" w:rsidP="006B742F">
            <w:pPr>
              <w:autoSpaceDE w:val="0"/>
              <w:autoSpaceDN w:val="0"/>
              <w:adjustRightInd w:val="0"/>
              <w:jc w:val="center"/>
              <w:rPr>
                <w:sz w:val="22"/>
                <w:szCs w:val="22"/>
              </w:rPr>
            </w:pPr>
          </w:p>
        </w:tc>
        <w:tc>
          <w:tcPr>
            <w:tcW w:w="8216" w:type="dxa"/>
            <w:tcBorders>
              <w:top w:val="single" w:sz="4" w:space="0" w:color="auto"/>
              <w:bottom w:val="single" w:sz="4" w:space="0" w:color="auto"/>
            </w:tcBorders>
            <w:shd w:val="clear" w:color="auto" w:fill="auto"/>
          </w:tcPr>
          <w:p w:rsidR="00E865D9" w:rsidRPr="00AE78C2" w:rsidRDefault="00D028FA" w:rsidP="006D57DC">
            <w:pPr>
              <w:autoSpaceDE w:val="0"/>
              <w:autoSpaceDN w:val="0"/>
              <w:adjustRightInd w:val="0"/>
              <w:rPr>
                <w:i/>
                <w:sz w:val="22"/>
                <w:szCs w:val="22"/>
              </w:rPr>
            </w:pPr>
            <w:r w:rsidRPr="00AE78C2">
              <w:rPr>
                <w:i/>
                <w:sz w:val="22"/>
                <w:szCs w:val="22"/>
              </w:rPr>
              <w:t>Other activities or descriptions:</w:t>
            </w:r>
          </w:p>
          <w:p w:rsidR="00380F50" w:rsidRPr="00AE78C2" w:rsidRDefault="00380F50" w:rsidP="000A350A">
            <w:pPr>
              <w:autoSpaceDE w:val="0"/>
              <w:autoSpaceDN w:val="0"/>
              <w:adjustRightInd w:val="0"/>
              <w:ind w:left="397"/>
            </w:pPr>
            <w:r w:rsidRPr="00AE78C2">
              <w:t>2010-2012</w:t>
            </w:r>
            <w:r w:rsidR="0019271C" w:rsidRPr="00AE78C2">
              <w:t xml:space="preserve">: </w:t>
            </w:r>
            <w:r w:rsidRPr="00AE78C2">
              <w:t xml:space="preserve"> CDI collaborative consisting of 27 acute care hospitals resulted in a 25% decrease in hospital</w:t>
            </w:r>
            <w:r w:rsidR="00E865D9" w:rsidRPr="00AE78C2">
              <w:t>-</w:t>
            </w:r>
            <w:r w:rsidRPr="00AE78C2">
              <w:t>acquired CDI.</w:t>
            </w:r>
          </w:p>
          <w:p w:rsidR="00D016C6" w:rsidRPr="00AE78C2" w:rsidRDefault="00D016C6" w:rsidP="006D57DC">
            <w:pPr>
              <w:autoSpaceDE w:val="0"/>
              <w:autoSpaceDN w:val="0"/>
              <w:adjustRightInd w:val="0"/>
              <w:rPr>
                <w:sz w:val="22"/>
                <w:szCs w:val="22"/>
              </w:rPr>
            </w:pPr>
          </w:p>
        </w:tc>
        <w:tc>
          <w:tcPr>
            <w:tcW w:w="1696" w:type="dxa"/>
            <w:tcBorders>
              <w:top w:val="single" w:sz="4" w:space="0" w:color="auto"/>
              <w:bottom w:val="single" w:sz="4" w:space="0" w:color="auto"/>
            </w:tcBorders>
          </w:tcPr>
          <w:p w:rsidR="00D028FA" w:rsidRPr="00AE78C2" w:rsidRDefault="00D028FA" w:rsidP="006B742F">
            <w:pPr>
              <w:autoSpaceDE w:val="0"/>
              <w:autoSpaceDN w:val="0"/>
              <w:adjustRightInd w:val="0"/>
              <w:rPr>
                <w:sz w:val="22"/>
                <w:szCs w:val="22"/>
              </w:rPr>
            </w:pPr>
          </w:p>
        </w:tc>
      </w:tr>
      <w:tr w:rsidR="00D028FA" w:rsidRPr="00AE78C2" w:rsidTr="000A350A">
        <w:tc>
          <w:tcPr>
            <w:tcW w:w="1162" w:type="dxa"/>
            <w:tcBorders>
              <w:left w:val="single" w:sz="4" w:space="0" w:color="auto"/>
            </w:tcBorders>
            <w:shd w:val="clear" w:color="auto" w:fill="auto"/>
          </w:tcPr>
          <w:p w:rsidR="008F4690" w:rsidRPr="00AE78C2" w:rsidRDefault="008F4690" w:rsidP="006B742F">
            <w:pPr>
              <w:jc w:val="center"/>
              <w:rPr>
                <w:sz w:val="22"/>
                <w:szCs w:val="22"/>
              </w:rPr>
            </w:pPr>
          </w:p>
          <w:p w:rsidR="008F4690" w:rsidRPr="00AE78C2" w:rsidRDefault="008F4690" w:rsidP="006B742F">
            <w:pPr>
              <w:jc w:val="center"/>
              <w:rPr>
                <w:sz w:val="22"/>
                <w:szCs w:val="22"/>
              </w:rPr>
            </w:pPr>
          </w:p>
          <w:p w:rsidR="008F4690" w:rsidRPr="00AE78C2" w:rsidRDefault="008F4690" w:rsidP="006B742F">
            <w:pPr>
              <w:jc w:val="center"/>
              <w:rPr>
                <w:sz w:val="22"/>
                <w:szCs w:val="22"/>
              </w:rPr>
            </w:pPr>
          </w:p>
          <w:p w:rsidR="00D028FA" w:rsidRPr="00AE78C2" w:rsidRDefault="008F4690"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961" w:type="dxa"/>
            <w:shd w:val="clear" w:color="auto" w:fill="auto"/>
          </w:tcPr>
          <w:p w:rsidR="008F4690" w:rsidRPr="00AE78C2" w:rsidRDefault="008F4690" w:rsidP="006B742F">
            <w:pPr>
              <w:autoSpaceDE w:val="0"/>
              <w:autoSpaceDN w:val="0"/>
              <w:adjustRightInd w:val="0"/>
              <w:jc w:val="center"/>
              <w:rPr>
                <w:sz w:val="22"/>
                <w:szCs w:val="22"/>
              </w:rPr>
            </w:pPr>
          </w:p>
          <w:p w:rsidR="008F4690" w:rsidRPr="00AE78C2" w:rsidRDefault="008F4690" w:rsidP="006B742F">
            <w:pPr>
              <w:autoSpaceDE w:val="0"/>
              <w:autoSpaceDN w:val="0"/>
              <w:adjustRightInd w:val="0"/>
              <w:jc w:val="center"/>
              <w:rPr>
                <w:sz w:val="22"/>
                <w:szCs w:val="22"/>
              </w:rPr>
            </w:pPr>
          </w:p>
          <w:p w:rsidR="008F4690" w:rsidRPr="00AE78C2" w:rsidRDefault="008F4690" w:rsidP="006B742F">
            <w:pPr>
              <w:autoSpaceDE w:val="0"/>
              <w:autoSpaceDN w:val="0"/>
              <w:adjustRightInd w:val="0"/>
              <w:jc w:val="center"/>
              <w:rPr>
                <w:sz w:val="22"/>
                <w:szCs w:val="22"/>
              </w:rPr>
            </w:pPr>
          </w:p>
          <w:p w:rsidR="00D028FA" w:rsidRPr="00AE78C2" w:rsidRDefault="00D028FA" w:rsidP="006B742F">
            <w:pPr>
              <w:autoSpaceDE w:val="0"/>
              <w:autoSpaceDN w:val="0"/>
              <w:adjustRightInd w:val="0"/>
              <w:jc w:val="center"/>
              <w:rPr>
                <w:sz w:val="22"/>
                <w:szCs w:val="22"/>
              </w:rPr>
            </w:pPr>
            <w:r w:rsidRPr="00AE78C2">
              <w:rPr>
                <w:sz w:val="22"/>
                <w:szCs w:val="22"/>
              </w:rPr>
              <w:lastRenderedPageBreak/>
              <w:fldChar w:fldCharType="begin">
                <w:ffData>
                  <w:name w:val="Check4"/>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8216" w:type="dxa"/>
            <w:shd w:val="clear" w:color="auto" w:fill="auto"/>
          </w:tcPr>
          <w:p w:rsidR="00D028FA" w:rsidRPr="00AE78C2" w:rsidRDefault="00D028FA" w:rsidP="009B7F2E">
            <w:pPr>
              <w:numPr>
                <w:ilvl w:val="0"/>
                <w:numId w:val="10"/>
              </w:numPr>
              <w:autoSpaceDE w:val="0"/>
              <w:autoSpaceDN w:val="0"/>
              <w:adjustRightInd w:val="0"/>
              <w:rPr>
                <w:sz w:val="22"/>
                <w:szCs w:val="22"/>
              </w:rPr>
            </w:pPr>
            <w:r w:rsidRPr="00AE78C2">
              <w:rPr>
                <w:b/>
                <w:sz w:val="28"/>
                <w:szCs w:val="28"/>
              </w:rPr>
              <w:lastRenderedPageBreak/>
              <w:t>Establish collaborative(s) to prevent HAIs in nonhospital settings (e.g., long term care, dialysis</w:t>
            </w:r>
            <w:r w:rsidRPr="00AE78C2">
              <w:rPr>
                <w:sz w:val="22"/>
                <w:szCs w:val="22"/>
              </w:rPr>
              <w:t>)</w:t>
            </w:r>
          </w:p>
          <w:p w:rsidR="003F76B1" w:rsidRPr="00AE78C2" w:rsidRDefault="003F76B1" w:rsidP="00EE1036">
            <w:pPr>
              <w:autoSpaceDE w:val="0"/>
              <w:autoSpaceDN w:val="0"/>
              <w:adjustRightInd w:val="0"/>
              <w:ind w:left="360"/>
              <w:rPr>
                <w:sz w:val="22"/>
                <w:szCs w:val="22"/>
              </w:rPr>
            </w:pPr>
          </w:p>
          <w:p w:rsidR="00237176" w:rsidRPr="00AE78C2" w:rsidRDefault="006542A5" w:rsidP="00E865D9">
            <w:pPr>
              <w:autoSpaceDE w:val="0"/>
              <w:autoSpaceDN w:val="0"/>
              <w:adjustRightInd w:val="0"/>
              <w:ind w:left="360"/>
              <w:rPr>
                <w:color w:val="000000"/>
              </w:rPr>
            </w:pPr>
            <w:r w:rsidRPr="00AE78C2">
              <w:rPr>
                <w:color w:val="000000"/>
              </w:rPr>
              <w:lastRenderedPageBreak/>
              <w:t xml:space="preserve">With support from CDC and IPRO, the ESRD QIO, MDPH has developed </w:t>
            </w:r>
            <w:r w:rsidR="00237176" w:rsidRPr="00AE78C2">
              <w:rPr>
                <w:color w:val="000000"/>
              </w:rPr>
              <w:t xml:space="preserve">a </w:t>
            </w:r>
            <w:r w:rsidRPr="00AE78C2">
              <w:rPr>
                <w:color w:val="000000"/>
              </w:rPr>
              <w:t>series of trainings for dialysis nurses.  The primary goal of the trainings is to prevent infections in hemodialysis settings u</w:t>
            </w:r>
            <w:r w:rsidR="00237176" w:rsidRPr="00AE78C2">
              <w:rPr>
                <w:color w:val="000000"/>
              </w:rPr>
              <w:t>tilizing CDCs Core Interventions.</w:t>
            </w:r>
            <w:r w:rsidRPr="00AE78C2">
              <w:rPr>
                <w:color w:val="000000"/>
              </w:rPr>
              <w:t xml:space="preserve"> </w:t>
            </w:r>
            <w:r w:rsidR="00237176" w:rsidRPr="00AE78C2">
              <w:rPr>
                <w:color w:val="000000"/>
              </w:rPr>
              <w:t xml:space="preserve">An innovative teaching modality that has been utilized in the trainings is the use of simulation exercises to enhance learning. </w:t>
            </w:r>
          </w:p>
          <w:p w:rsidR="006542A5" w:rsidRPr="00AE78C2" w:rsidRDefault="006542A5" w:rsidP="00E865D9">
            <w:pPr>
              <w:autoSpaceDE w:val="0"/>
              <w:autoSpaceDN w:val="0"/>
              <w:adjustRightInd w:val="0"/>
              <w:rPr>
                <w:color w:val="000000"/>
              </w:rPr>
            </w:pPr>
          </w:p>
          <w:p w:rsidR="00190209" w:rsidRPr="00AE78C2" w:rsidRDefault="003F76B1" w:rsidP="005119BB">
            <w:pPr>
              <w:autoSpaceDE w:val="0"/>
              <w:autoSpaceDN w:val="0"/>
              <w:adjustRightInd w:val="0"/>
              <w:ind w:left="360"/>
              <w:rPr>
                <w:color w:val="365F91"/>
                <w:sz w:val="22"/>
                <w:szCs w:val="22"/>
              </w:rPr>
            </w:pPr>
            <w:r w:rsidRPr="00AE78C2">
              <w:rPr>
                <w:color w:val="000000"/>
              </w:rPr>
              <w:t>MDPH is collaborating with the Healthcentric</w:t>
            </w:r>
            <w:r w:rsidR="005119BB" w:rsidRPr="00AE78C2">
              <w:rPr>
                <w:color w:val="000000"/>
              </w:rPr>
              <w:t>s</w:t>
            </w:r>
            <w:r w:rsidRPr="00AE78C2">
              <w:rPr>
                <w:color w:val="000000"/>
              </w:rPr>
              <w:t xml:space="preserve"> on the </w:t>
            </w:r>
            <w:r w:rsidR="00E865D9" w:rsidRPr="00AE78C2">
              <w:rPr>
                <w:color w:val="000000"/>
              </w:rPr>
              <w:t xml:space="preserve">CMS QIN-QIO CDI reporting and </w:t>
            </w:r>
            <w:r w:rsidRPr="00AE78C2">
              <w:rPr>
                <w:color w:val="000000"/>
              </w:rPr>
              <w:t>reduction project. Program objectives include enrolling Massachusetts nursing homes in the CDC’s National Healthcare</w:t>
            </w:r>
            <w:r w:rsidR="006542A5" w:rsidRPr="00AE78C2">
              <w:rPr>
                <w:color w:val="000000"/>
              </w:rPr>
              <w:t xml:space="preserve"> S</w:t>
            </w:r>
            <w:r w:rsidRPr="00AE78C2">
              <w:rPr>
                <w:color w:val="000000"/>
              </w:rPr>
              <w:t>afety Network</w:t>
            </w:r>
            <w:r w:rsidR="006542A5" w:rsidRPr="00AE78C2">
              <w:rPr>
                <w:color w:val="000000"/>
              </w:rPr>
              <w:t>, providing tools and</w:t>
            </w:r>
            <w:r w:rsidRPr="00AE78C2">
              <w:rPr>
                <w:color w:val="000000"/>
              </w:rPr>
              <w:t xml:space="preserve"> </w:t>
            </w:r>
            <w:r w:rsidR="006542A5" w:rsidRPr="00AE78C2">
              <w:rPr>
                <w:color w:val="000000"/>
              </w:rPr>
              <w:t>educational resources to promote improvement and using data to drive change.</w:t>
            </w:r>
          </w:p>
        </w:tc>
        <w:tc>
          <w:tcPr>
            <w:tcW w:w="1696" w:type="dxa"/>
            <w:shd w:val="clear" w:color="auto" w:fill="auto"/>
          </w:tcPr>
          <w:p w:rsidR="00D028FA" w:rsidRPr="00AE78C2" w:rsidRDefault="00D028FA" w:rsidP="00EE1036">
            <w:pPr>
              <w:autoSpaceDE w:val="0"/>
              <w:autoSpaceDN w:val="0"/>
              <w:adjustRightInd w:val="0"/>
              <w:rPr>
                <w:sz w:val="22"/>
                <w:szCs w:val="22"/>
              </w:rPr>
            </w:pPr>
          </w:p>
          <w:p w:rsidR="003F76B1" w:rsidRPr="00AE78C2" w:rsidRDefault="003F76B1" w:rsidP="00EE1036">
            <w:pPr>
              <w:autoSpaceDE w:val="0"/>
              <w:autoSpaceDN w:val="0"/>
              <w:adjustRightInd w:val="0"/>
              <w:rPr>
                <w:sz w:val="22"/>
                <w:szCs w:val="22"/>
              </w:rPr>
            </w:pPr>
          </w:p>
          <w:p w:rsidR="003F76B1" w:rsidRPr="00AE78C2" w:rsidRDefault="003F76B1" w:rsidP="00EE1036">
            <w:pPr>
              <w:autoSpaceDE w:val="0"/>
              <w:autoSpaceDN w:val="0"/>
              <w:adjustRightInd w:val="0"/>
              <w:rPr>
                <w:sz w:val="22"/>
                <w:szCs w:val="22"/>
              </w:rPr>
            </w:pPr>
          </w:p>
          <w:p w:rsidR="006542A5" w:rsidRPr="00AE78C2" w:rsidRDefault="006542A5" w:rsidP="00EE1036">
            <w:pPr>
              <w:autoSpaceDE w:val="0"/>
              <w:autoSpaceDN w:val="0"/>
              <w:adjustRightInd w:val="0"/>
              <w:rPr>
                <w:sz w:val="22"/>
                <w:szCs w:val="22"/>
              </w:rPr>
            </w:pPr>
          </w:p>
          <w:p w:rsidR="006542A5" w:rsidRPr="00AE78C2" w:rsidRDefault="00237176" w:rsidP="00EE1036">
            <w:pPr>
              <w:autoSpaceDE w:val="0"/>
              <w:autoSpaceDN w:val="0"/>
              <w:adjustRightInd w:val="0"/>
              <w:rPr>
                <w:color w:val="000000"/>
              </w:rPr>
            </w:pPr>
            <w:r w:rsidRPr="00AE78C2">
              <w:rPr>
                <w:color w:val="000000"/>
              </w:rPr>
              <w:t xml:space="preserve">2014 and ongoing </w:t>
            </w:r>
          </w:p>
          <w:p w:rsidR="006542A5" w:rsidRPr="00AE78C2" w:rsidRDefault="006542A5" w:rsidP="00EE1036">
            <w:pPr>
              <w:autoSpaceDE w:val="0"/>
              <w:autoSpaceDN w:val="0"/>
              <w:adjustRightInd w:val="0"/>
              <w:rPr>
                <w:color w:val="000000"/>
              </w:rPr>
            </w:pPr>
          </w:p>
          <w:p w:rsidR="00237176" w:rsidRPr="00AE78C2" w:rsidRDefault="00237176" w:rsidP="00EE1036">
            <w:pPr>
              <w:autoSpaceDE w:val="0"/>
              <w:autoSpaceDN w:val="0"/>
              <w:adjustRightInd w:val="0"/>
              <w:rPr>
                <w:color w:val="000000"/>
              </w:rPr>
            </w:pPr>
          </w:p>
          <w:p w:rsidR="00237176" w:rsidRPr="00AE78C2" w:rsidRDefault="00237176" w:rsidP="00EE1036">
            <w:pPr>
              <w:autoSpaceDE w:val="0"/>
              <w:autoSpaceDN w:val="0"/>
              <w:adjustRightInd w:val="0"/>
              <w:rPr>
                <w:color w:val="000000"/>
              </w:rPr>
            </w:pPr>
          </w:p>
          <w:p w:rsidR="00237176" w:rsidRPr="00AE78C2" w:rsidRDefault="00237176" w:rsidP="00EE1036">
            <w:pPr>
              <w:autoSpaceDE w:val="0"/>
              <w:autoSpaceDN w:val="0"/>
              <w:adjustRightInd w:val="0"/>
              <w:rPr>
                <w:color w:val="000000"/>
              </w:rPr>
            </w:pPr>
          </w:p>
          <w:p w:rsidR="003F76B1" w:rsidRPr="00AE78C2" w:rsidRDefault="003F76B1" w:rsidP="00EE1036">
            <w:pPr>
              <w:autoSpaceDE w:val="0"/>
              <w:autoSpaceDN w:val="0"/>
              <w:adjustRightInd w:val="0"/>
              <w:rPr>
                <w:sz w:val="22"/>
                <w:szCs w:val="22"/>
              </w:rPr>
            </w:pPr>
            <w:r w:rsidRPr="00AE78C2">
              <w:rPr>
                <w:color w:val="000000"/>
              </w:rPr>
              <w:t>2016 and ongoing</w:t>
            </w:r>
            <w:r w:rsidRPr="00AE78C2">
              <w:rPr>
                <w:sz w:val="22"/>
                <w:szCs w:val="22"/>
              </w:rPr>
              <w:t xml:space="preserve"> </w:t>
            </w:r>
          </w:p>
        </w:tc>
      </w:tr>
      <w:tr w:rsidR="008A25EC" w:rsidRPr="00AE78C2" w:rsidTr="009B7F2E">
        <w:tc>
          <w:tcPr>
            <w:tcW w:w="2123" w:type="dxa"/>
            <w:gridSpan w:val="2"/>
            <w:tcBorders>
              <w:left w:val="single" w:sz="4" w:space="0" w:color="auto"/>
            </w:tcBorders>
            <w:shd w:val="clear" w:color="auto" w:fill="auto"/>
          </w:tcPr>
          <w:p w:rsidR="008A25EC" w:rsidRPr="00AE78C2" w:rsidRDefault="008A25EC" w:rsidP="006B742F">
            <w:pPr>
              <w:autoSpaceDE w:val="0"/>
              <w:autoSpaceDN w:val="0"/>
              <w:adjustRightInd w:val="0"/>
              <w:jc w:val="center"/>
              <w:rPr>
                <w:sz w:val="22"/>
                <w:szCs w:val="22"/>
              </w:rPr>
            </w:pPr>
          </w:p>
        </w:tc>
        <w:tc>
          <w:tcPr>
            <w:tcW w:w="8216" w:type="dxa"/>
            <w:shd w:val="clear" w:color="auto" w:fill="auto"/>
          </w:tcPr>
          <w:p w:rsidR="008A25EC" w:rsidRPr="00AE78C2" w:rsidRDefault="008A25EC" w:rsidP="00D209E2">
            <w:pPr>
              <w:autoSpaceDE w:val="0"/>
              <w:autoSpaceDN w:val="0"/>
              <w:adjustRightInd w:val="0"/>
              <w:rPr>
                <w:i/>
                <w:sz w:val="22"/>
                <w:szCs w:val="22"/>
              </w:rPr>
            </w:pPr>
            <w:r w:rsidRPr="00AE78C2">
              <w:rPr>
                <w:i/>
                <w:sz w:val="22"/>
                <w:szCs w:val="22"/>
              </w:rPr>
              <w:t>Other activities or descriptions:</w:t>
            </w:r>
          </w:p>
          <w:p w:rsidR="00BC1800" w:rsidRPr="00AE78C2" w:rsidRDefault="00BC1800" w:rsidP="00BC1800">
            <w:pPr>
              <w:autoSpaceDE w:val="0"/>
              <w:autoSpaceDN w:val="0"/>
              <w:adjustRightInd w:val="0"/>
              <w:ind w:left="397"/>
            </w:pPr>
            <w:r w:rsidRPr="00AE78C2">
              <w:t>Selected Past Initiatives (2011-2102):</w:t>
            </w:r>
          </w:p>
          <w:p w:rsidR="008A25EC" w:rsidRPr="00AE78C2" w:rsidRDefault="008A25EC" w:rsidP="000A350A">
            <w:pPr>
              <w:autoSpaceDE w:val="0"/>
              <w:autoSpaceDN w:val="0"/>
              <w:adjustRightInd w:val="0"/>
              <w:ind w:left="397"/>
              <w:rPr>
                <w:color w:val="365F91"/>
              </w:rPr>
            </w:pPr>
          </w:p>
          <w:p w:rsidR="008A25EC" w:rsidRPr="00AE78C2" w:rsidRDefault="008A25EC" w:rsidP="00BC1800">
            <w:pPr>
              <w:autoSpaceDE w:val="0"/>
              <w:autoSpaceDN w:val="0"/>
              <w:adjustRightInd w:val="0"/>
              <w:ind w:left="720"/>
              <w:rPr>
                <w:color w:val="000000"/>
              </w:rPr>
            </w:pPr>
            <w:r w:rsidRPr="00AE78C2">
              <w:rPr>
                <w:color w:val="000000"/>
              </w:rPr>
              <w:t>Improving Evaluation of Urinary Tract Infections in the Elderly:</w:t>
            </w:r>
          </w:p>
          <w:p w:rsidR="008A25EC" w:rsidRPr="00AE78C2" w:rsidRDefault="008A25EC" w:rsidP="00BC1800">
            <w:pPr>
              <w:autoSpaceDE w:val="0"/>
              <w:autoSpaceDN w:val="0"/>
              <w:adjustRightInd w:val="0"/>
              <w:ind w:left="720"/>
              <w:rPr>
                <w:color w:val="000000"/>
              </w:rPr>
            </w:pPr>
            <w:r w:rsidRPr="00AE78C2">
              <w:rPr>
                <w:color w:val="000000"/>
              </w:rPr>
              <w:t xml:space="preserve">Collaborative on Antibiotic Stewardship for Seniors in Long Term Care </w:t>
            </w:r>
          </w:p>
          <w:p w:rsidR="008A25EC" w:rsidRPr="00AE78C2" w:rsidRDefault="008A25EC" w:rsidP="00BC1800">
            <w:pPr>
              <w:autoSpaceDE w:val="0"/>
              <w:autoSpaceDN w:val="0"/>
              <w:adjustRightInd w:val="0"/>
              <w:ind w:left="720"/>
              <w:rPr>
                <w:color w:val="000000"/>
              </w:rPr>
            </w:pPr>
          </w:p>
          <w:p w:rsidR="008A25EC" w:rsidRPr="00AE78C2" w:rsidRDefault="008A25EC" w:rsidP="00BC1800">
            <w:pPr>
              <w:autoSpaceDE w:val="0"/>
              <w:autoSpaceDN w:val="0"/>
              <w:adjustRightInd w:val="0"/>
              <w:ind w:left="720"/>
              <w:rPr>
                <w:color w:val="000000"/>
              </w:rPr>
            </w:pPr>
            <w:r w:rsidRPr="00AE78C2">
              <w:rPr>
                <w:color w:val="000000"/>
              </w:rPr>
              <w:t xml:space="preserve">The focus of the collaborative was to reduce the inappropriate use of antibiotics. Faculty coached clinical staff in long term care facilities and hospital emergency departments to: </w:t>
            </w:r>
          </w:p>
          <w:p w:rsidR="008A25EC" w:rsidRPr="00AE78C2" w:rsidRDefault="008A25EC" w:rsidP="00BC1800">
            <w:pPr>
              <w:autoSpaceDE w:val="0"/>
              <w:autoSpaceDN w:val="0"/>
              <w:adjustRightInd w:val="0"/>
              <w:ind w:left="720"/>
              <w:rPr>
                <w:color w:val="000000"/>
              </w:rPr>
            </w:pPr>
          </w:p>
          <w:p w:rsidR="008A25EC" w:rsidRPr="00AE78C2" w:rsidRDefault="008A25EC" w:rsidP="00BC1800">
            <w:pPr>
              <w:autoSpaceDE w:val="0"/>
              <w:autoSpaceDN w:val="0"/>
              <w:adjustRightInd w:val="0"/>
              <w:ind w:left="720"/>
              <w:rPr>
                <w:color w:val="000000"/>
              </w:rPr>
            </w:pPr>
            <w:r w:rsidRPr="00AE78C2">
              <w:rPr>
                <w:color w:val="000000"/>
              </w:rPr>
              <w:t xml:space="preserve">• Improve evaluation and treatment of urinary tract infection. </w:t>
            </w:r>
          </w:p>
          <w:p w:rsidR="008A25EC" w:rsidRPr="00AE78C2" w:rsidRDefault="008A25EC" w:rsidP="00BC1800">
            <w:pPr>
              <w:autoSpaceDE w:val="0"/>
              <w:autoSpaceDN w:val="0"/>
              <w:adjustRightInd w:val="0"/>
              <w:ind w:left="720"/>
              <w:rPr>
                <w:color w:val="000000"/>
              </w:rPr>
            </w:pPr>
            <w:r w:rsidRPr="00AE78C2">
              <w:rPr>
                <w:color w:val="000000"/>
              </w:rPr>
              <w:t xml:space="preserve">• Decrease treatment for asymptomatic bacteriuria. </w:t>
            </w:r>
          </w:p>
          <w:p w:rsidR="008A25EC" w:rsidRPr="00AE78C2" w:rsidRDefault="008A25EC" w:rsidP="00BC1800">
            <w:pPr>
              <w:autoSpaceDE w:val="0"/>
              <w:autoSpaceDN w:val="0"/>
              <w:adjustRightInd w:val="0"/>
              <w:ind w:left="720"/>
              <w:rPr>
                <w:color w:val="000000"/>
              </w:rPr>
            </w:pPr>
            <w:r w:rsidRPr="00AE78C2">
              <w:rPr>
                <w:color w:val="000000"/>
              </w:rPr>
              <w:t xml:space="preserve">• Use clinical quality improvement tools for decision support. </w:t>
            </w:r>
          </w:p>
          <w:p w:rsidR="008A25EC" w:rsidRPr="00AE78C2" w:rsidRDefault="008A25EC" w:rsidP="00BC1800">
            <w:pPr>
              <w:autoSpaceDE w:val="0"/>
              <w:autoSpaceDN w:val="0"/>
              <w:adjustRightInd w:val="0"/>
              <w:ind w:left="720"/>
              <w:rPr>
                <w:color w:val="000000"/>
              </w:rPr>
            </w:pPr>
            <w:r w:rsidRPr="00AE78C2">
              <w:rPr>
                <w:color w:val="000000"/>
              </w:rPr>
              <w:t>• Communicate with patients and their loved ones for safer care.</w:t>
            </w:r>
          </w:p>
          <w:p w:rsidR="008A25EC" w:rsidRPr="00AE78C2" w:rsidRDefault="008A25EC" w:rsidP="00BC1800">
            <w:pPr>
              <w:autoSpaceDE w:val="0"/>
              <w:autoSpaceDN w:val="0"/>
              <w:adjustRightInd w:val="0"/>
              <w:ind w:left="720"/>
              <w:rPr>
                <w:color w:val="365F91"/>
              </w:rPr>
            </w:pPr>
          </w:p>
          <w:p w:rsidR="008A25EC" w:rsidRPr="00AE78C2" w:rsidRDefault="008A25EC" w:rsidP="00BC1800">
            <w:pPr>
              <w:autoSpaceDE w:val="0"/>
              <w:autoSpaceDN w:val="0"/>
              <w:adjustRightInd w:val="0"/>
              <w:ind w:left="720"/>
              <w:rPr>
                <w:color w:val="365F91"/>
              </w:rPr>
            </w:pPr>
            <w:hyperlink r:id="rId21" w:history="1">
              <w:r w:rsidRPr="00AE78C2">
                <w:rPr>
                  <w:rStyle w:val="Hyperlink"/>
                </w:rPr>
                <w:t>http://www.</w:t>
              </w:r>
              <w:r w:rsidRPr="00AE78C2">
                <w:rPr>
                  <w:rStyle w:val="Hyperlink"/>
                </w:rPr>
                <w:t>m</w:t>
              </w:r>
              <w:r w:rsidRPr="00AE78C2">
                <w:rPr>
                  <w:rStyle w:val="Hyperlink"/>
                </w:rPr>
                <w:t>acoalition.org/evaluation-and-treatment-uti-in-elderly.shtml#webinars</w:t>
              </w:r>
            </w:hyperlink>
          </w:p>
          <w:p w:rsidR="008A25EC" w:rsidRPr="00AE78C2" w:rsidRDefault="008A25EC" w:rsidP="000A350A">
            <w:pPr>
              <w:autoSpaceDE w:val="0"/>
              <w:autoSpaceDN w:val="0"/>
              <w:adjustRightInd w:val="0"/>
              <w:ind w:left="397"/>
              <w:rPr>
                <w:i/>
                <w:sz w:val="22"/>
                <w:szCs w:val="22"/>
              </w:rPr>
            </w:pPr>
          </w:p>
          <w:p w:rsidR="008A25EC" w:rsidRPr="00AE78C2" w:rsidRDefault="008A25EC" w:rsidP="000A350A">
            <w:pPr>
              <w:autoSpaceDE w:val="0"/>
              <w:autoSpaceDN w:val="0"/>
              <w:adjustRightInd w:val="0"/>
              <w:ind w:left="397"/>
              <w:rPr>
                <w:color w:val="000000"/>
              </w:rPr>
            </w:pPr>
            <w:r w:rsidRPr="00AE78C2">
              <w:rPr>
                <w:color w:val="000000"/>
              </w:rPr>
              <w:t>MDPH staff will continue to promote participation by free standing dialysis center staff in the CDC Hemodialysis Collaborative.</w:t>
            </w:r>
          </w:p>
        </w:tc>
        <w:tc>
          <w:tcPr>
            <w:tcW w:w="1696" w:type="dxa"/>
            <w:shd w:val="clear" w:color="auto" w:fill="auto"/>
          </w:tcPr>
          <w:p w:rsidR="008A25EC" w:rsidRPr="00AE78C2" w:rsidRDefault="008A25EC" w:rsidP="00190209">
            <w:pPr>
              <w:rPr>
                <w:sz w:val="22"/>
                <w:szCs w:val="22"/>
              </w:rPr>
            </w:pPr>
          </w:p>
          <w:p w:rsidR="008A25EC" w:rsidRPr="00AE78C2" w:rsidRDefault="008A25EC" w:rsidP="00BC1800">
            <w:pPr>
              <w:rPr>
                <w:sz w:val="22"/>
                <w:szCs w:val="22"/>
              </w:rPr>
            </w:pPr>
          </w:p>
        </w:tc>
      </w:tr>
    </w:tbl>
    <w:p w:rsidR="006D57DC" w:rsidRPr="00AE78C2" w:rsidRDefault="006D57DC" w:rsidP="003B4420">
      <w:pPr>
        <w:rPr>
          <w:b/>
          <w:sz w:val="22"/>
          <w:szCs w:val="22"/>
        </w:rPr>
        <w:sectPr w:rsidR="006D57DC" w:rsidRPr="00AE78C2" w:rsidSect="00042757">
          <w:type w:val="continuous"/>
          <w:pgSz w:w="15840" w:h="12240" w:orient="landscape"/>
          <w:pgMar w:top="1440" w:right="1440" w:bottom="1440" w:left="1440" w:header="720" w:footer="720" w:gutter="0"/>
          <w:cols w:space="720"/>
          <w:noEndnote/>
        </w:sectPr>
      </w:pPr>
    </w:p>
    <w:p w:rsidR="00654A5B" w:rsidRPr="00AE78C2" w:rsidRDefault="008152EC" w:rsidP="003B4420">
      <w:pPr>
        <w:rPr>
          <w:b/>
          <w:sz w:val="22"/>
          <w:szCs w:val="22"/>
        </w:rPr>
      </w:pPr>
      <w:r w:rsidRPr="00AE78C2">
        <w:rPr>
          <w:b/>
          <w:sz w:val="22"/>
          <w:szCs w:val="22"/>
        </w:rPr>
        <w:lastRenderedPageBreak/>
        <w:br w:type="page"/>
      </w:r>
      <w:r w:rsidR="00690A0A" w:rsidRPr="00AE78C2">
        <w:rPr>
          <w:b/>
          <w:sz w:val="22"/>
          <w:szCs w:val="22"/>
        </w:rPr>
        <w:lastRenderedPageBreak/>
        <w:t>4</w:t>
      </w:r>
      <w:r w:rsidR="00654A5B" w:rsidRPr="00AE78C2">
        <w:rPr>
          <w:b/>
          <w:sz w:val="22"/>
          <w:szCs w:val="22"/>
        </w:rPr>
        <w:t>. Evaluation and Communication</w:t>
      </w:r>
    </w:p>
    <w:p w:rsidR="00AB04D4" w:rsidRPr="00AE78C2" w:rsidRDefault="00AB04D4" w:rsidP="00124921">
      <w:pPr>
        <w:ind w:left="360"/>
        <w:rPr>
          <w:sz w:val="22"/>
          <w:szCs w:val="22"/>
        </w:rPr>
      </w:pPr>
    </w:p>
    <w:p w:rsidR="002957AC" w:rsidRPr="00AE78C2" w:rsidRDefault="002957AC" w:rsidP="007E3D45">
      <w:pPr>
        <w:ind w:left="360"/>
        <w:rPr>
          <w:sz w:val="22"/>
          <w:szCs w:val="22"/>
        </w:rPr>
      </w:pPr>
      <w:r w:rsidRPr="00AE78C2">
        <w:rPr>
          <w:sz w:val="22"/>
          <w:szCs w:val="22"/>
        </w:rPr>
        <w:t>Program evaluation is an essential organizational practice in public health</w:t>
      </w:r>
      <w:r w:rsidR="007E3D45" w:rsidRPr="00AE78C2">
        <w:rPr>
          <w:sz w:val="22"/>
          <w:szCs w:val="22"/>
        </w:rPr>
        <w:t xml:space="preserve">.  Continuous evaluation and communication of </w:t>
      </w:r>
      <w:r w:rsidR="008119DA" w:rsidRPr="00AE78C2">
        <w:rPr>
          <w:sz w:val="22"/>
          <w:szCs w:val="22"/>
        </w:rPr>
        <w:t>f</w:t>
      </w:r>
      <w:r w:rsidR="007E3D45" w:rsidRPr="00AE78C2">
        <w:rPr>
          <w:sz w:val="22"/>
          <w:szCs w:val="22"/>
        </w:rPr>
        <w:t xml:space="preserve">indings integrates </w:t>
      </w:r>
      <w:r w:rsidRPr="00AE78C2">
        <w:rPr>
          <w:sz w:val="22"/>
          <w:szCs w:val="22"/>
        </w:rPr>
        <w:t xml:space="preserve">science as a basis </w:t>
      </w:r>
      <w:r w:rsidR="007E3D45" w:rsidRPr="00AE78C2">
        <w:rPr>
          <w:sz w:val="22"/>
          <w:szCs w:val="22"/>
        </w:rPr>
        <w:t xml:space="preserve">for decision-making and action for the prevention of HAIs.  Evaluation and communication </w:t>
      </w:r>
      <w:r w:rsidRPr="00AE78C2">
        <w:rPr>
          <w:sz w:val="22"/>
          <w:szCs w:val="22"/>
        </w:rPr>
        <w:t>allow</w:t>
      </w:r>
      <w:r w:rsidR="007E3D45" w:rsidRPr="00AE78C2">
        <w:rPr>
          <w:sz w:val="22"/>
          <w:szCs w:val="22"/>
        </w:rPr>
        <w:t>s for</w:t>
      </w:r>
      <w:r w:rsidRPr="00AE78C2">
        <w:rPr>
          <w:sz w:val="22"/>
          <w:szCs w:val="22"/>
        </w:rPr>
        <w:t xml:space="preserve"> learning and ongoing improvement. </w:t>
      </w:r>
      <w:r w:rsidR="007272BD" w:rsidRPr="00AE78C2">
        <w:rPr>
          <w:sz w:val="22"/>
          <w:szCs w:val="22"/>
        </w:rPr>
        <w:t xml:space="preserve"> </w:t>
      </w:r>
      <w:r w:rsidR="007E3D45" w:rsidRPr="00AE78C2">
        <w:rPr>
          <w:sz w:val="22"/>
          <w:szCs w:val="22"/>
        </w:rPr>
        <w:t>R</w:t>
      </w:r>
      <w:r w:rsidRPr="00AE78C2">
        <w:rPr>
          <w:sz w:val="22"/>
          <w:szCs w:val="22"/>
        </w:rPr>
        <w:t>outin</w:t>
      </w:r>
      <w:r w:rsidR="007E3D45" w:rsidRPr="00AE78C2">
        <w:rPr>
          <w:sz w:val="22"/>
          <w:szCs w:val="22"/>
        </w:rPr>
        <w:t xml:space="preserve">e, </w:t>
      </w:r>
      <w:r w:rsidRPr="00AE78C2">
        <w:rPr>
          <w:sz w:val="22"/>
          <w:szCs w:val="22"/>
        </w:rPr>
        <w:t xml:space="preserve">practical evaluations </w:t>
      </w:r>
      <w:r w:rsidR="007E3D45" w:rsidRPr="00AE78C2">
        <w:rPr>
          <w:sz w:val="22"/>
          <w:szCs w:val="22"/>
        </w:rPr>
        <w:t>can inform strategies for the prevention and control of HAIs</w:t>
      </w:r>
      <w:r w:rsidRPr="00AE78C2">
        <w:rPr>
          <w:sz w:val="22"/>
          <w:szCs w:val="22"/>
        </w:rPr>
        <w:t>.</w:t>
      </w:r>
      <w:r w:rsidR="007E3D45" w:rsidRPr="00AE78C2">
        <w:rPr>
          <w:sz w:val="22"/>
          <w:szCs w:val="22"/>
        </w:rPr>
        <w:t xml:space="preserve">  </w:t>
      </w:r>
      <w:r w:rsidR="00BE10C1" w:rsidRPr="00AE78C2">
        <w:rPr>
          <w:sz w:val="22"/>
          <w:szCs w:val="22"/>
        </w:rPr>
        <w:t xml:space="preserve">Please select areas for development or enhancement of </w:t>
      </w:r>
      <w:r w:rsidR="00F74EC8" w:rsidRPr="00AE78C2">
        <w:rPr>
          <w:sz w:val="22"/>
          <w:szCs w:val="22"/>
        </w:rPr>
        <w:t>state</w:t>
      </w:r>
      <w:r w:rsidR="00BE10C1" w:rsidRPr="00AE78C2">
        <w:rPr>
          <w:sz w:val="22"/>
          <w:szCs w:val="22"/>
        </w:rPr>
        <w:t xml:space="preserve"> HAI prevention efforts.</w:t>
      </w:r>
    </w:p>
    <w:p w:rsidR="008152EC" w:rsidRPr="00AE78C2" w:rsidRDefault="008152EC" w:rsidP="002957AC">
      <w:pPr>
        <w:ind w:left="360"/>
        <w:rPr>
          <w:b/>
          <w:sz w:val="22"/>
          <w:szCs w:val="22"/>
        </w:rPr>
      </w:pPr>
    </w:p>
    <w:p w:rsidR="006D57DC" w:rsidRPr="00AE78C2" w:rsidRDefault="006D57DC" w:rsidP="002957AC">
      <w:pPr>
        <w:ind w:left="360"/>
        <w:rPr>
          <w:b/>
          <w:sz w:val="22"/>
          <w:szCs w:val="22"/>
        </w:rPr>
        <w:sectPr w:rsidR="006D57DC" w:rsidRPr="00AE78C2" w:rsidSect="00042757">
          <w:footerReference w:type="default" r:id="rId22"/>
          <w:type w:val="continuous"/>
          <w:pgSz w:w="15840" w:h="12240" w:orient="landscape"/>
          <w:pgMar w:top="1440" w:right="1440" w:bottom="1440" w:left="1440" w:header="720" w:footer="720" w:gutter="0"/>
          <w:cols w:space="720"/>
          <w:noEndnote/>
        </w:sect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6D57DC" w:rsidRPr="00AE78C2" w:rsidRDefault="006D57DC" w:rsidP="002957AC">
      <w:pPr>
        <w:ind w:left="360"/>
        <w:rPr>
          <w:b/>
          <w:sz w:val="22"/>
          <w:szCs w:val="22"/>
        </w:rPr>
      </w:pPr>
    </w:p>
    <w:p w:rsidR="00C74773" w:rsidRPr="00AE78C2" w:rsidRDefault="008152EC" w:rsidP="002957AC">
      <w:pPr>
        <w:ind w:left="360"/>
        <w:rPr>
          <w:sz w:val="22"/>
          <w:szCs w:val="22"/>
        </w:rPr>
      </w:pPr>
      <w:r w:rsidRPr="00AE78C2">
        <w:rPr>
          <w:b/>
          <w:sz w:val="22"/>
          <w:szCs w:val="22"/>
        </w:rPr>
        <w:t>Table 4:</w:t>
      </w:r>
      <w:r w:rsidRPr="00AE78C2">
        <w:rPr>
          <w:sz w:val="22"/>
          <w:szCs w:val="22"/>
        </w:rPr>
        <w:t xml:space="preserve">  State HAI communication and evaluation planning</w:t>
      </w:r>
    </w:p>
    <w:p w:rsidR="008152EC" w:rsidRPr="00AE78C2" w:rsidRDefault="008152EC" w:rsidP="002957AC">
      <w:pPr>
        <w:ind w:left="360"/>
        <w:rPr>
          <w:sz w:val="22"/>
          <w:szCs w:val="22"/>
        </w:rPr>
      </w:pP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6570"/>
        <w:gridCol w:w="2070"/>
      </w:tblGrid>
      <w:tr w:rsidR="00F7428E" w:rsidRPr="00AE78C2" w:rsidTr="00ED7D6C">
        <w:tc>
          <w:tcPr>
            <w:tcW w:w="1440" w:type="dxa"/>
            <w:tcBorders>
              <w:bottom w:val="single" w:sz="4" w:space="0" w:color="auto"/>
            </w:tcBorders>
            <w:shd w:val="clear" w:color="auto" w:fill="auto"/>
          </w:tcPr>
          <w:p w:rsidR="00F7428E" w:rsidRPr="00AE78C2" w:rsidRDefault="00F7428E" w:rsidP="006B742F">
            <w:pPr>
              <w:jc w:val="center"/>
              <w:rPr>
                <w:b/>
                <w:sz w:val="22"/>
                <w:szCs w:val="22"/>
              </w:rPr>
            </w:pPr>
            <w:r w:rsidRPr="00AE78C2">
              <w:rPr>
                <w:b/>
                <w:sz w:val="22"/>
                <w:szCs w:val="22"/>
              </w:rPr>
              <w:lastRenderedPageBreak/>
              <w:t>Check Items Underway</w:t>
            </w:r>
          </w:p>
        </w:tc>
        <w:tc>
          <w:tcPr>
            <w:tcW w:w="1260" w:type="dxa"/>
            <w:tcBorders>
              <w:bottom w:val="single" w:sz="4" w:space="0" w:color="auto"/>
            </w:tcBorders>
            <w:shd w:val="clear" w:color="auto" w:fill="auto"/>
          </w:tcPr>
          <w:p w:rsidR="00F7428E" w:rsidRPr="00AE78C2" w:rsidRDefault="00F7428E" w:rsidP="006B742F">
            <w:pPr>
              <w:jc w:val="center"/>
              <w:rPr>
                <w:b/>
                <w:sz w:val="22"/>
                <w:szCs w:val="22"/>
              </w:rPr>
            </w:pPr>
            <w:r w:rsidRPr="00AE78C2">
              <w:rPr>
                <w:b/>
                <w:sz w:val="22"/>
                <w:szCs w:val="22"/>
              </w:rPr>
              <w:t>Check</w:t>
            </w:r>
          </w:p>
          <w:p w:rsidR="00F7428E" w:rsidRPr="00AE78C2" w:rsidRDefault="00F7428E" w:rsidP="006B742F">
            <w:pPr>
              <w:autoSpaceDE w:val="0"/>
              <w:autoSpaceDN w:val="0"/>
              <w:adjustRightInd w:val="0"/>
              <w:ind w:left="94"/>
              <w:jc w:val="center"/>
              <w:rPr>
                <w:b/>
                <w:sz w:val="22"/>
                <w:szCs w:val="22"/>
              </w:rPr>
            </w:pPr>
            <w:r w:rsidRPr="00AE78C2">
              <w:rPr>
                <w:b/>
                <w:sz w:val="22"/>
                <w:szCs w:val="22"/>
              </w:rPr>
              <w:t>Items Planned</w:t>
            </w:r>
          </w:p>
        </w:tc>
        <w:tc>
          <w:tcPr>
            <w:tcW w:w="6570" w:type="dxa"/>
            <w:tcBorders>
              <w:bottom w:val="single" w:sz="4" w:space="0" w:color="auto"/>
            </w:tcBorders>
            <w:shd w:val="clear" w:color="auto" w:fill="auto"/>
          </w:tcPr>
          <w:p w:rsidR="00F7428E" w:rsidRPr="00AE78C2" w:rsidRDefault="00F7428E" w:rsidP="006B742F">
            <w:pPr>
              <w:autoSpaceDE w:val="0"/>
              <w:autoSpaceDN w:val="0"/>
              <w:adjustRightInd w:val="0"/>
              <w:ind w:left="94"/>
              <w:rPr>
                <w:b/>
                <w:sz w:val="22"/>
                <w:szCs w:val="22"/>
              </w:rPr>
            </w:pPr>
            <w:r w:rsidRPr="00AE78C2">
              <w:rPr>
                <w:b/>
                <w:sz w:val="22"/>
                <w:szCs w:val="22"/>
              </w:rPr>
              <w:t>Items Planned for Implementation (or currently underway)</w:t>
            </w:r>
          </w:p>
          <w:p w:rsidR="00F7428E" w:rsidRPr="00AE78C2" w:rsidRDefault="00F7428E" w:rsidP="006B742F">
            <w:pPr>
              <w:autoSpaceDE w:val="0"/>
              <w:autoSpaceDN w:val="0"/>
              <w:adjustRightInd w:val="0"/>
              <w:ind w:left="94"/>
              <w:rPr>
                <w:b/>
                <w:sz w:val="22"/>
                <w:szCs w:val="22"/>
              </w:rPr>
            </w:pPr>
          </w:p>
        </w:tc>
        <w:tc>
          <w:tcPr>
            <w:tcW w:w="2070" w:type="dxa"/>
            <w:tcBorders>
              <w:bottom w:val="single" w:sz="4" w:space="0" w:color="auto"/>
            </w:tcBorders>
            <w:shd w:val="clear" w:color="auto" w:fill="auto"/>
          </w:tcPr>
          <w:p w:rsidR="00F7428E" w:rsidRPr="00AE78C2" w:rsidRDefault="00F7428E" w:rsidP="006B742F">
            <w:pPr>
              <w:autoSpaceDE w:val="0"/>
              <w:autoSpaceDN w:val="0"/>
              <w:adjustRightInd w:val="0"/>
              <w:rPr>
                <w:b/>
                <w:sz w:val="22"/>
                <w:szCs w:val="22"/>
              </w:rPr>
            </w:pPr>
            <w:r w:rsidRPr="00AE78C2">
              <w:rPr>
                <w:b/>
                <w:sz w:val="22"/>
                <w:szCs w:val="22"/>
              </w:rPr>
              <w:t>Target Dates for Implementation</w:t>
            </w:r>
          </w:p>
        </w:tc>
      </w:tr>
      <w:tr w:rsidR="00F7428E" w:rsidRPr="00AE78C2" w:rsidTr="00ED7D6C">
        <w:tc>
          <w:tcPr>
            <w:tcW w:w="144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126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jc w:val="center"/>
              <w:rPr>
                <w:sz w:val="22"/>
                <w:szCs w:val="22"/>
              </w:rPr>
            </w:pPr>
          </w:p>
        </w:tc>
        <w:tc>
          <w:tcPr>
            <w:tcW w:w="6570"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0"/>
                <w:numId w:val="11"/>
              </w:numPr>
              <w:autoSpaceDE w:val="0"/>
              <w:autoSpaceDN w:val="0"/>
              <w:adjustRightInd w:val="0"/>
              <w:rPr>
                <w:b/>
                <w:sz w:val="28"/>
                <w:szCs w:val="28"/>
              </w:rPr>
            </w:pPr>
            <w:r w:rsidRPr="00AE78C2">
              <w:rPr>
                <w:b/>
                <w:sz w:val="28"/>
                <w:szCs w:val="28"/>
              </w:rPr>
              <w:t>Conduct needs assessment and/or evaluation of the state HAI program to learn how to increase impact</w:t>
            </w:r>
          </w:p>
        </w:tc>
        <w:tc>
          <w:tcPr>
            <w:tcW w:w="207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rPr>
                <w:sz w:val="22"/>
                <w:szCs w:val="22"/>
              </w:rPr>
            </w:pPr>
          </w:p>
        </w:tc>
      </w:tr>
      <w:tr w:rsidR="00F7428E" w:rsidRPr="00AE78C2" w:rsidTr="00ED7D6C">
        <w:tc>
          <w:tcPr>
            <w:tcW w:w="1440" w:type="dxa"/>
            <w:tcBorders>
              <w:top w:val="nil"/>
              <w:left w:val="single" w:sz="4" w:space="0" w:color="auto"/>
              <w:bottom w:val="nil"/>
              <w:right w:val="single" w:sz="4" w:space="0" w:color="auto"/>
            </w:tcBorders>
            <w:shd w:val="clear" w:color="auto" w:fill="auto"/>
          </w:tcPr>
          <w:p w:rsidR="00F7428E" w:rsidRPr="00AE78C2" w:rsidRDefault="008F4690" w:rsidP="006B742F">
            <w:pPr>
              <w:jc w:val="center"/>
              <w:rPr>
                <w:sz w:val="22"/>
                <w:szCs w:val="22"/>
              </w:rPr>
            </w:pPr>
            <w:r w:rsidRPr="00AE78C2">
              <w:rPr>
                <w:sz w:val="22"/>
                <w:szCs w:val="22"/>
              </w:rPr>
              <w:fldChar w:fldCharType="begin">
                <w:ffData>
                  <w:name w:val="Check1"/>
                  <w:enabled/>
                  <w:calcOnExit w:val="0"/>
                  <w:checkBox>
                    <w:sizeAuto/>
                    <w:default w:val="1"/>
                  </w:checkBox>
                </w:ffData>
              </w:fldChar>
            </w:r>
            <w:bookmarkStart w:id="6" w:name="Check1"/>
            <w:r w:rsidRPr="00AE78C2">
              <w:rPr>
                <w:sz w:val="22"/>
                <w:szCs w:val="22"/>
              </w:rPr>
              <w:instrText xml:space="preserve"> FORMCHECKBOX </w:instrText>
            </w:r>
            <w:r w:rsidRPr="00AE78C2">
              <w:rPr>
                <w:sz w:val="22"/>
                <w:szCs w:val="22"/>
              </w:rPr>
            </w:r>
            <w:r w:rsidRPr="00AE78C2">
              <w:rPr>
                <w:sz w:val="22"/>
                <w:szCs w:val="22"/>
              </w:rPr>
              <w:fldChar w:fldCharType="end"/>
            </w:r>
            <w:bookmarkEnd w:id="6"/>
          </w:p>
        </w:tc>
        <w:tc>
          <w:tcPr>
            <w:tcW w:w="1260" w:type="dxa"/>
            <w:tcBorders>
              <w:top w:val="nil"/>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570" w:type="dxa"/>
            <w:tcBorders>
              <w:top w:val="nil"/>
              <w:left w:val="single" w:sz="4" w:space="0" w:color="auto"/>
              <w:bottom w:val="nil"/>
              <w:right w:val="single" w:sz="4" w:space="0" w:color="auto"/>
            </w:tcBorders>
            <w:shd w:val="clear" w:color="auto" w:fill="auto"/>
          </w:tcPr>
          <w:p w:rsidR="00F07B0F" w:rsidRPr="00AE78C2" w:rsidRDefault="00F7428E" w:rsidP="009B7F2E">
            <w:pPr>
              <w:numPr>
                <w:ilvl w:val="0"/>
                <w:numId w:val="18"/>
              </w:numPr>
              <w:autoSpaceDE w:val="0"/>
              <w:autoSpaceDN w:val="0"/>
              <w:adjustRightInd w:val="0"/>
              <w:rPr>
                <w:b/>
                <w:szCs w:val="22"/>
              </w:rPr>
            </w:pPr>
            <w:r w:rsidRPr="00AE78C2">
              <w:rPr>
                <w:b/>
                <w:szCs w:val="22"/>
              </w:rPr>
              <w:t>Establish evaluation activity to measure progress toward targets and</w:t>
            </w:r>
          </w:p>
          <w:p w:rsidR="00272A4F" w:rsidRPr="00AE78C2" w:rsidRDefault="00272A4F" w:rsidP="00BA04B3">
            <w:pPr>
              <w:autoSpaceDE w:val="0"/>
              <w:autoSpaceDN w:val="0"/>
              <w:adjustRightInd w:val="0"/>
              <w:ind w:left="1620"/>
              <w:rPr>
                <w:bCs/>
                <w:color w:val="365F91"/>
              </w:rPr>
            </w:pPr>
          </w:p>
          <w:p w:rsidR="00DB3C90" w:rsidRPr="00AE78C2" w:rsidRDefault="00F07B0F" w:rsidP="00ED7D6C">
            <w:pPr>
              <w:ind w:left="882"/>
              <w:rPr>
                <w:bCs/>
                <w:color w:val="000000"/>
              </w:rPr>
            </w:pPr>
            <w:r w:rsidRPr="00AE78C2">
              <w:rPr>
                <w:bCs/>
                <w:color w:val="000000"/>
              </w:rPr>
              <w:t>A systematic ongoing process of program evaluation is critical to ensuring improvement.  Evaluation promotes accountability, provides the basis to assess effectiveness and help</w:t>
            </w:r>
            <w:r w:rsidR="00DB3C90" w:rsidRPr="00AE78C2">
              <w:rPr>
                <w:bCs/>
                <w:color w:val="000000"/>
              </w:rPr>
              <w:t>s</w:t>
            </w:r>
            <w:r w:rsidRPr="00AE78C2">
              <w:rPr>
                <w:bCs/>
                <w:color w:val="000000"/>
              </w:rPr>
              <w:t xml:space="preserve"> guide decisions on how resources and efforts should be allocated.</w:t>
            </w:r>
          </w:p>
          <w:p w:rsidR="00DB3C90" w:rsidRPr="00AE78C2" w:rsidRDefault="00DB3C90" w:rsidP="00ED7D6C">
            <w:pPr>
              <w:ind w:left="882"/>
              <w:rPr>
                <w:bCs/>
                <w:color w:val="000000"/>
              </w:rPr>
            </w:pPr>
          </w:p>
          <w:p w:rsidR="002D373B" w:rsidRPr="00AE78C2" w:rsidRDefault="00DB3C90" w:rsidP="00ED7D6C">
            <w:pPr>
              <w:ind w:left="882"/>
              <w:rPr>
                <w:color w:val="000000"/>
                <w:highlight w:val="green"/>
              </w:rPr>
            </w:pPr>
            <w:r w:rsidRPr="00AE78C2">
              <w:rPr>
                <w:bCs/>
                <w:color w:val="000000"/>
              </w:rPr>
              <w:t>Evaluation of the state HAI program led to a decision to expand HAI measures for reporting in accordance with CMS requirements for hospitals. The expanded list of HAI measures reported on in MA now includes C-diff, MRSA and SSI for colon su</w:t>
            </w:r>
            <w:r w:rsidR="006569FA" w:rsidRPr="00AE78C2">
              <w:rPr>
                <w:bCs/>
                <w:color w:val="000000"/>
              </w:rPr>
              <w:t>r</w:t>
            </w:r>
            <w:r w:rsidRPr="00AE78C2">
              <w:rPr>
                <w:bCs/>
                <w:color w:val="000000"/>
              </w:rPr>
              <w:t>geries.</w:t>
            </w:r>
            <w:r w:rsidR="00BA04B3" w:rsidRPr="00AE78C2">
              <w:rPr>
                <w:bCs/>
                <w:color w:val="000000"/>
              </w:rPr>
              <w:br/>
            </w:r>
          </w:p>
          <w:p w:rsidR="00BF6FBF" w:rsidRPr="00AE78C2" w:rsidRDefault="00BF6FBF" w:rsidP="00ED7D6C">
            <w:pPr>
              <w:ind w:left="882"/>
              <w:rPr>
                <w:color w:val="000000"/>
                <w:highlight w:val="green"/>
              </w:rPr>
            </w:pPr>
            <w:r w:rsidRPr="00AE78C2">
              <w:rPr>
                <w:color w:val="000000"/>
              </w:rPr>
              <w:t xml:space="preserve">MDPH will conduct a survey to accurately depict the amount of time spent on data collection and entry into NHSN; understand which, if any, facilities in Massachusetts are currently using NHSN AUR module; assess the capacity for electronic upload to the AUR module and the Biovigilance Component and document the type(s) of EHR systems that are currently in use within Massachusetts facilities. </w:t>
            </w:r>
            <w:r w:rsidR="00066FBB" w:rsidRPr="00AE78C2">
              <w:rPr>
                <w:color w:val="000000"/>
              </w:rPr>
              <w:t xml:space="preserve">Survey results will be used to guide program advancement. </w:t>
            </w:r>
          </w:p>
          <w:p w:rsidR="00BF6FBF" w:rsidRPr="00AE78C2" w:rsidRDefault="00BF6FBF" w:rsidP="00ED7D6C">
            <w:pPr>
              <w:ind w:left="882"/>
              <w:rPr>
                <w:color w:val="365F91"/>
                <w:highlight w:val="green"/>
              </w:rPr>
            </w:pPr>
          </w:p>
          <w:p w:rsidR="00BF6FBF" w:rsidRPr="00AE78C2" w:rsidRDefault="002D373B" w:rsidP="00ED7D6C">
            <w:pPr>
              <w:autoSpaceDE w:val="0"/>
              <w:autoSpaceDN w:val="0"/>
              <w:adjustRightInd w:val="0"/>
              <w:ind w:left="882"/>
              <w:rPr>
                <w:color w:val="000000"/>
              </w:rPr>
            </w:pPr>
            <w:r w:rsidRPr="00AE78C2">
              <w:rPr>
                <w:color w:val="000000"/>
              </w:rPr>
              <w:t xml:space="preserve">MDPH will continue to work with state and federal partners to identify emerging issues, prevention </w:t>
            </w:r>
            <w:r w:rsidRPr="00AE78C2">
              <w:rPr>
                <w:color w:val="000000"/>
              </w:rPr>
              <w:lastRenderedPageBreak/>
              <w:t>activities and areas for additional research.</w:t>
            </w:r>
          </w:p>
          <w:p w:rsidR="00F7428E" w:rsidRPr="00AE78C2" w:rsidRDefault="00F7428E" w:rsidP="009A102F">
            <w:pPr>
              <w:autoSpaceDE w:val="0"/>
              <w:autoSpaceDN w:val="0"/>
              <w:adjustRightInd w:val="0"/>
              <w:ind w:left="720"/>
              <w:rPr>
                <w:color w:val="365F91"/>
                <w:sz w:val="22"/>
                <w:szCs w:val="22"/>
              </w:rPr>
            </w:pPr>
          </w:p>
        </w:tc>
        <w:tc>
          <w:tcPr>
            <w:tcW w:w="2070" w:type="dxa"/>
            <w:tcBorders>
              <w:top w:val="nil"/>
              <w:left w:val="single" w:sz="4" w:space="0" w:color="auto"/>
              <w:bottom w:val="nil"/>
              <w:right w:val="single" w:sz="4" w:space="0" w:color="auto"/>
            </w:tcBorders>
            <w:shd w:val="clear" w:color="auto" w:fill="auto"/>
          </w:tcPr>
          <w:p w:rsidR="00F7428E" w:rsidRPr="00AE78C2" w:rsidRDefault="00F7428E"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C1800" w:rsidRPr="00AE78C2" w:rsidRDefault="00BC1800" w:rsidP="00F07B0F">
            <w:pPr>
              <w:autoSpaceDE w:val="0"/>
              <w:autoSpaceDN w:val="0"/>
              <w:adjustRightInd w:val="0"/>
              <w:rPr>
                <w:sz w:val="22"/>
                <w:szCs w:val="22"/>
              </w:rPr>
            </w:pPr>
          </w:p>
          <w:p w:rsidR="00BF6FBF" w:rsidRPr="00AE78C2" w:rsidRDefault="00BF6FBF" w:rsidP="00F07B0F">
            <w:pPr>
              <w:autoSpaceDE w:val="0"/>
              <w:autoSpaceDN w:val="0"/>
              <w:adjustRightInd w:val="0"/>
              <w:rPr>
                <w:color w:val="000000"/>
              </w:rPr>
            </w:pPr>
            <w:r w:rsidRPr="00AE78C2">
              <w:rPr>
                <w:color w:val="000000"/>
              </w:rPr>
              <w:t xml:space="preserve">June 2016 </w:t>
            </w:r>
          </w:p>
          <w:p w:rsidR="005119BB" w:rsidRPr="00AE78C2" w:rsidRDefault="005119BB" w:rsidP="00F07B0F">
            <w:pPr>
              <w:autoSpaceDE w:val="0"/>
              <w:autoSpaceDN w:val="0"/>
              <w:adjustRightInd w:val="0"/>
              <w:rPr>
                <w:color w:val="365F91"/>
              </w:rPr>
            </w:pPr>
          </w:p>
          <w:p w:rsidR="005119BB" w:rsidRPr="00AE78C2" w:rsidRDefault="005119BB" w:rsidP="00F07B0F">
            <w:pPr>
              <w:autoSpaceDE w:val="0"/>
              <w:autoSpaceDN w:val="0"/>
              <w:adjustRightInd w:val="0"/>
              <w:rPr>
                <w:color w:val="365F91"/>
              </w:rPr>
            </w:pPr>
          </w:p>
          <w:p w:rsidR="005119BB" w:rsidRPr="00AE78C2" w:rsidRDefault="005119BB" w:rsidP="00F07B0F">
            <w:pPr>
              <w:autoSpaceDE w:val="0"/>
              <w:autoSpaceDN w:val="0"/>
              <w:adjustRightInd w:val="0"/>
              <w:rPr>
                <w:color w:val="365F91"/>
              </w:rPr>
            </w:pPr>
          </w:p>
          <w:p w:rsidR="005119BB" w:rsidRPr="00AE78C2" w:rsidRDefault="005119BB" w:rsidP="00F07B0F">
            <w:pPr>
              <w:autoSpaceDE w:val="0"/>
              <w:autoSpaceDN w:val="0"/>
              <w:adjustRightInd w:val="0"/>
              <w:rPr>
                <w:color w:val="365F91"/>
              </w:rPr>
            </w:pPr>
          </w:p>
          <w:p w:rsidR="005119BB" w:rsidRPr="00AE78C2" w:rsidRDefault="005119BB" w:rsidP="00F07B0F">
            <w:pPr>
              <w:autoSpaceDE w:val="0"/>
              <w:autoSpaceDN w:val="0"/>
              <w:adjustRightInd w:val="0"/>
              <w:rPr>
                <w:color w:val="365F91"/>
              </w:rPr>
            </w:pPr>
          </w:p>
          <w:p w:rsidR="005119BB" w:rsidRPr="00AE78C2" w:rsidRDefault="005119BB" w:rsidP="00F07B0F">
            <w:pPr>
              <w:autoSpaceDE w:val="0"/>
              <w:autoSpaceDN w:val="0"/>
              <w:adjustRightInd w:val="0"/>
              <w:rPr>
                <w:color w:val="365F91"/>
              </w:rPr>
            </w:pPr>
          </w:p>
          <w:p w:rsidR="005119BB" w:rsidRPr="00AE78C2" w:rsidRDefault="005119BB" w:rsidP="00F07B0F">
            <w:pPr>
              <w:autoSpaceDE w:val="0"/>
              <w:autoSpaceDN w:val="0"/>
              <w:adjustRightInd w:val="0"/>
              <w:rPr>
                <w:color w:val="365F91"/>
              </w:rPr>
            </w:pPr>
          </w:p>
          <w:p w:rsidR="005119BB" w:rsidRPr="00AE78C2" w:rsidRDefault="005119BB" w:rsidP="00F07B0F">
            <w:pPr>
              <w:autoSpaceDE w:val="0"/>
              <w:autoSpaceDN w:val="0"/>
              <w:adjustRightInd w:val="0"/>
              <w:rPr>
                <w:color w:val="365F91"/>
              </w:rPr>
            </w:pPr>
          </w:p>
          <w:p w:rsidR="00BF6FBF" w:rsidRPr="00AE78C2" w:rsidRDefault="005119BB" w:rsidP="00F07B0F">
            <w:pPr>
              <w:autoSpaceDE w:val="0"/>
              <w:autoSpaceDN w:val="0"/>
              <w:adjustRightInd w:val="0"/>
              <w:rPr>
                <w:color w:val="000000"/>
                <w:sz w:val="22"/>
                <w:szCs w:val="22"/>
              </w:rPr>
            </w:pPr>
            <w:r w:rsidRPr="00AE78C2">
              <w:rPr>
                <w:color w:val="000000"/>
              </w:rPr>
              <w:t>Ongoing</w:t>
            </w: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p w:rsidR="00BF6FBF" w:rsidRPr="00AE78C2" w:rsidRDefault="00BF6FBF" w:rsidP="00F07B0F">
            <w:pPr>
              <w:autoSpaceDE w:val="0"/>
              <w:autoSpaceDN w:val="0"/>
              <w:adjustRightInd w:val="0"/>
              <w:rPr>
                <w:sz w:val="22"/>
                <w:szCs w:val="22"/>
              </w:rPr>
            </w:pPr>
          </w:p>
        </w:tc>
      </w:tr>
      <w:tr w:rsidR="00F7428E" w:rsidRPr="00AE78C2" w:rsidTr="00ED7D6C">
        <w:tc>
          <w:tcPr>
            <w:tcW w:w="1440" w:type="dxa"/>
            <w:tcBorders>
              <w:top w:val="nil"/>
              <w:left w:val="single" w:sz="4" w:space="0" w:color="auto"/>
              <w:bottom w:val="single" w:sz="4" w:space="0" w:color="auto"/>
              <w:right w:val="single" w:sz="4" w:space="0" w:color="auto"/>
            </w:tcBorders>
            <w:shd w:val="clear" w:color="auto" w:fill="auto"/>
          </w:tcPr>
          <w:p w:rsidR="00F7428E" w:rsidRPr="00AE78C2" w:rsidRDefault="008F4690"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26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autoSpaceDE w:val="0"/>
              <w:autoSpaceDN w:val="0"/>
              <w:adjustRightInd w:val="0"/>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570" w:type="dxa"/>
            <w:tcBorders>
              <w:top w:val="nil"/>
              <w:left w:val="single" w:sz="4" w:space="0" w:color="auto"/>
              <w:bottom w:val="single" w:sz="4" w:space="0" w:color="auto"/>
              <w:right w:val="single" w:sz="4" w:space="0" w:color="auto"/>
            </w:tcBorders>
            <w:shd w:val="clear" w:color="auto" w:fill="auto"/>
          </w:tcPr>
          <w:p w:rsidR="00F7428E" w:rsidRPr="00AE78C2" w:rsidRDefault="00F7428E" w:rsidP="009B7F2E">
            <w:pPr>
              <w:numPr>
                <w:ilvl w:val="2"/>
                <w:numId w:val="18"/>
              </w:numPr>
              <w:autoSpaceDE w:val="0"/>
              <w:autoSpaceDN w:val="0"/>
              <w:adjustRightInd w:val="0"/>
              <w:rPr>
                <w:b/>
                <w:szCs w:val="22"/>
              </w:rPr>
            </w:pPr>
            <w:r w:rsidRPr="00AE78C2">
              <w:rPr>
                <w:b/>
                <w:szCs w:val="22"/>
              </w:rPr>
              <w:t>Establish systems for refining approaches based on data gathered</w:t>
            </w:r>
          </w:p>
          <w:p w:rsidR="00272A4F" w:rsidRPr="00AE78C2" w:rsidRDefault="00272A4F" w:rsidP="00BA04B3">
            <w:pPr>
              <w:autoSpaceDE w:val="0"/>
              <w:autoSpaceDN w:val="0"/>
              <w:adjustRightInd w:val="0"/>
              <w:ind w:left="1620"/>
              <w:rPr>
                <w:color w:val="365F91"/>
              </w:rPr>
            </w:pPr>
          </w:p>
          <w:p w:rsidR="00F07B0F" w:rsidRPr="00AE78C2" w:rsidRDefault="009A102F" w:rsidP="00ED7D6C">
            <w:pPr>
              <w:autoSpaceDE w:val="0"/>
              <w:autoSpaceDN w:val="0"/>
              <w:adjustRightInd w:val="0"/>
              <w:ind w:left="882"/>
              <w:rPr>
                <w:color w:val="000000"/>
                <w:sz w:val="22"/>
                <w:szCs w:val="22"/>
              </w:rPr>
            </w:pPr>
            <w:r w:rsidRPr="00AE78C2">
              <w:rPr>
                <w:color w:val="000000"/>
              </w:rPr>
              <w:t>MDPH uses reported data, results of additional surveillance activities, and outcomes from collaborative prevention initiatives to select priorities for the state HAI program.</w:t>
            </w:r>
            <w:r w:rsidR="003E32DF" w:rsidRPr="00AE78C2" w:rsidDel="00066FBB">
              <w:rPr>
                <w:color w:val="000000"/>
              </w:rPr>
              <w:t xml:space="preserve"> </w:t>
            </w:r>
          </w:p>
        </w:tc>
        <w:tc>
          <w:tcPr>
            <w:tcW w:w="2070" w:type="dxa"/>
            <w:tcBorders>
              <w:top w:val="nil"/>
              <w:left w:val="single" w:sz="4" w:space="0" w:color="auto"/>
              <w:bottom w:val="single" w:sz="4" w:space="0" w:color="auto"/>
              <w:right w:val="single" w:sz="4" w:space="0" w:color="auto"/>
            </w:tcBorders>
            <w:shd w:val="clear" w:color="auto" w:fill="auto"/>
          </w:tcPr>
          <w:p w:rsidR="00F7428E" w:rsidRPr="00AE78C2" w:rsidRDefault="00F7428E" w:rsidP="00F07B0F">
            <w:pPr>
              <w:rPr>
                <w:color w:val="365F91"/>
                <w:sz w:val="22"/>
                <w:szCs w:val="22"/>
              </w:rPr>
            </w:pPr>
          </w:p>
          <w:p w:rsidR="003E32DF" w:rsidRPr="00AE78C2" w:rsidRDefault="003E32DF" w:rsidP="00F07B0F">
            <w:pPr>
              <w:rPr>
                <w:color w:val="000000"/>
                <w:sz w:val="22"/>
                <w:szCs w:val="22"/>
              </w:rPr>
            </w:pPr>
          </w:p>
          <w:p w:rsidR="003E32DF" w:rsidRPr="00AE78C2" w:rsidRDefault="003E32DF" w:rsidP="00F07B0F">
            <w:pPr>
              <w:rPr>
                <w:color w:val="000000"/>
                <w:sz w:val="22"/>
                <w:szCs w:val="22"/>
              </w:rPr>
            </w:pPr>
          </w:p>
          <w:p w:rsidR="003E32DF" w:rsidRPr="00AE78C2" w:rsidRDefault="003E32DF" w:rsidP="00F07B0F">
            <w:pPr>
              <w:rPr>
                <w:color w:val="365F91"/>
              </w:rPr>
            </w:pPr>
            <w:r w:rsidRPr="00AE78C2">
              <w:rPr>
                <w:color w:val="000000"/>
              </w:rPr>
              <w:t>Ongoing</w:t>
            </w:r>
          </w:p>
        </w:tc>
      </w:tr>
      <w:tr w:rsidR="00F7428E" w:rsidRPr="00AE78C2" w:rsidTr="00ED7D6C">
        <w:tc>
          <w:tcPr>
            <w:tcW w:w="2700" w:type="dxa"/>
            <w:gridSpan w:val="2"/>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autoSpaceDE w:val="0"/>
              <w:autoSpaceDN w:val="0"/>
              <w:adjustRightInd w:val="0"/>
              <w:jc w:val="center"/>
              <w:rPr>
                <w:sz w:val="22"/>
                <w:szCs w:val="22"/>
              </w:rPr>
            </w:pPr>
          </w:p>
        </w:tc>
        <w:tc>
          <w:tcPr>
            <w:tcW w:w="6570" w:type="dxa"/>
            <w:tcBorders>
              <w:top w:val="nil"/>
              <w:left w:val="single" w:sz="4" w:space="0" w:color="auto"/>
              <w:bottom w:val="single" w:sz="4" w:space="0" w:color="auto"/>
              <w:right w:val="single" w:sz="4" w:space="0" w:color="auto"/>
            </w:tcBorders>
            <w:shd w:val="clear" w:color="auto" w:fill="auto"/>
          </w:tcPr>
          <w:p w:rsidR="00F7428E" w:rsidRPr="00AE78C2" w:rsidRDefault="00F7428E" w:rsidP="00ED7D6C">
            <w:pPr>
              <w:autoSpaceDE w:val="0"/>
              <w:autoSpaceDN w:val="0"/>
              <w:adjustRightInd w:val="0"/>
              <w:rPr>
                <w:sz w:val="22"/>
                <w:szCs w:val="22"/>
              </w:rPr>
            </w:pPr>
            <w:r w:rsidRPr="00AE78C2">
              <w:rPr>
                <w:i/>
                <w:sz w:val="22"/>
                <w:szCs w:val="22"/>
              </w:rPr>
              <w:t>Other activities or descriptions (not required):</w:t>
            </w:r>
          </w:p>
        </w:tc>
        <w:tc>
          <w:tcPr>
            <w:tcW w:w="2070" w:type="dxa"/>
            <w:tcBorders>
              <w:top w:val="nil"/>
              <w:left w:val="single" w:sz="4" w:space="0" w:color="auto"/>
              <w:bottom w:val="single" w:sz="4" w:space="0" w:color="auto"/>
              <w:right w:val="single" w:sz="4" w:space="0" w:color="auto"/>
            </w:tcBorders>
            <w:shd w:val="clear" w:color="auto" w:fill="auto"/>
          </w:tcPr>
          <w:p w:rsidR="00F07B0F" w:rsidRPr="00AE78C2" w:rsidRDefault="00F07B0F" w:rsidP="00F07B0F">
            <w:pPr>
              <w:rPr>
                <w:sz w:val="22"/>
                <w:szCs w:val="22"/>
              </w:rPr>
            </w:pPr>
          </w:p>
          <w:p w:rsidR="00F7428E" w:rsidRPr="00AE78C2" w:rsidRDefault="00F7428E" w:rsidP="00F07B0F">
            <w:pPr>
              <w:rPr>
                <w:color w:val="365F91"/>
                <w:sz w:val="22"/>
                <w:szCs w:val="22"/>
              </w:rPr>
            </w:pPr>
          </w:p>
        </w:tc>
      </w:tr>
      <w:tr w:rsidR="00F7428E" w:rsidRPr="00AE78C2" w:rsidTr="00ED7D6C">
        <w:tc>
          <w:tcPr>
            <w:tcW w:w="144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jc w:val="center"/>
              <w:rPr>
                <w:sz w:val="22"/>
                <w:szCs w:val="22"/>
              </w:rPr>
            </w:pPr>
          </w:p>
        </w:tc>
        <w:tc>
          <w:tcPr>
            <w:tcW w:w="126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jc w:val="center"/>
              <w:rPr>
                <w:sz w:val="22"/>
                <w:szCs w:val="22"/>
              </w:rPr>
            </w:pPr>
          </w:p>
        </w:tc>
        <w:tc>
          <w:tcPr>
            <w:tcW w:w="6570" w:type="dxa"/>
            <w:tcBorders>
              <w:top w:val="single" w:sz="4" w:space="0" w:color="auto"/>
              <w:left w:val="single" w:sz="4" w:space="0" w:color="auto"/>
              <w:bottom w:val="nil"/>
              <w:right w:val="single" w:sz="4" w:space="0" w:color="auto"/>
            </w:tcBorders>
            <w:shd w:val="clear" w:color="auto" w:fill="auto"/>
          </w:tcPr>
          <w:p w:rsidR="00F7428E" w:rsidRPr="00AE78C2" w:rsidRDefault="00F7428E" w:rsidP="009B7F2E">
            <w:pPr>
              <w:numPr>
                <w:ilvl w:val="0"/>
                <w:numId w:val="11"/>
              </w:numPr>
              <w:autoSpaceDE w:val="0"/>
              <w:autoSpaceDN w:val="0"/>
              <w:adjustRightInd w:val="0"/>
              <w:rPr>
                <w:b/>
                <w:sz w:val="28"/>
                <w:szCs w:val="28"/>
              </w:rPr>
            </w:pPr>
            <w:r w:rsidRPr="00AE78C2">
              <w:rPr>
                <w:b/>
                <w:sz w:val="28"/>
                <w:szCs w:val="28"/>
              </w:rPr>
              <w:t xml:space="preserve">Develop and implement a communication plan about the state’s HAI program and </w:t>
            </w:r>
            <w:r w:rsidR="00942B9F" w:rsidRPr="00AE78C2">
              <w:rPr>
                <w:b/>
                <w:sz w:val="28"/>
                <w:szCs w:val="28"/>
              </w:rPr>
              <w:t xml:space="preserve">about </w:t>
            </w:r>
            <w:r w:rsidRPr="00AE78C2">
              <w:rPr>
                <w:b/>
                <w:sz w:val="28"/>
                <w:szCs w:val="28"/>
              </w:rPr>
              <w:t>progress to meet public and private stakeholders needs</w:t>
            </w:r>
          </w:p>
        </w:tc>
        <w:tc>
          <w:tcPr>
            <w:tcW w:w="2070" w:type="dxa"/>
            <w:tcBorders>
              <w:top w:val="single" w:sz="4" w:space="0" w:color="auto"/>
              <w:left w:val="single" w:sz="4" w:space="0" w:color="auto"/>
              <w:bottom w:val="nil"/>
              <w:right w:val="single" w:sz="4" w:space="0" w:color="auto"/>
            </w:tcBorders>
            <w:shd w:val="clear" w:color="auto" w:fill="auto"/>
          </w:tcPr>
          <w:p w:rsidR="00F7428E" w:rsidRPr="00AE78C2" w:rsidRDefault="00F7428E" w:rsidP="006B742F">
            <w:pPr>
              <w:autoSpaceDE w:val="0"/>
              <w:autoSpaceDN w:val="0"/>
              <w:adjustRightInd w:val="0"/>
              <w:rPr>
                <w:sz w:val="22"/>
                <w:szCs w:val="22"/>
              </w:rPr>
            </w:pPr>
          </w:p>
        </w:tc>
      </w:tr>
      <w:tr w:rsidR="00F7428E" w:rsidRPr="00AE78C2" w:rsidTr="00ED7D6C">
        <w:tc>
          <w:tcPr>
            <w:tcW w:w="1440" w:type="dxa"/>
            <w:tcBorders>
              <w:top w:val="nil"/>
              <w:left w:val="single" w:sz="4" w:space="0" w:color="auto"/>
              <w:bottom w:val="single" w:sz="4" w:space="0" w:color="auto"/>
              <w:right w:val="single" w:sz="4" w:space="0" w:color="auto"/>
            </w:tcBorders>
            <w:shd w:val="clear" w:color="auto" w:fill="auto"/>
          </w:tcPr>
          <w:p w:rsidR="00F7428E" w:rsidRPr="00AE78C2" w:rsidRDefault="008F4690"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26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autoSpaceDE w:val="0"/>
              <w:autoSpaceDN w:val="0"/>
              <w:adjustRightInd w:val="0"/>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570" w:type="dxa"/>
            <w:tcBorders>
              <w:top w:val="nil"/>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15"/>
              </w:numPr>
              <w:autoSpaceDE w:val="0"/>
              <w:autoSpaceDN w:val="0"/>
              <w:adjustRightInd w:val="0"/>
              <w:rPr>
                <w:b/>
                <w:szCs w:val="22"/>
              </w:rPr>
            </w:pPr>
            <w:r w:rsidRPr="00AE78C2">
              <w:rPr>
                <w:b/>
                <w:szCs w:val="22"/>
              </w:rPr>
              <w:t>Disseminate state priorities for HAI prevention to healthcare organizations, professional provider organizations, governmental agencies, non-profit public health organizations, and the public</w:t>
            </w:r>
          </w:p>
          <w:p w:rsidR="00BB03EF" w:rsidRPr="00AE78C2" w:rsidRDefault="00BB03EF" w:rsidP="00BA04B3">
            <w:pPr>
              <w:autoSpaceDE w:val="0"/>
              <w:autoSpaceDN w:val="0"/>
              <w:adjustRightInd w:val="0"/>
              <w:ind w:left="1620"/>
              <w:rPr>
                <w:color w:val="365F91"/>
              </w:rPr>
            </w:pPr>
          </w:p>
          <w:p w:rsidR="00F07B0F" w:rsidRPr="00AE78C2" w:rsidRDefault="00F07B0F" w:rsidP="00BB03EF">
            <w:pPr>
              <w:autoSpaceDE w:val="0"/>
              <w:autoSpaceDN w:val="0"/>
              <w:adjustRightInd w:val="0"/>
              <w:ind w:left="900"/>
              <w:rPr>
                <w:color w:val="000000"/>
              </w:rPr>
            </w:pPr>
            <w:r w:rsidRPr="00AE78C2">
              <w:rPr>
                <w:color w:val="000000"/>
              </w:rPr>
              <w:t>Consistent with the principles of transparency and public engagement, the HAI Program</w:t>
            </w:r>
            <w:r w:rsidR="00D62A0E" w:rsidRPr="00AE78C2">
              <w:rPr>
                <w:color w:val="000000"/>
              </w:rPr>
              <w:t>’s</w:t>
            </w:r>
            <w:r w:rsidRPr="00AE78C2">
              <w:rPr>
                <w:color w:val="000000"/>
              </w:rPr>
              <w:t xml:space="preserve"> ultimate goal for surveillance and reporting </w:t>
            </w:r>
            <w:r w:rsidR="00D62A0E" w:rsidRPr="00AE78C2">
              <w:rPr>
                <w:color w:val="000000"/>
              </w:rPr>
              <w:t xml:space="preserve">is to have </w:t>
            </w:r>
            <w:r w:rsidRPr="00AE78C2">
              <w:rPr>
                <w:color w:val="000000"/>
              </w:rPr>
              <w:t xml:space="preserve">full public access to data on outcomes and process measures that are required by the MDPH in a format determined by the </w:t>
            </w:r>
            <w:r w:rsidR="00D62A0E" w:rsidRPr="00AE78C2">
              <w:rPr>
                <w:color w:val="000000"/>
              </w:rPr>
              <w:t xml:space="preserve">Department </w:t>
            </w:r>
            <w:r w:rsidRPr="00AE78C2">
              <w:rPr>
                <w:color w:val="000000"/>
              </w:rPr>
              <w:t xml:space="preserve">with the </w:t>
            </w:r>
            <w:r w:rsidR="00066FBB" w:rsidRPr="00AE78C2">
              <w:rPr>
                <w:color w:val="000000"/>
              </w:rPr>
              <w:t>guidance from</w:t>
            </w:r>
            <w:r w:rsidRPr="00AE78C2">
              <w:rPr>
                <w:color w:val="000000"/>
              </w:rPr>
              <w:t xml:space="preserve"> the TAG.  </w:t>
            </w:r>
          </w:p>
          <w:p w:rsidR="00A94268" w:rsidRPr="00AE78C2" w:rsidRDefault="00A94268" w:rsidP="00BA04B3">
            <w:pPr>
              <w:autoSpaceDE w:val="0"/>
              <w:autoSpaceDN w:val="0"/>
              <w:adjustRightInd w:val="0"/>
              <w:ind w:left="1620"/>
              <w:rPr>
                <w:color w:val="000000"/>
                <w:szCs w:val="20"/>
              </w:rPr>
            </w:pPr>
          </w:p>
          <w:p w:rsidR="00BB03EF" w:rsidRPr="00AE78C2" w:rsidRDefault="00F07B0F" w:rsidP="00BA04B3">
            <w:pPr>
              <w:autoSpaceDE w:val="0"/>
              <w:autoSpaceDN w:val="0"/>
              <w:adjustRightInd w:val="0"/>
              <w:ind w:left="900"/>
              <w:rPr>
                <w:color w:val="000000"/>
              </w:rPr>
            </w:pPr>
            <w:r w:rsidRPr="00AE78C2">
              <w:rPr>
                <w:color w:val="000000"/>
              </w:rPr>
              <w:t xml:space="preserve">The </w:t>
            </w:r>
            <w:r w:rsidR="00BB03EF" w:rsidRPr="00AE78C2">
              <w:rPr>
                <w:color w:val="000000"/>
              </w:rPr>
              <w:t>Massachusetts HAI Program</w:t>
            </w:r>
            <w:r w:rsidRPr="00AE78C2">
              <w:rPr>
                <w:color w:val="000000"/>
              </w:rPr>
              <w:t xml:space="preserve"> issue</w:t>
            </w:r>
            <w:r w:rsidR="00BB03EF" w:rsidRPr="00AE78C2">
              <w:rPr>
                <w:color w:val="000000"/>
              </w:rPr>
              <w:t>s</w:t>
            </w:r>
            <w:r w:rsidRPr="00AE78C2">
              <w:rPr>
                <w:color w:val="000000"/>
              </w:rPr>
              <w:t xml:space="preserve"> reports of required outcome and process measures, by facility and in aggregate, annually. Progress toward state HAI goals </w:t>
            </w:r>
            <w:r w:rsidR="00066FBB" w:rsidRPr="00AE78C2">
              <w:rPr>
                <w:color w:val="000000"/>
              </w:rPr>
              <w:t xml:space="preserve">is </w:t>
            </w:r>
            <w:r w:rsidRPr="00AE78C2">
              <w:rPr>
                <w:color w:val="000000"/>
              </w:rPr>
              <w:t>highlighted. Assuring transparency, all reports of</w:t>
            </w:r>
            <w:r w:rsidRPr="00AE78C2">
              <w:rPr>
                <w:color w:val="365F91"/>
              </w:rPr>
              <w:t xml:space="preserve"> </w:t>
            </w:r>
            <w:r w:rsidRPr="00AE78C2">
              <w:rPr>
                <w:color w:val="000000"/>
              </w:rPr>
              <w:t xml:space="preserve">mandated measures </w:t>
            </w:r>
            <w:r w:rsidR="00BB03EF" w:rsidRPr="00AE78C2">
              <w:rPr>
                <w:color w:val="000000"/>
              </w:rPr>
              <w:t>are</w:t>
            </w:r>
            <w:r w:rsidRPr="00AE78C2">
              <w:rPr>
                <w:color w:val="000000"/>
              </w:rPr>
              <w:t xml:space="preserve"> posted on the MDPH website and links to the reports </w:t>
            </w:r>
            <w:r w:rsidR="00066FBB" w:rsidRPr="00AE78C2">
              <w:rPr>
                <w:color w:val="000000"/>
              </w:rPr>
              <w:t xml:space="preserve">are publically available. </w:t>
            </w:r>
          </w:p>
          <w:p w:rsidR="003E32DF" w:rsidRPr="00AE78C2" w:rsidRDefault="003E32DF" w:rsidP="00BA04B3">
            <w:pPr>
              <w:autoSpaceDE w:val="0"/>
              <w:autoSpaceDN w:val="0"/>
              <w:adjustRightInd w:val="0"/>
              <w:ind w:left="900"/>
              <w:rPr>
                <w:color w:val="000000"/>
              </w:rPr>
            </w:pPr>
          </w:p>
          <w:p w:rsidR="00BB03EF" w:rsidRPr="00AE78C2" w:rsidRDefault="00BB03EF" w:rsidP="00BB03EF">
            <w:pPr>
              <w:autoSpaceDE w:val="0"/>
              <w:autoSpaceDN w:val="0"/>
              <w:adjustRightInd w:val="0"/>
              <w:ind w:left="900"/>
              <w:rPr>
                <w:color w:val="000000"/>
                <w:szCs w:val="20"/>
              </w:rPr>
            </w:pPr>
            <w:r w:rsidRPr="00AE78C2">
              <w:rPr>
                <w:color w:val="000000"/>
                <w:szCs w:val="20"/>
              </w:rPr>
              <w:t xml:space="preserve">MDPH provides </w:t>
            </w:r>
            <w:r w:rsidR="00066FBB" w:rsidRPr="00AE78C2">
              <w:rPr>
                <w:color w:val="000000"/>
                <w:szCs w:val="20"/>
              </w:rPr>
              <w:t xml:space="preserve">quarterly </w:t>
            </w:r>
            <w:r w:rsidRPr="00AE78C2">
              <w:rPr>
                <w:color w:val="000000"/>
                <w:szCs w:val="20"/>
              </w:rPr>
              <w:t>feedback</w:t>
            </w:r>
            <w:r w:rsidR="003E32DF" w:rsidRPr="00AE78C2">
              <w:rPr>
                <w:color w:val="000000"/>
                <w:szCs w:val="20"/>
              </w:rPr>
              <w:t xml:space="preserve"> </w:t>
            </w:r>
            <w:r w:rsidRPr="00AE78C2">
              <w:rPr>
                <w:color w:val="000000"/>
                <w:szCs w:val="20"/>
              </w:rPr>
              <w:t>to hospitals on issues related to data quality and completeness</w:t>
            </w:r>
            <w:r w:rsidR="00D406E8" w:rsidRPr="00AE78C2">
              <w:rPr>
                <w:color w:val="000000"/>
                <w:szCs w:val="20"/>
              </w:rPr>
              <w:t xml:space="preserve"> of reporting</w:t>
            </w:r>
            <w:r w:rsidRPr="00AE78C2">
              <w:rPr>
                <w:color w:val="000000"/>
                <w:szCs w:val="20"/>
              </w:rPr>
              <w:t>.</w:t>
            </w:r>
          </w:p>
          <w:p w:rsidR="00D406E8" w:rsidRPr="00AE78C2" w:rsidRDefault="00D406E8" w:rsidP="00BB03EF">
            <w:pPr>
              <w:autoSpaceDE w:val="0"/>
              <w:autoSpaceDN w:val="0"/>
              <w:adjustRightInd w:val="0"/>
              <w:ind w:left="900"/>
              <w:rPr>
                <w:color w:val="000000"/>
                <w:szCs w:val="20"/>
              </w:rPr>
            </w:pPr>
          </w:p>
          <w:p w:rsidR="00066FBB" w:rsidRPr="00AE78C2" w:rsidRDefault="00AB241A" w:rsidP="00BB03EF">
            <w:pPr>
              <w:autoSpaceDE w:val="0"/>
              <w:autoSpaceDN w:val="0"/>
              <w:adjustRightInd w:val="0"/>
              <w:ind w:left="900"/>
              <w:rPr>
                <w:color w:val="000000"/>
                <w:szCs w:val="20"/>
              </w:rPr>
            </w:pPr>
            <w:r w:rsidRPr="00AE78C2">
              <w:rPr>
                <w:color w:val="000000"/>
                <w:szCs w:val="20"/>
              </w:rPr>
              <w:t>MDPH provides quarterly NHSN “Targeted Assessment for Prevention</w:t>
            </w:r>
            <w:r w:rsidR="007F4716" w:rsidRPr="00AE78C2">
              <w:rPr>
                <w:color w:val="000000"/>
                <w:szCs w:val="20"/>
              </w:rPr>
              <w:t>”</w:t>
            </w:r>
            <w:r w:rsidRPr="00AE78C2">
              <w:rPr>
                <w:color w:val="000000"/>
                <w:szCs w:val="20"/>
              </w:rPr>
              <w:t xml:space="preserve"> (TAP) Reports for acute care hospitals. The TAP Reports allow for the ranking of facilities (or locations) in order to identify and target those areas with the greatest need for improvement</w:t>
            </w:r>
          </w:p>
          <w:p w:rsidR="00AB241A" w:rsidRPr="00AE78C2" w:rsidRDefault="00AB241A" w:rsidP="00BB03EF">
            <w:pPr>
              <w:autoSpaceDE w:val="0"/>
              <w:autoSpaceDN w:val="0"/>
              <w:adjustRightInd w:val="0"/>
              <w:ind w:left="900"/>
              <w:rPr>
                <w:color w:val="000000"/>
                <w:szCs w:val="20"/>
              </w:rPr>
            </w:pPr>
          </w:p>
          <w:p w:rsidR="005119BB" w:rsidRPr="00AE78C2" w:rsidRDefault="00BB03EF" w:rsidP="005119BB">
            <w:pPr>
              <w:autoSpaceDE w:val="0"/>
              <w:autoSpaceDN w:val="0"/>
              <w:adjustRightInd w:val="0"/>
              <w:ind w:left="900"/>
              <w:rPr>
                <w:color w:val="000000"/>
                <w:szCs w:val="20"/>
              </w:rPr>
            </w:pPr>
            <w:r w:rsidRPr="00AE78C2">
              <w:rPr>
                <w:color w:val="000000"/>
                <w:szCs w:val="20"/>
              </w:rPr>
              <w:t>MDPH provides timely data to guide c</w:t>
            </w:r>
            <w:r w:rsidR="005119BB" w:rsidRPr="00AE78C2">
              <w:rPr>
                <w:color w:val="000000"/>
                <w:szCs w:val="20"/>
              </w:rPr>
              <w:t>ollaborative prevention efforts:</w:t>
            </w:r>
          </w:p>
          <w:p w:rsidR="00A94268" w:rsidRPr="00AE78C2" w:rsidRDefault="005119BB" w:rsidP="005119BB">
            <w:pPr>
              <w:autoSpaceDE w:val="0"/>
              <w:autoSpaceDN w:val="0"/>
              <w:adjustRightInd w:val="0"/>
              <w:ind w:left="900"/>
              <w:rPr>
                <w:color w:val="000000"/>
              </w:rPr>
            </w:pPr>
            <w:r w:rsidRPr="00AE78C2">
              <w:rPr>
                <w:color w:val="000000"/>
              </w:rPr>
              <w:t xml:space="preserve"> </w:t>
            </w:r>
          </w:p>
          <w:p w:rsidR="00A94268" w:rsidRPr="00AE78C2" w:rsidRDefault="00F07B0F" w:rsidP="00BA04B3">
            <w:pPr>
              <w:autoSpaceDE w:val="0"/>
              <w:autoSpaceDN w:val="0"/>
              <w:adjustRightInd w:val="0"/>
              <w:ind w:left="900"/>
              <w:rPr>
                <w:color w:val="000000"/>
              </w:rPr>
            </w:pPr>
            <w:r w:rsidRPr="00AE78C2">
              <w:rPr>
                <w:color w:val="000000"/>
              </w:rPr>
              <w:t xml:space="preserve">Periodic presentations are provided for the Massachusetts Public Health Council, </w:t>
            </w:r>
            <w:r w:rsidR="00C2136B" w:rsidRPr="00AE78C2">
              <w:rPr>
                <w:color w:val="000000"/>
              </w:rPr>
              <w:t>which is with the Commissioner chairing</w:t>
            </w:r>
            <w:r w:rsidR="00F37388" w:rsidRPr="00AE78C2">
              <w:rPr>
                <w:color w:val="000000"/>
              </w:rPr>
              <w:t>,</w:t>
            </w:r>
            <w:r w:rsidR="00C2136B" w:rsidRPr="00AE78C2">
              <w:rPr>
                <w:color w:val="000000"/>
              </w:rPr>
              <w:t xml:space="preserve"> </w:t>
            </w:r>
            <w:r w:rsidRPr="00AE78C2">
              <w:rPr>
                <w:color w:val="000000"/>
              </w:rPr>
              <w:t xml:space="preserve">the legal entity of the </w:t>
            </w:r>
            <w:r w:rsidR="003E32DF" w:rsidRPr="00AE78C2">
              <w:rPr>
                <w:color w:val="000000"/>
              </w:rPr>
              <w:t>D</w:t>
            </w:r>
            <w:r w:rsidRPr="00AE78C2">
              <w:rPr>
                <w:color w:val="000000"/>
              </w:rPr>
              <w:t>epartment</w:t>
            </w:r>
            <w:r w:rsidR="00C2136B" w:rsidRPr="00AE78C2">
              <w:rPr>
                <w:color w:val="000000"/>
              </w:rPr>
              <w:t>.</w:t>
            </w:r>
            <w:r w:rsidRPr="00AE78C2">
              <w:rPr>
                <w:color w:val="000000"/>
              </w:rPr>
              <w:t xml:space="preserve"> </w:t>
            </w:r>
            <w:r w:rsidR="00F37388" w:rsidRPr="00AE78C2">
              <w:rPr>
                <w:color w:val="000000"/>
              </w:rPr>
              <w:t>T</w:t>
            </w:r>
            <w:r w:rsidR="00C2136B" w:rsidRPr="00AE78C2">
              <w:rPr>
                <w:color w:val="000000"/>
              </w:rPr>
              <w:t>he Public Health Council has the</w:t>
            </w:r>
            <w:r w:rsidRPr="00AE78C2">
              <w:rPr>
                <w:color w:val="000000"/>
              </w:rPr>
              <w:t xml:space="preserve"> authority to approve regulations.</w:t>
            </w:r>
            <w:r w:rsidR="003E32DF" w:rsidRPr="00AE78C2">
              <w:rPr>
                <w:color w:val="000000"/>
              </w:rPr>
              <w:t xml:space="preserve"> P</w:t>
            </w:r>
            <w:r w:rsidRPr="00AE78C2">
              <w:rPr>
                <w:color w:val="000000"/>
              </w:rPr>
              <w:t>romulgation of regulations and regulatory amendments are subject to public comment and review</w:t>
            </w:r>
            <w:r w:rsidR="00C2136B" w:rsidRPr="00AE78C2">
              <w:rPr>
                <w:color w:val="000000"/>
              </w:rPr>
              <w:t>, in accordance with state law and policy,</w:t>
            </w:r>
            <w:r w:rsidRPr="00AE78C2">
              <w:rPr>
                <w:color w:val="000000"/>
              </w:rPr>
              <w:t xml:space="preserve"> and</w:t>
            </w:r>
            <w:r w:rsidR="00C2136B" w:rsidRPr="00AE78C2">
              <w:rPr>
                <w:color w:val="000000"/>
              </w:rPr>
              <w:t xml:space="preserve"> with</w:t>
            </w:r>
            <w:r w:rsidRPr="00AE78C2">
              <w:rPr>
                <w:color w:val="000000"/>
              </w:rPr>
              <w:t xml:space="preserve"> approval of the Public Health Council. </w:t>
            </w:r>
          </w:p>
          <w:p w:rsidR="00F07B0F" w:rsidRPr="00AE78C2" w:rsidRDefault="00F07B0F" w:rsidP="00BA04B3">
            <w:pPr>
              <w:autoSpaceDE w:val="0"/>
              <w:autoSpaceDN w:val="0"/>
              <w:adjustRightInd w:val="0"/>
              <w:ind w:left="900"/>
              <w:rPr>
                <w:color w:val="000000"/>
                <w:szCs w:val="20"/>
              </w:rPr>
            </w:pPr>
            <w:r w:rsidRPr="00AE78C2">
              <w:rPr>
                <w:color w:val="000000"/>
              </w:rPr>
              <w:t xml:space="preserve">   </w:t>
            </w:r>
          </w:p>
          <w:p w:rsidR="00BB03EF" w:rsidRPr="00AE78C2" w:rsidRDefault="00272A4F" w:rsidP="00ED7D6C">
            <w:pPr>
              <w:autoSpaceDE w:val="0"/>
              <w:autoSpaceDN w:val="0"/>
              <w:adjustRightInd w:val="0"/>
              <w:ind w:left="900"/>
              <w:rPr>
                <w:sz w:val="22"/>
                <w:szCs w:val="22"/>
              </w:rPr>
            </w:pPr>
            <w:r w:rsidRPr="00AE78C2">
              <w:rPr>
                <w:color w:val="000000"/>
              </w:rPr>
              <w:t xml:space="preserve">The </w:t>
            </w:r>
            <w:r w:rsidR="00F07B0F" w:rsidRPr="00AE78C2">
              <w:rPr>
                <w:color w:val="000000"/>
              </w:rPr>
              <w:t xml:space="preserve">Massachusetts State </w:t>
            </w:r>
            <w:r w:rsidR="00BB03EF" w:rsidRPr="00AE78C2">
              <w:rPr>
                <w:color w:val="000000"/>
              </w:rPr>
              <w:t xml:space="preserve">HAI </w:t>
            </w:r>
            <w:r w:rsidR="00F07B0F" w:rsidRPr="00AE78C2">
              <w:rPr>
                <w:color w:val="000000"/>
              </w:rPr>
              <w:t>Plan</w:t>
            </w:r>
            <w:r w:rsidR="00BB03EF" w:rsidRPr="00AE78C2">
              <w:rPr>
                <w:color w:val="000000"/>
              </w:rPr>
              <w:t xml:space="preserve"> is</w:t>
            </w:r>
            <w:r w:rsidR="00F07B0F" w:rsidRPr="00AE78C2">
              <w:rPr>
                <w:color w:val="000000"/>
              </w:rPr>
              <w:t xml:space="preserve"> posted on </w:t>
            </w:r>
            <w:r w:rsidRPr="00AE78C2">
              <w:rPr>
                <w:color w:val="000000"/>
              </w:rPr>
              <w:t xml:space="preserve">the </w:t>
            </w:r>
            <w:r w:rsidR="00F07B0F" w:rsidRPr="00AE78C2">
              <w:rPr>
                <w:color w:val="000000"/>
              </w:rPr>
              <w:t xml:space="preserve">MDPH and </w:t>
            </w:r>
            <w:r w:rsidRPr="00AE78C2">
              <w:rPr>
                <w:color w:val="000000"/>
              </w:rPr>
              <w:t>CDC</w:t>
            </w:r>
            <w:r w:rsidR="00F07B0F" w:rsidRPr="00AE78C2">
              <w:rPr>
                <w:color w:val="000000"/>
              </w:rPr>
              <w:t xml:space="preserve"> websites.</w:t>
            </w:r>
          </w:p>
        </w:tc>
        <w:tc>
          <w:tcPr>
            <w:tcW w:w="2070" w:type="dxa"/>
            <w:tcBorders>
              <w:top w:val="nil"/>
              <w:left w:val="single" w:sz="4" w:space="0" w:color="auto"/>
              <w:bottom w:val="single" w:sz="4" w:space="0" w:color="auto"/>
              <w:right w:val="single" w:sz="4" w:space="0" w:color="auto"/>
            </w:tcBorders>
            <w:shd w:val="clear" w:color="auto" w:fill="auto"/>
          </w:tcPr>
          <w:p w:rsidR="00BB03EF" w:rsidRPr="00AE78C2" w:rsidRDefault="00BB03EF" w:rsidP="00F07B0F">
            <w:pPr>
              <w:autoSpaceDE w:val="0"/>
              <w:autoSpaceDN w:val="0"/>
              <w:adjustRightInd w:val="0"/>
              <w:rPr>
                <w:color w:val="365F91"/>
              </w:rPr>
            </w:pPr>
          </w:p>
          <w:p w:rsidR="00BB03EF" w:rsidRPr="00AE78C2" w:rsidRDefault="00BB03EF" w:rsidP="00F07B0F">
            <w:pPr>
              <w:autoSpaceDE w:val="0"/>
              <w:autoSpaceDN w:val="0"/>
              <w:adjustRightInd w:val="0"/>
              <w:rPr>
                <w:color w:val="365F91"/>
              </w:rPr>
            </w:pPr>
          </w:p>
          <w:p w:rsidR="00BB03EF" w:rsidRPr="00AE78C2" w:rsidRDefault="00BB03EF" w:rsidP="00F07B0F">
            <w:pPr>
              <w:autoSpaceDE w:val="0"/>
              <w:autoSpaceDN w:val="0"/>
              <w:adjustRightInd w:val="0"/>
              <w:rPr>
                <w:color w:val="365F91"/>
              </w:rPr>
            </w:pPr>
          </w:p>
          <w:p w:rsidR="00BB03EF" w:rsidRPr="00AE78C2" w:rsidRDefault="00BB03EF" w:rsidP="00F07B0F">
            <w:pPr>
              <w:autoSpaceDE w:val="0"/>
              <w:autoSpaceDN w:val="0"/>
              <w:adjustRightInd w:val="0"/>
              <w:rPr>
                <w:color w:val="365F91"/>
              </w:rPr>
            </w:pPr>
          </w:p>
          <w:p w:rsidR="00BB03EF" w:rsidRPr="00AE78C2" w:rsidRDefault="00BB03EF" w:rsidP="00F07B0F">
            <w:pPr>
              <w:autoSpaceDE w:val="0"/>
              <w:autoSpaceDN w:val="0"/>
              <w:adjustRightInd w:val="0"/>
              <w:rPr>
                <w:color w:val="365F91"/>
              </w:rPr>
            </w:pPr>
          </w:p>
          <w:p w:rsidR="007F4716" w:rsidRPr="00AE78C2" w:rsidRDefault="007F4716" w:rsidP="00F07B0F">
            <w:pPr>
              <w:autoSpaceDE w:val="0"/>
              <w:autoSpaceDN w:val="0"/>
              <w:adjustRightInd w:val="0"/>
              <w:rPr>
                <w:color w:val="365F91"/>
              </w:rPr>
            </w:pPr>
          </w:p>
          <w:p w:rsidR="007F4716" w:rsidRPr="00AE78C2" w:rsidRDefault="007F4716" w:rsidP="00F07B0F">
            <w:pPr>
              <w:autoSpaceDE w:val="0"/>
              <w:autoSpaceDN w:val="0"/>
              <w:adjustRightInd w:val="0"/>
              <w:rPr>
                <w:color w:val="365F91"/>
              </w:rPr>
            </w:pPr>
          </w:p>
          <w:p w:rsidR="007F4716" w:rsidRPr="00AE78C2" w:rsidRDefault="007F4716" w:rsidP="00F07B0F">
            <w:pPr>
              <w:autoSpaceDE w:val="0"/>
              <w:autoSpaceDN w:val="0"/>
              <w:adjustRightInd w:val="0"/>
              <w:rPr>
                <w:color w:val="365F91"/>
              </w:rPr>
            </w:pPr>
          </w:p>
          <w:p w:rsidR="007F4716" w:rsidRPr="00AE78C2" w:rsidRDefault="007F4716" w:rsidP="00F07B0F">
            <w:pPr>
              <w:autoSpaceDE w:val="0"/>
              <w:autoSpaceDN w:val="0"/>
              <w:adjustRightInd w:val="0"/>
              <w:rPr>
                <w:color w:val="365F91"/>
              </w:rPr>
            </w:pPr>
          </w:p>
          <w:p w:rsidR="007F4716" w:rsidRPr="00AE78C2" w:rsidRDefault="007F4716" w:rsidP="00F07B0F">
            <w:pPr>
              <w:autoSpaceDE w:val="0"/>
              <w:autoSpaceDN w:val="0"/>
              <w:adjustRightInd w:val="0"/>
              <w:rPr>
                <w:color w:val="365F91"/>
              </w:rPr>
            </w:pPr>
          </w:p>
          <w:p w:rsidR="007F4716" w:rsidRPr="00AE78C2" w:rsidRDefault="007F4716" w:rsidP="00F07B0F">
            <w:pPr>
              <w:autoSpaceDE w:val="0"/>
              <w:autoSpaceDN w:val="0"/>
              <w:adjustRightInd w:val="0"/>
              <w:rPr>
                <w:color w:val="365F91"/>
              </w:rPr>
            </w:pPr>
          </w:p>
          <w:p w:rsidR="007F4716" w:rsidRPr="00AE78C2" w:rsidRDefault="007F4716" w:rsidP="00F07B0F">
            <w:pPr>
              <w:autoSpaceDE w:val="0"/>
              <w:autoSpaceDN w:val="0"/>
              <w:adjustRightInd w:val="0"/>
              <w:rPr>
                <w:color w:val="365F91"/>
              </w:rPr>
            </w:pPr>
          </w:p>
          <w:p w:rsidR="00F07B0F" w:rsidRPr="00AE78C2" w:rsidRDefault="007F4716" w:rsidP="00F07B0F">
            <w:pPr>
              <w:autoSpaceDE w:val="0"/>
              <w:autoSpaceDN w:val="0"/>
              <w:adjustRightInd w:val="0"/>
              <w:rPr>
                <w:color w:val="000000"/>
              </w:rPr>
            </w:pPr>
            <w:r w:rsidRPr="00AE78C2">
              <w:rPr>
                <w:color w:val="000000"/>
              </w:rPr>
              <w:t>Established</w:t>
            </w:r>
            <w:r w:rsidR="00F07B0F" w:rsidRPr="00AE78C2">
              <w:rPr>
                <w:color w:val="000000"/>
              </w:rPr>
              <w:t xml:space="preserve"> and ongoing </w:t>
            </w:r>
          </w:p>
          <w:p w:rsidR="00F07B0F" w:rsidRPr="00AE78C2" w:rsidRDefault="00F07B0F" w:rsidP="00F07B0F">
            <w:pPr>
              <w:autoSpaceDE w:val="0"/>
              <w:autoSpaceDN w:val="0"/>
              <w:adjustRightInd w:val="0"/>
              <w:rPr>
                <w:color w:val="365F91"/>
              </w:rPr>
            </w:pPr>
          </w:p>
          <w:p w:rsidR="00F07B0F" w:rsidRPr="00AE78C2" w:rsidRDefault="00F07B0F" w:rsidP="00F07B0F">
            <w:pPr>
              <w:autoSpaceDE w:val="0"/>
              <w:autoSpaceDN w:val="0"/>
              <w:adjustRightInd w:val="0"/>
              <w:rPr>
                <w:color w:val="365F91"/>
              </w:rPr>
            </w:pPr>
          </w:p>
          <w:p w:rsidR="00F07B0F" w:rsidRPr="00AE78C2" w:rsidRDefault="00F07B0F" w:rsidP="00F07B0F">
            <w:pPr>
              <w:autoSpaceDE w:val="0"/>
              <w:autoSpaceDN w:val="0"/>
              <w:adjustRightInd w:val="0"/>
              <w:rPr>
                <w:color w:val="365F91"/>
              </w:rPr>
            </w:pPr>
          </w:p>
          <w:p w:rsidR="00F07B0F" w:rsidRPr="00AE78C2" w:rsidRDefault="00F07B0F" w:rsidP="00F07B0F">
            <w:pPr>
              <w:autoSpaceDE w:val="0"/>
              <w:autoSpaceDN w:val="0"/>
              <w:adjustRightInd w:val="0"/>
              <w:rPr>
                <w:color w:val="365F91"/>
              </w:rPr>
            </w:pPr>
          </w:p>
          <w:p w:rsidR="00ED7D6C" w:rsidRPr="00AE78C2" w:rsidRDefault="00ED7D6C" w:rsidP="00066FBB">
            <w:pPr>
              <w:autoSpaceDE w:val="0"/>
              <w:autoSpaceDN w:val="0"/>
              <w:adjustRightInd w:val="0"/>
              <w:rPr>
                <w:color w:val="365F91"/>
              </w:rPr>
            </w:pPr>
          </w:p>
          <w:p w:rsidR="00ED7D6C" w:rsidRPr="00AE78C2" w:rsidRDefault="00ED7D6C" w:rsidP="00066FBB">
            <w:pPr>
              <w:autoSpaceDE w:val="0"/>
              <w:autoSpaceDN w:val="0"/>
              <w:adjustRightInd w:val="0"/>
              <w:rPr>
                <w:color w:val="365F91"/>
              </w:rPr>
            </w:pPr>
          </w:p>
          <w:p w:rsidR="00066FBB" w:rsidRPr="00AE78C2" w:rsidRDefault="00066FBB" w:rsidP="00066FBB">
            <w:pPr>
              <w:autoSpaceDE w:val="0"/>
              <w:autoSpaceDN w:val="0"/>
              <w:adjustRightInd w:val="0"/>
              <w:rPr>
                <w:color w:val="000000"/>
              </w:rPr>
            </w:pPr>
            <w:r w:rsidRPr="00AE78C2">
              <w:rPr>
                <w:color w:val="000000"/>
              </w:rPr>
              <w:t>Ongoing</w:t>
            </w:r>
          </w:p>
          <w:p w:rsidR="00F07B0F" w:rsidRPr="00AE78C2" w:rsidRDefault="00F07B0F" w:rsidP="00F07B0F">
            <w:pPr>
              <w:autoSpaceDE w:val="0"/>
              <w:autoSpaceDN w:val="0"/>
              <w:adjustRightInd w:val="0"/>
              <w:rPr>
                <w:color w:val="000000"/>
              </w:rPr>
            </w:pPr>
          </w:p>
          <w:p w:rsidR="00ED7D6C" w:rsidRPr="00AE78C2" w:rsidRDefault="00ED7D6C" w:rsidP="00F07B0F">
            <w:pPr>
              <w:autoSpaceDE w:val="0"/>
              <w:autoSpaceDN w:val="0"/>
              <w:adjustRightInd w:val="0"/>
              <w:rPr>
                <w:color w:val="000000"/>
              </w:rPr>
            </w:pPr>
          </w:p>
          <w:p w:rsidR="00ED7D6C" w:rsidRPr="00AE78C2" w:rsidRDefault="00ED7D6C" w:rsidP="00F07B0F">
            <w:pPr>
              <w:autoSpaceDE w:val="0"/>
              <w:autoSpaceDN w:val="0"/>
              <w:adjustRightInd w:val="0"/>
              <w:rPr>
                <w:color w:val="000000"/>
              </w:rPr>
            </w:pPr>
          </w:p>
          <w:p w:rsidR="00F07B0F" w:rsidRPr="00AE78C2" w:rsidRDefault="00BD2B13" w:rsidP="00F07B0F">
            <w:pPr>
              <w:autoSpaceDE w:val="0"/>
              <w:autoSpaceDN w:val="0"/>
              <w:adjustRightInd w:val="0"/>
              <w:rPr>
                <w:color w:val="000000"/>
              </w:rPr>
            </w:pPr>
            <w:r w:rsidRPr="00AE78C2">
              <w:rPr>
                <w:color w:val="000000"/>
              </w:rPr>
              <w:t xml:space="preserve">2016 and ongoing </w:t>
            </w:r>
          </w:p>
          <w:p w:rsidR="007F4716" w:rsidRPr="00AE78C2" w:rsidRDefault="007F4716" w:rsidP="00F07B0F">
            <w:pPr>
              <w:autoSpaceDE w:val="0"/>
              <w:autoSpaceDN w:val="0"/>
              <w:adjustRightInd w:val="0"/>
              <w:rPr>
                <w:color w:val="000000"/>
              </w:rPr>
            </w:pPr>
          </w:p>
          <w:p w:rsidR="007F4716" w:rsidRPr="00AE78C2" w:rsidRDefault="007F4716" w:rsidP="00F07B0F">
            <w:pPr>
              <w:autoSpaceDE w:val="0"/>
              <w:autoSpaceDN w:val="0"/>
              <w:adjustRightInd w:val="0"/>
              <w:rPr>
                <w:color w:val="000000"/>
              </w:rPr>
            </w:pPr>
          </w:p>
          <w:p w:rsidR="007F4716" w:rsidRPr="00AE78C2" w:rsidRDefault="007F4716" w:rsidP="00F07B0F">
            <w:pPr>
              <w:autoSpaceDE w:val="0"/>
              <w:autoSpaceDN w:val="0"/>
              <w:adjustRightInd w:val="0"/>
              <w:rPr>
                <w:color w:val="000000"/>
              </w:rPr>
            </w:pPr>
          </w:p>
          <w:p w:rsidR="007F4716" w:rsidRPr="00AE78C2" w:rsidRDefault="007F4716" w:rsidP="00F07B0F">
            <w:pPr>
              <w:autoSpaceDE w:val="0"/>
              <w:autoSpaceDN w:val="0"/>
              <w:adjustRightInd w:val="0"/>
              <w:rPr>
                <w:color w:val="000000"/>
              </w:rPr>
            </w:pPr>
          </w:p>
          <w:p w:rsidR="00F37388" w:rsidRPr="00AE78C2" w:rsidRDefault="00F37388" w:rsidP="00F07B0F">
            <w:pPr>
              <w:autoSpaceDE w:val="0"/>
              <w:autoSpaceDN w:val="0"/>
              <w:adjustRightInd w:val="0"/>
              <w:rPr>
                <w:color w:val="000000"/>
              </w:rPr>
            </w:pPr>
          </w:p>
          <w:p w:rsidR="00F37388" w:rsidRPr="00AE78C2" w:rsidRDefault="00F37388" w:rsidP="00F07B0F">
            <w:pPr>
              <w:autoSpaceDE w:val="0"/>
              <w:autoSpaceDN w:val="0"/>
              <w:adjustRightInd w:val="0"/>
              <w:rPr>
                <w:color w:val="000000"/>
              </w:rPr>
            </w:pPr>
          </w:p>
          <w:p w:rsidR="00F37388" w:rsidRPr="00AE78C2" w:rsidRDefault="00F37388" w:rsidP="00F07B0F">
            <w:pPr>
              <w:autoSpaceDE w:val="0"/>
              <w:autoSpaceDN w:val="0"/>
              <w:adjustRightInd w:val="0"/>
              <w:rPr>
                <w:color w:val="000000"/>
              </w:rPr>
            </w:pPr>
          </w:p>
          <w:p w:rsidR="00F37388" w:rsidRPr="00AE78C2" w:rsidRDefault="00F37388" w:rsidP="00F07B0F">
            <w:pPr>
              <w:autoSpaceDE w:val="0"/>
              <w:autoSpaceDN w:val="0"/>
              <w:adjustRightInd w:val="0"/>
              <w:rPr>
                <w:color w:val="000000"/>
              </w:rPr>
            </w:pPr>
          </w:p>
          <w:p w:rsidR="00F7428E" w:rsidRPr="00AE78C2" w:rsidRDefault="00F07B0F" w:rsidP="00F07B0F">
            <w:pPr>
              <w:autoSpaceDE w:val="0"/>
              <w:autoSpaceDN w:val="0"/>
              <w:adjustRightInd w:val="0"/>
              <w:rPr>
                <w:color w:val="365F91"/>
                <w:sz w:val="22"/>
                <w:szCs w:val="22"/>
              </w:rPr>
            </w:pPr>
            <w:r w:rsidRPr="00AE78C2">
              <w:rPr>
                <w:color w:val="000000"/>
              </w:rPr>
              <w:t>Ongoing since 2010</w:t>
            </w:r>
          </w:p>
        </w:tc>
      </w:tr>
      <w:tr w:rsidR="00F7428E" w:rsidRPr="00AE78C2" w:rsidTr="00ED7D6C">
        <w:tc>
          <w:tcPr>
            <w:tcW w:w="2700" w:type="dxa"/>
            <w:gridSpan w:val="2"/>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autoSpaceDE w:val="0"/>
              <w:autoSpaceDN w:val="0"/>
              <w:adjustRightInd w:val="0"/>
              <w:jc w:val="center"/>
              <w:rPr>
                <w:sz w:val="22"/>
                <w:szCs w:val="22"/>
              </w:rPr>
            </w:pPr>
          </w:p>
        </w:tc>
        <w:tc>
          <w:tcPr>
            <w:tcW w:w="6570" w:type="dxa"/>
            <w:tcBorders>
              <w:top w:val="nil"/>
              <w:left w:val="single" w:sz="4" w:space="0" w:color="auto"/>
              <w:bottom w:val="single" w:sz="4" w:space="0" w:color="auto"/>
              <w:right w:val="single" w:sz="4" w:space="0" w:color="auto"/>
            </w:tcBorders>
            <w:shd w:val="clear" w:color="auto" w:fill="auto"/>
          </w:tcPr>
          <w:p w:rsidR="00272A4F" w:rsidRPr="00AE78C2" w:rsidRDefault="00F7428E" w:rsidP="00272A4F">
            <w:pPr>
              <w:autoSpaceDE w:val="0"/>
              <w:autoSpaceDN w:val="0"/>
              <w:adjustRightInd w:val="0"/>
              <w:rPr>
                <w:color w:val="365F91"/>
              </w:rPr>
            </w:pPr>
            <w:r w:rsidRPr="00AE78C2">
              <w:rPr>
                <w:i/>
                <w:sz w:val="22"/>
                <w:szCs w:val="22"/>
              </w:rPr>
              <w:t>Ot</w:t>
            </w:r>
            <w:r w:rsidR="00942B9F" w:rsidRPr="00AE78C2">
              <w:rPr>
                <w:i/>
                <w:sz w:val="22"/>
                <w:szCs w:val="22"/>
              </w:rPr>
              <w:t>her activities or descriptions</w:t>
            </w:r>
            <w:r w:rsidRPr="00AE78C2">
              <w:rPr>
                <w:i/>
                <w:sz w:val="22"/>
                <w:szCs w:val="22"/>
              </w:rPr>
              <w:t>:</w:t>
            </w:r>
          </w:p>
          <w:p w:rsidR="00F7428E" w:rsidRPr="00AE78C2" w:rsidRDefault="00F7428E" w:rsidP="00A6167D">
            <w:pPr>
              <w:autoSpaceDE w:val="0"/>
              <w:autoSpaceDN w:val="0"/>
              <w:adjustRightInd w:val="0"/>
              <w:ind w:left="720"/>
              <w:rPr>
                <w:sz w:val="22"/>
                <w:szCs w:val="22"/>
              </w:rPr>
            </w:pPr>
          </w:p>
          <w:p w:rsidR="008F4690" w:rsidRPr="00AE78C2" w:rsidRDefault="008F4690" w:rsidP="00A6167D">
            <w:pPr>
              <w:autoSpaceDE w:val="0"/>
              <w:autoSpaceDN w:val="0"/>
              <w:adjustRightInd w:val="0"/>
              <w:ind w:left="720"/>
              <w:rPr>
                <w:sz w:val="22"/>
                <w:szCs w:val="22"/>
              </w:rPr>
            </w:pPr>
          </w:p>
          <w:p w:rsidR="008F4690" w:rsidRPr="00AE78C2" w:rsidRDefault="008F4690" w:rsidP="00A6167D">
            <w:pPr>
              <w:autoSpaceDE w:val="0"/>
              <w:autoSpaceDN w:val="0"/>
              <w:adjustRightInd w:val="0"/>
              <w:ind w:left="720"/>
              <w:rPr>
                <w:sz w:val="22"/>
                <w:szCs w:val="22"/>
              </w:rPr>
            </w:pPr>
          </w:p>
          <w:p w:rsidR="008F4690" w:rsidRPr="00AE78C2" w:rsidRDefault="008F4690" w:rsidP="00A6167D">
            <w:pPr>
              <w:autoSpaceDE w:val="0"/>
              <w:autoSpaceDN w:val="0"/>
              <w:adjustRightInd w:val="0"/>
              <w:ind w:left="720"/>
              <w:rPr>
                <w:sz w:val="22"/>
                <w:szCs w:val="22"/>
              </w:rPr>
            </w:pPr>
          </w:p>
        </w:tc>
        <w:tc>
          <w:tcPr>
            <w:tcW w:w="2070" w:type="dxa"/>
            <w:tcBorders>
              <w:top w:val="nil"/>
              <w:left w:val="single" w:sz="4" w:space="0" w:color="auto"/>
              <w:bottom w:val="single" w:sz="4" w:space="0" w:color="auto"/>
              <w:right w:val="single" w:sz="4" w:space="0" w:color="auto"/>
            </w:tcBorders>
            <w:shd w:val="clear" w:color="auto" w:fill="auto"/>
          </w:tcPr>
          <w:p w:rsidR="00F7428E" w:rsidRPr="00AE78C2" w:rsidRDefault="00F7428E" w:rsidP="006B742F">
            <w:pPr>
              <w:autoSpaceDE w:val="0"/>
              <w:autoSpaceDN w:val="0"/>
              <w:adjustRightInd w:val="0"/>
              <w:rPr>
                <w:sz w:val="22"/>
                <w:szCs w:val="22"/>
              </w:rPr>
            </w:pPr>
          </w:p>
        </w:tc>
      </w:tr>
      <w:tr w:rsidR="00F7428E" w:rsidRPr="00AE78C2" w:rsidTr="00ED7D6C">
        <w:tc>
          <w:tcPr>
            <w:tcW w:w="1440" w:type="dxa"/>
            <w:tcBorders>
              <w:top w:val="single" w:sz="4" w:space="0" w:color="auto"/>
            </w:tcBorders>
            <w:shd w:val="clear" w:color="auto" w:fill="auto"/>
          </w:tcPr>
          <w:p w:rsidR="00942B9F" w:rsidRPr="00AE78C2" w:rsidRDefault="00942B9F" w:rsidP="006B742F">
            <w:pPr>
              <w:jc w:val="center"/>
              <w:rPr>
                <w:sz w:val="22"/>
                <w:szCs w:val="22"/>
              </w:rPr>
            </w:pPr>
          </w:p>
          <w:p w:rsidR="008F4690" w:rsidRPr="00AE78C2" w:rsidRDefault="008F4690" w:rsidP="006B742F">
            <w:pPr>
              <w:jc w:val="center"/>
              <w:rPr>
                <w:sz w:val="22"/>
                <w:szCs w:val="22"/>
              </w:rPr>
            </w:pPr>
          </w:p>
          <w:p w:rsidR="008F4690" w:rsidRPr="00AE78C2" w:rsidRDefault="008F4690" w:rsidP="006B742F">
            <w:pPr>
              <w:jc w:val="center"/>
              <w:rPr>
                <w:sz w:val="22"/>
                <w:szCs w:val="22"/>
              </w:rPr>
            </w:pPr>
          </w:p>
          <w:p w:rsidR="00F7428E" w:rsidRPr="00AE78C2" w:rsidRDefault="008F4690" w:rsidP="006B742F">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260" w:type="dxa"/>
            <w:tcBorders>
              <w:top w:val="single" w:sz="4" w:space="0" w:color="auto"/>
            </w:tcBorders>
            <w:shd w:val="clear" w:color="auto" w:fill="auto"/>
          </w:tcPr>
          <w:p w:rsidR="00942B9F" w:rsidRPr="00AE78C2" w:rsidRDefault="00942B9F" w:rsidP="006B742F">
            <w:pPr>
              <w:jc w:val="center"/>
              <w:rPr>
                <w:sz w:val="22"/>
                <w:szCs w:val="22"/>
              </w:rPr>
            </w:pPr>
          </w:p>
          <w:p w:rsidR="008F4690" w:rsidRPr="00AE78C2" w:rsidRDefault="008F4690" w:rsidP="006B742F">
            <w:pPr>
              <w:jc w:val="center"/>
              <w:rPr>
                <w:sz w:val="22"/>
                <w:szCs w:val="22"/>
              </w:rPr>
            </w:pPr>
          </w:p>
          <w:p w:rsidR="008F4690" w:rsidRPr="00AE78C2" w:rsidRDefault="008F4690" w:rsidP="006B742F">
            <w:pPr>
              <w:jc w:val="center"/>
              <w:rPr>
                <w:sz w:val="22"/>
                <w:szCs w:val="22"/>
              </w:rPr>
            </w:pPr>
          </w:p>
          <w:p w:rsidR="00F7428E" w:rsidRPr="00AE78C2" w:rsidRDefault="00F7428E" w:rsidP="006B742F">
            <w:pPr>
              <w:jc w:val="center"/>
              <w:rPr>
                <w:sz w:val="22"/>
                <w:szCs w:val="22"/>
              </w:rPr>
            </w:pPr>
            <w:r w:rsidRPr="00AE78C2">
              <w:rPr>
                <w:sz w:val="22"/>
                <w:szCs w:val="22"/>
              </w:rPr>
              <w:lastRenderedPageBreak/>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570" w:type="dxa"/>
            <w:tcBorders>
              <w:top w:val="single" w:sz="4" w:space="0" w:color="auto"/>
            </w:tcBorders>
            <w:shd w:val="clear" w:color="auto" w:fill="auto"/>
          </w:tcPr>
          <w:p w:rsidR="00F7428E" w:rsidRPr="00AE78C2" w:rsidRDefault="00F7428E" w:rsidP="009B7F2E">
            <w:pPr>
              <w:numPr>
                <w:ilvl w:val="0"/>
                <w:numId w:val="11"/>
              </w:numPr>
              <w:rPr>
                <w:b/>
                <w:sz w:val="28"/>
                <w:szCs w:val="28"/>
              </w:rPr>
            </w:pPr>
            <w:r w:rsidRPr="00AE78C2">
              <w:rPr>
                <w:b/>
                <w:sz w:val="28"/>
                <w:szCs w:val="28"/>
              </w:rPr>
              <w:lastRenderedPageBreak/>
              <w:t xml:space="preserve">Provide consumers access to useful healthcare quality measures </w:t>
            </w:r>
          </w:p>
          <w:p w:rsidR="00F07B0F" w:rsidRPr="00AE78C2" w:rsidRDefault="00942B9F" w:rsidP="009B7F2E">
            <w:pPr>
              <w:numPr>
                <w:ilvl w:val="2"/>
                <w:numId w:val="17"/>
              </w:numPr>
              <w:rPr>
                <w:b/>
              </w:rPr>
            </w:pPr>
            <w:r w:rsidRPr="00AE78C2">
              <w:rPr>
                <w:b/>
              </w:rPr>
              <w:lastRenderedPageBreak/>
              <w:t>Disseminate HAI data to the public</w:t>
            </w:r>
          </w:p>
          <w:p w:rsidR="00763125" w:rsidRPr="00AE78C2" w:rsidRDefault="00763125" w:rsidP="00BA04B3">
            <w:pPr>
              <w:ind w:left="900"/>
              <w:rPr>
                <w:color w:val="365F91"/>
              </w:rPr>
            </w:pPr>
          </w:p>
          <w:p w:rsidR="00F07B0F" w:rsidRPr="00AE78C2" w:rsidRDefault="00F07B0F" w:rsidP="00BA04B3">
            <w:pPr>
              <w:ind w:left="900"/>
              <w:rPr>
                <w:color w:val="000000"/>
              </w:rPr>
            </w:pPr>
            <w:r w:rsidRPr="00AE78C2">
              <w:rPr>
                <w:color w:val="000000"/>
              </w:rPr>
              <w:t xml:space="preserve">MDPH </w:t>
            </w:r>
            <w:r w:rsidR="00D62A0E" w:rsidRPr="00AE78C2">
              <w:rPr>
                <w:color w:val="000000"/>
              </w:rPr>
              <w:t>provides the</w:t>
            </w:r>
            <w:r w:rsidRPr="00AE78C2">
              <w:rPr>
                <w:color w:val="000000"/>
              </w:rPr>
              <w:t xml:space="preserve"> following </w:t>
            </w:r>
            <w:r w:rsidR="00D62A0E" w:rsidRPr="00AE78C2">
              <w:rPr>
                <w:color w:val="000000"/>
              </w:rPr>
              <w:t>data annually</w:t>
            </w:r>
            <w:r w:rsidR="00272A4F" w:rsidRPr="00AE78C2">
              <w:rPr>
                <w:color w:val="000000"/>
              </w:rPr>
              <w:t xml:space="preserve"> on its website, as both a statewide summary and a</w:t>
            </w:r>
            <w:r w:rsidR="007F4716" w:rsidRPr="00AE78C2">
              <w:rPr>
                <w:color w:val="000000"/>
              </w:rPr>
              <w:t>n update</w:t>
            </w:r>
            <w:r w:rsidR="00272A4F" w:rsidRPr="00AE78C2">
              <w:rPr>
                <w:color w:val="000000"/>
              </w:rPr>
              <w:t xml:space="preserve"> providing hospital-specific information</w:t>
            </w:r>
            <w:r w:rsidRPr="00AE78C2">
              <w:rPr>
                <w:color w:val="000000"/>
              </w:rPr>
              <w:t xml:space="preserve">: </w:t>
            </w:r>
          </w:p>
          <w:p w:rsidR="00CE6CBC" w:rsidRPr="00AE78C2" w:rsidRDefault="00CE6CBC" w:rsidP="00BA04B3">
            <w:pPr>
              <w:ind w:left="900"/>
              <w:rPr>
                <w:color w:val="000000"/>
              </w:rPr>
            </w:pPr>
          </w:p>
          <w:p w:rsidR="00F07B0F" w:rsidRPr="00AE78C2" w:rsidRDefault="00F07B0F" w:rsidP="009B7F2E">
            <w:pPr>
              <w:numPr>
                <w:ilvl w:val="0"/>
                <w:numId w:val="38"/>
              </w:numPr>
              <w:rPr>
                <w:color w:val="000000"/>
              </w:rPr>
            </w:pPr>
            <w:r w:rsidRPr="00AE78C2">
              <w:rPr>
                <w:color w:val="000000"/>
              </w:rPr>
              <w:t xml:space="preserve">SSI resulting after primary hip or knee arthroplasty, by hospital </w:t>
            </w:r>
          </w:p>
          <w:p w:rsidR="00F07B0F" w:rsidRPr="00AE78C2" w:rsidRDefault="00F07B0F" w:rsidP="009B7F2E">
            <w:pPr>
              <w:numPr>
                <w:ilvl w:val="0"/>
                <w:numId w:val="38"/>
              </w:numPr>
              <w:rPr>
                <w:color w:val="000000"/>
              </w:rPr>
            </w:pPr>
            <w:r w:rsidRPr="00AE78C2">
              <w:rPr>
                <w:color w:val="000000"/>
              </w:rPr>
              <w:t xml:space="preserve">SSI resulting from abdominal and vaginal hysterectomy, by hospital </w:t>
            </w:r>
          </w:p>
          <w:p w:rsidR="00F07B0F" w:rsidRPr="00AE78C2" w:rsidRDefault="00F07B0F" w:rsidP="009B7F2E">
            <w:pPr>
              <w:numPr>
                <w:ilvl w:val="0"/>
                <w:numId w:val="38"/>
              </w:numPr>
              <w:rPr>
                <w:color w:val="000000"/>
              </w:rPr>
            </w:pPr>
            <w:r w:rsidRPr="00AE78C2">
              <w:rPr>
                <w:color w:val="000000"/>
              </w:rPr>
              <w:t>CLABSI in adult, pediatric and neonatal ICU patients, by hospital</w:t>
            </w:r>
          </w:p>
          <w:p w:rsidR="00F07B0F" w:rsidRPr="00AE78C2" w:rsidRDefault="00F07B0F" w:rsidP="009B7F2E">
            <w:pPr>
              <w:numPr>
                <w:ilvl w:val="0"/>
                <w:numId w:val="38"/>
              </w:numPr>
              <w:rPr>
                <w:color w:val="000000"/>
              </w:rPr>
            </w:pPr>
            <w:r w:rsidRPr="00AE78C2">
              <w:rPr>
                <w:color w:val="000000"/>
              </w:rPr>
              <w:t>SSI resulting from CABG,</w:t>
            </w:r>
            <w:r w:rsidR="003A4711" w:rsidRPr="00AE78C2">
              <w:rPr>
                <w:color w:val="000000"/>
              </w:rPr>
              <w:t xml:space="preserve"> </w:t>
            </w:r>
            <w:r w:rsidRPr="00AE78C2">
              <w:rPr>
                <w:color w:val="000000"/>
              </w:rPr>
              <w:t xml:space="preserve">by hospital </w:t>
            </w:r>
          </w:p>
          <w:p w:rsidR="00CE6CBC" w:rsidRPr="00AE78C2" w:rsidRDefault="00CE6CBC" w:rsidP="003A4711">
            <w:pPr>
              <w:ind w:left="900"/>
              <w:rPr>
                <w:color w:val="000000"/>
              </w:rPr>
            </w:pPr>
          </w:p>
          <w:p w:rsidR="00F07B0F" w:rsidRPr="00AE78C2" w:rsidRDefault="00F07B0F" w:rsidP="009B7F2E">
            <w:pPr>
              <w:numPr>
                <w:ilvl w:val="0"/>
                <w:numId w:val="38"/>
              </w:numPr>
              <w:rPr>
                <w:color w:val="000000"/>
              </w:rPr>
            </w:pPr>
            <w:r w:rsidRPr="00AE78C2">
              <w:rPr>
                <w:color w:val="000000"/>
              </w:rPr>
              <w:t xml:space="preserve">Hospital </w:t>
            </w:r>
            <w:r w:rsidR="003A4711" w:rsidRPr="00AE78C2">
              <w:rPr>
                <w:color w:val="000000"/>
              </w:rPr>
              <w:t>-</w:t>
            </w:r>
            <w:r w:rsidRPr="00AE78C2">
              <w:rPr>
                <w:color w:val="000000"/>
              </w:rPr>
              <w:t>specific Healthcare personnel influenza</w:t>
            </w:r>
            <w:r w:rsidR="003A4711" w:rsidRPr="00AE78C2">
              <w:rPr>
                <w:color w:val="000000"/>
              </w:rPr>
              <w:t xml:space="preserve"> vaccination</w:t>
            </w:r>
            <w:r w:rsidRPr="00AE78C2">
              <w:rPr>
                <w:color w:val="000000"/>
              </w:rPr>
              <w:t xml:space="preserve"> data </w:t>
            </w:r>
          </w:p>
          <w:p w:rsidR="003E32DF" w:rsidRPr="00AE78C2" w:rsidRDefault="003E32DF" w:rsidP="003E32DF">
            <w:pPr>
              <w:rPr>
                <w:color w:val="000000"/>
              </w:rPr>
            </w:pPr>
          </w:p>
          <w:p w:rsidR="00CE6CBC" w:rsidRPr="00AE78C2" w:rsidRDefault="00AB241A" w:rsidP="006D2AAF">
            <w:pPr>
              <w:ind w:left="882"/>
              <w:rPr>
                <w:color w:val="000000"/>
              </w:rPr>
            </w:pPr>
            <w:r w:rsidRPr="00AE78C2">
              <w:rPr>
                <w:color w:val="000000"/>
              </w:rPr>
              <w:t xml:space="preserve">MDPH will include SSI from colon procedures. </w:t>
            </w:r>
            <w:r w:rsidR="002F1461" w:rsidRPr="00AE78C2">
              <w:rPr>
                <w:color w:val="000000"/>
              </w:rPr>
              <w:t xml:space="preserve">  Methicillin Resistant Staphylococcus aureus (MRSA Bacteremia LabID Event</w:t>
            </w:r>
            <w:r w:rsidR="006D2AAF" w:rsidRPr="00AE78C2">
              <w:rPr>
                <w:color w:val="000000"/>
              </w:rPr>
              <w:t>s</w:t>
            </w:r>
            <w:r w:rsidR="002F1461" w:rsidRPr="00AE78C2">
              <w:rPr>
                <w:color w:val="000000"/>
              </w:rPr>
              <w:t xml:space="preserve"> and Clostridium </w:t>
            </w:r>
            <w:r w:rsidR="00936F75" w:rsidRPr="00AE78C2">
              <w:rPr>
                <w:color w:val="000000"/>
              </w:rPr>
              <w:t>difficile Infection</w:t>
            </w:r>
            <w:r w:rsidR="002F1461" w:rsidRPr="00AE78C2">
              <w:rPr>
                <w:color w:val="000000"/>
              </w:rPr>
              <w:t xml:space="preserve"> (CDI) LabID Event</w:t>
            </w:r>
            <w:r w:rsidR="006D2AAF" w:rsidRPr="00AE78C2">
              <w:rPr>
                <w:color w:val="000000"/>
              </w:rPr>
              <w:t>s.</w:t>
            </w:r>
            <w:r w:rsidR="002F1461" w:rsidRPr="00AE78C2">
              <w:rPr>
                <w:color w:val="000000"/>
              </w:rPr>
              <w:t xml:space="preserve"> </w:t>
            </w:r>
          </w:p>
          <w:p w:rsidR="006D2AAF" w:rsidRPr="00AE78C2" w:rsidRDefault="006D2AAF" w:rsidP="006D2AAF">
            <w:pPr>
              <w:ind w:left="882"/>
              <w:rPr>
                <w:color w:val="000000"/>
              </w:rPr>
            </w:pPr>
          </w:p>
          <w:p w:rsidR="00942B9F" w:rsidRPr="00AE78C2" w:rsidRDefault="003A4711" w:rsidP="00ED7D6C">
            <w:pPr>
              <w:ind w:left="900"/>
              <w:rPr>
                <w:sz w:val="22"/>
                <w:szCs w:val="22"/>
              </w:rPr>
            </w:pPr>
            <w:r w:rsidRPr="00AE78C2">
              <w:rPr>
                <w:color w:val="000000"/>
              </w:rPr>
              <w:t xml:space="preserve">MDPH continues to evaluate current methods of reporting HAI information to the public, and strives </w:t>
            </w:r>
            <w:r w:rsidR="00F07B0F" w:rsidRPr="00AE78C2">
              <w:rPr>
                <w:color w:val="000000"/>
              </w:rPr>
              <w:t>to develop improved methods of displaying HAI data</w:t>
            </w:r>
            <w:r w:rsidRPr="00AE78C2">
              <w:rPr>
                <w:color w:val="365F91"/>
              </w:rPr>
              <w:t>.</w:t>
            </w:r>
          </w:p>
        </w:tc>
        <w:tc>
          <w:tcPr>
            <w:tcW w:w="2070" w:type="dxa"/>
            <w:tcBorders>
              <w:top w:val="single" w:sz="4" w:space="0" w:color="auto"/>
            </w:tcBorders>
            <w:shd w:val="clear" w:color="auto" w:fill="auto"/>
          </w:tcPr>
          <w:p w:rsidR="00272A4F" w:rsidRPr="00AE78C2" w:rsidRDefault="00272A4F" w:rsidP="00F07B0F"/>
          <w:p w:rsidR="00272A4F" w:rsidRPr="00AE78C2" w:rsidRDefault="00272A4F" w:rsidP="00F07B0F"/>
          <w:p w:rsidR="00272A4F" w:rsidRPr="00AE78C2" w:rsidRDefault="00272A4F" w:rsidP="00F07B0F"/>
          <w:p w:rsidR="00F07B0F" w:rsidRPr="00AE78C2" w:rsidRDefault="00F07B0F" w:rsidP="00F07B0F">
            <w:pPr>
              <w:rPr>
                <w:color w:val="000000"/>
              </w:rPr>
            </w:pPr>
            <w:r w:rsidRPr="00AE78C2">
              <w:rPr>
                <w:color w:val="000000"/>
              </w:rPr>
              <w:lastRenderedPageBreak/>
              <w:t xml:space="preserve">Ongoing since 2010 </w:t>
            </w: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F07B0F" w:rsidP="00F07B0F">
            <w:pPr>
              <w:rPr>
                <w:color w:val="000000"/>
              </w:rPr>
            </w:pPr>
          </w:p>
          <w:p w:rsidR="00F07B0F" w:rsidRPr="00AE78C2" w:rsidRDefault="002F1461" w:rsidP="00F07B0F">
            <w:pPr>
              <w:rPr>
                <w:color w:val="000000"/>
              </w:rPr>
            </w:pPr>
            <w:r w:rsidRPr="00AE78C2">
              <w:rPr>
                <w:color w:val="000000"/>
              </w:rPr>
              <w:t xml:space="preserve">June 2016 and ongoing </w:t>
            </w:r>
          </w:p>
          <w:p w:rsidR="00F07B0F" w:rsidRPr="00AE78C2" w:rsidRDefault="00F07B0F" w:rsidP="00F07B0F"/>
          <w:p w:rsidR="00F07B0F" w:rsidRPr="00AE78C2" w:rsidRDefault="00F07B0F" w:rsidP="00F07B0F"/>
          <w:p w:rsidR="00F7428E" w:rsidRPr="00AE78C2" w:rsidRDefault="00F7428E" w:rsidP="00F07B0F">
            <w:pPr>
              <w:rPr>
                <w:sz w:val="22"/>
                <w:szCs w:val="22"/>
              </w:rPr>
            </w:pPr>
          </w:p>
        </w:tc>
      </w:tr>
      <w:tr w:rsidR="00F7428E" w:rsidRPr="00AE78C2" w:rsidTr="00ED7D6C">
        <w:tc>
          <w:tcPr>
            <w:tcW w:w="2700" w:type="dxa"/>
            <w:gridSpan w:val="2"/>
            <w:tcBorders>
              <w:top w:val="single" w:sz="4" w:space="0" w:color="auto"/>
            </w:tcBorders>
            <w:shd w:val="clear" w:color="auto" w:fill="auto"/>
          </w:tcPr>
          <w:p w:rsidR="00F7428E" w:rsidRPr="00AE78C2" w:rsidRDefault="00F7428E" w:rsidP="006B742F">
            <w:pPr>
              <w:jc w:val="center"/>
              <w:rPr>
                <w:sz w:val="22"/>
                <w:szCs w:val="22"/>
              </w:rPr>
            </w:pPr>
          </w:p>
        </w:tc>
        <w:tc>
          <w:tcPr>
            <w:tcW w:w="6570" w:type="dxa"/>
            <w:tcBorders>
              <w:top w:val="single" w:sz="4" w:space="0" w:color="auto"/>
            </w:tcBorders>
            <w:shd w:val="clear" w:color="auto" w:fill="auto"/>
          </w:tcPr>
          <w:p w:rsidR="003A4711" w:rsidRPr="00AE78C2" w:rsidRDefault="00F7428E" w:rsidP="006B742F">
            <w:pPr>
              <w:autoSpaceDE w:val="0"/>
              <w:autoSpaceDN w:val="0"/>
              <w:adjustRightInd w:val="0"/>
              <w:rPr>
                <w:i/>
                <w:sz w:val="22"/>
                <w:szCs w:val="22"/>
              </w:rPr>
            </w:pPr>
            <w:r w:rsidRPr="00AE78C2">
              <w:rPr>
                <w:i/>
                <w:sz w:val="22"/>
                <w:szCs w:val="22"/>
              </w:rPr>
              <w:t>Other activities or descriptions:</w:t>
            </w:r>
          </w:p>
          <w:p w:rsidR="00F7428E" w:rsidRPr="00AE78C2" w:rsidRDefault="002F1461" w:rsidP="00ED7D6C">
            <w:pPr>
              <w:ind w:left="522"/>
              <w:rPr>
                <w:color w:val="000000"/>
                <w:sz w:val="22"/>
                <w:szCs w:val="22"/>
              </w:rPr>
            </w:pPr>
            <w:r w:rsidRPr="00AE78C2">
              <w:rPr>
                <w:color w:val="000000"/>
              </w:rPr>
              <w:t xml:space="preserve">MDPH encourages acute care </w:t>
            </w:r>
            <w:r w:rsidR="003A4711" w:rsidRPr="00AE78C2">
              <w:rPr>
                <w:color w:val="000000"/>
              </w:rPr>
              <w:t>hospital</w:t>
            </w:r>
            <w:r w:rsidRPr="00AE78C2">
              <w:rPr>
                <w:color w:val="000000"/>
              </w:rPr>
              <w:t xml:space="preserve"> CEOs </w:t>
            </w:r>
            <w:r w:rsidR="003A4711" w:rsidRPr="00AE78C2">
              <w:rPr>
                <w:color w:val="000000"/>
              </w:rPr>
              <w:t xml:space="preserve">to share the </w:t>
            </w:r>
            <w:r w:rsidRPr="00AE78C2">
              <w:rPr>
                <w:color w:val="000000"/>
              </w:rPr>
              <w:t>HAI updates with Boards of Trustees, Patient and Family Advisory Councils</w:t>
            </w:r>
            <w:r w:rsidR="003A4711" w:rsidRPr="00AE78C2">
              <w:rPr>
                <w:color w:val="000000"/>
              </w:rPr>
              <w:t>, and with their professional staff/healthcare providers</w:t>
            </w:r>
            <w:r w:rsidR="00F07B0F" w:rsidRPr="00AE78C2">
              <w:rPr>
                <w:color w:val="000000"/>
              </w:rPr>
              <w:t>.</w:t>
            </w:r>
          </w:p>
        </w:tc>
        <w:tc>
          <w:tcPr>
            <w:tcW w:w="2070" w:type="dxa"/>
            <w:tcBorders>
              <w:top w:val="single" w:sz="4" w:space="0" w:color="auto"/>
            </w:tcBorders>
            <w:shd w:val="clear" w:color="auto" w:fill="auto"/>
          </w:tcPr>
          <w:p w:rsidR="00F07B0F" w:rsidRPr="00AE78C2" w:rsidRDefault="00F07B0F" w:rsidP="00DA3A0E">
            <w:pPr>
              <w:rPr>
                <w:sz w:val="22"/>
                <w:szCs w:val="22"/>
              </w:rPr>
            </w:pPr>
          </w:p>
          <w:p w:rsidR="00F07B0F" w:rsidRPr="00AE78C2" w:rsidRDefault="00F07B0F" w:rsidP="00F07B0F"/>
          <w:p w:rsidR="00F07B0F" w:rsidRPr="00AE78C2" w:rsidRDefault="00F07B0F" w:rsidP="00F07B0F"/>
          <w:p w:rsidR="00F07B0F" w:rsidRPr="00AE78C2" w:rsidRDefault="00F07B0F" w:rsidP="00F07B0F"/>
          <w:p w:rsidR="00F7428E" w:rsidRPr="00AE78C2" w:rsidRDefault="00F7428E" w:rsidP="00F07B0F">
            <w:pPr>
              <w:rPr>
                <w:sz w:val="22"/>
                <w:szCs w:val="22"/>
              </w:rPr>
            </w:pPr>
          </w:p>
        </w:tc>
      </w:tr>
      <w:tr w:rsidR="00F7428E" w:rsidRPr="00AE78C2" w:rsidTr="00ED7D6C">
        <w:trPr>
          <w:trHeight w:val="1160"/>
        </w:trPr>
        <w:tc>
          <w:tcPr>
            <w:tcW w:w="1440" w:type="dxa"/>
            <w:tcBorders>
              <w:bottom w:val="single" w:sz="4" w:space="0" w:color="auto"/>
            </w:tcBorders>
            <w:shd w:val="clear" w:color="auto" w:fill="auto"/>
          </w:tcPr>
          <w:p w:rsidR="00915C31" w:rsidRPr="00AE78C2" w:rsidRDefault="00915C31" w:rsidP="006B742F">
            <w:pPr>
              <w:jc w:val="center"/>
              <w:rPr>
                <w:sz w:val="22"/>
                <w:szCs w:val="22"/>
              </w:rPr>
            </w:pPr>
          </w:p>
          <w:p w:rsidR="00915C31" w:rsidRPr="00AE78C2" w:rsidRDefault="00915C31" w:rsidP="006B742F">
            <w:pPr>
              <w:jc w:val="center"/>
              <w:rPr>
                <w:sz w:val="22"/>
                <w:szCs w:val="22"/>
              </w:rPr>
            </w:pPr>
          </w:p>
          <w:p w:rsidR="00F7428E" w:rsidRPr="00AE78C2" w:rsidRDefault="008F4690" w:rsidP="006B742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260" w:type="dxa"/>
            <w:tcBorders>
              <w:bottom w:val="single" w:sz="4" w:space="0" w:color="auto"/>
            </w:tcBorders>
            <w:shd w:val="clear" w:color="auto" w:fill="auto"/>
          </w:tcPr>
          <w:p w:rsidR="00915C31" w:rsidRPr="00AE78C2" w:rsidRDefault="00915C31" w:rsidP="006B742F">
            <w:pPr>
              <w:jc w:val="center"/>
              <w:rPr>
                <w:sz w:val="22"/>
                <w:szCs w:val="22"/>
              </w:rPr>
            </w:pPr>
          </w:p>
          <w:p w:rsidR="00915C31" w:rsidRPr="00AE78C2" w:rsidRDefault="00915C31" w:rsidP="006B742F">
            <w:pPr>
              <w:jc w:val="center"/>
              <w:rPr>
                <w:sz w:val="22"/>
                <w:szCs w:val="22"/>
              </w:rPr>
            </w:pPr>
          </w:p>
          <w:p w:rsidR="00F7428E" w:rsidRPr="00AE78C2" w:rsidRDefault="00F7428E" w:rsidP="006B742F">
            <w:pPr>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570" w:type="dxa"/>
            <w:tcBorders>
              <w:bottom w:val="single" w:sz="4" w:space="0" w:color="auto"/>
            </w:tcBorders>
            <w:shd w:val="clear" w:color="auto" w:fill="auto"/>
          </w:tcPr>
          <w:p w:rsidR="00BA04B3" w:rsidRPr="00AE78C2" w:rsidRDefault="00942B9F" w:rsidP="009B7F2E">
            <w:pPr>
              <w:numPr>
                <w:ilvl w:val="0"/>
                <w:numId w:val="11"/>
              </w:numPr>
              <w:rPr>
                <w:b/>
                <w:sz w:val="28"/>
                <w:szCs w:val="28"/>
              </w:rPr>
            </w:pPr>
            <w:r w:rsidRPr="00AE78C2">
              <w:rPr>
                <w:b/>
                <w:sz w:val="28"/>
                <w:szCs w:val="28"/>
              </w:rPr>
              <w:t>Guide patient safety initiatives</w:t>
            </w:r>
          </w:p>
          <w:p w:rsidR="00B46075" w:rsidRPr="00AE78C2" w:rsidRDefault="00F7428E" w:rsidP="009B7F2E">
            <w:pPr>
              <w:numPr>
                <w:ilvl w:val="1"/>
                <w:numId w:val="11"/>
              </w:numPr>
              <w:tabs>
                <w:tab w:val="clear" w:pos="1440"/>
                <w:tab w:val="num" w:pos="882"/>
              </w:tabs>
              <w:ind w:left="882" w:hanging="180"/>
              <w:rPr>
                <w:b/>
                <w:sz w:val="22"/>
                <w:szCs w:val="22"/>
              </w:rPr>
            </w:pPr>
            <w:r w:rsidRPr="00AE78C2">
              <w:rPr>
                <w:b/>
                <w:szCs w:val="22"/>
              </w:rPr>
              <w:t>Identify priorities and pr</w:t>
            </w:r>
            <w:r w:rsidR="00BA04B3" w:rsidRPr="00AE78C2">
              <w:rPr>
                <w:b/>
                <w:szCs w:val="22"/>
              </w:rPr>
              <w:t>ovide input to partners to help</w:t>
            </w:r>
            <w:r w:rsidR="00942B9F" w:rsidRPr="00AE78C2">
              <w:rPr>
                <w:b/>
                <w:szCs w:val="22"/>
              </w:rPr>
              <w:t xml:space="preserve"> </w:t>
            </w:r>
            <w:r w:rsidRPr="00AE78C2">
              <w:rPr>
                <w:b/>
                <w:szCs w:val="22"/>
              </w:rPr>
              <w:t>guide patient safety initiatives and research aimed at reducing HAIs</w:t>
            </w:r>
          </w:p>
          <w:p w:rsidR="00B46075" w:rsidRPr="00AE78C2" w:rsidRDefault="00B46075" w:rsidP="00A42488">
            <w:pPr>
              <w:ind w:left="882"/>
              <w:rPr>
                <w:b/>
                <w:color w:val="000000"/>
                <w:sz w:val="22"/>
                <w:szCs w:val="22"/>
              </w:rPr>
            </w:pPr>
          </w:p>
          <w:p w:rsidR="00A42488" w:rsidRPr="00AE78C2" w:rsidRDefault="002F1461" w:rsidP="00915C31">
            <w:pPr>
              <w:ind w:left="882"/>
              <w:rPr>
                <w:color w:val="000000"/>
              </w:rPr>
            </w:pPr>
            <w:r w:rsidRPr="00AE78C2">
              <w:rPr>
                <w:color w:val="000000"/>
              </w:rPr>
              <w:t xml:space="preserve">MDPH routinely provides data to support </w:t>
            </w:r>
            <w:r w:rsidR="00A42488" w:rsidRPr="00AE78C2">
              <w:rPr>
                <w:color w:val="000000"/>
              </w:rPr>
              <w:t xml:space="preserve">patient safety </w:t>
            </w:r>
            <w:r w:rsidRPr="00AE78C2">
              <w:rPr>
                <w:color w:val="000000"/>
              </w:rPr>
              <w:t>activities conducted by the Massachuse</w:t>
            </w:r>
            <w:r w:rsidR="00A42488" w:rsidRPr="00AE78C2">
              <w:rPr>
                <w:color w:val="000000"/>
              </w:rPr>
              <w:t>t</w:t>
            </w:r>
            <w:r w:rsidRPr="00AE78C2">
              <w:rPr>
                <w:color w:val="000000"/>
              </w:rPr>
              <w:t xml:space="preserve">ts </w:t>
            </w:r>
            <w:r w:rsidR="00A42488" w:rsidRPr="00AE78C2">
              <w:rPr>
                <w:color w:val="000000"/>
              </w:rPr>
              <w:t>Hospital Association and</w:t>
            </w:r>
            <w:r w:rsidRPr="00AE78C2">
              <w:rPr>
                <w:color w:val="000000"/>
              </w:rPr>
              <w:t xml:space="preserve"> the Betsy Lehman </w:t>
            </w:r>
            <w:r w:rsidR="00C2136B" w:rsidRPr="00AE78C2">
              <w:rPr>
                <w:color w:val="000000"/>
              </w:rPr>
              <w:t xml:space="preserve">Center </w:t>
            </w:r>
            <w:r w:rsidRPr="00AE78C2">
              <w:rPr>
                <w:color w:val="000000"/>
              </w:rPr>
              <w:t>for Patient Saf</w:t>
            </w:r>
            <w:r w:rsidR="00A42488" w:rsidRPr="00AE78C2">
              <w:rPr>
                <w:color w:val="000000"/>
              </w:rPr>
              <w:t>ety and Medical Error Reduction.</w:t>
            </w:r>
          </w:p>
          <w:p w:rsidR="00A42488" w:rsidRPr="00AE78C2" w:rsidRDefault="00A42488" w:rsidP="00915C31">
            <w:pPr>
              <w:ind w:left="882"/>
              <w:rPr>
                <w:color w:val="000000"/>
              </w:rPr>
            </w:pPr>
          </w:p>
          <w:p w:rsidR="00F7428E" w:rsidRPr="00AE78C2" w:rsidRDefault="00B46075" w:rsidP="00915C31">
            <w:pPr>
              <w:ind w:left="882"/>
              <w:rPr>
                <w:b/>
                <w:sz w:val="22"/>
                <w:szCs w:val="22"/>
              </w:rPr>
            </w:pPr>
            <w:r w:rsidRPr="00AE78C2">
              <w:rPr>
                <w:color w:val="000000"/>
              </w:rPr>
              <w:t xml:space="preserve">The Massachusetts Neonatal Quality Improvement Collaborative (MassNeoQIC) represents all 10 level 3 neonatal intensive care units (NICUs) in Massachusetts.  MDPH routinely provides HAI data to </w:t>
            </w:r>
            <w:r w:rsidR="00936F75" w:rsidRPr="00AE78C2">
              <w:rPr>
                <w:color w:val="000000"/>
              </w:rPr>
              <w:t>MassNeoQIC to</w:t>
            </w:r>
            <w:r w:rsidRPr="00AE78C2">
              <w:rPr>
                <w:color w:val="000000"/>
              </w:rPr>
              <w:t xml:space="preserve"> utilize for quality improvement initiatives</w:t>
            </w:r>
            <w:r w:rsidR="00A42488" w:rsidRPr="00AE78C2">
              <w:rPr>
                <w:color w:val="000000"/>
              </w:rPr>
              <w:t>.</w:t>
            </w:r>
            <w:r w:rsidRPr="00AE78C2">
              <w:rPr>
                <w:b/>
                <w:szCs w:val="22"/>
              </w:rPr>
              <w:t xml:space="preserve"> </w:t>
            </w:r>
          </w:p>
        </w:tc>
        <w:tc>
          <w:tcPr>
            <w:tcW w:w="2070" w:type="dxa"/>
            <w:tcBorders>
              <w:bottom w:val="single" w:sz="4" w:space="0" w:color="auto"/>
            </w:tcBorders>
            <w:shd w:val="clear" w:color="auto" w:fill="auto"/>
          </w:tcPr>
          <w:p w:rsidR="00F7428E" w:rsidRPr="00AE78C2" w:rsidRDefault="00F7428E" w:rsidP="00DA3A0E">
            <w:pPr>
              <w:rPr>
                <w:sz w:val="22"/>
                <w:szCs w:val="22"/>
              </w:rPr>
            </w:pPr>
          </w:p>
          <w:p w:rsidR="00575535" w:rsidRPr="00AE78C2" w:rsidRDefault="00575535" w:rsidP="00DA3A0E">
            <w:pPr>
              <w:rPr>
                <w:sz w:val="22"/>
                <w:szCs w:val="22"/>
              </w:rPr>
            </w:pPr>
          </w:p>
          <w:p w:rsidR="00575535" w:rsidRPr="00AE78C2" w:rsidRDefault="00575535" w:rsidP="00DA3A0E">
            <w:pPr>
              <w:rPr>
                <w:sz w:val="22"/>
                <w:szCs w:val="22"/>
              </w:rPr>
            </w:pPr>
          </w:p>
          <w:p w:rsidR="00575535" w:rsidRPr="00AE78C2" w:rsidRDefault="00575535" w:rsidP="00DA3A0E">
            <w:pPr>
              <w:rPr>
                <w:sz w:val="22"/>
                <w:szCs w:val="22"/>
              </w:rPr>
            </w:pPr>
          </w:p>
          <w:p w:rsidR="00575535" w:rsidRPr="00AE78C2" w:rsidRDefault="00575535" w:rsidP="00DA3A0E">
            <w:pPr>
              <w:rPr>
                <w:sz w:val="22"/>
                <w:szCs w:val="22"/>
              </w:rPr>
            </w:pPr>
          </w:p>
          <w:p w:rsidR="00575535" w:rsidRPr="00AE78C2" w:rsidRDefault="00575535" w:rsidP="00DA3A0E">
            <w:pPr>
              <w:rPr>
                <w:sz w:val="22"/>
                <w:szCs w:val="22"/>
              </w:rPr>
            </w:pPr>
          </w:p>
          <w:p w:rsidR="00575535" w:rsidRPr="00AE78C2" w:rsidRDefault="00575535" w:rsidP="00DA3A0E">
            <w:pPr>
              <w:rPr>
                <w:color w:val="000000"/>
              </w:rPr>
            </w:pPr>
            <w:r w:rsidRPr="00AE78C2">
              <w:rPr>
                <w:color w:val="000000"/>
              </w:rPr>
              <w:t>Established and ongoing</w:t>
            </w:r>
          </w:p>
        </w:tc>
      </w:tr>
      <w:tr w:rsidR="00F7428E" w:rsidRPr="00AE78C2" w:rsidTr="00ED7D6C">
        <w:tc>
          <w:tcPr>
            <w:tcW w:w="2700" w:type="dxa"/>
            <w:gridSpan w:val="2"/>
            <w:shd w:val="clear" w:color="auto" w:fill="auto"/>
          </w:tcPr>
          <w:p w:rsidR="00F7428E" w:rsidRPr="00AE78C2" w:rsidRDefault="00F7428E" w:rsidP="006B742F">
            <w:pPr>
              <w:jc w:val="center"/>
              <w:rPr>
                <w:sz w:val="22"/>
                <w:szCs w:val="22"/>
              </w:rPr>
            </w:pPr>
          </w:p>
        </w:tc>
        <w:tc>
          <w:tcPr>
            <w:tcW w:w="6570" w:type="dxa"/>
            <w:shd w:val="clear" w:color="auto" w:fill="auto"/>
          </w:tcPr>
          <w:p w:rsidR="00F7428E" w:rsidRPr="00AE78C2" w:rsidRDefault="00F7428E" w:rsidP="006B742F">
            <w:pPr>
              <w:autoSpaceDE w:val="0"/>
              <w:autoSpaceDN w:val="0"/>
              <w:adjustRightInd w:val="0"/>
              <w:rPr>
                <w:i/>
                <w:sz w:val="22"/>
                <w:szCs w:val="22"/>
              </w:rPr>
            </w:pPr>
            <w:r w:rsidRPr="00AE78C2">
              <w:rPr>
                <w:i/>
                <w:sz w:val="22"/>
                <w:szCs w:val="22"/>
              </w:rPr>
              <w:t>Other activities or descriptions:</w:t>
            </w:r>
          </w:p>
          <w:p w:rsidR="00F7428E" w:rsidRPr="00AE78C2" w:rsidRDefault="00F7428E" w:rsidP="00BA04B3">
            <w:pPr>
              <w:ind w:left="900"/>
              <w:rPr>
                <w:color w:val="365F91"/>
              </w:rPr>
            </w:pPr>
          </w:p>
        </w:tc>
        <w:tc>
          <w:tcPr>
            <w:tcW w:w="2070" w:type="dxa"/>
            <w:shd w:val="clear" w:color="auto" w:fill="auto"/>
          </w:tcPr>
          <w:p w:rsidR="00F7428E" w:rsidRPr="00AE78C2" w:rsidRDefault="00F7428E" w:rsidP="00B24B69">
            <w:pPr>
              <w:rPr>
                <w:sz w:val="22"/>
                <w:szCs w:val="22"/>
              </w:rPr>
            </w:pPr>
          </w:p>
        </w:tc>
      </w:tr>
    </w:tbl>
    <w:p w:rsidR="00471754" w:rsidRPr="00AE78C2" w:rsidRDefault="00471754" w:rsidP="005D663C">
      <w:pPr>
        <w:outlineLvl w:val="0"/>
        <w:rPr>
          <w:b/>
          <w:sz w:val="22"/>
          <w:szCs w:val="22"/>
        </w:rPr>
      </w:pPr>
    </w:p>
    <w:p w:rsidR="00F838B8" w:rsidRPr="00AE78C2" w:rsidRDefault="00F838B8" w:rsidP="005D663C">
      <w:pPr>
        <w:outlineLvl w:val="0"/>
        <w:rPr>
          <w:b/>
          <w:sz w:val="22"/>
          <w:szCs w:val="22"/>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915C31" w:rsidRPr="00AE78C2" w:rsidRDefault="00915C31" w:rsidP="00F838B8">
      <w:pPr>
        <w:rPr>
          <w:b/>
          <w:sz w:val="22"/>
          <w:szCs w:val="22"/>
          <w:highlight w:val="yellow"/>
        </w:rPr>
      </w:pPr>
    </w:p>
    <w:p w:rsidR="00F838B8" w:rsidRPr="00AE78C2" w:rsidRDefault="005119BB" w:rsidP="00F838B8">
      <w:pPr>
        <w:rPr>
          <w:b/>
          <w:sz w:val="22"/>
          <w:szCs w:val="22"/>
        </w:rPr>
      </w:pPr>
      <w:r w:rsidRPr="00AE78C2">
        <w:rPr>
          <w:b/>
          <w:sz w:val="22"/>
          <w:szCs w:val="22"/>
          <w:highlight w:val="yellow"/>
        </w:rPr>
        <w:br w:type="page"/>
      </w:r>
      <w:r w:rsidR="00E45257" w:rsidRPr="00AE78C2">
        <w:rPr>
          <w:b/>
          <w:sz w:val="22"/>
          <w:szCs w:val="22"/>
        </w:rPr>
        <w:lastRenderedPageBreak/>
        <w:t>Healthcare Infection Control and Response</w:t>
      </w:r>
      <w:r w:rsidR="00D0725C" w:rsidRPr="00AE78C2">
        <w:rPr>
          <w:b/>
          <w:sz w:val="22"/>
          <w:szCs w:val="22"/>
        </w:rPr>
        <w:t xml:space="preserve"> (Ebola-associated activities)</w:t>
      </w:r>
    </w:p>
    <w:p w:rsidR="00F838B8" w:rsidRPr="00AE78C2" w:rsidRDefault="00F838B8" w:rsidP="00F838B8">
      <w:pPr>
        <w:ind w:left="360"/>
        <w:rPr>
          <w:sz w:val="22"/>
          <w:szCs w:val="22"/>
        </w:rPr>
      </w:pPr>
    </w:p>
    <w:p w:rsidR="00F838B8" w:rsidRPr="00AE78C2" w:rsidRDefault="00E45257" w:rsidP="00E01D04">
      <w:pPr>
        <w:autoSpaceDE w:val="0"/>
        <w:autoSpaceDN w:val="0"/>
        <w:adjustRightInd w:val="0"/>
        <w:rPr>
          <w:sz w:val="22"/>
          <w:szCs w:val="22"/>
        </w:rPr>
      </w:pPr>
      <w:r w:rsidRPr="00AE78C2">
        <w:rPr>
          <w:sz w:val="22"/>
          <w:szCs w:val="22"/>
        </w:rPr>
        <w:t>The techniques and practice on which infection</w:t>
      </w:r>
      <w:r w:rsidR="00E01D04" w:rsidRPr="00AE78C2">
        <w:rPr>
          <w:sz w:val="22"/>
          <w:szCs w:val="22"/>
        </w:rPr>
        <w:t xml:space="preserve"> </w:t>
      </w:r>
      <w:r w:rsidRPr="00AE78C2">
        <w:rPr>
          <w:sz w:val="22"/>
          <w:szCs w:val="22"/>
        </w:rPr>
        <w:t>control protocols are based form the backbone of infectious disease containment for pathogens that are otherwise amplified and accelerated in healthcare settings. Investments in a more robust</w:t>
      </w:r>
      <w:r w:rsidR="00E01D04" w:rsidRPr="00AE78C2">
        <w:rPr>
          <w:sz w:val="22"/>
          <w:szCs w:val="22"/>
        </w:rPr>
        <w:t xml:space="preserve"> </w:t>
      </w:r>
      <w:r w:rsidRPr="00AE78C2">
        <w:rPr>
          <w:sz w:val="22"/>
          <w:szCs w:val="22"/>
        </w:rPr>
        <w:t xml:space="preserve">infection control infrastructure will prevent many </w:t>
      </w:r>
      <w:r w:rsidR="00D0725C" w:rsidRPr="00AE78C2">
        <w:rPr>
          <w:sz w:val="22"/>
          <w:szCs w:val="22"/>
        </w:rPr>
        <w:t>HAIs</w:t>
      </w:r>
      <w:r w:rsidRPr="00AE78C2">
        <w:rPr>
          <w:sz w:val="22"/>
          <w:szCs w:val="22"/>
        </w:rPr>
        <w:t xml:space="preserve"> transmitted to, and</w:t>
      </w:r>
      <w:r w:rsidR="00E01D04" w:rsidRPr="00AE78C2">
        <w:rPr>
          <w:sz w:val="22"/>
          <w:szCs w:val="22"/>
        </w:rPr>
        <w:t xml:space="preserve"> </w:t>
      </w:r>
      <w:r w:rsidRPr="00AE78C2">
        <w:rPr>
          <w:sz w:val="22"/>
          <w:szCs w:val="22"/>
        </w:rPr>
        <w:t>among, patients and health care workers</w:t>
      </w:r>
      <w:r w:rsidR="00E01D04" w:rsidRPr="00AE78C2">
        <w:rPr>
          <w:sz w:val="22"/>
          <w:szCs w:val="22"/>
        </w:rPr>
        <w:t>.</w:t>
      </w: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915C31" w:rsidRPr="00AE78C2" w:rsidRDefault="00915C31" w:rsidP="00E01D04">
      <w:pPr>
        <w:autoSpaceDE w:val="0"/>
        <w:autoSpaceDN w:val="0"/>
        <w:adjustRightInd w:val="0"/>
        <w:rPr>
          <w:sz w:val="22"/>
          <w:szCs w:val="22"/>
        </w:rPr>
      </w:pPr>
    </w:p>
    <w:p w:rsidR="00BA04B3" w:rsidRPr="00AE78C2" w:rsidRDefault="00BA04B3" w:rsidP="00E01D04">
      <w:pPr>
        <w:autoSpaceDE w:val="0"/>
        <w:autoSpaceDN w:val="0"/>
        <w:adjustRightInd w:val="0"/>
        <w:rPr>
          <w:b/>
          <w:sz w:val="22"/>
          <w:szCs w:val="22"/>
        </w:rPr>
      </w:pPr>
    </w:p>
    <w:p w:rsidR="00915C31" w:rsidRPr="00AE78C2" w:rsidRDefault="00915C31" w:rsidP="00E01D04">
      <w:pPr>
        <w:autoSpaceDE w:val="0"/>
        <w:autoSpaceDN w:val="0"/>
        <w:adjustRightInd w:val="0"/>
        <w:rPr>
          <w:b/>
          <w:sz w:val="22"/>
          <w:szCs w:val="22"/>
        </w:rPr>
      </w:pPr>
    </w:p>
    <w:p w:rsidR="00BA04B3" w:rsidRPr="00AE78C2" w:rsidRDefault="00BA04B3" w:rsidP="00E01D04">
      <w:pPr>
        <w:autoSpaceDE w:val="0"/>
        <w:autoSpaceDN w:val="0"/>
        <w:adjustRightInd w:val="0"/>
        <w:rPr>
          <w:b/>
          <w:sz w:val="22"/>
          <w:szCs w:val="22"/>
        </w:rPr>
      </w:pPr>
    </w:p>
    <w:p w:rsidR="00BA04B3" w:rsidRPr="00AE78C2" w:rsidRDefault="00BA04B3" w:rsidP="00E01D04">
      <w:pPr>
        <w:autoSpaceDE w:val="0"/>
        <w:autoSpaceDN w:val="0"/>
        <w:adjustRightInd w:val="0"/>
        <w:rPr>
          <w:b/>
          <w:sz w:val="22"/>
          <w:szCs w:val="22"/>
        </w:rPr>
      </w:pPr>
    </w:p>
    <w:p w:rsidR="00BA04B3" w:rsidRPr="00AE78C2" w:rsidRDefault="00BA04B3" w:rsidP="00E01D04">
      <w:pPr>
        <w:autoSpaceDE w:val="0"/>
        <w:autoSpaceDN w:val="0"/>
        <w:adjustRightInd w:val="0"/>
        <w:rPr>
          <w:b/>
          <w:sz w:val="22"/>
          <w:szCs w:val="22"/>
        </w:rPr>
      </w:pPr>
    </w:p>
    <w:p w:rsidR="00915C31" w:rsidRPr="00AE78C2" w:rsidRDefault="00915C31" w:rsidP="00F838B8">
      <w:pPr>
        <w:ind w:left="360"/>
        <w:rPr>
          <w:b/>
          <w:sz w:val="22"/>
          <w:szCs w:val="22"/>
          <w:highlight w:val="yellow"/>
        </w:rPr>
      </w:pPr>
    </w:p>
    <w:p w:rsidR="00915C31" w:rsidRPr="00AE78C2" w:rsidRDefault="00915C31" w:rsidP="00F838B8">
      <w:pPr>
        <w:ind w:left="360"/>
        <w:rPr>
          <w:b/>
          <w:sz w:val="22"/>
          <w:szCs w:val="22"/>
          <w:highlight w:val="yellow"/>
        </w:rPr>
      </w:pPr>
    </w:p>
    <w:p w:rsidR="00F838B8" w:rsidRPr="00AE78C2" w:rsidRDefault="00F838B8" w:rsidP="00F838B8">
      <w:pPr>
        <w:ind w:left="360"/>
        <w:rPr>
          <w:b/>
          <w:sz w:val="22"/>
          <w:szCs w:val="22"/>
        </w:rPr>
      </w:pPr>
      <w:r w:rsidRPr="00AE78C2">
        <w:rPr>
          <w:b/>
          <w:sz w:val="22"/>
          <w:szCs w:val="22"/>
        </w:rPr>
        <w:t>Table 5:</w:t>
      </w:r>
      <w:r w:rsidRPr="00AE78C2">
        <w:rPr>
          <w:sz w:val="22"/>
          <w:szCs w:val="22"/>
        </w:rPr>
        <w:t xml:space="preserve">  </w:t>
      </w:r>
      <w:r w:rsidRPr="00AE78C2">
        <w:rPr>
          <w:b/>
          <w:sz w:val="22"/>
          <w:szCs w:val="22"/>
        </w:rPr>
        <w:t>Infection Control Assessment and Response</w:t>
      </w:r>
    </w:p>
    <w:p w:rsidR="00F838B8" w:rsidRPr="00AE78C2" w:rsidRDefault="00F838B8" w:rsidP="00F838B8">
      <w:pPr>
        <w:ind w:left="360"/>
        <w:rPr>
          <w:b/>
          <w:sz w:val="22"/>
          <w:szCs w:val="22"/>
        </w:rPr>
      </w:pP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6660"/>
        <w:gridCol w:w="1980"/>
      </w:tblGrid>
      <w:tr w:rsidR="00F7428E" w:rsidRPr="00AE78C2" w:rsidTr="00915C31">
        <w:tc>
          <w:tcPr>
            <w:tcW w:w="1440" w:type="dxa"/>
            <w:tcBorders>
              <w:bottom w:val="single" w:sz="4" w:space="0" w:color="auto"/>
            </w:tcBorders>
            <w:shd w:val="clear" w:color="auto" w:fill="auto"/>
          </w:tcPr>
          <w:p w:rsidR="00F7428E" w:rsidRPr="00AE78C2" w:rsidRDefault="00F7428E" w:rsidP="002512EE">
            <w:pPr>
              <w:jc w:val="center"/>
              <w:rPr>
                <w:b/>
                <w:sz w:val="22"/>
                <w:szCs w:val="22"/>
              </w:rPr>
            </w:pPr>
            <w:r w:rsidRPr="00AE78C2">
              <w:rPr>
                <w:b/>
                <w:sz w:val="22"/>
                <w:szCs w:val="22"/>
              </w:rPr>
              <w:lastRenderedPageBreak/>
              <w:t>Check Items Underway</w:t>
            </w:r>
          </w:p>
        </w:tc>
        <w:tc>
          <w:tcPr>
            <w:tcW w:w="1260" w:type="dxa"/>
            <w:tcBorders>
              <w:bottom w:val="single" w:sz="4" w:space="0" w:color="auto"/>
            </w:tcBorders>
            <w:shd w:val="clear" w:color="auto" w:fill="auto"/>
          </w:tcPr>
          <w:p w:rsidR="00F7428E" w:rsidRPr="00AE78C2" w:rsidRDefault="00F7428E" w:rsidP="002512EE">
            <w:pPr>
              <w:jc w:val="center"/>
              <w:rPr>
                <w:b/>
                <w:sz w:val="22"/>
                <w:szCs w:val="22"/>
              </w:rPr>
            </w:pPr>
            <w:r w:rsidRPr="00AE78C2">
              <w:rPr>
                <w:b/>
                <w:sz w:val="22"/>
                <w:szCs w:val="22"/>
              </w:rPr>
              <w:t>Check</w:t>
            </w:r>
          </w:p>
          <w:p w:rsidR="00F7428E" w:rsidRPr="00AE78C2" w:rsidRDefault="00F7428E" w:rsidP="002512EE">
            <w:pPr>
              <w:autoSpaceDE w:val="0"/>
              <w:autoSpaceDN w:val="0"/>
              <w:adjustRightInd w:val="0"/>
              <w:ind w:left="94"/>
              <w:jc w:val="center"/>
              <w:rPr>
                <w:b/>
                <w:sz w:val="22"/>
                <w:szCs w:val="22"/>
              </w:rPr>
            </w:pPr>
            <w:r w:rsidRPr="00AE78C2">
              <w:rPr>
                <w:b/>
                <w:sz w:val="22"/>
                <w:szCs w:val="22"/>
              </w:rPr>
              <w:t>Items Planned</w:t>
            </w:r>
          </w:p>
        </w:tc>
        <w:tc>
          <w:tcPr>
            <w:tcW w:w="6660" w:type="dxa"/>
            <w:tcBorders>
              <w:bottom w:val="single" w:sz="4" w:space="0" w:color="auto"/>
            </w:tcBorders>
            <w:shd w:val="clear" w:color="auto" w:fill="auto"/>
          </w:tcPr>
          <w:p w:rsidR="00F7428E" w:rsidRPr="00AE78C2" w:rsidRDefault="00F7428E" w:rsidP="002512EE">
            <w:pPr>
              <w:autoSpaceDE w:val="0"/>
              <w:autoSpaceDN w:val="0"/>
              <w:adjustRightInd w:val="0"/>
              <w:ind w:left="94"/>
              <w:rPr>
                <w:b/>
                <w:sz w:val="22"/>
                <w:szCs w:val="22"/>
              </w:rPr>
            </w:pPr>
            <w:r w:rsidRPr="00AE78C2">
              <w:rPr>
                <w:b/>
                <w:sz w:val="22"/>
                <w:szCs w:val="22"/>
              </w:rPr>
              <w:t>Items Planned for Implementation (or currently underway)</w:t>
            </w:r>
          </w:p>
          <w:p w:rsidR="00F7428E" w:rsidRPr="00AE78C2" w:rsidRDefault="00F7428E" w:rsidP="002512EE">
            <w:pPr>
              <w:autoSpaceDE w:val="0"/>
              <w:autoSpaceDN w:val="0"/>
              <w:adjustRightInd w:val="0"/>
              <w:ind w:left="94"/>
              <w:rPr>
                <w:b/>
                <w:sz w:val="22"/>
                <w:szCs w:val="22"/>
              </w:rPr>
            </w:pPr>
          </w:p>
        </w:tc>
        <w:tc>
          <w:tcPr>
            <w:tcW w:w="1980" w:type="dxa"/>
            <w:tcBorders>
              <w:bottom w:val="single" w:sz="4" w:space="0" w:color="auto"/>
            </w:tcBorders>
            <w:shd w:val="clear" w:color="auto" w:fill="auto"/>
          </w:tcPr>
          <w:p w:rsidR="00F7428E" w:rsidRPr="00AE78C2" w:rsidRDefault="00F7428E" w:rsidP="002512EE">
            <w:pPr>
              <w:autoSpaceDE w:val="0"/>
              <w:autoSpaceDN w:val="0"/>
              <w:adjustRightInd w:val="0"/>
              <w:rPr>
                <w:b/>
                <w:sz w:val="22"/>
                <w:szCs w:val="22"/>
              </w:rPr>
            </w:pPr>
            <w:r w:rsidRPr="00AE78C2">
              <w:rPr>
                <w:b/>
                <w:sz w:val="22"/>
                <w:szCs w:val="22"/>
              </w:rPr>
              <w:t>Target Dates for Implementation</w:t>
            </w:r>
          </w:p>
        </w:tc>
      </w:tr>
      <w:tr w:rsidR="00F7428E" w:rsidRPr="00AE78C2" w:rsidTr="00915C31">
        <w:tc>
          <w:tcPr>
            <w:tcW w:w="144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2512EE">
            <w:pPr>
              <w:jc w:val="center"/>
              <w:rPr>
                <w:sz w:val="22"/>
                <w:szCs w:val="22"/>
              </w:rPr>
            </w:pPr>
          </w:p>
          <w:p w:rsidR="00F7428E" w:rsidRPr="00AE78C2" w:rsidRDefault="00F7428E" w:rsidP="002512EE">
            <w:pPr>
              <w:jc w:val="center"/>
              <w:rPr>
                <w:sz w:val="22"/>
                <w:szCs w:val="22"/>
              </w:rPr>
            </w:pPr>
          </w:p>
          <w:p w:rsidR="00F7428E" w:rsidRPr="00AE78C2" w:rsidRDefault="00F7428E" w:rsidP="002512EE">
            <w:pPr>
              <w:jc w:val="center"/>
              <w:rPr>
                <w:sz w:val="22"/>
                <w:szCs w:val="22"/>
              </w:rPr>
            </w:pPr>
          </w:p>
          <w:p w:rsidR="00915C31" w:rsidRPr="00AE78C2" w:rsidRDefault="00F7428E" w:rsidP="00D40A20">
            <w:pPr>
              <w:rPr>
                <w:sz w:val="22"/>
                <w:szCs w:val="22"/>
              </w:rPr>
            </w:pPr>
            <w:r w:rsidRPr="00AE78C2">
              <w:rPr>
                <w:sz w:val="22"/>
                <w:szCs w:val="22"/>
              </w:rPr>
              <w:t xml:space="preserve">          </w:t>
            </w:r>
          </w:p>
          <w:p w:rsidR="00915C31" w:rsidRPr="00AE78C2" w:rsidRDefault="00915C31" w:rsidP="00D40A20">
            <w:pPr>
              <w:rPr>
                <w:sz w:val="22"/>
                <w:szCs w:val="22"/>
              </w:rPr>
            </w:pPr>
          </w:p>
          <w:p w:rsidR="00915C31" w:rsidRPr="00AE78C2" w:rsidRDefault="008F4690" w:rsidP="00915C31">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F7428E" w:rsidRPr="00AE78C2" w:rsidRDefault="00F7428E" w:rsidP="00915C31">
            <w:pPr>
              <w:jc w:val="center"/>
              <w:rPr>
                <w:sz w:val="22"/>
                <w:szCs w:val="22"/>
              </w:rPr>
            </w:pPr>
          </w:p>
          <w:p w:rsidR="00915C31" w:rsidRPr="00AE78C2" w:rsidRDefault="008F4690" w:rsidP="00915C31">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D40A20">
            <w:pPr>
              <w:autoSpaceDE w:val="0"/>
              <w:autoSpaceDN w:val="0"/>
              <w:adjustRightInd w:val="0"/>
              <w:rPr>
                <w:sz w:val="22"/>
                <w:szCs w:val="22"/>
              </w:rPr>
            </w:pPr>
            <w:r w:rsidRPr="00AE78C2">
              <w:rPr>
                <w:sz w:val="22"/>
                <w:szCs w:val="22"/>
              </w:rPr>
              <w:t xml:space="preserve">        </w:t>
            </w:r>
          </w:p>
          <w:p w:rsidR="00F7428E" w:rsidRPr="00AE78C2" w:rsidRDefault="00F7428E" w:rsidP="002512EE">
            <w:pPr>
              <w:autoSpaceDE w:val="0"/>
              <w:autoSpaceDN w:val="0"/>
              <w:adjustRightInd w:val="0"/>
              <w:jc w:val="center"/>
              <w:rPr>
                <w:sz w:val="22"/>
                <w:szCs w:val="22"/>
              </w:rPr>
            </w:pPr>
          </w:p>
          <w:p w:rsidR="00F7428E" w:rsidRPr="00AE78C2" w:rsidRDefault="00F7428E"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F7428E" w:rsidP="002512EE">
            <w:pPr>
              <w:autoSpaceDE w:val="0"/>
              <w:autoSpaceDN w:val="0"/>
              <w:adjustRightInd w:val="0"/>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915C31" w:rsidRPr="00AE78C2" w:rsidRDefault="00915C31" w:rsidP="00915C31">
            <w:pPr>
              <w:rPr>
                <w:sz w:val="22"/>
                <w:szCs w:val="22"/>
              </w:rPr>
            </w:pPr>
          </w:p>
          <w:p w:rsidR="00F7428E" w:rsidRPr="00AE78C2" w:rsidRDefault="00915C31" w:rsidP="00915C31">
            <w:pPr>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02CB4" w:rsidRPr="00AE78C2" w:rsidRDefault="00F7428E" w:rsidP="009B7F2E">
            <w:pPr>
              <w:numPr>
                <w:ilvl w:val="0"/>
                <w:numId w:val="26"/>
              </w:numPr>
              <w:autoSpaceDE w:val="0"/>
              <w:autoSpaceDN w:val="0"/>
              <w:adjustRightInd w:val="0"/>
              <w:rPr>
                <w:b/>
                <w:sz w:val="28"/>
                <w:szCs w:val="28"/>
              </w:rPr>
            </w:pPr>
            <w:r w:rsidRPr="00AE78C2">
              <w:rPr>
                <w:b/>
                <w:sz w:val="28"/>
                <w:szCs w:val="28"/>
              </w:rPr>
              <w:t>Create an inventory of all healthcare settings in state.  List must include at least one infection control point of contact at the facility</w:t>
            </w:r>
            <w:r w:rsidR="001509C9" w:rsidRPr="00AE78C2">
              <w:rPr>
                <w:b/>
                <w:sz w:val="28"/>
                <w:szCs w:val="28"/>
              </w:rPr>
              <w:br/>
            </w:r>
          </w:p>
          <w:p w:rsidR="00F02CB4" w:rsidRPr="00AE78C2" w:rsidRDefault="00F02CB4" w:rsidP="007F4716">
            <w:pPr>
              <w:autoSpaceDE w:val="0"/>
              <w:autoSpaceDN w:val="0"/>
              <w:adjustRightInd w:val="0"/>
              <w:ind w:left="360"/>
            </w:pPr>
            <w:r w:rsidRPr="00AE78C2">
              <w:t xml:space="preserve">The inventory of healthcare settings will be accomplished by administering a survey to approximately </w:t>
            </w:r>
            <w:r w:rsidR="005D627C" w:rsidRPr="00AE78C2">
              <w:t>757</w:t>
            </w:r>
            <w:r w:rsidRPr="00AE78C2">
              <w:t xml:space="preserve"> healthcare facilities in Massachusetts.  Healthcare facilities to be surveyed will include non-acute and acute care hospitals, ambulatory surgical centers, outpatient centers including community health centers licensed by MDPH, long term care facilities and hemodialysis centers.  The survey will ask facilities to describe personnel involved in infection control implementation, their infection control points of </w:t>
            </w:r>
            <w:r w:rsidR="00936F75" w:rsidRPr="00AE78C2">
              <w:t>contacts, general</w:t>
            </w:r>
            <w:r w:rsidRPr="00AE78C2">
              <w:t xml:space="preserve"> infection control program activities, whether or not their healthcare facility participates in any accreditation programs, and their policies and procedures for reporting communicable and infectious diseases.</w:t>
            </w:r>
          </w:p>
          <w:p w:rsidR="00F02CB4" w:rsidRPr="00AE78C2" w:rsidRDefault="00F02CB4" w:rsidP="00A42488">
            <w:pPr>
              <w:autoSpaceDE w:val="0"/>
              <w:autoSpaceDN w:val="0"/>
              <w:adjustRightInd w:val="0"/>
              <w:ind w:left="360"/>
              <w:jc w:val="both"/>
              <w:rPr>
                <w:color w:val="365F91"/>
              </w:rPr>
            </w:pPr>
          </w:p>
          <w:p w:rsidR="000F357C" w:rsidRPr="00AE78C2" w:rsidRDefault="00F02CB4" w:rsidP="00A42488">
            <w:pPr>
              <w:autoSpaceDE w:val="0"/>
              <w:autoSpaceDN w:val="0"/>
              <w:adjustRightInd w:val="0"/>
              <w:ind w:left="360"/>
              <w:rPr>
                <w:b/>
                <w:szCs w:val="22"/>
              </w:rPr>
            </w:pPr>
            <w:r w:rsidRPr="00AE78C2">
              <w:t>The inventory of healthcare facilities w</w:t>
            </w:r>
            <w:r w:rsidR="00EE34E7" w:rsidRPr="00AE78C2">
              <w:t>as</w:t>
            </w:r>
            <w:r w:rsidR="00936F75" w:rsidRPr="00AE78C2">
              <w:t xml:space="preserve"> </w:t>
            </w:r>
            <w:r w:rsidRPr="00AE78C2">
              <w:t xml:space="preserve">updated in </w:t>
            </w:r>
            <w:r w:rsidR="002D294F" w:rsidRPr="00AE78C2">
              <w:t>2017</w:t>
            </w:r>
            <w:r w:rsidRPr="00AE78C2">
              <w:t xml:space="preserve">.  </w:t>
            </w:r>
            <w:r w:rsidR="001509C9" w:rsidRPr="00AE78C2">
              <w:rPr>
                <w:b/>
                <w:sz w:val="28"/>
                <w:szCs w:val="28"/>
              </w:rPr>
              <w:br/>
            </w:r>
            <w:r w:rsidR="00F7428E" w:rsidRPr="00AE78C2">
              <w:rPr>
                <w:b/>
                <w:sz w:val="28"/>
                <w:szCs w:val="28"/>
              </w:rPr>
              <w:t xml:space="preserve"> </w:t>
            </w:r>
          </w:p>
          <w:p w:rsidR="00F02CB4" w:rsidRPr="00AE78C2" w:rsidRDefault="00F7428E" w:rsidP="009B7F2E">
            <w:pPr>
              <w:numPr>
                <w:ilvl w:val="0"/>
                <w:numId w:val="26"/>
              </w:numPr>
              <w:autoSpaceDE w:val="0"/>
              <w:autoSpaceDN w:val="0"/>
              <w:adjustRightInd w:val="0"/>
              <w:rPr>
                <w:b/>
                <w:sz w:val="28"/>
                <w:szCs w:val="28"/>
              </w:rPr>
            </w:pPr>
            <w:r w:rsidRPr="00AE78C2">
              <w:rPr>
                <w:b/>
                <w:sz w:val="28"/>
                <w:szCs w:val="28"/>
              </w:rPr>
              <w:t xml:space="preserve">Identify current regulatory/licensing oversight authorities for each healthcare facility and explore ways to expand </w:t>
            </w:r>
            <w:r w:rsidR="000F357C" w:rsidRPr="00AE78C2">
              <w:rPr>
                <w:b/>
                <w:sz w:val="28"/>
                <w:szCs w:val="28"/>
              </w:rPr>
              <w:t xml:space="preserve">oversight </w:t>
            </w:r>
          </w:p>
          <w:p w:rsidR="00F02CB4" w:rsidRPr="00AE78C2" w:rsidRDefault="00F02CB4" w:rsidP="00F02CB4">
            <w:pPr>
              <w:autoSpaceDE w:val="0"/>
              <w:autoSpaceDN w:val="0"/>
              <w:adjustRightInd w:val="0"/>
              <w:rPr>
                <w:b/>
                <w:sz w:val="28"/>
                <w:szCs w:val="28"/>
              </w:rPr>
            </w:pPr>
          </w:p>
          <w:p w:rsidR="00F02CB4" w:rsidRPr="00AE78C2" w:rsidRDefault="00F02CB4" w:rsidP="00A42488">
            <w:pPr>
              <w:autoSpaceDE w:val="0"/>
              <w:autoSpaceDN w:val="0"/>
              <w:adjustRightInd w:val="0"/>
              <w:ind w:left="360"/>
              <w:rPr>
                <w:color w:val="365F91"/>
              </w:rPr>
            </w:pPr>
            <w:r w:rsidRPr="00AE78C2">
              <w:rPr>
                <w:color w:val="000000"/>
              </w:rPr>
              <w:t>In Massachusetts, the</w:t>
            </w:r>
            <w:r w:rsidRPr="00AE78C2">
              <w:rPr>
                <w:color w:val="000000"/>
                <w:shd w:val="clear" w:color="auto" w:fill="FFFFFF"/>
              </w:rPr>
              <w:t xml:space="preserve"> Division of Health Care Facility Licensure and Certification is the state agency responsible for the licensure of health care facilities under state law, and the certification of health care facilities and agencies participating in the Medicare and Medicaid programs.  </w:t>
            </w:r>
            <w:r w:rsidRPr="00AE78C2">
              <w:rPr>
                <w:color w:val="000000"/>
              </w:rPr>
              <w:t xml:space="preserve">To identify other </w:t>
            </w:r>
            <w:r w:rsidRPr="00AE78C2">
              <w:rPr>
                <w:color w:val="000000"/>
              </w:rPr>
              <w:lastRenderedPageBreak/>
              <w:t xml:space="preserve">current regulatory or licensing oversight in Massachusetts healthcare facilities, </w:t>
            </w:r>
            <w:r w:rsidR="002D294F" w:rsidRPr="00AE78C2">
              <w:rPr>
                <w:color w:val="000000"/>
              </w:rPr>
              <w:t>the healthcare inventory survey described in Table 5, item 1 above will ask</w:t>
            </w:r>
            <w:r w:rsidRPr="00AE78C2">
              <w:rPr>
                <w:color w:val="000000"/>
              </w:rPr>
              <w:t xml:space="preserve"> facilities to identify participation in healthcare facility accreditation programs</w:t>
            </w:r>
            <w:r w:rsidRPr="00AE78C2">
              <w:rPr>
                <w:color w:val="365F91"/>
              </w:rPr>
              <w:t xml:space="preserve">.  </w:t>
            </w:r>
          </w:p>
          <w:p w:rsidR="002D294F" w:rsidRPr="00AE78C2" w:rsidRDefault="002D294F" w:rsidP="00A42488">
            <w:pPr>
              <w:autoSpaceDE w:val="0"/>
              <w:autoSpaceDN w:val="0"/>
              <w:adjustRightInd w:val="0"/>
              <w:ind w:left="360"/>
              <w:rPr>
                <w:color w:val="000000"/>
              </w:rPr>
            </w:pPr>
          </w:p>
          <w:p w:rsidR="00F7428E" w:rsidRPr="00AE78C2" w:rsidRDefault="00F02CB4" w:rsidP="00C2136B">
            <w:pPr>
              <w:autoSpaceDE w:val="0"/>
              <w:autoSpaceDN w:val="0"/>
              <w:adjustRightInd w:val="0"/>
              <w:ind w:left="360"/>
              <w:rPr>
                <w:sz w:val="22"/>
                <w:szCs w:val="22"/>
              </w:rPr>
            </w:pPr>
            <w:r w:rsidRPr="00AE78C2">
              <w:rPr>
                <w:color w:val="000000"/>
              </w:rPr>
              <w:t xml:space="preserve">With respect to </w:t>
            </w:r>
            <w:r w:rsidR="00C2136B" w:rsidRPr="00AE78C2">
              <w:rPr>
                <w:color w:val="000000"/>
              </w:rPr>
              <w:t xml:space="preserve">regulatory </w:t>
            </w:r>
            <w:r w:rsidRPr="00AE78C2">
              <w:rPr>
                <w:color w:val="000000"/>
              </w:rPr>
              <w:t>requirements or standards to provide infection prevention education and training and certification, currently in Massachusetts, there are no state requirements for this type of training.  As described in Table 3</w:t>
            </w:r>
            <w:r w:rsidR="002D294F" w:rsidRPr="00AE78C2">
              <w:rPr>
                <w:color w:val="000000"/>
              </w:rPr>
              <w:t>,</w:t>
            </w:r>
            <w:r w:rsidRPr="00AE78C2">
              <w:rPr>
                <w:color w:val="000000"/>
              </w:rPr>
              <w:t xml:space="preserve"> </w:t>
            </w:r>
            <w:r w:rsidR="002D294F" w:rsidRPr="00AE78C2">
              <w:rPr>
                <w:color w:val="000000"/>
              </w:rPr>
              <w:t>item</w:t>
            </w:r>
            <w:r w:rsidRPr="00AE78C2">
              <w:rPr>
                <w:color w:val="000000"/>
              </w:rPr>
              <w:t xml:space="preserve"> 4, MDPH will</w:t>
            </w:r>
            <w:r w:rsidRPr="00AE78C2">
              <w:rPr>
                <w:iCs/>
                <w:color w:val="000000"/>
                <w:shd w:val="clear" w:color="auto" w:fill="FFFFFF"/>
              </w:rPr>
              <w:t xml:space="preserve"> explore and investigate current infection prevention and control education and training standards or requirements in MA healthcare facilities by collecting information from APIC, HICPAC, SHEA and other organizations on best practices and standards for education and training.  In addition, MDPH will collect</w:t>
            </w:r>
            <w:r w:rsidRPr="00AE78C2">
              <w:rPr>
                <w:rStyle w:val="apple-converted-space"/>
                <w:iCs/>
                <w:color w:val="000000"/>
                <w:shd w:val="clear" w:color="auto" w:fill="FFFFFF"/>
              </w:rPr>
              <w:t> </w:t>
            </w:r>
            <w:r w:rsidRPr="00AE78C2">
              <w:rPr>
                <w:iCs/>
                <w:color w:val="000000"/>
                <w:shd w:val="clear" w:color="auto" w:fill="FFFFFF"/>
              </w:rPr>
              <w:t xml:space="preserve">information from other states (e.g., NY, CA, TN, NC, </w:t>
            </w:r>
            <w:proofErr w:type="gramStart"/>
            <w:r w:rsidRPr="00AE78C2">
              <w:rPr>
                <w:iCs/>
                <w:color w:val="000000"/>
                <w:shd w:val="clear" w:color="auto" w:fill="FFFFFF"/>
              </w:rPr>
              <w:t>SC</w:t>
            </w:r>
            <w:proofErr w:type="gramEnd"/>
            <w:r w:rsidRPr="00AE78C2">
              <w:rPr>
                <w:iCs/>
                <w:color w:val="000000"/>
                <w:shd w:val="clear" w:color="auto" w:fill="FFFFFF"/>
              </w:rPr>
              <w:t>) that require education and training to inform MDPH’s process.</w:t>
            </w:r>
            <w:r w:rsidRPr="00AE78C2">
              <w:rPr>
                <w:rStyle w:val="apple-converted-space"/>
                <w:iCs/>
                <w:color w:val="000000"/>
                <w:shd w:val="clear" w:color="auto" w:fill="FFFFFF"/>
              </w:rPr>
              <w:t> </w:t>
            </w:r>
            <w:r w:rsidRPr="00AE78C2">
              <w:rPr>
                <w:iCs/>
                <w:color w:val="000000"/>
                <w:shd w:val="clear" w:color="auto" w:fill="FFFFFF"/>
              </w:rPr>
              <w:t>Using the information collected, MDPH will explore the feasibility of promulgating state regulations requir</w:t>
            </w:r>
            <w:r w:rsidR="002D294F" w:rsidRPr="00AE78C2">
              <w:rPr>
                <w:iCs/>
                <w:color w:val="000000"/>
                <w:shd w:val="clear" w:color="auto" w:fill="FFFFFF"/>
              </w:rPr>
              <w:t>ing</w:t>
            </w:r>
            <w:r w:rsidRPr="00AE78C2">
              <w:rPr>
                <w:iCs/>
                <w:color w:val="000000"/>
                <w:shd w:val="clear" w:color="auto" w:fill="FFFFFF"/>
              </w:rPr>
              <w:t xml:space="preserve"> provision of infection prevention and control education and training</w:t>
            </w:r>
            <w:r w:rsidR="00C2136B" w:rsidRPr="00AE78C2">
              <w:rPr>
                <w:iCs/>
                <w:color w:val="000000"/>
                <w:shd w:val="clear" w:color="auto" w:fill="FFFFFF"/>
              </w:rPr>
              <w:t xml:space="preserve"> as a condition for professional licensure</w:t>
            </w:r>
            <w:r w:rsidRPr="00AE78C2">
              <w:rPr>
                <w:iCs/>
                <w:color w:val="000000"/>
                <w:shd w:val="clear" w:color="auto" w:fill="FFFFFF"/>
              </w:rPr>
              <w:t xml:space="preserve">. </w:t>
            </w:r>
            <w:r w:rsidR="002D294F" w:rsidRPr="00AE78C2">
              <w:rPr>
                <w:iCs/>
                <w:color w:val="000000"/>
                <w:shd w:val="clear" w:color="auto" w:fill="FFFFFF"/>
              </w:rPr>
              <w:t>This e</w:t>
            </w:r>
            <w:r w:rsidRPr="00AE78C2">
              <w:rPr>
                <w:iCs/>
                <w:color w:val="000000"/>
                <w:shd w:val="clear" w:color="auto" w:fill="FFFFFF"/>
              </w:rPr>
              <w:t>xploration will include input from the Massachusetts HAI TAG</w:t>
            </w:r>
            <w:r w:rsidR="00C54BF9" w:rsidRPr="00AE78C2">
              <w:rPr>
                <w:iCs/>
                <w:color w:val="000000"/>
                <w:shd w:val="clear" w:color="auto" w:fill="FFFFFF"/>
              </w:rPr>
              <w:t>,</w:t>
            </w:r>
            <w:r w:rsidRPr="00AE78C2">
              <w:rPr>
                <w:iCs/>
                <w:color w:val="000000"/>
                <w:shd w:val="clear" w:color="auto" w:fill="FFFFFF"/>
              </w:rPr>
              <w:t xml:space="preserve"> and MDPH will also interview representatives of the MA Board of Registration in Medicine and MDPH Division of Health Professions Licensure</w:t>
            </w:r>
            <w:r w:rsidR="00C2136B" w:rsidRPr="00AE78C2">
              <w:rPr>
                <w:iCs/>
                <w:color w:val="000000"/>
                <w:shd w:val="clear" w:color="auto" w:fill="FFFFFF"/>
              </w:rPr>
              <w:t xml:space="preserve"> and its component boards</w:t>
            </w:r>
            <w:r w:rsidR="00A42488" w:rsidRPr="00AE78C2">
              <w:rPr>
                <w:i/>
                <w:iCs/>
                <w:color w:val="000000"/>
                <w:shd w:val="clear" w:color="auto" w:fill="FFFFFF"/>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02CB4" w:rsidRPr="00AE78C2" w:rsidRDefault="00F02CB4" w:rsidP="002512EE">
            <w:pPr>
              <w:autoSpaceDE w:val="0"/>
              <w:autoSpaceDN w:val="0"/>
              <w:adjustRightInd w:val="0"/>
            </w:pPr>
          </w:p>
          <w:p w:rsidR="00F02CB4" w:rsidRPr="00AE78C2" w:rsidRDefault="00F02CB4" w:rsidP="002512EE">
            <w:pPr>
              <w:autoSpaceDE w:val="0"/>
              <w:autoSpaceDN w:val="0"/>
              <w:adjustRightInd w:val="0"/>
            </w:pPr>
          </w:p>
          <w:p w:rsidR="00F02CB4" w:rsidRPr="00AE78C2" w:rsidRDefault="00F02CB4" w:rsidP="002512EE">
            <w:pPr>
              <w:autoSpaceDE w:val="0"/>
              <w:autoSpaceDN w:val="0"/>
              <w:adjustRightInd w:val="0"/>
            </w:pPr>
          </w:p>
          <w:p w:rsidR="00F02CB4" w:rsidRPr="00AE78C2" w:rsidRDefault="00F02CB4" w:rsidP="002512EE">
            <w:pPr>
              <w:autoSpaceDE w:val="0"/>
              <w:autoSpaceDN w:val="0"/>
              <w:adjustRightInd w:val="0"/>
            </w:pPr>
          </w:p>
          <w:p w:rsidR="00F02CB4" w:rsidRPr="00AE78C2" w:rsidRDefault="00F02CB4" w:rsidP="002512EE">
            <w:pPr>
              <w:autoSpaceDE w:val="0"/>
              <w:autoSpaceDN w:val="0"/>
              <w:adjustRightInd w:val="0"/>
            </w:pPr>
          </w:p>
          <w:p w:rsidR="00F7428E" w:rsidRPr="00AE78C2" w:rsidRDefault="00EA0907" w:rsidP="002512EE">
            <w:pPr>
              <w:autoSpaceDE w:val="0"/>
              <w:autoSpaceDN w:val="0"/>
              <w:adjustRightInd w:val="0"/>
              <w:rPr>
                <w:color w:val="365F91"/>
              </w:rPr>
            </w:pPr>
            <w:r w:rsidRPr="00AE78C2">
              <w:rPr>
                <w:color w:val="365F91"/>
              </w:rPr>
              <w:t xml:space="preserve">Jan- </w:t>
            </w:r>
            <w:r w:rsidR="00F02CB4" w:rsidRPr="00AE78C2">
              <w:rPr>
                <w:color w:val="365F91"/>
              </w:rPr>
              <w:t>May 2016</w:t>
            </w: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F02CB4" w:rsidRPr="00AE78C2" w:rsidRDefault="00F02CB4" w:rsidP="002512EE">
            <w:pPr>
              <w:autoSpaceDE w:val="0"/>
              <w:autoSpaceDN w:val="0"/>
              <w:adjustRightInd w:val="0"/>
              <w:rPr>
                <w:color w:val="365F91"/>
              </w:rPr>
            </w:pPr>
          </w:p>
          <w:p w:rsidR="00EA0907" w:rsidRPr="00AE78C2" w:rsidRDefault="00EA0907" w:rsidP="002512EE">
            <w:pPr>
              <w:autoSpaceDE w:val="0"/>
              <w:autoSpaceDN w:val="0"/>
              <w:adjustRightInd w:val="0"/>
              <w:rPr>
                <w:color w:val="365F91"/>
              </w:rPr>
            </w:pPr>
          </w:p>
          <w:p w:rsidR="005119BB" w:rsidRPr="00AE78C2" w:rsidRDefault="005119BB" w:rsidP="002512EE">
            <w:pPr>
              <w:autoSpaceDE w:val="0"/>
              <w:autoSpaceDN w:val="0"/>
              <w:adjustRightInd w:val="0"/>
              <w:rPr>
                <w:color w:val="365F91"/>
              </w:rPr>
            </w:pPr>
          </w:p>
          <w:p w:rsidR="00F02CB4" w:rsidRPr="00AE78C2" w:rsidRDefault="00FE52F6" w:rsidP="002512EE">
            <w:pPr>
              <w:autoSpaceDE w:val="0"/>
              <w:autoSpaceDN w:val="0"/>
              <w:adjustRightInd w:val="0"/>
            </w:pPr>
            <w:r w:rsidRPr="00AE78C2">
              <w:rPr>
                <w:color w:val="365F91"/>
              </w:rPr>
              <w:t>Complete October 2017</w:t>
            </w:r>
          </w:p>
          <w:p w:rsidR="00F02CB4" w:rsidRPr="00AE78C2" w:rsidRDefault="00F02CB4" w:rsidP="002512EE">
            <w:pPr>
              <w:autoSpaceDE w:val="0"/>
              <w:autoSpaceDN w:val="0"/>
              <w:adjustRightInd w:val="0"/>
            </w:pPr>
          </w:p>
          <w:p w:rsidR="00F02CB4" w:rsidRPr="00AE78C2" w:rsidRDefault="00F02CB4" w:rsidP="002512EE">
            <w:pPr>
              <w:autoSpaceDE w:val="0"/>
              <w:autoSpaceDN w:val="0"/>
              <w:adjustRightInd w:val="0"/>
            </w:pPr>
          </w:p>
          <w:p w:rsidR="00F02CB4" w:rsidRPr="00AE78C2" w:rsidRDefault="00F02CB4" w:rsidP="002512EE">
            <w:pPr>
              <w:autoSpaceDE w:val="0"/>
              <w:autoSpaceDN w:val="0"/>
              <w:adjustRightInd w:val="0"/>
            </w:pPr>
          </w:p>
          <w:p w:rsidR="00F02CB4" w:rsidRPr="00AE78C2" w:rsidRDefault="00F02CB4" w:rsidP="002512EE">
            <w:pPr>
              <w:autoSpaceDE w:val="0"/>
              <w:autoSpaceDN w:val="0"/>
              <w:adjustRightInd w:val="0"/>
            </w:pPr>
          </w:p>
          <w:p w:rsidR="00BC1800" w:rsidRPr="00AE78C2" w:rsidRDefault="00BC1800" w:rsidP="002512EE">
            <w:pPr>
              <w:autoSpaceDE w:val="0"/>
              <w:autoSpaceDN w:val="0"/>
              <w:adjustRightInd w:val="0"/>
            </w:pPr>
          </w:p>
          <w:p w:rsidR="00F02CB4" w:rsidRPr="00AE78C2" w:rsidRDefault="00EA0907" w:rsidP="002512EE">
            <w:pPr>
              <w:autoSpaceDE w:val="0"/>
              <w:autoSpaceDN w:val="0"/>
              <w:adjustRightInd w:val="0"/>
              <w:rPr>
                <w:color w:val="365F91"/>
                <w:sz w:val="22"/>
                <w:szCs w:val="22"/>
              </w:rPr>
            </w:pPr>
            <w:r w:rsidRPr="00AE78C2">
              <w:rPr>
                <w:color w:val="365F91"/>
              </w:rPr>
              <w:t>Jan</w:t>
            </w:r>
            <w:r w:rsidR="00F02CB4" w:rsidRPr="00AE78C2">
              <w:rPr>
                <w:color w:val="365F91"/>
              </w:rPr>
              <w:t>-Jul 2016</w:t>
            </w:r>
          </w:p>
        </w:tc>
      </w:tr>
      <w:tr w:rsidR="008A25EC" w:rsidRPr="00AE78C2" w:rsidTr="009B7F2E">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12EE">
            <w:pPr>
              <w:autoSpaceDE w:val="0"/>
              <w:autoSpaceDN w:val="0"/>
              <w:adjustRightInd w:val="0"/>
              <w:jc w:val="center"/>
              <w:rPr>
                <w:sz w:val="22"/>
                <w:szCs w:val="22"/>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12EE">
            <w:pPr>
              <w:autoSpaceDE w:val="0"/>
              <w:autoSpaceDN w:val="0"/>
              <w:adjustRightInd w:val="0"/>
              <w:rPr>
                <w:i/>
                <w:sz w:val="22"/>
                <w:szCs w:val="22"/>
              </w:rPr>
            </w:pPr>
            <w:r w:rsidRPr="00AE78C2">
              <w:rPr>
                <w:i/>
                <w:sz w:val="22"/>
                <w:szCs w:val="22"/>
              </w:rPr>
              <w:t>Other activities or descriptions:</w:t>
            </w:r>
          </w:p>
          <w:p w:rsidR="008A25EC" w:rsidRPr="00AE78C2" w:rsidRDefault="008A25EC" w:rsidP="002512EE">
            <w:pPr>
              <w:autoSpaceDE w:val="0"/>
              <w:autoSpaceDN w:val="0"/>
              <w:adjustRightInd w:val="0"/>
              <w:rPr>
                <w:i/>
                <w:sz w:val="22"/>
                <w:szCs w:val="22"/>
              </w:rPr>
            </w:pPr>
          </w:p>
          <w:p w:rsidR="008A25EC" w:rsidRPr="00AE78C2" w:rsidRDefault="008A25EC" w:rsidP="002512EE">
            <w:pPr>
              <w:autoSpaceDE w:val="0"/>
              <w:autoSpaceDN w:val="0"/>
              <w:adjustRightInd w:val="0"/>
              <w:rPr>
                <w:i/>
                <w:sz w:val="22"/>
                <w:szCs w:val="22"/>
              </w:rPr>
            </w:pPr>
          </w:p>
          <w:p w:rsidR="008A25EC" w:rsidRPr="00AE78C2" w:rsidRDefault="008A25EC" w:rsidP="002512EE">
            <w:pPr>
              <w:autoSpaceDE w:val="0"/>
              <w:autoSpaceDN w:val="0"/>
              <w:adjustRightInd w:val="0"/>
              <w:rPr>
                <w:sz w:val="22"/>
                <w:szCs w:val="22"/>
              </w:rPr>
            </w:pPr>
          </w:p>
          <w:p w:rsidR="008A25EC" w:rsidRPr="00AE78C2" w:rsidRDefault="008A25EC" w:rsidP="002512EE">
            <w:pPr>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12EE">
            <w:pPr>
              <w:autoSpaceDE w:val="0"/>
              <w:autoSpaceDN w:val="0"/>
              <w:adjustRightInd w:val="0"/>
              <w:rPr>
                <w:sz w:val="22"/>
                <w:szCs w:val="22"/>
              </w:rPr>
            </w:pPr>
          </w:p>
        </w:tc>
      </w:tr>
      <w:tr w:rsidR="00F7428E" w:rsidRPr="00AE78C2" w:rsidTr="00915C31">
        <w:tc>
          <w:tcPr>
            <w:tcW w:w="144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2512EE">
            <w:pPr>
              <w:jc w:val="center"/>
              <w:rPr>
                <w:sz w:val="22"/>
                <w:szCs w:val="22"/>
              </w:rPr>
            </w:pPr>
          </w:p>
          <w:p w:rsidR="00F7428E" w:rsidRPr="00AE78C2" w:rsidRDefault="00F7428E"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F7428E" w:rsidRPr="00AE78C2" w:rsidRDefault="008F4690" w:rsidP="002512EE">
            <w:pPr>
              <w:jc w:val="center"/>
              <w:rPr>
                <w:sz w:val="22"/>
                <w:szCs w:val="22"/>
              </w:rPr>
            </w:pPr>
            <w:r w:rsidRPr="00AE78C2">
              <w:rPr>
                <w:sz w:val="22"/>
                <w:szCs w:val="22"/>
              </w:rPr>
              <w:lastRenderedPageBreak/>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8F4690" w:rsidRPr="00AE78C2" w:rsidRDefault="008F4690" w:rsidP="002512EE">
            <w:pPr>
              <w:jc w:val="center"/>
              <w:rPr>
                <w:sz w:val="22"/>
                <w:szCs w:val="22"/>
              </w:rPr>
            </w:pPr>
          </w:p>
          <w:p w:rsidR="00F7428E" w:rsidRPr="00AE78C2" w:rsidRDefault="008F4690" w:rsidP="002512EE">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3D4466" w:rsidRPr="00AE78C2" w:rsidRDefault="003D4466" w:rsidP="002512EE">
            <w:pPr>
              <w:jc w:val="center"/>
              <w:rPr>
                <w:sz w:val="22"/>
                <w:szCs w:val="22"/>
              </w:rPr>
            </w:pPr>
          </w:p>
          <w:p w:rsidR="00F7428E" w:rsidRPr="00AE78C2" w:rsidRDefault="008F4690" w:rsidP="002512EE">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2512EE">
            <w:pPr>
              <w:autoSpaceDE w:val="0"/>
              <w:autoSpaceDN w:val="0"/>
              <w:adjustRightInd w:val="0"/>
              <w:jc w:val="center"/>
              <w:rPr>
                <w:sz w:val="22"/>
                <w:szCs w:val="22"/>
              </w:rPr>
            </w:pPr>
          </w:p>
          <w:p w:rsidR="00F7428E" w:rsidRPr="00AE78C2" w:rsidRDefault="00F7428E"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F7428E" w:rsidRPr="00AE78C2" w:rsidRDefault="00F7428E" w:rsidP="002512EE">
            <w:pPr>
              <w:autoSpaceDE w:val="0"/>
              <w:autoSpaceDN w:val="0"/>
              <w:adjustRightInd w:val="0"/>
              <w:jc w:val="center"/>
              <w:rPr>
                <w:sz w:val="22"/>
                <w:szCs w:val="22"/>
              </w:rPr>
            </w:pPr>
            <w:r w:rsidRPr="00AE78C2">
              <w:rPr>
                <w:sz w:val="22"/>
                <w:szCs w:val="22"/>
              </w:rPr>
              <w:lastRenderedPageBreak/>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8F4690" w:rsidRPr="00AE78C2" w:rsidRDefault="008F4690" w:rsidP="002512EE">
            <w:pPr>
              <w:autoSpaceDE w:val="0"/>
              <w:autoSpaceDN w:val="0"/>
              <w:adjustRightInd w:val="0"/>
              <w:jc w:val="center"/>
              <w:rPr>
                <w:sz w:val="22"/>
                <w:szCs w:val="22"/>
              </w:rPr>
            </w:pPr>
          </w:p>
          <w:p w:rsidR="00F7428E" w:rsidRPr="00AE78C2" w:rsidRDefault="00F7428E" w:rsidP="002512EE">
            <w:pPr>
              <w:autoSpaceDE w:val="0"/>
              <w:autoSpaceDN w:val="0"/>
              <w:adjustRightInd w:val="0"/>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3D4466" w:rsidRPr="00AE78C2" w:rsidRDefault="003D4466" w:rsidP="002512EE">
            <w:pPr>
              <w:autoSpaceDE w:val="0"/>
              <w:autoSpaceDN w:val="0"/>
              <w:adjustRightInd w:val="0"/>
              <w:jc w:val="center"/>
              <w:rPr>
                <w:sz w:val="22"/>
                <w:szCs w:val="22"/>
              </w:rPr>
            </w:pPr>
          </w:p>
          <w:p w:rsidR="00915C31" w:rsidRPr="00AE78C2" w:rsidRDefault="00915C31" w:rsidP="002512EE">
            <w:pPr>
              <w:autoSpaceDE w:val="0"/>
              <w:autoSpaceDN w:val="0"/>
              <w:adjustRightInd w:val="0"/>
              <w:jc w:val="center"/>
              <w:rPr>
                <w:sz w:val="22"/>
                <w:szCs w:val="22"/>
              </w:rPr>
            </w:pPr>
          </w:p>
          <w:p w:rsidR="00F7428E" w:rsidRPr="00AE78C2" w:rsidRDefault="00F7428E" w:rsidP="002512EE">
            <w:pPr>
              <w:autoSpaceDE w:val="0"/>
              <w:autoSpaceDN w:val="0"/>
              <w:adjustRightInd w:val="0"/>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26"/>
              </w:numPr>
              <w:autoSpaceDE w:val="0"/>
              <w:autoSpaceDN w:val="0"/>
              <w:adjustRightInd w:val="0"/>
              <w:rPr>
                <w:b/>
                <w:sz w:val="28"/>
                <w:szCs w:val="28"/>
              </w:rPr>
            </w:pPr>
            <w:r w:rsidRPr="00AE78C2">
              <w:rPr>
                <w:b/>
                <w:sz w:val="28"/>
                <w:szCs w:val="28"/>
              </w:rPr>
              <w:lastRenderedPageBreak/>
              <w:t xml:space="preserve">Assess readiness of Ebola-designated facilities within the state </w:t>
            </w:r>
          </w:p>
          <w:p w:rsidR="000F357C" w:rsidRPr="00AE78C2" w:rsidRDefault="000F357C" w:rsidP="000F357C">
            <w:pPr>
              <w:autoSpaceDE w:val="0"/>
              <w:autoSpaceDN w:val="0"/>
              <w:adjustRightInd w:val="0"/>
              <w:ind w:left="360"/>
              <w:rPr>
                <w:sz w:val="22"/>
                <w:szCs w:val="22"/>
              </w:rPr>
            </w:pPr>
          </w:p>
          <w:p w:rsidR="00F7428E" w:rsidRPr="00AE78C2" w:rsidRDefault="00F7428E" w:rsidP="009B7F2E">
            <w:pPr>
              <w:numPr>
                <w:ilvl w:val="0"/>
                <w:numId w:val="27"/>
              </w:numPr>
              <w:autoSpaceDE w:val="0"/>
              <w:autoSpaceDN w:val="0"/>
              <w:adjustRightInd w:val="0"/>
              <w:rPr>
                <w:b/>
                <w:szCs w:val="22"/>
              </w:rPr>
            </w:pPr>
            <w:r w:rsidRPr="00AE78C2">
              <w:rPr>
                <w:b/>
                <w:szCs w:val="22"/>
              </w:rPr>
              <w:lastRenderedPageBreak/>
              <w:t>Use CDC readiness assessment tool and determine gaps in infection control</w:t>
            </w:r>
            <w:r w:rsidR="001509C9" w:rsidRPr="00AE78C2">
              <w:rPr>
                <w:b/>
                <w:szCs w:val="22"/>
              </w:rPr>
              <w:br/>
            </w:r>
            <w:r w:rsidR="001509C9" w:rsidRPr="00AE78C2">
              <w:rPr>
                <w:b/>
                <w:color w:val="000000"/>
                <w:szCs w:val="22"/>
              </w:rPr>
              <w:br/>
            </w:r>
            <w:proofErr w:type="gramStart"/>
            <w:r w:rsidR="00F02CB4" w:rsidRPr="00AE78C2">
              <w:rPr>
                <w:color w:val="000000"/>
              </w:rPr>
              <w:t>In</w:t>
            </w:r>
            <w:proofErr w:type="gramEnd"/>
            <w:r w:rsidR="00F02CB4" w:rsidRPr="00AE78C2">
              <w:rPr>
                <w:color w:val="000000"/>
              </w:rPr>
              <w:t xml:space="preserve"> 2015, the Massachusetts Office of </w:t>
            </w:r>
            <w:r w:rsidR="00C2136B" w:rsidRPr="00AE78C2">
              <w:rPr>
                <w:color w:val="000000"/>
              </w:rPr>
              <w:t>Preparedness and Emergency Management</w:t>
            </w:r>
            <w:r w:rsidR="00F02CB4" w:rsidRPr="00AE78C2">
              <w:rPr>
                <w:color w:val="000000"/>
              </w:rPr>
              <w:t xml:space="preserve"> coordinated the initial Ebola preparedness assessments in the </w:t>
            </w:r>
            <w:r w:rsidR="00C54BF9" w:rsidRPr="00AE78C2">
              <w:rPr>
                <w:color w:val="000000"/>
              </w:rPr>
              <w:t xml:space="preserve">five </w:t>
            </w:r>
            <w:r w:rsidR="00F02CB4" w:rsidRPr="00AE78C2">
              <w:rPr>
                <w:color w:val="000000"/>
              </w:rPr>
              <w:t xml:space="preserve">designated </w:t>
            </w:r>
            <w:r w:rsidR="00C2136B" w:rsidRPr="00AE78C2">
              <w:rPr>
                <w:color w:val="000000"/>
              </w:rPr>
              <w:t xml:space="preserve">Ebola treatment </w:t>
            </w:r>
            <w:r w:rsidR="00F02CB4" w:rsidRPr="00AE78C2">
              <w:rPr>
                <w:color w:val="000000"/>
              </w:rPr>
              <w:t xml:space="preserve">hospitals in Massachusetts.  In 2016, follow-up Ebola </w:t>
            </w:r>
            <w:r w:rsidR="00C54BF9" w:rsidRPr="00AE78C2">
              <w:rPr>
                <w:color w:val="000000"/>
              </w:rPr>
              <w:t>preparedness assessment</w:t>
            </w:r>
            <w:r w:rsidR="00C9157E" w:rsidRPr="00AE78C2">
              <w:rPr>
                <w:color w:val="000000"/>
              </w:rPr>
              <w:t>s</w:t>
            </w:r>
            <w:r w:rsidR="00C54BF9" w:rsidRPr="00AE78C2">
              <w:rPr>
                <w:color w:val="000000"/>
              </w:rPr>
              <w:t xml:space="preserve"> </w:t>
            </w:r>
            <w:r w:rsidR="00F02CB4" w:rsidRPr="00AE78C2">
              <w:rPr>
                <w:color w:val="000000"/>
              </w:rPr>
              <w:t xml:space="preserve">will be coordinated by MDPH. </w:t>
            </w:r>
            <w:r w:rsidR="000E2951" w:rsidRPr="00AE78C2">
              <w:rPr>
                <w:color w:val="000000"/>
              </w:rPr>
              <w:t>D</w:t>
            </w:r>
            <w:r w:rsidR="00F02CB4" w:rsidRPr="00AE78C2">
              <w:rPr>
                <w:color w:val="000000"/>
              </w:rPr>
              <w:t>ata collected from these assessments will be submitted to CDC. A summary report detailing the results of the follow-up assessments</w:t>
            </w:r>
            <w:r w:rsidR="00C9157E" w:rsidRPr="00AE78C2">
              <w:rPr>
                <w:color w:val="000000"/>
              </w:rPr>
              <w:t>,</w:t>
            </w:r>
            <w:r w:rsidR="00F02CB4" w:rsidRPr="00AE78C2">
              <w:rPr>
                <w:color w:val="000000"/>
              </w:rPr>
              <w:t xml:space="preserve"> including any gaps identified</w:t>
            </w:r>
            <w:r w:rsidR="00C9157E" w:rsidRPr="00AE78C2">
              <w:rPr>
                <w:color w:val="000000"/>
              </w:rPr>
              <w:t>,</w:t>
            </w:r>
            <w:r w:rsidR="00F02CB4" w:rsidRPr="00AE78C2">
              <w:rPr>
                <w:color w:val="000000"/>
              </w:rPr>
              <w:t xml:space="preserve"> will be provided to CDC.</w:t>
            </w:r>
            <w:r w:rsidR="001509C9" w:rsidRPr="00AE78C2">
              <w:rPr>
                <w:b/>
                <w:szCs w:val="22"/>
              </w:rPr>
              <w:br/>
            </w:r>
          </w:p>
          <w:p w:rsidR="00F7428E" w:rsidRPr="00AE78C2" w:rsidRDefault="00F7428E" w:rsidP="009B7F2E">
            <w:pPr>
              <w:numPr>
                <w:ilvl w:val="0"/>
                <w:numId w:val="27"/>
              </w:numPr>
              <w:autoSpaceDE w:val="0"/>
              <w:autoSpaceDN w:val="0"/>
              <w:adjustRightInd w:val="0"/>
              <w:rPr>
                <w:b/>
                <w:szCs w:val="22"/>
              </w:rPr>
            </w:pPr>
            <w:r w:rsidRPr="00AE78C2">
              <w:rPr>
                <w:b/>
                <w:szCs w:val="22"/>
              </w:rPr>
              <w:t>Address gaps (mitigate gaps</w:t>
            </w:r>
            <w:proofErr w:type="gramStart"/>
            <w:r w:rsidRPr="00AE78C2">
              <w:rPr>
                <w:b/>
                <w:szCs w:val="22"/>
              </w:rPr>
              <w:t>)</w:t>
            </w:r>
            <w:proofErr w:type="gramEnd"/>
            <w:r w:rsidR="001509C9" w:rsidRPr="00AE78C2">
              <w:rPr>
                <w:b/>
                <w:szCs w:val="22"/>
              </w:rPr>
              <w:br/>
            </w:r>
            <w:r w:rsidR="001509C9" w:rsidRPr="00AE78C2">
              <w:rPr>
                <w:b/>
                <w:szCs w:val="22"/>
              </w:rPr>
              <w:br/>
            </w:r>
            <w:r w:rsidR="00F02CB4" w:rsidRPr="00AE78C2">
              <w:rPr>
                <w:color w:val="000000"/>
              </w:rPr>
              <w:t xml:space="preserve">All gaps in infection control and prevention preparedness identified in the </w:t>
            </w:r>
            <w:r w:rsidR="00C54BF9" w:rsidRPr="00AE78C2">
              <w:rPr>
                <w:color w:val="000000"/>
              </w:rPr>
              <w:t>2016</w:t>
            </w:r>
            <w:r w:rsidR="00F02CB4" w:rsidRPr="00AE78C2">
              <w:rPr>
                <w:color w:val="000000"/>
              </w:rPr>
              <w:t xml:space="preserve"> Ebola preparedness assessments will be addressed.  MDPH staff will work to provide or arrange any training </w:t>
            </w:r>
            <w:r w:rsidR="00C54BF9" w:rsidRPr="00AE78C2">
              <w:rPr>
                <w:color w:val="000000"/>
              </w:rPr>
              <w:t xml:space="preserve">that is needed to </w:t>
            </w:r>
            <w:r w:rsidR="00F02CB4" w:rsidRPr="00AE78C2">
              <w:rPr>
                <w:color w:val="000000"/>
              </w:rPr>
              <w:t xml:space="preserve">address </w:t>
            </w:r>
            <w:r w:rsidR="00C54BF9" w:rsidRPr="00AE78C2">
              <w:rPr>
                <w:color w:val="000000"/>
              </w:rPr>
              <w:t>identified</w:t>
            </w:r>
            <w:r w:rsidR="00F02CB4" w:rsidRPr="00AE78C2">
              <w:rPr>
                <w:color w:val="000000"/>
              </w:rPr>
              <w:t xml:space="preserve"> gaps.</w:t>
            </w:r>
            <w:r w:rsidR="001509C9" w:rsidRPr="00AE78C2">
              <w:rPr>
                <w:b/>
                <w:szCs w:val="22"/>
              </w:rPr>
              <w:br/>
            </w:r>
          </w:p>
          <w:p w:rsidR="00F7428E" w:rsidRPr="00AE78C2" w:rsidRDefault="00F7428E" w:rsidP="009B7F2E">
            <w:pPr>
              <w:numPr>
                <w:ilvl w:val="0"/>
                <w:numId w:val="27"/>
              </w:numPr>
              <w:autoSpaceDE w:val="0"/>
              <w:autoSpaceDN w:val="0"/>
              <w:adjustRightInd w:val="0"/>
              <w:rPr>
                <w:sz w:val="22"/>
                <w:szCs w:val="22"/>
              </w:rPr>
            </w:pPr>
            <w:r w:rsidRPr="00AE78C2">
              <w:rPr>
                <w:b/>
                <w:szCs w:val="22"/>
              </w:rPr>
              <w:t>Conduct follow-up assessments</w:t>
            </w:r>
            <w:r w:rsidR="001509C9" w:rsidRPr="00AE78C2">
              <w:rPr>
                <w:b/>
                <w:szCs w:val="22"/>
              </w:rPr>
              <w:br/>
            </w:r>
            <w:r w:rsidR="001509C9" w:rsidRPr="00AE78C2">
              <w:rPr>
                <w:b/>
                <w:szCs w:val="22"/>
              </w:rPr>
              <w:br/>
            </w:r>
            <w:r w:rsidR="003712E1" w:rsidRPr="00AE78C2">
              <w:rPr>
                <w:color w:val="000000"/>
              </w:rPr>
              <w:t>Follow-up assessments will be conducted to assure that identified gaps have been mitigated and all training needs have been met</w:t>
            </w:r>
            <w:r w:rsidR="003712E1" w:rsidRPr="00AE78C2">
              <w:rPr>
                <w:color w:val="365F91"/>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2512EE">
            <w:pPr>
              <w:autoSpaceDE w:val="0"/>
              <w:autoSpaceDN w:val="0"/>
              <w:adjustRightInd w:val="0"/>
              <w:rPr>
                <w:sz w:val="22"/>
                <w:szCs w:val="22"/>
              </w:rPr>
            </w:pPr>
          </w:p>
          <w:p w:rsidR="00F7428E" w:rsidRPr="00AE78C2" w:rsidRDefault="00F7428E"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7428E" w:rsidRPr="00AE78C2" w:rsidRDefault="00BC1800" w:rsidP="002512EE">
            <w:pPr>
              <w:autoSpaceDE w:val="0"/>
              <w:autoSpaceDN w:val="0"/>
              <w:adjustRightInd w:val="0"/>
              <w:rPr>
                <w:color w:val="000000"/>
              </w:rPr>
            </w:pPr>
            <w:r w:rsidRPr="00AE78C2">
              <w:rPr>
                <w:color w:val="000000"/>
              </w:rPr>
              <w:t>2016</w:t>
            </w: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sz w:val="22"/>
                <w:szCs w:val="22"/>
              </w:rPr>
            </w:pPr>
          </w:p>
          <w:p w:rsidR="00F02CB4" w:rsidRPr="00AE78C2" w:rsidRDefault="00F02CB4" w:rsidP="002512EE">
            <w:pPr>
              <w:autoSpaceDE w:val="0"/>
              <w:autoSpaceDN w:val="0"/>
              <w:adjustRightInd w:val="0"/>
              <w:rPr>
                <w:color w:val="000000"/>
              </w:rPr>
            </w:pPr>
            <w:r w:rsidRPr="00AE78C2">
              <w:rPr>
                <w:color w:val="000000"/>
              </w:rPr>
              <w:t>2016</w:t>
            </w:r>
          </w:p>
          <w:p w:rsidR="003712E1" w:rsidRPr="00AE78C2" w:rsidRDefault="003712E1" w:rsidP="002512EE">
            <w:pPr>
              <w:autoSpaceDE w:val="0"/>
              <w:autoSpaceDN w:val="0"/>
              <w:adjustRightInd w:val="0"/>
              <w:rPr>
                <w:color w:val="365F91"/>
              </w:rPr>
            </w:pPr>
          </w:p>
          <w:p w:rsidR="003712E1" w:rsidRPr="00AE78C2" w:rsidRDefault="003712E1" w:rsidP="002512EE">
            <w:pPr>
              <w:autoSpaceDE w:val="0"/>
              <w:autoSpaceDN w:val="0"/>
              <w:adjustRightInd w:val="0"/>
              <w:rPr>
                <w:color w:val="365F91"/>
              </w:rPr>
            </w:pPr>
          </w:p>
          <w:p w:rsidR="003712E1" w:rsidRPr="00AE78C2" w:rsidRDefault="003712E1" w:rsidP="002512EE">
            <w:pPr>
              <w:autoSpaceDE w:val="0"/>
              <w:autoSpaceDN w:val="0"/>
              <w:adjustRightInd w:val="0"/>
              <w:rPr>
                <w:color w:val="365F91"/>
              </w:rPr>
            </w:pPr>
          </w:p>
          <w:p w:rsidR="003712E1" w:rsidRPr="00AE78C2" w:rsidRDefault="003712E1" w:rsidP="002512EE">
            <w:pPr>
              <w:autoSpaceDE w:val="0"/>
              <w:autoSpaceDN w:val="0"/>
              <w:adjustRightInd w:val="0"/>
              <w:rPr>
                <w:color w:val="365F91"/>
              </w:rPr>
            </w:pPr>
          </w:p>
          <w:p w:rsidR="003712E1" w:rsidRPr="00AE78C2" w:rsidRDefault="003712E1" w:rsidP="002512EE">
            <w:pPr>
              <w:autoSpaceDE w:val="0"/>
              <w:autoSpaceDN w:val="0"/>
              <w:adjustRightInd w:val="0"/>
              <w:rPr>
                <w:color w:val="365F91"/>
              </w:rPr>
            </w:pPr>
          </w:p>
          <w:p w:rsidR="003712E1" w:rsidRPr="00AE78C2" w:rsidRDefault="003712E1" w:rsidP="002512EE">
            <w:pPr>
              <w:autoSpaceDE w:val="0"/>
              <w:autoSpaceDN w:val="0"/>
              <w:adjustRightInd w:val="0"/>
              <w:rPr>
                <w:color w:val="365F91"/>
              </w:rPr>
            </w:pPr>
          </w:p>
          <w:p w:rsidR="00915C31" w:rsidRPr="00AE78C2" w:rsidRDefault="00915C31" w:rsidP="002512EE">
            <w:pPr>
              <w:autoSpaceDE w:val="0"/>
              <w:autoSpaceDN w:val="0"/>
              <w:adjustRightInd w:val="0"/>
              <w:rPr>
                <w:color w:val="365F91"/>
              </w:rPr>
            </w:pPr>
          </w:p>
          <w:p w:rsidR="003712E1" w:rsidRPr="00AE78C2" w:rsidRDefault="003712E1" w:rsidP="00F37388">
            <w:pPr>
              <w:autoSpaceDE w:val="0"/>
              <w:autoSpaceDN w:val="0"/>
              <w:adjustRightInd w:val="0"/>
              <w:rPr>
                <w:color w:val="000000"/>
                <w:sz w:val="22"/>
                <w:szCs w:val="22"/>
              </w:rPr>
            </w:pPr>
            <w:r w:rsidRPr="00AE78C2">
              <w:rPr>
                <w:color w:val="000000"/>
              </w:rPr>
              <w:t>2016-2017</w:t>
            </w:r>
          </w:p>
        </w:tc>
      </w:tr>
      <w:tr w:rsidR="008A25EC" w:rsidRPr="00AE78C2" w:rsidTr="009B7F2E">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12EE">
            <w:pPr>
              <w:autoSpaceDE w:val="0"/>
              <w:autoSpaceDN w:val="0"/>
              <w:adjustRightInd w:val="0"/>
              <w:jc w:val="center"/>
              <w:rPr>
                <w:sz w:val="22"/>
                <w:szCs w:val="22"/>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12EE">
            <w:pPr>
              <w:autoSpaceDE w:val="0"/>
              <w:autoSpaceDN w:val="0"/>
              <w:adjustRightInd w:val="0"/>
              <w:rPr>
                <w:i/>
                <w:sz w:val="22"/>
                <w:szCs w:val="22"/>
              </w:rPr>
            </w:pPr>
            <w:r w:rsidRPr="00AE78C2">
              <w:rPr>
                <w:i/>
                <w:sz w:val="22"/>
                <w:szCs w:val="22"/>
              </w:rPr>
              <w:t>Other activities or descriptions:</w:t>
            </w:r>
          </w:p>
          <w:p w:rsidR="008A25EC" w:rsidRPr="00AE78C2" w:rsidRDefault="008A25EC" w:rsidP="002512EE">
            <w:pPr>
              <w:autoSpaceDE w:val="0"/>
              <w:autoSpaceDN w:val="0"/>
              <w:adjustRightInd w:val="0"/>
              <w:rPr>
                <w:i/>
                <w:sz w:val="22"/>
                <w:szCs w:val="22"/>
              </w:rPr>
            </w:pPr>
          </w:p>
          <w:p w:rsidR="008A25EC" w:rsidRPr="00AE78C2" w:rsidRDefault="008A25EC" w:rsidP="002512EE">
            <w:pPr>
              <w:autoSpaceDE w:val="0"/>
              <w:autoSpaceDN w:val="0"/>
              <w:adjustRightInd w:val="0"/>
              <w:rPr>
                <w:i/>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12EE">
            <w:pPr>
              <w:autoSpaceDE w:val="0"/>
              <w:autoSpaceDN w:val="0"/>
              <w:adjustRightInd w:val="0"/>
              <w:rPr>
                <w:sz w:val="22"/>
                <w:szCs w:val="22"/>
              </w:rPr>
            </w:pPr>
          </w:p>
        </w:tc>
      </w:tr>
      <w:tr w:rsidR="00F7428E" w:rsidRPr="00AE78C2" w:rsidTr="00915C31">
        <w:tc>
          <w:tcPr>
            <w:tcW w:w="1440" w:type="dxa"/>
            <w:tcBorders>
              <w:top w:val="single" w:sz="4" w:space="0" w:color="auto"/>
            </w:tcBorders>
            <w:shd w:val="clear" w:color="auto" w:fill="auto"/>
          </w:tcPr>
          <w:p w:rsidR="00F7428E" w:rsidRPr="00AE78C2" w:rsidRDefault="00F7428E" w:rsidP="002512EE">
            <w:pPr>
              <w:jc w:val="center"/>
              <w:rPr>
                <w:sz w:val="22"/>
                <w:szCs w:val="22"/>
              </w:rPr>
            </w:pPr>
          </w:p>
          <w:p w:rsidR="00F7428E" w:rsidRPr="00AE78C2" w:rsidRDefault="00F7428E" w:rsidP="002512EE">
            <w:pPr>
              <w:jc w:val="center"/>
              <w:rPr>
                <w:sz w:val="22"/>
                <w:szCs w:val="22"/>
              </w:rPr>
            </w:pPr>
          </w:p>
          <w:p w:rsidR="00915C31" w:rsidRPr="00AE78C2" w:rsidRDefault="00915C31" w:rsidP="002512EE">
            <w:pPr>
              <w:jc w:val="center"/>
              <w:rPr>
                <w:sz w:val="22"/>
                <w:szCs w:val="22"/>
              </w:rPr>
            </w:pPr>
          </w:p>
          <w:p w:rsidR="00F7428E" w:rsidRPr="00AE78C2" w:rsidRDefault="008F4690" w:rsidP="002512EE">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8F4690" w:rsidRPr="00AE78C2" w:rsidRDefault="008F4690" w:rsidP="002512EE">
            <w:pPr>
              <w:jc w:val="center"/>
              <w:rPr>
                <w:sz w:val="22"/>
                <w:szCs w:val="22"/>
              </w:rPr>
            </w:pPr>
          </w:p>
          <w:p w:rsidR="00F7428E" w:rsidRPr="00AE78C2" w:rsidRDefault="008F4690" w:rsidP="002512EE">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915C31" w:rsidRPr="00AE78C2" w:rsidRDefault="00915C31" w:rsidP="002512EE">
            <w:pPr>
              <w:jc w:val="center"/>
              <w:rPr>
                <w:sz w:val="22"/>
                <w:szCs w:val="22"/>
              </w:rPr>
            </w:pPr>
          </w:p>
          <w:p w:rsidR="00F7428E" w:rsidRPr="00AE78C2" w:rsidRDefault="008F4690" w:rsidP="002512EE">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260" w:type="dxa"/>
            <w:tcBorders>
              <w:top w:val="single" w:sz="4" w:space="0" w:color="auto"/>
            </w:tcBorders>
            <w:shd w:val="clear" w:color="auto" w:fill="auto"/>
          </w:tcPr>
          <w:p w:rsidR="00F7428E" w:rsidRPr="00AE78C2" w:rsidRDefault="00F7428E" w:rsidP="002512EE">
            <w:pPr>
              <w:jc w:val="center"/>
              <w:rPr>
                <w:sz w:val="22"/>
                <w:szCs w:val="22"/>
              </w:rPr>
            </w:pPr>
          </w:p>
          <w:p w:rsidR="00F7428E" w:rsidRPr="00AE78C2" w:rsidRDefault="00F7428E" w:rsidP="002512EE">
            <w:pPr>
              <w:jc w:val="center"/>
              <w:rPr>
                <w:sz w:val="22"/>
                <w:szCs w:val="22"/>
              </w:rPr>
            </w:pPr>
          </w:p>
          <w:p w:rsidR="008A25EC" w:rsidRPr="00AE78C2" w:rsidRDefault="008A25EC" w:rsidP="008A25EC">
            <w:pPr>
              <w:jc w:val="center"/>
              <w:rPr>
                <w:sz w:val="22"/>
                <w:szCs w:val="22"/>
              </w:rPr>
            </w:pPr>
          </w:p>
          <w:p w:rsidR="00F7428E" w:rsidRPr="00AE78C2" w:rsidRDefault="00F7428E" w:rsidP="008A25EC">
            <w:pPr>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F7428E" w:rsidP="00A87879">
            <w:pPr>
              <w:rPr>
                <w:sz w:val="22"/>
                <w:szCs w:val="22"/>
              </w:rPr>
            </w:pPr>
            <w:r w:rsidRPr="00AE78C2">
              <w:rPr>
                <w:sz w:val="22"/>
                <w:szCs w:val="22"/>
              </w:rPr>
              <w:t xml:space="preserve">     </w:t>
            </w:r>
          </w:p>
          <w:p w:rsidR="00915C31" w:rsidRPr="00AE78C2" w:rsidRDefault="00915C31" w:rsidP="00A87879">
            <w:pPr>
              <w:rPr>
                <w:sz w:val="22"/>
                <w:szCs w:val="22"/>
              </w:rPr>
            </w:pPr>
          </w:p>
          <w:p w:rsidR="00915C31" w:rsidRPr="00AE78C2" w:rsidRDefault="00915C31" w:rsidP="00A87879">
            <w:pPr>
              <w:rPr>
                <w:sz w:val="22"/>
                <w:szCs w:val="22"/>
              </w:rPr>
            </w:pPr>
          </w:p>
          <w:p w:rsidR="00915C31" w:rsidRPr="00AE78C2" w:rsidRDefault="00915C31" w:rsidP="00A87879">
            <w:pPr>
              <w:rPr>
                <w:sz w:val="22"/>
                <w:szCs w:val="22"/>
              </w:rPr>
            </w:pPr>
          </w:p>
          <w:p w:rsidR="00915C31" w:rsidRPr="00AE78C2" w:rsidRDefault="00915C31" w:rsidP="00A87879">
            <w:pPr>
              <w:rPr>
                <w:sz w:val="22"/>
                <w:szCs w:val="22"/>
              </w:rPr>
            </w:pPr>
          </w:p>
          <w:p w:rsidR="00915C31" w:rsidRPr="00AE78C2" w:rsidRDefault="00915C31" w:rsidP="00A87879">
            <w:pPr>
              <w:rPr>
                <w:sz w:val="22"/>
                <w:szCs w:val="22"/>
              </w:rPr>
            </w:pPr>
          </w:p>
          <w:p w:rsidR="00915C31" w:rsidRPr="00AE78C2" w:rsidRDefault="00915C31" w:rsidP="00A87879">
            <w:pPr>
              <w:rPr>
                <w:sz w:val="22"/>
                <w:szCs w:val="22"/>
              </w:rPr>
            </w:pPr>
          </w:p>
          <w:p w:rsidR="00915C31" w:rsidRPr="00AE78C2" w:rsidRDefault="00915C31" w:rsidP="00A87879">
            <w:pPr>
              <w:rPr>
                <w:sz w:val="22"/>
                <w:szCs w:val="22"/>
              </w:rPr>
            </w:pPr>
          </w:p>
          <w:p w:rsidR="00915C31" w:rsidRPr="00AE78C2" w:rsidRDefault="00915C31" w:rsidP="00A87879">
            <w:pPr>
              <w:rPr>
                <w:sz w:val="22"/>
                <w:szCs w:val="22"/>
              </w:rPr>
            </w:pPr>
          </w:p>
          <w:p w:rsidR="008F4690" w:rsidRPr="00AE78C2" w:rsidRDefault="008F4690" w:rsidP="00A87879">
            <w:pPr>
              <w:rPr>
                <w:sz w:val="22"/>
                <w:szCs w:val="22"/>
              </w:rPr>
            </w:pPr>
          </w:p>
          <w:p w:rsidR="00915C31" w:rsidRPr="00AE78C2" w:rsidRDefault="00915C31" w:rsidP="00A87879">
            <w:pPr>
              <w:rPr>
                <w:sz w:val="22"/>
                <w:szCs w:val="22"/>
              </w:rPr>
            </w:pPr>
          </w:p>
          <w:p w:rsidR="00915C31" w:rsidRPr="00AE78C2" w:rsidRDefault="00915C31" w:rsidP="00A87879">
            <w:pPr>
              <w:rPr>
                <w:sz w:val="22"/>
                <w:szCs w:val="22"/>
              </w:rPr>
            </w:pPr>
          </w:p>
          <w:p w:rsidR="00F7428E" w:rsidRPr="00AE78C2" w:rsidRDefault="00F7428E" w:rsidP="00915C31">
            <w:pPr>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915C31" w:rsidRPr="00AE78C2" w:rsidRDefault="00915C31" w:rsidP="0074441C">
            <w:pPr>
              <w:rPr>
                <w:sz w:val="22"/>
                <w:szCs w:val="22"/>
              </w:rPr>
            </w:pPr>
          </w:p>
          <w:p w:rsidR="00915C31" w:rsidRPr="00AE78C2" w:rsidRDefault="00915C31" w:rsidP="0074441C">
            <w:pPr>
              <w:rPr>
                <w:sz w:val="22"/>
                <w:szCs w:val="22"/>
              </w:rPr>
            </w:pPr>
          </w:p>
          <w:p w:rsidR="00915C31" w:rsidRPr="00AE78C2" w:rsidRDefault="00915C31" w:rsidP="0074441C">
            <w:pPr>
              <w:rPr>
                <w:sz w:val="22"/>
                <w:szCs w:val="22"/>
              </w:rPr>
            </w:pPr>
          </w:p>
          <w:p w:rsidR="00915C31" w:rsidRPr="00AE78C2" w:rsidRDefault="00915C31" w:rsidP="0074441C">
            <w:pPr>
              <w:rPr>
                <w:sz w:val="22"/>
                <w:szCs w:val="22"/>
              </w:rPr>
            </w:pPr>
          </w:p>
          <w:p w:rsidR="00915C31" w:rsidRPr="00AE78C2" w:rsidRDefault="00915C31" w:rsidP="0074441C">
            <w:pPr>
              <w:rPr>
                <w:sz w:val="22"/>
                <w:szCs w:val="22"/>
              </w:rPr>
            </w:pPr>
          </w:p>
          <w:p w:rsidR="00915C31" w:rsidRPr="00AE78C2" w:rsidRDefault="00915C31" w:rsidP="0074441C">
            <w:pPr>
              <w:rPr>
                <w:sz w:val="22"/>
                <w:szCs w:val="22"/>
              </w:rPr>
            </w:pPr>
          </w:p>
          <w:p w:rsidR="00915C31" w:rsidRPr="00AE78C2" w:rsidRDefault="00915C31" w:rsidP="0074441C">
            <w:pPr>
              <w:rPr>
                <w:sz w:val="22"/>
                <w:szCs w:val="22"/>
              </w:rPr>
            </w:pPr>
          </w:p>
          <w:p w:rsidR="00915C31" w:rsidRPr="00AE78C2" w:rsidRDefault="00915C31" w:rsidP="0074441C">
            <w:pPr>
              <w:rPr>
                <w:sz w:val="22"/>
                <w:szCs w:val="22"/>
              </w:rPr>
            </w:pPr>
          </w:p>
          <w:p w:rsidR="00915C31" w:rsidRPr="00AE78C2" w:rsidRDefault="00915C31" w:rsidP="0074441C">
            <w:pPr>
              <w:rPr>
                <w:sz w:val="22"/>
                <w:szCs w:val="22"/>
              </w:rPr>
            </w:pPr>
          </w:p>
          <w:p w:rsidR="00915C31" w:rsidRPr="00AE78C2" w:rsidRDefault="00915C31" w:rsidP="0074441C">
            <w:pPr>
              <w:rPr>
                <w:sz w:val="22"/>
                <w:szCs w:val="22"/>
              </w:rPr>
            </w:pPr>
          </w:p>
          <w:p w:rsidR="00F7428E" w:rsidRPr="00AE78C2" w:rsidRDefault="00F7428E" w:rsidP="0074441C">
            <w:pPr>
              <w:rPr>
                <w:sz w:val="22"/>
                <w:szCs w:val="22"/>
              </w:rPr>
            </w:pPr>
            <w:r w:rsidRPr="00AE78C2">
              <w:rPr>
                <w:sz w:val="22"/>
                <w:szCs w:val="22"/>
              </w:rPr>
              <w:t xml:space="preserve">       </w:t>
            </w: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660" w:type="dxa"/>
            <w:tcBorders>
              <w:top w:val="single" w:sz="4" w:space="0" w:color="auto"/>
            </w:tcBorders>
            <w:shd w:val="clear" w:color="auto" w:fill="auto"/>
          </w:tcPr>
          <w:p w:rsidR="00F7428E" w:rsidRPr="00AE78C2" w:rsidRDefault="00F7428E" w:rsidP="009B7F2E">
            <w:pPr>
              <w:numPr>
                <w:ilvl w:val="0"/>
                <w:numId w:val="26"/>
              </w:numPr>
              <w:rPr>
                <w:b/>
                <w:sz w:val="28"/>
                <w:szCs w:val="28"/>
              </w:rPr>
            </w:pPr>
            <w:r w:rsidRPr="00AE78C2">
              <w:rPr>
                <w:b/>
                <w:sz w:val="28"/>
                <w:szCs w:val="28"/>
              </w:rPr>
              <w:lastRenderedPageBreak/>
              <w:t xml:space="preserve">Assess outbreak reporting and response in healthcare facilities </w:t>
            </w:r>
          </w:p>
          <w:p w:rsidR="003712E1" w:rsidRPr="00AE78C2" w:rsidRDefault="00F7428E" w:rsidP="009B7F2E">
            <w:pPr>
              <w:numPr>
                <w:ilvl w:val="0"/>
                <w:numId w:val="28"/>
              </w:numPr>
              <w:rPr>
                <w:b/>
                <w:szCs w:val="22"/>
              </w:rPr>
            </w:pPr>
            <w:r w:rsidRPr="00AE78C2">
              <w:rPr>
                <w:b/>
                <w:szCs w:val="22"/>
              </w:rPr>
              <w:t>Use standard assessment tool and determine gaps in outbreak reporting and response</w:t>
            </w:r>
          </w:p>
          <w:p w:rsidR="003712E1" w:rsidRPr="00AE78C2" w:rsidRDefault="003712E1" w:rsidP="003712E1">
            <w:pPr>
              <w:ind w:left="1080"/>
              <w:rPr>
                <w:b/>
                <w:szCs w:val="22"/>
              </w:rPr>
            </w:pPr>
          </w:p>
          <w:p w:rsidR="00F7428E" w:rsidRPr="00AE78C2" w:rsidRDefault="003712E1" w:rsidP="003712E1">
            <w:pPr>
              <w:ind w:left="1080"/>
              <w:rPr>
                <w:b/>
                <w:color w:val="000000"/>
                <w:szCs w:val="22"/>
              </w:rPr>
            </w:pPr>
            <w:r w:rsidRPr="00AE78C2">
              <w:rPr>
                <w:color w:val="000000"/>
              </w:rPr>
              <w:lastRenderedPageBreak/>
              <w:t xml:space="preserve">The healthcare facility inventory survey </w:t>
            </w:r>
            <w:r w:rsidR="00C54BF9" w:rsidRPr="00AE78C2">
              <w:rPr>
                <w:color w:val="000000"/>
              </w:rPr>
              <w:t xml:space="preserve">described in Table 5, item 1 </w:t>
            </w:r>
            <w:r w:rsidRPr="00AE78C2">
              <w:rPr>
                <w:color w:val="000000"/>
              </w:rPr>
              <w:t>will ask facilities whether or not the</w:t>
            </w:r>
            <w:r w:rsidR="00C54BF9" w:rsidRPr="00AE78C2">
              <w:rPr>
                <w:color w:val="000000"/>
              </w:rPr>
              <w:t>y</w:t>
            </w:r>
            <w:r w:rsidRPr="00AE78C2">
              <w:rPr>
                <w:color w:val="000000"/>
              </w:rPr>
              <w:t xml:space="preserve"> report communicable and other infectious diseases as well as outbreaks of communicable diseases to the local boards of health in Massachusetts.  For those healthcare facilities that do not</w:t>
            </w:r>
            <w:r w:rsidR="00C2136B" w:rsidRPr="00AE78C2">
              <w:rPr>
                <w:color w:val="000000"/>
              </w:rPr>
              <w:t xml:space="preserve"> effectively</w:t>
            </w:r>
            <w:r w:rsidRPr="00AE78C2">
              <w:rPr>
                <w:color w:val="000000"/>
              </w:rPr>
              <w:t xml:space="preserve"> report communicable and infectious diseases, a follow-up question will ask </w:t>
            </w:r>
            <w:r w:rsidR="00C54BF9" w:rsidRPr="00AE78C2">
              <w:rPr>
                <w:color w:val="000000"/>
              </w:rPr>
              <w:t>about specific barriers to this reporting</w:t>
            </w:r>
            <w:r w:rsidRPr="00AE78C2">
              <w:rPr>
                <w:color w:val="000000"/>
              </w:rPr>
              <w:t xml:space="preserve">.  </w:t>
            </w:r>
            <w:r w:rsidR="001509C9" w:rsidRPr="00AE78C2">
              <w:rPr>
                <w:b/>
                <w:color w:val="000000"/>
                <w:szCs w:val="22"/>
              </w:rPr>
              <w:br/>
            </w:r>
          </w:p>
          <w:p w:rsidR="00F7428E" w:rsidRPr="00AE78C2" w:rsidRDefault="00F7428E" w:rsidP="009B7F2E">
            <w:pPr>
              <w:numPr>
                <w:ilvl w:val="0"/>
                <w:numId w:val="28"/>
              </w:numPr>
              <w:rPr>
                <w:b/>
                <w:szCs w:val="22"/>
              </w:rPr>
            </w:pPr>
            <w:r w:rsidRPr="00AE78C2">
              <w:rPr>
                <w:b/>
                <w:szCs w:val="22"/>
              </w:rPr>
              <w:t>Address gaps (mitigate gaps</w:t>
            </w:r>
            <w:proofErr w:type="gramStart"/>
            <w:r w:rsidRPr="00AE78C2">
              <w:rPr>
                <w:b/>
                <w:szCs w:val="22"/>
              </w:rPr>
              <w:t>)</w:t>
            </w:r>
            <w:proofErr w:type="gramEnd"/>
            <w:r w:rsidR="001509C9" w:rsidRPr="00AE78C2">
              <w:rPr>
                <w:b/>
                <w:szCs w:val="22"/>
              </w:rPr>
              <w:br/>
            </w:r>
            <w:r w:rsidR="001509C9" w:rsidRPr="00AE78C2">
              <w:rPr>
                <w:b/>
                <w:szCs w:val="22"/>
              </w:rPr>
              <w:br/>
            </w:r>
            <w:r w:rsidR="00936F75" w:rsidRPr="00AE78C2">
              <w:rPr>
                <w:color w:val="000000"/>
              </w:rPr>
              <w:t>Gaps in</w:t>
            </w:r>
            <w:r w:rsidR="003712E1" w:rsidRPr="00AE78C2">
              <w:rPr>
                <w:color w:val="000000"/>
              </w:rPr>
              <w:t xml:space="preserve"> outbreak reporting will be assessed based on the responses to the barrier question</w:t>
            </w:r>
            <w:r w:rsidR="00C54BF9" w:rsidRPr="00AE78C2">
              <w:rPr>
                <w:color w:val="000000"/>
              </w:rPr>
              <w:t>s (described directly above)</w:t>
            </w:r>
            <w:r w:rsidR="003712E1" w:rsidRPr="00AE78C2">
              <w:rPr>
                <w:color w:val="000000"/>
              </w:rPr>
              <w:t xml:space="preserve"> on the healthcare </w:t>
            </w:r>
            <w:r w:rsidR="00C54BF9" w:rsidRPr="00AE78C2">
              <w:rPr>
                <w:color w:val="000000"/>
              </w:rPr>
              <w:t xml:space="preserve">facility </w:t>
            </w:r>
            <w:r w:rsidR="003712E1" w:rsidRPr="00AE78C2">
              <w:rPr>
                <w:color w:val="000000"/>
              </w:rPr>
              <w:t>inventory survey. MDPH will work to address these gaps by providing any needed assistance and education for the reporting of infectious diseases and outbreaks of communicable diseases.</w:t>
            </w:r>
          </w:p>
          <w:p w:rsidR="003712E1" w:rsidRPr="00AE78C2" w:rsidRDefault="003712E1" w:rsidP="003712E1">
            <w:pPr>
              <w:ind w:left="1080"/>
              <w:rPr>
                <w:b/>
                <w:szCs w:val="22"/>
              </w:rPr>
            </w:pPr>
          </w:p>
          <w:p w:rsidR="009F025C" w:rsidRPr="00AE78C2" w:rsidRDefault="00F7428E" w:rsidP="009B7F2E">
            <w:pPr>
              <w:numPr>
                <w:ilvl w:val="0"/>
                <w:numId w:val="28"/>
              </w:numPr>
              <w:rPr>
                <w:color w:val="000000"/>
                <w:sz w:val="22"/>
                <w:szCs w:val="22"/>
              </w:rPr>
            </w:pPr>
            <w:r w:rsidRPr="00AE78C2">
              <w:rPr>
                <w:b/>
                <w:szCs w:val="22"/>
              </w:rPr>
              <w:t>Track HAI outbreak response and outcome</w:t>
            </w:r>
            <w:r w:rsidR="001509C9" w:rsidRPr="00AE78C2">
              <w:rPr>
                <w:b/>
                <w:szCs w:val="22"/>
              </w:rPr>
              <w:br/>
            </w:r>
            <w:r w:rsidR="001509C9" w:rsidRPr="00AE78C2">
              <w:rPr>
                <w:b/>
                <w:szCs w:val="22"/>
              </w:rPr>
              <w:br/>
            </w:r>
            <w:r w:rsidR="009F025C" w:rsidRPr="00AE78C2">
              <w:rPr>
                <w:color w:val="000000"/>
                <w:szCs w:val="22"/>
              </w:rPr>
              <w:t>Massachusetts Virtual Epidemiologic Network (MAVEN) is a web-based disease surveillance and case management system that enables MDPH and local health to capture and transfer appropriate public health, laboratory, and clinical data efficiently and securely over the Internet in real-time. The system interfaces with Electronic Laboratory Reporting (ELR) efforts, has automatic (24/7/365) notification of state and local officials of any event requiring their attention and geographic information system (GIS) activities.</w:t>
            </w:r>
          </w:p>
          <w:p w:rsidR="009F025C" w:rsidRPr="00AE78C2" w:rsidRDefault="009F025C" w:rsidP="005666CE">
            <w:pPr>
              <w:pStyle w:val="ListParagraph"/>
              <w:rPr>
                <w:color w:val="000000"/>
                <w:szCs w:val="22"/>
              </w:rPr>
            </w:pPr>
          </w:p>
          <w:p w:rsidR="009F025C" w:rsidRPr="00AE78C2" w:rsidRDefault="009F025C" w:rsidP="005666CE">
            <w:pPr>
              <w:ind w:left="1080"/>
              <w:rPr>
                <w:color w:val="000000"/>
                <w:sz w:val="22"/>
                <w:szCs w:val="22"/>
              </w:rPr>
            </w:pPr>
            <w:r w:rsidRPr="00AE78C2">
              <w:rPr>
                <w:color w:val="000000"/>
                <w:szCs w:val="22"/>
              </w:rPr>
              <w:lastRenderedPageBreak/>
              <w:t>The MDPH Bureau of Health Care Safety and Quality requires healthcare facil</w:t>
            </w:r>
            <w:r w:rsidR="005666CE" w:rsidRPr="00AE78C2">
              <w:rPr>
                <w:color w:val="000000"/>
                <w:szCs w:val="22"/>
              </w:rPr>
              <w:t>ities</w:t>
            </w:r>
            <w:r w:rsidRPr="00AE78C2">
              <w:rPr>
                <w:color w:val="000000"/>
                <w:szCs w:val="22"/>
              </w:rPr>
              <w:t xml:space="preserve"> to report inc</w:t>
            </w:r>
            <w:r w:rsidR="005666CE" w:rsidRPr="00AE78C2">
              <w:rPr>
                <w:color w:val="000000"/>
                <w:szCs w:val="22"/>
              </w:rPr>
              <w:t>id</w:t>
            </w:r>
            <w:r w:rsidRPr="00AE78C2">
              <w:rPr>
                <w:color w:val="000000"/>
                <w:szCs w:val="22"/>
              </w:rPr>
              <w:t>ents and serious reportable events to the web</w:t>
            </w:r>
            <w:r w:rsidR="005666CE" w:rsidRPr="00AE78C2">
              <w:rPr>
                <w:color w:val="000000"/>
                <w:szCs w:val="22"/>
              </w:rPr>
              <w:t>-</w:t>
            </w:r>
            <w:r w:rsidRPr="00AE78C2">
              <w:rPr>
                <w:color w:val="000000"/>
                <w:szCs w:val="22"/>
              </w:rPr>
              <w:t xml:space="preserve">based IT system, Health Care Facility Reporting System (HCFRS).  </w:t>
            </w:r>
          </w:p>
          <w:p w:rsidR="009F025C" w:rsidRPr="00AE78C2" w:rsidRDefault="009F025C" w:rsidP="005666CE">
            <w:pPr>
              <w:pStyle w:val="ListParagraph"/>
              <w:rPr>
                <w:color w:val="000000"/>
                <w:szCs w:val="22"/>
              </w:rPr>
            </w:pPr>
          </w:p>
          <w:p w:rsidR="00F7428E" w:rsidRPr="00AE78C2" w:rsidRDefault="009F025C" w:rsidP="005666CE">
            <w:pPr>
              <w:ind w:left="1080"/>
              <w:rPr>
                <w:sz w:val="22"/>
                <w:szCs w:val="22"/>
              </w:rPr>
            </w:pPr>
            <w:r w:rsidRPr="00AE78C2">
              <w:rPr>
                <w:color w:val="000000"/>
                <w:szCs w:val="22"/>
              </w:rPr>
              <w:t>MAVEN and HCFRS are routinely monitored to identify HAI</w:t>
            </w:r>
            <w:r w:rsidR="005666CE" w:rsidRPr="00AE78C2">
              <w:rPr>
                <w:color w:val="000000"/>
                <w:szCs w:val="22"/>
              </w:rPr>
              <w:t>-</w:t>
            </w:r>
            <w:r w:rsidRPr="00AE78C2">
              <w:rPr>
                <w:color w:val="000000"/>
                <w:szCs w:val="22"/>
              </w:rPr>
              <w:t xml:space="preserve"> related clusters or outbreaks.  A system for MDPH cross bureau communication is well established.</w:t>
            </w:r>
            <w:r w:rsidRPr="00AE78C2">
              <w:rPr>
                <w:b/>
                <w:color w:val="365F91"/>
                <w:szCs w:val="22"/>
              </w:rPr>
              <w:t xml:space="preserve"> </w:t>
            </w:r>
            <w:r w:rsidR="001509C9" w:rsidRPr="00AE78C2">
              <w:rPr>
                <w:b/>
                <w:color w:val="365F91"/>
                <w:szCs w:val="22"/>
              </w:rPr>
              <w:br/>
            </w:r>
          </w:p>
        </w:tc>
        <w:tc>
          <w:tcPr>
            <w:tcW w:w="1980" w:type="dxa"/>
            <w:tcBorders>
              <w:top w:val="single" w:sz="4" w:space="0" w:color="auto"/>
            </w:tcBorders>
            <w:shd w:val="clear" w:color="auto" w:fill="auto"/>
          </w:tcPr>
          <w:p w:rsidR="003712E1" w:rsidRPr="00AE78C2" w:rsidRDefault="003712E1" w:rsidP="002512EE">
            <w:pPr>
              <w:rPr>
                <w:sz w:val="22"/>
                <w:szCs w:val="22"/>
              </w:rPr>
            </w:pPr>
          </w:p>
          <w:p w:rsidR="003712E1" w:rsidRPr="00AE78C2" w:rsidRDefault="003712E1" w:rsidP="002512EE">
            <w:pPr>
              <w:rPr>
                <w:sz w:val="22"/>
                <w:szCs w:val="22"/>
              </w:rPr>
            </w:pPr>
          </w:p>
          <w:p w:rsidR="003712E1" w:rsidRPr="00AE78C2" w:rsidRDefault="003712E1" w:rsidP="002512EE">
            <w:pPr>
              <w:rPr>
                <w:sz w:val="22"/>
                <w:szCs w:val="22"/>
              </w:rPr>
            </w:pPr>
          </w:p>
          <w:p w:rsidR="003712E1" w:rsidRPr="00AE78C2" w:rsidRDefault="003712E1" w:rsidP="002512EE">
            <w:pPr>
              <w:rPr>
                <w:sz w:val="22"/>
                <w:szCs w:val="22"/>
              </w:rPr>
            </w:pPr>
          </w:p>
          <w:p w:rsidR="003712E1" w:rsidRPr="00AE78C2" w:rsidRDefault="003712E1" w:rsidP="002512EE">
            <w:pPr>
              <w:rPr>
                <w:sz w:val="22"/>
                <w:szCs w:val="22"/>
              </w:rPr>
            </w:pPr>
          </w:p>
          <w:p w:rsidR="003712E1" w:rsidRPr="00AE78C2" w:rsidRDefault="003712E1" w:rsidP="002512EE">
            <w:pPr>
              <w:rPr>
                <w:sz w:val="22"/>
                <w:szCs w:val="22"/>
              </w:rPr>
            </w:pPr>
          </w:p>
          <w:p w:rsidR="00F7428E" w:rsidRPr="00AE78C2" w:rsidRDefault="00EA0907" w:rsidP="003712E1">
            <w:pPr>
              <w:rPr>
                <w:color w:val="000000"/>
              </w:rPr>
            </w:pPr>
            <w:r w:rsidRPr="00AE78C2">
              <w:rPr>
                <w:color w:val="000000"/>
              </w:rPr>
              <w:lastRenderedPageBreak/>
              <w:t>Jan</w:t>
            </w:r>
            <w:r w:rsidR="003712E1" w:rsidRPr="00AE78C2">
              <w:rPr>
                <w:color w:val="000000"/>
              </w:rPr>
              <w:t>-May 2016</w:t>
            </w:r>
          </w:p>
          <w:p w:rsidR="00C54BF9" w:rsidRPr="00AE78C2" w:rsidRDefault="00C54BF9" w:rsidP="003712E1">
            <w:pPr>
              <w:rPr>
                <w:sz w:val="22"/>
                <w:szCs w:val="22"/>
              </w:rPr>
            </w:pPr>
          </w:p>
          <w:p w:rsidR="00C54BF9" w:rsidRPr="00AE78C2" w:rsidRDefault="00C54BF9" w:rsidP="003712E1">
            <w:pPr>
              <w:rPr>
                <w:sz w:val="22"/>
                <w:szCs w:val="22"/>
              </w:rPr>
            </w:pPr>
          </w:p>
          <w:p w:rsidR="00C54BF9" w:rsidRPr="00AE78C2" w:rsidRDefault="00C54BF9" w:rsidP="003712E1">
            <w:pPr>
              <w:rPr>
                <w:sz w:val="22"/>
                <w:szCs w:val="22"/>
              </w:rPr>
            </w:pPr>
          </w:p>
          <w:p w:rsidR="00C54BF9" w:rsidRPr="00AE78C2" w:rsidRDefault="00C54BF9" w:rsidP="003712E1">
            <w:pPr>
              <w:rPr>
                <w:sz w:val="22"/>
                <w:szCs w:val="22"/>
              </w:rPr>
            </w:pPr>
          </w:p>
          <w:p w:rsidR="00C54BF9" w:rsidRPr="00AE78C2" w:rsidRDefault="00C54BF9" w:rsidP="003712E1">
            <w:pPr>
              <w:rPr>
                <w:sz w:val="22"/>
                <w:szCs w:val="22"/>
              </w:rPr>
            </w:pPr>
          </w:p>
          <w:p w:rsidR="00C54BF9" w:rsidRPr="00AE78C2" w:rsidRDefault="00C54BF9" w:rsidP="003712E1">
            <w:pPr>
              <w:rPr>
                <w:sz w:val="22"/>
                <w:szCs w:val="22"/>
              </w:rPr>
            </w:pPr>
          </w:p>
          <w:p w:rsidR="00C54BF9" w:rsidRPr="00AE78C2" w:rsidRDefault="00C54BF9" w:rsidP="003712E1">
            <w:pPr>
              <w:rPr>
                <w:sz w:val="22"/>
                <w:szCs w:val="22"/>
              </w:rPr>
            </w:pPr>
          </w:p>
          <w:p w:rsidR="00C54BF9" w:rsidRPr="00AE78C2" w:rsidRDefault="00C54BF9" w:rsidP="003712E1">
            <w:pPr>
              <w:rPr>
                <w:sz w:val="22"/>
                <w:szCs w:val="22"/>
              </w:rPr>
            </w:pPr>
          </w:p>
          <w:p w:rsidR="00C54BF9" w:rsidRPr="00AE78C2" w:rsidRDefault="00C54BF9" w:rsidP="003712E1">
            <w:pPr>
              <w:rPr>
                <w:sz w:val="22"/>
                <w:szCs w:val="22"/>
              </w:rPr>
            </w:pPr>
          </w:p>
          <w:p w:rsidR="00C54BF9" w:rsidRPr="00AE78C2" w:rsidRDefault="00C54BF9" w:rsidP="003712E1">
            <w:pPr>
              <w:rPr>
                <w:sz w:val="22"/>
                <w:szCs w:val="22"/>
              </w:rPr>
            </w:pPr>
          </w:p>
          <w:p w:rsidR="00D500EC" w:rsidRPr="00AE78C2" w:rsidRDefault="00D500EC" w:rsidP="003712E1">
            <w:pPr>
              <w:rPr>
                <w:color w:val="365F91"/>
              </w:rPr>
            </w:pPr>
          </w:p>
          <w:p w:rsidR="00C54BF9" w:rsidRPr="00AE78C2" w:rsidRDefault="00C54BF9" w:rsidP="003712E1">
            <w:pPr>
              <w:rPr>
                <w:color w:val="000000"/>
              </w:rPr>
            </w:pPr>
            <w:r w:rsidRPr="00AE78C2">
              <w:rPr>
                <w:color w:val="000000"/>
              </w:rPr>
              <w:t>May 2016-June 2016</w:t>
            </w:r>
          </w:p>
          <w:p w:rsidR="005119BB" w:rsidRPr="00AE78C2" w:rsidRDefault="005119BB" w:rsidP="003712E1">
            <w:pPr>
              <w:rPr>
                <w:color w:val="365F91"/>
              </w:rPr>
            </w:pPr>
          </w:p>
          <w:p w:rsidR="005119BB" w:rsidRPr="00AE78C2" w:rsidRDefault="005119BB" w:rsidP="003712E1">
            <w:pPr>
              <w:rPr>
                <w:color w:val="365F91"/>
              </w:rPr>
            </w:pPr>
          </w:p>
          <w:p w:rsidR="005119BB" w:rsidRPr="00AE78C2" w:rsidRDefault="005119BB" w:rsidP="003712E1">
            <w:pPr>
              <w:rPr>
                <w:color w:val="365F91"/>
              </w:rPr>
            </w:pPr>
          </w:p>
          <w:p w:rsidR="005119BB" w:rsidRPr="00AE78C2" w:rsidRDefault="005119BB" w:rsidP="003712E1">
            <w:pPr>
              <w:rPr>
                <w:color w:val="365F91"/>
              </w:rPr>
            </w:pPr>
          </w:p>
          <w:p w:rsidR="005119BB" w:rsidRPr="00AE78C2" w:rsidRDefault="005119BB" w:rsidP="003712E1">
            <w:pPr>
              <w:rPr>
                <w:color w:val="365F91"/>
              </w:rPr>
            </w:pPr>
          </w:p>
          <w:p w:rsidR="005119BB" w:rsidRPr="00AE78C2" w:rsidRDefault="005119BB" w:rsidP="003712E1">
            <w:pPr>
              <w:rPr>
                <w:color w:val="365F91"/>
              </w:rPr>
            </w:pPr>
          </w:p>
          <w:p w:rsidR="005119BB" w:rsidRPr="00AE78C2" w:rsidRDefault="005119BB" w:rsidP="003712E1">
            <w:pPr>
              <w:rPr>
                <w:color w:val="365F91"/>
              </w:rPr>
            </w:pPr>
          </w:p>
          <w:p w:rsidR="005119BB" w:rsidRPr="00AE78C2" w:rsidRDefault="005119BB" w:rsidP="003712E1">
            <w:pPr>
              <w:rPr>
                <w:color w:val="365F91"/>
              </w:rPr>
            </w:pPr>
          </w:p>
          <w:p w:rsidR="005119BB" w:rsidRPr="00AE78C2" w:rsidRDefault="005119BB" w:rsidP="003712E1">
            <w:pPr>
              <w:rPr>
                <w:color w:val="365F91"/>
              </w:rPr>
            </w:pPr>
          </w:p>
          <w:p w:rsidR="00F37388" w:rsidRPr="00AE78C2" w:rsidRDefault="00F37388" w:rsidP="003712E1">
            <w:pPr>
              <w:rPr>
                <w:color w:val="365F91"/>
              </w:rPr>
            </w:pPr>
          </w:p>
          <w:p w:rsidR="005119BB" w:rsidRPr="00AE78C2" w:rsidRDefault="00BD2B13" w:rsidP="00F37388">
            <w:pPr>
              <w:rPr>
                <w:color w:val="000000"/>
              </w:rPr>
            </w:pPr>
            <w:r w:rsidRPr="00AE78C2">
              <w:rPr>
                <w:color w:val="000000"/>
              </w:rPr>
              <w:t xml:space="preserve">2006 and ongoing </w:t>
            </w:r>
          </w:p>
        </w:tc>
      </w:tr>
      <w:tr w:rsidR="008A25EC" w:rsidRPr="00AE78C2" w:rsidTr="009B7F2E">
        <w:tc>
          <w:tcPr>
            <w:tcW w:w="2700" w:type="dxa"/>
            <w:gridSpan w:val="2"/>
            <w:tcBorders>
              <w:top w:val="single" w:sz="4" w:space="0" w:color="auto"/>
            </w:tcBorders>
            <w:shd w:val="clear" w:color="auto" w:fill="auto"/>
          </w:tcPr>
          <w:p w:rsidR="008A25EC" w:rsidRPr="00AE78C2" w:rsidRDefault="008A25EC" w:rsidP="002512EE">
            <w:pPr>
              <w:jc w:val="center"/>
              <w:rPr>
                <w:sz w:val="22"/>
                <w:szCs w:val="22"/>
              </w:rPr>
            </w:pPr>
          </w:p>
        </w:tc>
        <w:tc>
          <w:tcPr>
            <w:tcW w:w="6660" w:type="dxa"/>
            <w:tcBorders>
              <w:top w:val="single" w:sz="4" w:space="0" w:color="auto"/>
            </w:tcBorders>
            <w:shd w:val="clear" w:color="auto" w:fill="auto"/>
          </w:tcPr>
          <w:p w:rsidR="008A25EC" w:rsidRPr="00AE78C2" w:rsidRDefault="008A25EC" w:rsidP="00915C31">
            <w:pPr>
              <w:autoSpaceDE w:val="0"/>
              <w:autoSpaceDN w:val="0"/>
              <w:adjustRightInd w:val="0"/>
              <w:rPr>
                <w:i/>
                <w:sz w:val="22"/>
                <w:szCs w:val="22"/>
              </w:rPr>
            </w:pPr>
            <w:r w:rsidRPr="00AE78C2">
              <w:rPr>
                <w:i/>
                <w:sz w:val="22"/>
                <w:szCs w:val="22"/>
              </w:rPr>
              <w:t>Other activities or descriptions:</w:t>
            </w:r>
          </w:p>
          <w:p w:rsidR="008A25EC" w:rsidRPr="00AE78C2" w:rsidRDefault="008A25EC" w:rsidP="00915C31">
            <w:pPr>
              <w:autoSpaceDE w:val="0"/>
              <w:autoSpaceDN w:val="0"/>
              <w:adjustRightInd w:val="0"/>
              <w:rPr>
                <w:sz w:val="22"/>
                <w:szCs w:val="22"/>
              </w:rPr>
            </w:pPr>
          </w:p>
        </w:tc>
        <w:tc>
          <w:tcPr>
            <w:tcW w:w="1980" w:type="dxa"/>
            <w:tcBorders>
              <w:top w:val="single" w:sz="4" w:space="0" w:color="auto"/>
            </w:tcBorders>
            <w:shd w:val="clear" w:color="auto" w:fill="auto"/>
          </w:tcPr>
          <w:p w:rsidR="008A25EC" w:rsidRPr="00AE78C2" w:rsidRDefault="008A25EC" w:rsidP="002512EE">
            <w:pPr>
              <w:rPr>
                <w:sz w:val="22"/>
                <w:szCs w:val="22"/>
              </w:rPr>
            </w:pPr>
          </w:p>
        </w:tc>
      </w:tr>
    </w:tbl>
    <w:p w:rsidR="001509C9" w:rsidRPr="00AE78C2" w:rsidRDefault="001509C9" w:rsidP="00A87879">
      <w:pPr>
        <w:ind w:left="360"/>
        <w:rPr>
          <w:b/>
          <w:sz w:val="22"/>
          <w:szCs w:val="22"/>
          <w:highlight w:val="yellow"/>
        </w:rPr>
        <w:sectPr w:rsidR="001509C9" w:rsidRPr="00AE78C2" w:rsidSect="00042757">
          <w:footerReference w:type="default" r:id="rId23"/>
          <w:type w:val="continuous"/>
          <w:pgSz w:w="15840" w:h="12240" w:orient="landscape"/>
          <w:pgMar w:top="1440" w:right="1440" w:bottom="1440" w:left="1440" w:header="720" w:footer="720" w:gutter="0"/>
          <w:cols w:space="720"/>
          <w:noEndnote/>
        </w:sectPr>
      </w:pPr>
    </w:p>
    <w:p w:rsidR="00EA0907" w:rsidRPr="00AE78C2" w:rsidRDefault="00EA0907" w:rsidP="00A87879">
      <w:pPr>
        <w:ind w:left="360"/>
        <w:rPr>
          <w:b/>
          <w:sz w:val="22"/>
          <w:szCs w:val="22"/>
          <w:highlight w:val="yellow"/>
        </w:rPr>
      </w:pPr>
    </w:p>
    <w:p w:rsidR="00EA0907" w:rsidRPr="00AE78C2" w:rsidRDefault="00EA0907" w:rsidP="00A87879">
      <w:pPr>
        <w:ind w:left="360"/>
        <w:rPr>
          <w:b/>
          <w:sz w:val="22"/>
          <w:szCs w:val="22"/>
          <w:highlight w:val="yellow"/>
        </w:rPr>
      </w:pPr>
    </w:p>
    <w:p w:rsidR="00EA0907" w:rsidRPr="00AE78C2" w:rsidRDefault="00EA0907" w:rsidP="00A87879">
      <w:pPr>
        <w:ind w:left="360"/>
        <w:rPr>
          <w:b/>
          <w:sz w:val="22"/>
          <w:szCs w:val="22"/>
          <w:highlight w:val="yellow"/>
        </w:rPr>
      </w:pPr>
    </w:p>
    <w:p w:rsidR="00EA0907" w:rsidRPr="00AE78C2" w:rsidRDefault="00EA0907" w:rsidP="00A87879">
      <w:pPr>
        <w:ind w:left="360"/>
        <w:rPr>
          <w:b/>
          <w:sz w:val="22"/>
          <w:szCs w:val="22"/>
          <w:highlight w:val="yellow"/>
        </w:rPr>
      </w:pPr>
    </w:p>
    <w:p w:rsidR="00EA0907" w:rsidRPr="00AE78C2" w:rsidRDefault="00EA0907" w:rsidP="00A87879">
      <w:pPr>
        <w:ind w:left="360"/>
        <w:rPr>
          <w:b/>
          <w:sz w:val="22"/>
          <w:szCs w:val="22"/>
          <w:highlight w:val="yellow"/>
        </w:rPr>
      </w:pPr>
    </w:p>
    <w:p w:rsidR="00EA0907" w:rsidRPr="00AE78C2" w:rsidRDefault="00EA0907" w:rsidP="00A87879">
      <w:pPr>
        <w:ind w:left="360"/>
        <w:rPr>
          <w:b/>
          <w:sz w:val="22"/>
          <w:szCs w:val="22"/>
          <w:highlight w:val="yellow"/>
        </w:rPr>
      </w:pPr>
    </w:p>
    <w:p w:rsidR="00467CB1" w:rsidRPr="00AE78C2" w:rsidRDefault="00467CB1" w:rsidP="00A87879">
      <w:pPr>
        <w:ind w:left="360"/>
        <w:rPr>
          <w:b/>
          <w:sz w:val="22"/>
          <w:szCs w:val="22"/>
          <w:highlight w:val="yellow"/>
        </w:rPr>
      </w:pPr>
    </w:p>
    <w:p w:rsidR="00467CB1" w:rsidRPr="00AE78C2" w:rsidRDefault="00467CB1" w:rsidP="00A87879">
      <w:pPr>
        <w:ind w:left="360"/>
        <w:rPr>
          <w:b/>
          <w:sz w:val="22"/>
          <w:szCs w:val="22"/>
          <w:highlight w:val="yellow"/>
        </w:rPr>
      </w:pPr>
    </w:p>
    <w:p w:rsidR="00467CB1" w:rsidRPr="00AE78C2" w:rsidRDefault="00467CB1" w:rsidP="00A87879">
      <w:pPr>
        <w:ind w:left="360"/>
        <w:rPr>
          <w:b/>
          <w:sz w:val="22"/>
          <w:szCs w:val="22"/>
          <w:highlight w:val="yellow"/>
        </w:rPr>
      </w:pPr>
    </w:p>
    <w:p w:rsidR="00467CB1" w:rsidRPr="00AE78C2" w:rsidRDefault="00467CB1" w:rsidP="00A87879">
      <w:pPr>
        <w:ind w:left="360"/>
        <w:rPr>
          <w:b/>
          <w:sz w:val="22"/>
          <w:szCs w:val="22"/>
          <w:highlight w:val="yellow"/>
        </w:rPr>
      </w:pPr>
    </w:p>
    <w:p w:rsidR="00467CB1" w:rsidRPr="00AE78C2" w:rsidRDefault="00467CB1" w:rsidP="00A87879">
      <w:pPr>
        <w:ind w:left="360"/>
        <w:rPr>
          <w:b/>
          <w:sz w:val="22"/>
          <w:szCs w:val="22"/>
          <w:highlight w:val="yellow"/>
        </w:rPr>
      </w:pPr>
    </w:p>
    <w:p w:rsidR="00467CB1" w:rsidRPr="00AE78C2" w:rsidRDefault="00467CB1" w:rsidP="00A87879">
      <w:pPr>
        <w:ind w:left="360"/>
        <w:rPr>
          <w:b/>
          <w:sz w:val="22"/>
          <w:szCs w:val="22"/>
          <w:highlight w:val="yellow"/>
        </w:rPr>
      </w:pPr>
    </w:p>
    <w:p w:rsidR="00467CB1" w:rsidRPr="00AE78C2" w:rsidRDefault="00467CB1" w:rsidP="00A87879">
      <w:pPr>
        <w:ind w:left="360"/>
        <w:rPr>
          <w:b/>
          <w:sz w:val="22"/>
          <w:szCs w:val="22"/>
          <w:highlight w:val="yellow"/>
        </w:rPr>
      </w:pPr>
    </w:p>
    <w:p w:rsidR="00467CB1" w:rsidRPr="00AE78C2" w:rsidRDefault="00467CB1" w:rsidP="00A87879">
      <w:pPr>
        <w:ind w:left="360"/>
        <w:rPr>
          <w:b/>
          <w:sz w:val="22"/>
          <w:szCs w:val="22"/>
          <w:highlight w:val="yellow"/>
        </w:rPr>
      </w:pPr>
    </w:p>
    <w:p w:rsidR="00467CB1" w:rsidRPr="00AE78C2" w:rsidRDefault="00467CB1" w:rsidP="00A87879">
      <w:pPr>
        <w:ind w:left="360"/>
        <w:rPr>
          <w:b/>
          <w:sz w:val="22"/>
          <w:szCs w:val="22"/>
          <w:highlight w:val="yellow"/>
        </w:rPr>
      </w:pPr>
    </w:p>
    <w:p w:rsidR="00A87879" w:rsidRPr="00AE78C2" w:rsidRDefault="00A87879" w:rsidP="00A87879">
      <w:pPr>
        <w:ind w:left="360"/>
        <w:rPr>
          <w:b/>
          <w:sz w:val="22"/>
          <w:szCs w:val="22"/>
        </w:rPr>
      </w:pPr>
      <w:r w:rsidRPr="00AE78C2">
        <w:rPr>
          <w:b/>
          <w:sz w:val="22"/>
          <w:szCs w:val="22"/>
        </w:rPr>
        <w:t>Table 6:</w:t>
      </w:r>
      <w:r w:rsidRPr="00AE78C2">
        <w:rPr>
          <w:sz w:val="22"/>
          <w:szCs w:val="22"/>
        </w:rPr>
        <w:t xml:space="preserve">  </w:t>
      </w:r>
      <w:r w:rsidRPr="00AE78C2">
        <w:rPr>
          <w:b/>
          <w:sz w:val="22"/>
          <w:szCs w:val="22"/>
        </w:rPr>
        <w:t>Targeted Healthcare Infection Prevention Programs</w:t>
      </w:r>
    </w:p>
    <w:p w:rsidR="00A87879" w:rsidRPr="00AE78C2" w:rsidRDefault="00A87879" w:rsidP="00A87879">
      <w:pPr>
        <w:ind w:left="360"/>
        <w:rPr>
          <w:b/>
          <w:sz w:val="22"/>
          <w:szCs w:val="22"/>
        </w:rPr>
      </w:pP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6660"/>
        <w:gridCol w:w="1980"/>
      </w:tblGrid>
      <w:tr w:rsidR="00F7428E" w:rsidRPr="00AE78C2" w:rsidTr="002C5619">
        <w:tc>
          <w:tcPr>
            <w:tcW w:w="1440" w:type="dxa"/>
            <w:tcBorders>
              <w:bottom w:val="single" w:sz="4" w:space="0" w:color="auto"/>
            </w:tcBorders>
            <w:shd w:val="clear" w:color="auto" w:fill="auto"/>
          </w:tcPr>
          <w:p w:rsidR="00F7428E" w:rsidRPr="00AE78C2" w:rsidRDefault="00F7428E" w:rsidP="002539EF">
            <w:pPr>
              <w:jc w:val="center"/>
              <w:rPr>
                <w:b/>
                <w:sz w:val="22"/>
                <w:szCs w:val="22"/>
              </w:rPr>
            </w:pPr>
            <w:r w:rsidRPr="00AE78C2">
              <w:rPr>
                <w:b/>
                <w:sz w:val="22"/>
                <w:szCs w:val="22"/>
              </w:rPr>
              <w:t>Check Items Underway</w:t>
            </w:r>
          </w:p>
        </w:tc>
        <w:tc>
          <w:tcPr>
            <w:tcW w:w="1260" w:type="dxa"/>
            <w:tcBorders>
              <w:bottom w:val="single" w:sz="4" w:space="0" w:color="auto"/>
            </w:tcBorders>
            <w:shd w:val="clear" w:color="auto" w:fill="auto"/>
          </w:tcPr>
          <w:p w:rsidR="00F7428E" w:rsidRPr="00AE78C2" w:rsidRDefault="00F7428E" w:rsidP="002539EF">
            <w:pPr>
              <w:jc w:val="center"/>
              <w:rPr>
                <w:b/>
                <w:sz w:val="22"/>
                <w:szCs w:val="22"/>
              </w:rPr>
            </w:pPr>
            <w:r w:rsidRPr="00AE78C2">
              <w:rPr>
                <w:b/>
                <w:sz w:val="22"/>
                <w:szCs w:val="22"/>
              </w:rPr>
              <w:t>Check</w:t>
            </w:r>
          </w:p>
          <w:p w:rsidR="00F7428E" w:rsidRPr="00AE78C2" w:rsidRDefault="00F7428E" w:rsidP="002539EF">
            <w:pPr>
              <w:autoSpaceDE w:val="0"/>
              <w:autoSpaceDN w:val="0"/>
              <w:adjustRightInd w:val="0"/>
              <w:ind w:left="94"/>
              <w:jc w:val="center"/>
              <w:rPr>
                <w:b/>
                <w:sz w:val="22"/>
                <w:szCs w:val="22"/>
              </w:rPr>
            </w:pPr>
            <w:r w:rsidRPr="00AE78C2">
              <w:rPr>
                <w:b/>
                <w:sz w:val="22"/>
                <w:szCs w:val="22"/>
              </w:rPr>
              <w:t>Items Planned</w:t>
            </w:r>
          </w:p>
        </w:tc>
        <w:tc>
          <w:tcPr>
            <w:tcW w:w="6660" w:type="dxa"/>
            <w:tcBorders>
              <w:bottom w:val="single" w:sz="4" w:space="0" w:color="auto"/>
            </w:tcBorders>
            <w:shd w:val="clear" w:color="auto" w:fill="auto"/>
          </w:tcPr>
          <w:p w:rsidR="00F7428E" w:rsidRPr="00AE78C2" w:rsidRDefault="00F7428E" w:rsidP="002539EF">
            <w:pPr>
              <w:autoSpaceDE w:val="0"/>
              <w:autoSpaceDN w:val="0"/>
              <w:adjustRightInd w:val="0"/>
              <w:ind w:left="94"/>
              <w:rPr>
                <w:b/>
                <w:sz w:val="22"/>
                <w:szCs w:val="22"/>
              </w:rPr>
            </w:pPr>
            <w:r w:rsidRPr="00AE78C2">
              <w:rPr>
                <w:b/>
                <w:sz w:val="22"/>
                <w:szCs w:val="22"/>
              </w:rPr>
              <w:t>Items Planned for Implementation (or currently underway)</w:t>
            </w:r>
          </w:p>
          <w:p w:rsidR="00F7428E" w:rsidRPr="00AE78C2" w:rsidRDefault="00F7428E" w:rsidP="002539EF">
            <w:pPr>
              <w:autoSpaceDE w:val="0"/>
              <w:autoSpaceDN w:val="0"/>
              <w:adjustRightInd w:val="0"/>
              <w:ind w:left="94"/>
              <w:rPr>
                <w:b/>
                <w:sz w:val="22"/>
                <w:szCs w:val="22"/>
              </w:rPr>
            </w:pPr>
          </w:p>
        </w:tc>
        <w:tc>
          <w:tcPr>
            <w:tcW w:w="1980" w:type="dxa"/>
            <w:tcBorders>
              <w:bottom w:val="single" w:sz="4" w:space="0" w:color="auto"/>
            </w:tcBorders>
            <w:shd w:val="clear" w:color="auto" w:fill="auto"/>
          </w:tcPr>
          <w:p w:rsidR="00F7428E" w:rsidRPr="00AE78C2" w:rsidRDefault="00F7428E" w:rsidP="002539EF">
            <w:pPr>
              <w:autoSpaceDE w:val="0"/>
              <w:autoSpaceDN w:val="0"/>
              <w:adjustRightInd w:val="0"/>
              <w:rPr>
                <w:b/>
                <w:sz w:val="22"/>
                <w:szCs w:val="22"/>
              </w:rPr>
            </w:pPr>
            <w:r w:rsidRPr="00AE78C2">
              <w:rPr>
                <w:b/>
                <w:sz w:val="22"/>
                <w:szCs w:val="22"/>
              </w:rPr>
              <w:t>Target Dates for Implementation</w:t>
            </w:r>
          </w:p>
        </w:tc>
      </w:tr>
      <w:tr w:rsidR="00F7428E" w:rsidRPr="00AE78C2" w:rsidTr="002C5619">
        <w:tc>
          <w:tcPr>
            <w:tcW w:w="1440" w:type="dxa"/>
            <w:tcBorders>
              <w:top w:val="single" w:sz="4" w:space="0" w:color="auto"/>
              <w:left w:val="single" w:sz="4" w:space="0" w:color="auto"/>
              <w:bottom w:val="single" w:sz="4" w:space="0" w:color="auto"/>
              <w:right w:val="single" w:sz="4" w:space="0" w:color="auto"/>
            </w:tcBorders>
            <w:shd w:val="clear" w:color="auto" w:fill="auto"/>
          </w:tcPr>
          <w:p w:rsidR="000F357C" w:rsidRPr="00AE78C2" w:rsidRDefault="000F357C" w:rsidP="002539EF">
            <w:pPr>
              <w:jc w:val="center"/>
              <w:rPr>
                <w:sz w:val="22"/>
                <w:szCs w:val="22"/>
              </w:rPr>
            </w:pPr>
          </w:p>
          <w:p w:rsidR="000F357C" w:rsidRPr="00AE78C2" w:rsidRDefault="008F4690" w:rsidP="008F4690">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2C5619" w:rsidRPr="00AE78C2" w:rsidRDefault="000F357C" w:rsidP="000F357C">
            <w:pPr>
              <w:rPr>
                <w:sz w:val="22"/>
                <w:szCs w:val="22"/>
              </w:rPr>
            </w:pPr>
            <w:r w:rsidRPr="00AE78C2">
              <w:rPr>
                <w:sz w:val="22"/>
                <w:szCs w:val="22"/>
              </w:rPr>
              <w:t xml:space="preserve">         </w:t>
            </w: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2C5619" w:rsidRPr="00AE78C2" w:rsidRDefault="002C5619" w:rsidP="000F357C">
            <w:pPr>
              <w:rPr>
                <w:sz w:val="22"/>
                <w:szCs w:val="22"/>
              </w:rPr>
            </w:pPr>
          </w:p>
          <w:p w:rsidR="008F4690" w:rsidRPr="00AE78C2" w:rsidRDefault="008F4690" w:rsidP="000F357C">
            <w:pPr>
              <w:rPr>
                <w:sz w:val="22"/>
                <w:szCs w:val="22"/>
              </w:rPr>
            </w:pPr>
          </w:p>
          <w:p w:rsidR="008F4690" w:rsidRPr="00AE78C2" w:rsidRDefault="008F4690" w:rsidP="000F357C">
            <w:pPr>
              <w:rPr>
                <w:sz w:val="22"/>
                <w:szCs w:val="22"/>
              </w:rPr>
            </w:pPr>
          </w:p>
          <w:p w:rsidR="002C5619" w:rsidRPr="00AE78C2" w:rsidRDefault="002C5619" w:rsidP="002C5619">
            <w:pPr>
              <w:jc w:val="center"/>
              <w:rPr>
                <w:sz w:val="22"/>
                <w:szCs w:val="22"/>
              </w:rPr>
            </w:pPr>
          </w:p>
          <w:p w:rsidR="00F7428E" w:rsidRPr="00AE78C2" w:rsidRDefault="008F4690" w:rsidP="002C5619">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2C5619" w:rsidRPr="00AE78C2" w:rsidRDefault="002C5619" w:rsidP="00A87879">
            <w:pPr>
              <w:jc w:val="center"/>
              <w:rPr>
                <w:sz w:val="22"/>
                <w:szCs w:val="22"/>
              </w:rPr>
            </w:pPr>
          </w:p>
          <w:p w:rsidR="002C5619" w:rsidRPr="00AE78C2" w:rsidRDefault="002C5619" w:rsidP="00A87879">
            <w:pPr>
              <w:jc w:val="center"/>
              <w:rPr>
                <w:sz w:val="22"/>
                <w:szCs w:val="22"/>
              </w:rPr>
            </w:pPr>
          </w:p>
          <w:p w:rsidR="002C5619" w:rsidRPr="00AE78C2" w:rsidRDefault="002C5619" w:rsidP="00A87879">
            <w:pPr>
              <w:jc w:val="center"/>
              <w:rPr>
                <w:sz w:val="22"/>
                <w:szCs w:val="22"/>
              </w:rPr>
            </w:pPr>
          </w:p>
          <w:p w:rsidR="002C5619" w:rsidRPr="00AE78C2" w:rsidRDefault="002C5619" w:rsidP="00A87879">
            <w:pPr>
              <w:jc w:val="center"/>
              <w:rPr>
                <w:sz w:val="22"/>
                <w:szCs w:val="22"/>
              </w:rPr>
            </w:pPr>
          </w:p>
          <w:p w:rsidR="002C5619" w:rsidRPr="00AE78C2" w:rsidRDefault="002C5619" w:rsidP="00A87879">
            <w:pPr>
              <w:jc w:val="center"/>
              <w:rPr>
                <w:sz w:val="22"/>
                <w:szCs w:val="22"/>
              </w:rPr>
            </w:pPr>
          </w:p>
          <w:p w:rsidR="002C5619" w:rsidRPr="00AE78C2" w:rsidRDefault="002C5619" w:rsidP="00A87879">
            <w:pPr>
              <w:jc w:val="center"/>
              <w:rPr>
                <w:sz w:val="22"/>
                <w:szCs w:val="22"/>
              </w:rPr>
            </w:pPr>
          </w:p>
          <w:p w:rsidR="00F7428E" w:rsidRPr="00AE78C2" w:rsidRDefault="008F4690" w:rsidP="00A87879">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r w:rsidR="00F7428E" w:rsidRPr="00AE78C2">
              <w:rPr>
                <w:sz w:val="22"/>
                <w:szCs w:val="22"/>
              </w:rPr>
              <w:t xml:space="preserve">  </w:t>
            </w:r>
          </w:p>
          <w:p w:rsidR="00F7428E" w:rsidRPr="00AE78C2" w:rsidRDefault="00F7428E" w:rsidP="00A87879">
            <w:pPr>
              <w:jc w:val="center"/>
              <w:rPr>
                <w:sz w:val="22"/>
                <w:szCs w:val="22"/>
              </w:rPr>
            </w:pPr>
          </w:p>
          <w:p w:rsidR="00F7428E" w:rsidRPr="00AE78C2" w:rsidRDefault="00F7428E" w:rsidP="002539EF">
            <w:pP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F4690" w:rsidRPr="00AE78C2" w:rsidRDefault="00F7428E" w:rsidP="002539EF">
            <w:pPr>
              <w:autoSpaceDE w:val="0"/>
              <w:autoSpaceDN w:val="0"/>
              <w:adjustRightInd w:val="0"/>
              <w:rPr>
                <w:sz w:val="22"/>
                <w:szCs w:val="22"/>
              </w:rPr>
            </w:pPr>
            <w:r w:rsidRPr="00AE78C2">
              <w:rPr>
                <w:sz w:val="22"/>
                <w:szCs w:val="22"/>
              </w:rPr>
              <w:lastRenderedPageBreak/>
              <w:t xml:space="preserve">       </w:t>
            </w:r>
          </w:p>
          <w:p w:rsidR="000F357C" w:rsidRPr="00AE78C2" w:rsidRDefault="008F4690" w:rsidP="008F4690">
            <w:pPr>
              <w:autoSpaceDE w:val="0"/>
              <w:autoSpaceDN w:val="0"/>
              <w:adjustRightInd w:val="0"/>
              <w:jc w:val="center"/>
              <w:rPr>
                <w:sz w:val="22"/>
                <w:szCs w:val="22"/>
              </w:rPr>
            </w:pPr>
            <w:r w:rsidRPr="00AE78C2">
              <w:rPr>
                <w:sz w:val="22"/>
                <w:szCs w:val="22"/>
              </w:rPr>
              <w:fldChar w:fldCharType="begin">
                <w:ffData>
                  <w:name w:val=""/>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0F357C" w:rsidRPr="00AE78C2" w:rsidRDefault="000F357C" w:rsidP="002539EF">
            <w:pPr>
              <w:autoSpaceDE w:val="0"/>
              <w:autoSpaceDN w:val="0"/>
              <w:adjustRightInd w:val="0"/>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8F4690" w:rsidRPr="00AE78C2" w:rsidRDefault="008F4690" w:rsidP="002C5619">
            <w:pPr>
              <w:autoSpaceDE w:val="0"/>
              <w:autoSpaceDN w:val="0"/>
              <w:adjustRightInd w:val="0"/>
              <w:jc w:val="center"/>
              <w:rPr>
                <w:sz w:val="22"/>
                <w:szCs w:val="22"/>
              </w:rPr>
            </w:pPr>
          </w:p>
          <w:p w:rsidR="002C5619" w:rsidRPr="00AE78C2" w:rsidRDefault="002C5619" w:rsidP="002C5619">
            <w:pPr>
              <w:autoSpaceDE w:val="0"/>
              <w:autoSpaceDN w:val="0"/>
              <w:adjustRightInd w:val="0"/>
              <w:jc w:val="center"/>
              <w:rPr>
                <w:sz w:val="22"/>
                <w:szCs w:val="22"/>
              </w:rPr>
            </w:pPr>
          </w:p>
          <w:p w:rsidR="00F7428E" w:rsidRPr="00AE78C2" w:rsidRDefault="00F7428E" w:rsidP="002C5619">
            <w:pPr>
              <w:autoSpaceDE w:val="0"/>
              <w:autoSpaceDN w:val="0"/>
              <w:adjustRightInd w:val="0"/>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2C5619" w:rsidRPr="00AE78C2" w:rsidRDefault="002C5619" w:rsidP="002C5619">
            <w:pPr>
              <w:jc w:val="center"/>
              <w:rPr>
                <w:sz w:val="22"/>
                <w:szCs w:val="22"/>
              </w:rPr>
            </w:pPr>
          </w:p>
          <w:p w:rsidR="002C5619" w:rsidRPr="00AE78C2" w:rsidRDefault="002C5619" w:rsidP="002C5619">
            <w:pPr>
              <w:jc w:val="center"/>
              <w:rPr>
                <w:sz w:val="22"/>
                <w:szCs w:val="22"/>
              </w:rPr>
            </w:pPr>
          </w:p>
          <w:p w:rsidR="002C5619" w:rsidRPr="00AE78C2" w:rsidRDefault="002C5619" w:rsidP="002C5619">
            <w:pPr>
              <w:jc w:val="center"/>
              <w:rPr>
                <w:sz w:val="22"/>
                <w:szCs w:val="22"/>
              </w:rPr>
            </w:pPr>
          </w:p>
          <w:p w:rsidR="002C5619" w:rsidRPr="00AE78C2" w:rsidRDefault="002C5619" w:rsidP="002C5619">
            <w:pPr>
              <w:jc w:val="center"/>
              <w:rPr>
                <w:sz w:val="22"/>
                <w:szCs w:val="22"/>
              </w:rPr>
            </w:pPr>
          </w:p>
          <w:p w:rsidR="002C5619" w:rsidRPr="00AE78C2" w:rsidRDefault="002C5619" w:rsidP="002C5619">
            <w:pPr>
              <w:jc w:val="center"/>
              <w:rPr>
                <w:sz w:val="22"/>
                <w:szCs w:val="22"/>
              </w:rPr>
            </w:pPr>
          </w:p>
          <w:p w:rsidR="002C5619" w:rsidRPr="00AE78C2" w:rsidRDefault="002C5619" w:rsidP="002C5619">
            <w:pPr>
              <w:jc w:val="center"/>
              <w:rPr>
                <w:sz w:val="22"/>
                <w:szCs w:val="22"/>
              </w:rPr>
            </w:pPr>
          </w:p>
          <w:p w:rsidR="00F7428E" w:rsidRPr="00AE78C2" w:rsidRDefault="00F7428E" w:rsidP="002C5619">
            <w:pPr>
              <w:jc w:val="center"/>
              <w:rPr>
                <w:sz w:val="22"/>
                <w:szCs w:val="22"/>
              </w:rPr>
            </w:pPr>
            <w:r w:rsidRPr="00AE78C2">
              <w:rPr>
                <w:sz w:val="22"/>
                <w:szCs w:val="22"/>
              </w:rPr>
              <w:fldChar w:fldCharType="begin">
                <w:ffData>
                  <w:name w:val="Check1"/>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7428E" w:rsidRPr="00AE78C2" w:rsidRDefault="00F7428E" w:rsidP="002C5619">
            <w:pPr>
              <w:rPr>
                <w:sz w:val="22"/>
                <w:szCs w:val="22"/>
              </w:rPr>
            </w:pPr>
          </w:p>
          <w:p w:rsidR="00F7428E" w:rsidRPr="00AE78C2" w:rsidRDefault="00F7428E" w:rsidP="002539EF">
            <w:pPr>
              <w:autoSpaceDE w:val="0"/>
              <w:autoSpaceDN w:val="0"/>
              <w:adjustRightInd w:val="0"/>
              <w:jc w:val="center"/>
              <w:rPr>
                <w:sz w:val="22"/>
                <w:szCs w:val="22"/>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29"/>
              </w:numPr>
              <w:autoSpaceDE w:val="0"/>
              <w:autoSpaceDN w:val="0"/>
              <w:adjustRightInd w:val="0"/>
              <w:rPr>
                <w:b/>
                <w:sz w:val="28"/>
                <w:szCs w:val="28"/>
              </w:rPr>
            </w:pPr>
            <w:r w:rsidRPr="00AE78C2">
              <w:rPr>
                <w:b/>
                <w:sz w:val="28"/>
                <w:szCs w:val="28"/>
              </w:rPr>
              <w:lastRenderedPageBreak/>
              <w:t>Expand infection control assessments</w:t>
            </w:r>
          </w:p>
          <w:p w:rsidR="003712E1" w:rsidRPr="00AE78C2" w:rsidRDefault="00F7428E" w:rsidP="009B7F2E">
            <w:pPr>
              <w:numPr>
                <w:ilvl w:val="0"/>
                <w:numId w:val="45"/>
              </w:numPr>
              <w:autoSpaceDE w:val="0"/>
              <w:autoSpaceDN w:val="0"/>
              <w:adjustRightInd w:val="0"/>
              <w:jc w:val="both"/>
              <w:rPr>
                <w:color w:val="000000"/>
              </w:rPr>
            </w:pPr>
            <w:r w:rsidRPr="00AE78C2">
              <w:rPr>
                <w:b/>
                <w:szCs w:val="22"/>
              </w:rPr>
              <w:t>Expand assessments to other additional facilities and other healthcare settings and determ</w:t>
            </w:r>
            <w:r w:rsidR="000F357C" w:rsidRPr="00AE78C2">
              <w:rPr>
                <w:b/>
                <w:szCs w:val="22"/>
              </w:rPr>
              <w:t xml:space="preserve">ine gaps in </w:t>
            </w:r>
            <w:r w:rsidR="000F357C" w:rsidRPr="00AE78C2">
              <w:rPr>
                <w:b/>
                <w:szCs w:val="22"/>
              </w:rPr>
              <w:lastRenderedPageBreak/>
              <w:t>infection control</w:t>
            </w:r>
            <w:r w:rsidR="0047675C" w:rsidRPr="00AE78C2">
              <w:rPr>
                <w:b/>
                <w:szCs w:val="22"/>
              </w:rPr>
              <w:br/>
            </w:r>
          </w:p>
          <w:p w:rsidR="003712E1" w:rsidRPr="00AE78C2" w:rsidRDefault="003712E1" w:rsidP="00836D51">
            <w:pPr>
              <w:autoSpaceDE w:val="0"/>
              <w:autoSpaceDN w:val="0"/>
              <w:adjustRightInd w:val="0"/>
              <w:ind w:left="702"/>
              <w:rPr>
                <w:color w:val="000000"/>
              </w:rPr>
            </w:pPr>
            <w:r w:rsidRPr="00AE78C2">
              <w:rPr>
                <w:color w:val="000000"/>
              </w:rPr>
              <w:t xml:space="preserve">MDPH will conduct infection control assessments in dialysis facilities and </w:t>
            </w:r>
            <w:r w:rsidR="00D62A0E" w:rsidRPr="00AE78C2">
              <w:rPr>
                <w:color w:val="000000"/>
              </w:rPr>
              <w:t>long-term</w:t>
            </w:r>
            <w:r w:rsidRPr="00AE78C2">
              <w:rPr>
                <w:color w:val="000000"/>
              </w:rPr>
              <w:t xml:space="preserve"> care facilities.  CDC’s infection control assessment tools for hemodialysis facilities and </w:t>
            </w:r>
            <w:r w:rsidR="00D62A0E" w:rsidRPr="00AE78C2">
              <w:rPr>
                <w:color w:val="000000"/>
              </w:rPr>
              <w:t>long-term</w:t>
            </w:r>
            <w:r w:rsidRPr="00AE78C2">
              <w:rPr>
                <w:color w:val="000000"/>
              </w:rPr>
              <w:t xml:space="preserve"> care (LTC) facilities will be used for the assessments in</w:t>
            </w:r>
            <w:r w:rsidR="00C9157E" w:rsidRPr="00AE78C2">
              <w:rPr>
                <w:color w:val="000000"/>
              </w:rPr>
              <w:t xml:space="preserve"> </w:t>
            </w:r>
            <w:r w:rsidRPr="00AE78C2">
              <w:rPr>
                <w:color w:val="000000"/>
              </w:rPr>
              <w:t xml:space="preserve">these healthcare settings.  In </w:t>
            </w:r>
            <w:r w:rsidR="00C54BF9" w:rsidRPr="00AE78C2">
              <w:rPr>
                <w:color w:val="000000"/>
              </w:rPr>
              <w:t>2016</w:t>
            </w:r>
            <w:r w:rsidRPr="00AE78C2">
              <w:rPr>
                <w:color w:val="000000"/>
              </w:rPr>
              <w:t>, MDPH will conduct on-site dialysis center assessments in 80 hemodialysis settings in Massachusetts.  Data collected from these assessments will be submitted to CDC.</w:t>
            </w:r>
          </w:p>
          <w:p w:rsidR="003712E1" w:rsidRPr="00AE78C2" w:rsidRDefault="003712E1" w:rsidP="00836D51">
            <w:pPr>
              <w:autoSpaceDE w:val="0"/>
              <w:autoSpaceDN w:val="0"/>
              <w:adjustRightInd w:val="0"/>
              <w:ind w:left="702"/>
              <w:rPr>
                <w:color w:val="000000"/>
              </w:rPr>
            </w:pPr>
          </w:p>
          <w:p w:rsidR="00F7428E" w:rsidRPr="00AE78C2" w:rsidRDefault="003712E1" w:rsidP="00836D51">
            <w:pPr>
              <w:autoSpaceDE w:val="0"/>
              <w:autoSpaceDN w:val="0"/>
              <w:adjustRightInd w:val="0"/>
              <w:ind w:left="702"/>
              <w:rPr>
                <w:color w:val="00B050"/>
              </w:rPr>
            </w:pPr>
            <w:r w:rsidRPr="00AE78C2">
              <w:rPr>
                <w:color w:val="000000"/>
              </w:rPr>
              <w:t>Long term care</w:t>
            </w:r>
            <w:r w:rsidR="00C2136B" w:rsidRPr="00AE78C2">
              <w:rPr>
                <w:color w:val="000000"/>
              </w:rPr>
              <w:t xml:space="preserve"> facility</w:t>
            </w:r>
            <w:r w:rsidRPr="00AE78C2">
              <w:rPr>
                <w:color w:val="000000"/>
              </w:rPr>
              <w:t xml:space="preserve"> infection control assessments will occur in </w:t>
            </w:r>
            <w:r w:rsidR="006630A2" w:rsidRPr="00AE78C2">
              <w:rPr>
                <w:color w:val="000000"/>
              </w:rPr>
              <w:t xml:space="preserve">FY </w:t>
            </w:r>
            <w:r w:rsidR="00C54BF9" w:rsidRPr="00AE78C2">
              <w:rPr>
                <w:color w:val="000000"/>
              </w:rPr>
              <w:t>2017</w:t>
            </w:r>
            <w:r w:rsidRPr="00AE78C2">
              <w:rPr>
                <w:color w:val="000000"/>
              </w:rPr>
              <w:t xml:space="preserve"> and onsite assessment visits will be made to </w:t>
            </w:r>
            <w:r w:rsidR="000E59A2" w:rsidRPr="00AE78C2">
              <w:rPr>
                <w:color w:val="000000"/>
              </w:rPr>
              <w:t>75</w:t>
            </w:r>
            <w:r w:rsidRPr="00AE78C2">
              <w:rPr>
                <w:color w:val="000000"/>
              </w:rPr>
              <w:t xml:space="preserve"> LTC facilities. In </w:t>
            </w:r>
            <w:r w:rsidR="00C54BF9" w:rsidRPr="00AE78C2">
              <w:rPr>
                <w:color w:val="000000"/>
              </w:rPr>
              <w:t>2018</w:t>
            </w:r>
            <w:r w:rsidRPr="00AE78C2">
              <w:rPr>
                <w:color w:val="000000"/>
              </w:rPr>
              <w:t xml:space="preserve">, onsite assessments will be </w:t>
            </w:r>
            <w:r w:rsidR="007F4716" w:rsidRPr="00AE78C2">
              <w:rPr>
                <w:color w:val="000000"/>
              </w:rPr>
              <w:t>completed</w:t>
            </w:r>
            <w:r w:rsidRPr="00AE78C2">
              <w:rPr>
                <w:color w:val="000000"/>
              </w:rPr>
              <w:t xml:space="preserve"> for</w:t>
            </w:r>
            <w:r w:rsidR="00C9157E" w:rsidRPr="00AE78C2">
              <w:rPr>
                <w:color w:val="000000"/>
              </w:rPr>
              <w:t xml:space="preserve"> an </w:t>
            </w:r>
            <w:r w:rsidRPr="00AE78C2">
              <w:rPr>
                <w:color w:val="000000"/>
              </w:rPr>
              <w:t xml:space="preserve">additional </w:t>
            </w:r>
            <w:r w:rsidR="000E59A2" w:rsidRPr="00AE78C2">
              <w:rPr>
                <w:color w:val="000000"/>
              </w:rPr>
              <w:t>75</w:t>
            </w:r>
            <w:r w:rsidRPr="00AE78C2">
              <w:rPr>
                <w:color w:val="000000"/>
              </w:rPr>
              <w:t xml:space="preserve"> LTC facilities. Data collected from the LTC facility assessments</w:t>
            </w:r>
            <w:r w:rsidR="005666CE" w:rsidRPr="00AE78C2">
              <w:rPr>
                <w:color w:val="000000"/>
              </w:rPr>
              <w:t xml:space="preserve"> w</w:t>
            </w:r>
            <w:r w:rsidRPr="00AE78C2">
              <w:rPr>
                <w:color w:val="000000"/>
              </w:rPr>
              <w:t>ill be submitted to CDC</w:t>
            </w:r>
            <w:r w:rsidR="005666CE" w:rsidRPr="00AE78C2">
              <w:rPr>
                <w:color w:val="365F91"/>
              </w:rPr>
              <w:t>.</w:t>
            </w:r>
            <w:r w:rsidR="0047675C" w:rsidRPr="00AE78C2">
              <w:rPr>
                <w:b/>
                <w:szCs w:val="22"/>
              </w:rPr>
              <w:br/>
            </w:r>
          </w:p>
          <w:p w:rsidR="002C5619" w:rsidRPr="00AE78C2" w:rsidRDefault="00F7428E" w:rsidP="009B7F2E">
            <w:pPr>
              <w:numPr>
                <w:ilvl w:val="0"/>
                <w:numId w:val="45"/>
              </w:numPr>
              <w:autoSpaceDE w:val="0"/>
              <w:autoSpaceDN w:val="0"/>
              <w:adjustRightInd w:val="0"/>
              <w:rPr>
                <w:b/>
                <w:szCs w:val="22"/>
              </w:rPr>
            </w:pPr>
            <w:r w:rsidRPr="00AE78C2">
              <w:rPr>
                <w:b/>
                <w:szCs w:val="22"/>
              </w:rPr>
              <w:t>Address gaps (mitigate gaps</w:t>
            </w:r>
            <w:proofErr w:type="gramStart"/>
            <w:r w:rsidRPr="00AE78C2">
              <w:rPr>
                <w:b/>
                <w:szCs w:val="22"/>
              </w:rPr>
              <w:t>)</w:t>
            </w:r>
            <w:proofErr w:type="gramEnd"/>
            <w:r w:rsidR="0047675C" w:rsidRPr="00AE78C2">
              <w:rPr>
                <w:b/>
                <w:szCs w:val="22"/>
              </w:rPr>
              <w:br/>
            </w:r>
            <w:r w:rsidR="0047675C" w:rsidRPr="00AE78C2">
              <w:rPr>
                <w:b/>
                <w:szCs w:val="22"/>
              </w:rPr>
              <w:br/>
            </w:r>
            <w:r w:rsidR="003712E1" w:rsidRPr="00AE78C2">
              <w:rPr>
                <w:color w:val="000000"/>
              </w:rPr>
              <w:t xml:space="preserve">All gaps in infection control and prevention preparedness identified in the dialysis and </w:t>
            </w:r>
            <w:r w:rsidR="00D62A0E" w:rsidRPr="00AE78C2">
              <w:rPr>
                <w:color w:val="000000"/>
              </w:rPr>
              <w:t>long-term</w:t>
            </w:r>
            <w:r w:rsidR="003712E1" w:rsidRPr="00AE78C2">
              <w:rPr>
                <w:color w:val="000000"/>
              </w:rPr>
              <w:t xml:space="preserve"> care facilities assessments will be addressed.  MDPH staff will work to provide or arrange </w:t>
            </w:r>
            <w:r w:rsidR="005231F9" w:rsidRPr="00AE78C2">
              <w:rPr>
                <w:color w:val="000000"/>
              </w:rPr>
              <w:t xml:space="preserve">training needed </w:t>
            </w:r>
            <w:r w:rsidR="003712E1" w:rsidRPr="00AE78C2">
              <w:rPr>
                <w:color w:val="000000"/>
              </w:rPr>
              <w:t xml:space="preserve">to address </w:t>
            </w:r>
            <w:r w:rsidR="005231F9" w:rsidRPr="00AE78C2">
              <w:rPr>
                <w:color w:val="000000"/>
              </w:rPr>
              <w:t>identified</w:t>
            </w:r>
            <w:r w:rsidR="003712E1" w:rsidRPr="00AE78C2">
              <w:rPr>
                <w:color w:val="000000"/>
              </w:rPr>
              <w:t xml:space="preserve"> gaps.</w:t>
            </w:r>
          </w:p>
          <w:p w:rsidR="00F7428E" w:rsidRPr="00AE78C2" w:rsidRDefault="00F7428E" w:rsidP="009B7F2E">
            <w:pPr>
              <w:numPr>
                <w:ilvl w:val="0"/>
                <w:numId w:val="45"/>
              </w:numPr>
              <w:autoSpaceDE w:val="0"/>
              <w:autoSpaceDN w:val="0"/>
              <w:adjustRightInd w:val="0"/>
              <w:rPr>
                <w:sz w:val="22"/>
                <w:szCs w:val="22"/>
              </w:rPr>
            </w:pPr>
            <w:r w:rsidRPr="00AE78C2">
              <w:rPr>
                <w:b/>
                <w:szCs w:val="22"/>
              </w:rPr>
              <w:t>Conduct follow-up assessments</w:t>
            </w:r>
          </w:p>
          <w:p w:rsidR="00F906FA" w:rsidRPr="00AE78C2" w:rsidRDefault="00F906FA" w:rsidP="00F906FA">
            <w:pPr>
              <w:autoSpaceDE w:val="0"/>
              <w:autoSpaceDN w:val="0"/>
              <w:adjustRightInd w:val="0"/>
              <w:rPr>
                <w:b/>
                <w:szCs w:val="22"/>
              </w:rPr>
            </w:pPr>
          </w:p>
          <w:p w:rsidR="002D294F" w:rsidRPr="00AE78C2" w:rsidRDefault="002D294F" w:rsidP="002C5619">
            <w:pPr>
              <w:autoSpaceDE w:val="0"/>
              <w:autoSpaceDN w:val="0"/>
              <w:adjustRightInd w:val="0"/>
              <w:ind w:left="702"/>
              <w:jc w:val="both"/>
              <w:rPr>
                <w:color w:val="000000"/>
                <w:highlight w:val="cyan"/>
              </w:rPr>
            </w:pPr>
            <w:r w:rsidRPr="00AE78C2">
              <w:rPr>
                <w:b/>
                <w:color w:val="000000"/>
                <w:u w:val="single"/>
              </w:rPr>
              <w:t>Dialysis Centers</w:t>
            </w:r>
            <w:r w:rsidRPr="00AE78C2">
              <w:rPr>
                <w:color w:val="000000"/>
              </w:rPr>
              <w:t xml:space="preserve">:  </w:t>
            </w:r>
            <w:r w:rsidR="000E59A2" w:rsidRPr="00AE78C2">
              <w:rPr>
                <w:color w:val="000000"/>
              </w:rPr>
              <w:t>A plan for follow up assessments will be developed b</w:t>
            </w:r>
            <w:r w:rsidRPr="00AE78C2">
              <w:rPr>
                <w:color w:val="000000"/>
              </w:rPr>
              <w:t xml:space="preserve">ased on the results of the </w:t>
            </w:r>
            <w:r w:rsidR="005231F9" w:rsidRPr="00AE78C2">
              <w:rPr>
                <w:color w:val="000000"/>
              </w:rPr>
              <w:t>2016</w:t>
            </w:r>
            <w:r w:rsidRPr="00AE78C2">
              <w:rPr>
                <w:color w:val="000000"/>
              </w:rPr>
              <w:t xml:space="preserve"> dialysis centers assessments</w:t>
            </w:r>
            <w:r w:rsidR="000E59A2" w:rsidRPr="00AE78C2">
              <w:rPr>
                <w:color w:val="000000"/>
              </w:rPr>
              <w:t>.</w:t>
            </w:r>
          </w:p>
          <w:p w:rsidR="002D294F" w:rsidRPr="00AE78C2" w:rsidRDefault="002D294F" w:rsidP="002C5619">
            <w:pPr>
              <w:autoSpaceDE w:val="0"/>
              <w:autoSpaceDN w:val="0"/>
              <w:adjustRightInd w:val="0"/>
              <w:ind w:left="702"/>
              <w:rPr>
                <w:b/>
                <w:color w:val="000000"/>
                <w:highlight w:val="cyan"/>
              </w:rPr>
            </w:pPr>
          </w:p>
          <w:p w:rsidR="00F906FA" w:rsidRPr="00AE78C2" w:rsidRDefault="002D294F" w:rsidP="002C5619">
            <w:pPr>
              <w:shd w:val="clear" w:color="auto" w:fill="FFFFFF"/>
              <w:ind w:left="702"/>
              <w:rPr>
                <w:sz w:val="22"/>
                <w:szCs w:val="22"/>
              </w:rPr>
            </w:pPr>
            <w:r w:rsidRPr="00AE78C2">
              <w:rPr>
                <w:b/>
                <w:color w:val="000000"/>
                <w:u w:val="single"/>
              </w:rPr>
              <w:t>Long Term Care Facilities:</w:t>
            </w:r>
            <w:r w:rsidRPr="00AE78C2">
              <w:rPr>
                <w:b/>
                <w:color w:val="000000"/>
              </w:rPr>
              <w:t xml:space="preserve">  </w:t>
            </w:r>
            <w:r w:rsidRPr="00AE78C2">
              <w:rPr>
                <w:color w:val="000000"/>
              </w:rPr>
              <w:t xml:space="preserve">In </w:t>
            </w:r>
            <w:r w:rsidR="005231F9" w:rsidRPr="00AE78C2">
              <w:rPr>
                <w:color w:val="000000"/>
              </w:rPr>
              <w:t>2018</w:t>
            </w:r>
            <w:r w:rsidRPr="00AE78C2">
              <w:rPr>
                <w:color w:val="000000"/>
              </w:rPr>
              <w:t xml:space="preserve">, </w:t>
            </w:r>
            <w:r w:rsidR="005666CE" w:rsidRPr="00AE78C2">
              <w:rPr>
                <w:color w:val="000000"/>
              </w:rPr>
              <w:t>a plan for</w:t>
            </w:r>
            <w:r w:rsidRPr="00AE78C2">
              <w:rPr>
                <w:color w:val="000000"/>
              </w:rPr>
              <w:t xml:space="preserve"> follow-up assessments will be </w:t>
            </w:r>
            <w:r w:rsidR="005666CE" w:rsidRPr="00AE78C2">
              <w:rPr>
                <w:color w:val="000000"/>
              </w:rPr>
              <w:t>developed based</w:t>
            </w:r>
            <w:r w:rsidR="000E59A2" w:rsidRPr="00AE78C2">
              <w:rPr>
                <w:color w:val="000000"/>
              </w:rPr>
              <w:t xml:space="preserve"> on the results of the </w:t>
            </w:r>
            <w:r w:rsidR="000E59A2" w:rsidRPr="00AE78C2">
              <w:rPr>
                <w:color w:val="000000"/>
              </w:rPr>
              <w:lastRenderedPageBreak/>
              <w:t xml:space="preserve">2017 LTC care assessments. </w:t>
            </w:r>
            <w:r w:rsidRPr="00AE78C2">
              <w:rPr>
                <w:color w:val="000000"/>
              </w:rPr>
              <w:t>Data collection tools will be developed to track follow-up assessment data elements</w:t>
            </w:r>
            <w:r w:rsidR="005666CE" w:rsidRPr="00AE78C2">
              <w:rPr>
                <w:color w:val="000000"/>
              </w:rPr>
              <w:t xml:space="preserve"> as needed.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D294F" w:rsidRPr="00AE78C2" w:rsidRDefault="002D294F" w:rsidP="002539EF">
            <w:pPr>
              <w:autoSpaceDE w:val="0"/>
              <w:autoSpaceDN w:val="0"/>
              <w:adjustRightInd w:val="0"/>
              <w:rPr>
                <w:sz w:val="22"/>
                <w:szCs w:val="22"/>
              </w:rPr>
            </w:pPr>
          </w:p>
          <w:p w:rsidR="002D294F" w:rsidRPr="00AE78C2" w:rsidRDefault="002D294F" w:rsidP="002539EF">
            <w:pPr>
              <w:autoSpaceDE w:val="0"/>
              <w:autoSpaceDN w:val="0"/>
              <w:adjustRightInd w:val="0"/>
              <w:rPr>
                <w:sz w:val="22"/>
                <w:szCs w:val="22"/>
              </w:rPr>
            </w:pPr>
          </w:p>
          <w:p w:rsidR="002D294F" w:rsidRPr="00AE78C2" w:rsidRDefault="002D294F" w:rsidP="002539EF">
            <w:pPr>
              <w:autoSpaceDE w:val="0"/>
              <w:autoSpaceDN w:val="0"/>
              <w:adjustRightInd w:val="0"/>
              <w:rPr>
                <w:sz w:val="22"/>
                <w:szCs w:val="22"/>
              </w:rPr>
            </w:pPr>
          </w:p>
          <w:p w:rsidR="002D294F" w:rsidRPr="00AE78C2" w:rsidRDefault="002D294F" w:rsidP="002539EF">
            <w:pPr>
              <w:autoSpaceDE w:val="0"/>
              <w:autoSpaceDN w:val="0"/>
              <w:adjustRightInd w:val="0"/>
              <w:rPr>
                <w:sz w:val="22"/>
                <w:szCs w:val="22"/>
              </w:rPr>
            </w:pPr>
          </w:p>
          <w:p w:rsidR="002D294F" w:rsidRPr="00AE78C2" w:rsidRDefault="002D294F" w:rsidP="002539EF">
            <w:pPr>
              <w:autoSpaceDE w:val="0"/>
              <w:autoSpaceDN w:val="0"/>
              <w:adjustRightInd w:val="0"/>
              <w:rPr>
                <w:sz w:val="22"/>
                <w:szCs w:val="22"/>
              </w:rPr>
            </w:pPr>
          </w:p>
          <w:p w:rsidR="005119BB" w:rsidRPr="00AE78C2" w:rsidRDefault="005119BB" w:rsidP="002D294F">
            <w:pPr>
              <w:autoSpaceDE w:val="0"/>
              <w:autoSpaceDN w:val="0"/>
              <w:adjustRightInd w:val="0"/>
              <w:rPr>
                <w:color w:val="365F91"/>
              </w:rPr>
            </w:pPr>
          </w:p>
          <w:p w:rsidR="00F7428E" w:rsidRPr="00AE78C2" w:rsidRDefault="00D62A0E" w:rsidP="002D294F">
            <w:pPr>
              <w:autoSpaceDE w:val="0"/>
              <w:autoSpaceDN w:val="0"/>
              <w:adjustRightInd w:val="0"/>
              <w:rPr>
                <w:color w:val="000000"/>
              </w:rPr>
            </w:pPr>
            <w:r w:rsidRPr="00AE78C2">
              <w:rPr>
                <w:color w:val="000000"/>
              </w:rPr>
              <w:t>Oct 2015</w:t>
            </w:r>
            <w:r w:rsidR="002D294F" w:rsidRPr="00AE78C2">
              <w:rPr>
                <w:color w:val="000000"/>
              </w:rPr>
              <w:t xml:space="preserve"> –July 2016</w:t>
            </w:r>
          </w:p>
          <w:p w:rsidR="002D294F" w:rsidRPr="00AE78C2" w:rsidRDefault="002D294F" w:rsidP="002D294F">
            <w:pPr>
              <w:autoSpaceDE w:val="0"/>
              <w:autoSpaceDN w:val="0"/>
              <w:adjustRightInd w:val="0"/>
              <w:rPr>
                <w:color w:val="000000"/>
              </w:rPr>
            </w:pPr>
          </w:p>
          <w:p w:rsidR="002D294F" w:rsidRPr="00AE78C2" w:rsidRDefault="002D294F" w:rsidP="002D294F">
            <w:pPr>
              <w:autoSpaceDE w:val="0"/>
              <w:autoSpaceDN w:val="0"/>
              <w:adjustRightInd w:val="0"/>
              <w:rPr>
                <w:color w:val="000000"/>
              </w:rPr>
            </w:pPr>
          </w:p>
          <w:p w:rsidR="002D294F" w:rsidRPr="00AE78C2" w:rsidRDefault="002D294F" w:rsidP="002D294F">
            <w:pPr>
              <w:autoSpaceDE w:val="0"/>
              <w:autoSpaceDN w:val="0"/>
              <w:adjustRightInd w:val="0"/>
              <w:rPr>
                <w:color w:val="000000"/>
              </w:rPr>
            </w:pPr>
          </w:p>
          <w:p w:rsidR="002D294F" w:rsidRPr="00AE78C2" w:rsidRDefault="002D294F" w:rsidP="002D294F">
            <w:pPr>
              <w:autoSpaceDE w:val="0"/>
              <w:autoSpaceDN w:val="0"/>
              <w:adjustRightInd w:val="0"/>
              <w:rPr>
                <w:color w:val="000000"/>
              </w:rPr>
            </w:pPr>
          </w:p>
          <w:p w:rsidR="002D294F" w:rsidRPr="00AE78C2" w:rsidRDefault="002D294F" w:rsidP="002D294F">
            <w:pPr>
              <w:autoSpaceDE w:val="0"/>
              <w:autoSpaceDN w:val="0"/>
              <w:adjustRightInd w:val="0"/>
              <w:rPr>
                <w:color w:val="000000"/>
              </w:rPr>
            </w:pPr>
          </w:p>
          <w:p w:rsidR="00374DF0" w:rsidRPr="00AE78C2" w:rsidRDefault="00374DF0" w:rsidP="002D294F">
            <w:pPr>
              <w:autoSpaceDE w:val="0"/>
              <w:autoSpaceDN w:val="0"/>
              <w:adjustRightInd w:val="0"/>
              <w:rPr>
                <w:color w:val="000000"/>
              </w:rPr>
            </w:pPr>
          </w:p>
          <w:p w:rsidR="002D294F" w:rsidRPr="00AE78C2" w:rsidRDefault="002D294F" w:rsidP="002D294F">
            <w:pPr>
              <w:autoSpaceDE w:val="0"/>
              <w:autoSpaceDN w:val="0"/>
              <w:adjustRightInd w:val="0"/>
              <w:rPr>
                <w:color w:val="000000"/>
              </w:rPr>
            </w:pPr>
            <w:r w:rsidRPr="00AE78C2">
              <w:rPr>
                <w:color w:val="000000"/>
              </w:rPr>
              <w:t xml:space="preserve">Aug 2016-July </w:t>
            </w:r>
            <w:r w:rsidR="00C54BF9" w:rsidRPr="00AE78C2">
              <w:rPr>
                <w:color w:val="000000"/>
              </w:rPr>
              <w:t>2018</w:t>
            </w:r>
          </w:p>
          <w:p w:rsidR="002D294F" w:rsidRPr="00AE78C2" w:rsidRDefault="002D294F" w:rsidP="002D294F">
            <w:pPr>
              <w:autoSpaceDE w:val="0"/>
              <w:autoSpaceDN w:val="0"/>
              <w:adjustRightInd w:val="0"/>
              <w:rPr>
                <w:color w:val="365F91"/>
              </w:rPr>
            </w:pPr>
          </w:p>
          <w:p w:rsidR="002D294F" w:rsidRPr="00AE78C2" w:rsidRDefault="002D294F" w:rsidP="002D294F">
            <w:pPr>
              <w:autoSpaceDE w:val="0"/>
              <w:autoSpaceDN w:val="0"/>
              <w:adjustRightInd w:val="0"/>
              <w:rPr>
                <w:color w:val="365F91"/>
              </w:rPr>
            </w:pPr>
          </w:p>
          <w:p w:rsidR="002D294F" w:rsidRPr="00AE78C2" w:rsidRDefault="002D294F" w:rsidP="002D294F">
            <w:pPr>
              <w:autoSpaceDE w:val="0"/>
              <w:autoSpaceDN w:val="0"/>
              <w:adjustRightInd w:val="0"/>
              <w:rPr>
                <w:color w:val="365F91"/>
              </w:rPr>
            </w:pPr>
          </w:p>
          <w:p w:rsidR="002D294F" w:rsidRPr="00AE78C2" w:rsidRDefault="002D294F" w:rsidP="002D294F">
            <w:pPr>
              <w:autoSpaceDE w:val="0"/>
              <w:autoSpaceDN w:val="0"/>
              <w:adjustRightInd w:val="0"/>
              <w:rPr>
                <w:color w:val="365F91"/>
              </w:rPr>
            </w:pPr>
          </w:p>
          <w:p w:rsidR="002D294F" w:rsidRPr="00AE78C2" w:rsidRDefault="002D294F" w:rsidP="002D294F">
            <w:pPr>
              <w:autoSpaceDE w:val="0"/>
              <w:autoSpaceDN w:val="0"/>
              <w:adjustRightInd w:val="0"/>
              <w:rPr>
                <w:color w:val="365F91"/>
              </w:rPr>
            </w:pPr>
          </w:p>
          <w:p w:rsidR="002D294F" w:rsidRPr="00AE78C2" w:rsidRDefault="002D294F" w:rsidP="002D294F">
            <w:pPr>
              <w:autoSpaceDE w:val="0"/>
              <w:autoSpaceDN w:val="0"/>
              <w:adjustRightInd w:val="0"/>
              <w:rPr>
                <w:color w:val="365F91"/>
              </w:rPr>
            </w:pPr>
          </w:p>
          <w:p w:rsidR="002D294F" w:rsidRPr="00AE78C2" w:rsidRDefault="002D294F" w:rsidP="002D294F">
            <w:pPr>
              <w:autoSpaceDE w:val="0"/>
              <w:autoSpaceDN w:val="0"/>
              <w:adjustRightInd w:val="0"/>
              <w:rPr>
                <w:color w:val="365F91"/>
              </w:rPr>
            </w:pPr>
          </w:p>
          <w:p w:rsidR="002D294F" w:rsidRPr="00AE78C2" w:rsidRDefault="002D294F" w:rsidP="002D294F">
            <w:pPr>
              <w:autoSpaceDE w:val="0"/>
              <w:autoSpaceDN w:val="0"/>
              <w:adjustRightInd w:val="0"/>
              <w:rPr>
                <w:color w:val="365F91"/>
              </w:rPr>
            </w:pPr>
          </w:p>
          <w:p w:rsidR="002D294F" w:rsidRPr="00AE78C2" w:rsidRDefault="00C54BF9" w:rsidP="002D294F">
            <w:pPr>
              <w:autoSpaceDE w:val="0"/>
              <w:autoSpaceDN w:val="0"/>
              <w:adjustRightInd w:val="0"/>
              <w:rPr>
                <w:color w:val="000000"/>
                <w:sz w:val="22"/>
                <w:szCs w:val="22"/>
              </w:rPr>
            </w:pPr>
            <w:r w:rsidRPr="00AE78C2">
              <w:rPr>
                <w:color w:val="000000"/>
              </w:rPr>
              <w:t>Aug 2016-July 2018</w:t>
            </w:r>
          </w:p>
          <w:p w:rsidR="002D294F" w:rsidRPr="00AE78C2" w:rsidRDefault="002D294F" w:rsidP="002D294F">
            <w:pPr>
              <w:autoSpaceDE w:val="0"/>
              <w:autoSpaceDN w:val="0"/>
              <w:adjustRightInd w:val="0"/>
              <w:rPr>
                <w:sz w:val="22"/>
                <w:szCs w:val="22"/>
              </w:rPr>
            </w:pPr>
          </w:p>
          <w:p w:rsidR="002D294F" w:rsidRPr="00AE78C2" w:rsidRDefault="002D294F" w:rsidP="002D294F">
            <w:pPr>
              <w:autoSpaceDE w:val="0"/>
              <w:autoSpaceDN w:val="0"/>
              <w:adjustRightInd w:val="0"/>
              <w:rPr>
                <w:sz w:val="22"/>
                <w:szCs w:val="22"/>
              </w:rPr>
            </w:pPr>
          </w:p>
          <w:p w:rsidR="002D294F" w:rsidRPr="00AE78C2" w:rsidRDefault="002D294F" w:rsidP="002D294F">
            <w:pPr>
              <w:autoSpaceDE w:val="0"/>
              <w:autoSpaceDN w:val="0"/>
              <w:adjustRightInd w:val="0"/>
              <w:rPr>
                <w:sz w:val="22"/>
                <w:szCs w:val="22"/>
              </w:rPr>
            </w:pPr>
          </w:p>
          <w:p w:rsidR="002D294F" w:rsidRPr="00AE78C2" w:rsidRDefault="002D294F" w:rsidP="002D294F">
            <w:pPr>
              <w:autoSpaceDE w:val="0"/>
              <w:autoSpaceDN w:val="0"/>
              <w:adjustRightInd w:val="0"/>
              <w:rPr>
                <w:sz w:val="22"/>
                <w:szCs w:val="22"/>
              </w:rPr>
            </w:pPr>
          </w:p>
          <w:p w:rsidR="002D294F" w:rsidRPr="00AE78C2" w:rsidRDefault="002D294F" w:rsidP="002D294F">
            <w:pPr>
              <w:autoSpaceDE w:val="0"/>
              <w:autoSpaceDN w:val="0"/>
              <w:adjustRightInd w:val="0"/>
              <w:rPr>
                <w:sz w:val="22"/>
                <w:szCs w:val="22"/>
              </w:rPr>
            </w:pPr>
          </w:p>
          <w:p w:rsidR="002D294F" w:rsidRPr="00AE78C2" w:rsidRDefault="002D294F" w:rsidP="002D294F">
            <w:pPr>
              <w:autoSpaceDE w:val="0"/>
              <w:autoSpaceDN w:val="0"/>
              <w:adjustRightInd w:val="0"/>
              <w:rPr>
                <w:color w:val="000000"/>
                <w:sz w:val="22"/>
                <w:szCs w:val="22"/>
              </w:rPr>
            </w:pPr>
          </w:p>
          <w:p w:rsidR="002D294F" w:rsidRPr="00AE78C2" w:rsidRDefault="00936F75" w:rsidP="002D294F">
            <w:pPr>
              <w:autoSpaceDE w:val="0"/>
              <w:autoSpaceDN w:val="0"/>
              <w:adjustRightInd w:val="0"/>
              <w:rPr>
                <w:color w:val="000000"/>
              </w:rPr>
            </w:pPr>
            <w:r w:rsidRPr="00AE78C2">
              <w:rPr>
                <w:color w:val="000000"/>
              </w:rPr>
              <w:t>Aug 2016</w:t>
            </w:r>
            <w:r w:rsidR="002D294F" w:rsidRPr="00AE78C2">
              <w:rPr>
                <w:color w:val="000000"/>
              </w:rPr>
              <w:t>-July 2017</w:t>
            </w:r>
          </w:p>
          <w:p w:rsidR="002D294F" w:rsidRPr="00AE78C2" w:rsidRDefault="002D294F" w:rsidP="002D294F">
            <w:pPr>
              <w:autoSpaceDE w:val="0"/>
              <w:autoSpaceDN w:val="0"/>
              <w:adjustRightInd w:val="0"/>
              <w:rPr>
                <w:color w:val="000000"/>
              </w:rPr>
            </w:pPr>
          </w:p>
          <w:p w:rsidR="002D294F" w:rsidRPr="00AE78C2" w:rsidRDefault="002D294F" w:rsidP="002D294F">
            <w:pPr>
              <w:autoSpaceDE w:val="0"/>
              <w:autoSpaceDN w:val="0"/>
              <w:adjustRightInd w:val="0"/>
              <w:rPr>
                <w:color w:val="000000"/>
              </w:rPr>
            </w:pPr>
          </w:p>
          <w:p w:rsidR="002D294F" w:rsidRPr="00AE78C2" w:rsidRDefault="002D294F" w:rsidP="002D294F">
            <w:pPr>
              <w:autoSpaceDE w:val="0"/>
              <w:autoSpaceDN w:val="0"/>
              <w:adjustRightInd w:val="0"/>
              <w:rPr>
                <w:sz w:val="22"/>
                <w:szCs w:val="22"/>
              </w:rPr>
            </w:pPr>
            <w:r w:rsidRPr="00AE78C2">
              <w:rPr>
                <w:color w:val="000000"/>
              </w:rPr>
              <w:t xml:space="preserve">Aug 2017-July </w:t>
            </w:r>
            <w:r w:rsidRPr="00AE78C2">
              <w:rPr>
                <w:color w:val="000000"/>
              </w:rPr>
              <w:lastRenderedPageBreak/>
              <w:t>2018</w:t>
            </w:r>
          </w:p>
        </w:tc>
      </w:tr>
      <w:tr w:rsidR="008A25EC" w:rsidRPr="00AE78C2" w:rsidTr="009B7F2E">
        <w:tc>
          <w:tcPr>
            <w:tcW w:w="2700" w:type="dxa"/>
            <w:gridSpan w:val="2"/>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39EF">
            <w:pPr>
              <w:autoSpaceDE w:val="0"/>
              <w:autoSpaceDN w:val="0"/>
              <w:adjustRightInd w:val="0"/>
              <w:jc w:val="center"/>
              <w:rPr>
                <w:sz w:val="22"/>
                <w:szCs w:val="22"/>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39EF">
            <w:pPr>
              <w:autoSpaceDE w:val="0"/>
              <w:autoSpaceDN w:val="0"/>
              <w:adjustRightInd w:val="0"/>
              <w:rPr>
                <w:i/>
                <w:sz w:val="22"/>
                <w:szCs w:val="22"/>
              </w:rPr>
            </w:pPr>
            <w:r w:rsidRPr="00AE78C2">
              <w:rPr>
                <w:i/>
                <w:sz w:val="22"/>
                <w:szCs w:val="22"/>
              </w:rPr>
              <w:t>Other activities or descriptions:</w:t>
            </w:r>
          </w:p>
          <w:p w:rsidR="008A25EC" w:rsidRPr="00AE78C2" w:rsidRDefault="008A25EC" w:rsidP="002539EF">
            <w:pPr>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A25EC" w:rsidRPr="00AE78C2" w:rsidRDefault="008A25EC" w:rsidP="002539EF">
            <w:pPr>
              <w:autoSpaceDE w:val="0"/>
              <w:autoSpaceDN w:val="0"/>
              <w:adjustRightInd w:val="0"/>
              <w:rPr>
                <w:sz w:val="22"/>
                <w:szCs w:val="22"/>
              </w:rPr>
            </w:pPr>
          </w:p>
        </w:tc>
      </w:tr>
      <w:tr w:rsidR="00F7428E" w:rsidRPr="00AE78C2" w:rsidTr="002C5619">
        <w:tc>
          <w:tcPr>
            <w:tcW w:w="144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2539EF">
            <w:pPr>
              <w:jc w:val="center"/>
              <w:rPr>
                <w:sz w:val="22"/>
                <w:szCs w:val="22"/>
              </w:rPr>
            </w:pPr>
          </w:p>
          <w:p w:rsidR="00F7428E" w:rsidRPr="00AE78C2" w:rsidRDefault="00F7428E" w:rsidP="002539EF">
            <w:pPr>
              <w:jc w:val="center"/>
              <w:rPr>
                <w:sz w:val="22"/>
                <w:szCs w:val="22"/>
              </w:rPr>
            </w:pPr>
          </w:p>
          <w:p w:rsidR="002C5619" w:rsidRPr="00AE78C2" w:rsidRDefault="002C5619" w:rsidP="002539EF">
            <w:pPr>
              <w:jc w:val="center"/>
              <w:rPr>
                <w:sz w:val="22"/>
                <w:szCs w:val="22"/>
              </w:rPr>
            </w:pPr>
          </w:p>
          <w:p w:rsidR="00F7428E" w:rsidRPr="00AE78C2" w:rsidRDefault="008F4690" w:rsidP="002539E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7428E" w:rsidRPr="00AE78C2" w:rsidRDefault="00F7428E" w:rsidP="002539EF">
            <w:pPr>
              <w:jc w:val="center"/>
              <w:rPr>
                <w:sz w:val="22"/>
                <w:szCs w:val="22"/>
              </w:rPr>
            </w:pPr>
            <w:r w:rsidRPr="00AE78C2">
              <w:rPr>
                <w:sz w:val="22"/>
                <w:szCs w:val="22"/>
              </w:rPr>
              <w:br/>
            </w:r>
          </w:p>
          <w:p w:rsidR="00F7428E" w:rsidRPr="00AE78C2" w:rsidRDefault="00F7428E" w:rsidP="002539EF">
            <w:pPr>
              <w:jc w:val="center"/>
              <w:rPr>
                <w:sz w:val="22"/>
                <w:szCs w:val="22"/>
              </w:rPr>
            </w:pPr>
          </w:p>
          <w:p w:rsidR="00F7428E" w:rsidRPr="00AE78C2" w:rsidRDefault="00F7428E" w:rsidP="002539EF">
            <w:pPr>
              <w:jc w:val="center"/>
              <w:rPr>
                <w:sz w:val="22"/>
                <w:szCs w:val="22"/>
              </w:rPr>
            </w:pPr>
          </w:p>
          <w:p w:rsidR="00F7428E" w:rsidRPr="00AE78C2" w:rsidRDefault="00F7428E" w:rsidP="002539EF">
            <w:pPr>
              <w:jc w:val="center"/>
              <w:rPr>
                <w:sz w:val="22"/>
                <w:szCs w:val="22"/>
              </w:rPr>
            </w:pPr>
          </w:p>
          <w:p w:rsidR="002C5619" w:rsidRPr="00AE78C2" w:rsidRDefault="002C5619"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F7428E" w:rsidRPr="00AE78C2" w:rsidRDefault="008F4690" w:rsidP="002539E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7428E" w:rsidRPr="00AE78C2" w:rsidRDefault="00F7428E" w:rsidP="002539EF">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2539EF">
            <w:pPr>
              <w:autoSpaceDE w:val="0"/>
              <w:autoSpaceDN w:val="0"/>
              <w:adjustRightInd w:val="0"/>
              <w:jc w:val="center"/>
              <w:rPr>
                <w:sz w:val="22"/>
                <w:szCs w:val="22"/>
              </w:rPr>
            </w:pPr>
          </w:p>
          <w:p w:rsidR="00F7428E" w:rsidRPr="00AE78C2" w:rsidRDefault="00F7428E" w:rsidP="002539EF">
            <w:pPr>
              <w:autoSpaceDE w:val="0"/>
              <w:autoSpaceDN w:val="0"/>
              <w:adjustRightInd w:val="0"/>
              <w:jc w:val="center"/>
              <w:rPr>
                <w:sz w:val="22"/>
                <w:szCs w:val="22"/>
              </w:rPr>
            </w:pPr>
          </w:p>
          <w:p w:rsidR="002C5619" w:rsidRPr="00AE78C2" w:rsidRDefault="002C5619" w:rsidP="002539EF">
            <w:pPr>
              <w:autoSpaceDE w:val="0"/>
              <w:autoSpaceDN w:val="0"/>
              <w:adjustRightInd w:val="0"/>
              <w:jc w:val="center"/>
              <w:rPr>
                <w:sz w:val="22"/>
                <w:szCs w:val="22"/>
              </w:rPr>
            </w:pPr>
          </w:p>
          <w:p w:rsidR="00F7428E" w:rsidRPr="00AE78C2" w:rsidRDefault="00F7428E" w:rsidP="002539EF">
            <w:pPr>
              <w:autoSpaceDE w:val="0"/>
              <w:autoSpaceDN w:val="0"/>
              <w:adjustRightInd w:val="0"/>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7428E" w:rsidRPr="00AE78C2" w:rsidRDefault="00F7428E" w:rsidP="002539EF">
            <w:pPr>
              <w:autoSpaceDE w:val="0"/>
              <w:autoSpaceDN w:val="0"/>
              <w:adjustRightInd w:val="0"/>
              <w:jc w:val="center"/>
              <w:rPr>
                <w:sz w:val="22"/>
                <w:szCs w:val="22"/>
              </w:rPr>
            </w:pPr>
          </w:p>
          <w:p w:rsidR="00F7428E" w:rsidRPr="00AE78C2" w:rsidRDefault="00F7428E" w:rsidP="002539EF">
            <w:pPr>
              <w:autoSpaceDE w:val="0"/>
              <w:autoSpaceDN w:val="0"/>
              <w:adjustRightInd w:val="0"/>
              <w:jc w:val="center"/>
              <w:rPr>
                <w:sz w:val="22"/>
                <w:szCs w:val="22"/>
              </w:rPr>
            </w:pPr>
          </w:p>
          <w:p w:rsidR="00F7428E" w:rsidRPr="00AE78C2" w:rsidRDefault="00F7428E" w:rsidP="002539EF">
            <w:pPr>
              <w:autoSpaceDE w:val="0"/>
              <w:autoSpaceDN w:val="0"/>
              <w:adjustRightInd w:val="0"/>
              <w:jc w:val="center"/>
              <w:rPr>
                <w:sz w:val="22"/>
                <w:szCs w:val="22"/>
              </w:rPr>
            </w:pPr>
          </w:p>
          <w:p w:rsidR="00F7428E" w:rsidRPr="00AE78C2" w:rsidRDefault="00F7428E" w:rsidP="002539EF">
            <w:pPr>
              <w:autoSpaceDE w:val="0"/>
              <w:autoSpaceDN w:val="0"/>
              <w:adjustRightInd w:val="0"/>
              <w:jc w:val="center"/>
              <w:rPr>
                <w:sz w:val="22"/>
                <w:szCs w:val="22"/>
              </w:rPr>
            </w:pPr>
          </w:p>
          <w:p w:rsidR="00F7428E" w:rsidRPr="00AE78C2" w:rsidRDefault="00F7428E" w:rsidP="002539EF">
            <w:pPr>
              <w:autoSpaceDE w:val="0"/>
              <w:autoSpaceDN w:val="0"/>
              <w:adjustRightInd w:val="0"/>
              <w:jc w:val="center"/>
              <w:rPr>
                <w:sz w:val="22"/>
                <w:szCs w:val="22"/>
              </w:rPr>
            </w:pPr>
          </w:p>
          <w:p w:rsidR="002C5619" w:rsidRPr="00AE78C2" w:rsidRDefault="002C5619"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8F4690" w:rsidRPr="00AE78C2" w:rsidRDefault="008F4690" w:rsidP="002539EF">
            <w:pPr>
              <w:autoSpaceDE w:val="0"/>
              <w:autoSpaceDN w:val="0"/>
              <w:adjustRightInd w:val="0"/>
              <w:jc w:val="center"/>
              <w:rPr>
                <w:sz w:val="22"/>
                <w:szCs w:val="22"/>
              </w:rPr>
            </w:pPr>
          </w:p>
          <w:p w:rsidR="002C5619" w:rsidRPr="00AE78C2" w:rsidRDefault="002C5619" w:rsidP="002539EF">
            <w:pPr>
              <w:autoSpaceDE w:val="0"/>
              <w:autoSpaceDN w:val="0"/>
              <w:adjustRightInd w:val="0"/>
              <w:jc w:val="center"/>
              <w:rPr>
                <w:sz w:val="22"/>
                <w:szCs w:val="22"/>
              </w:rPr>
            </w:pPr>
          </w:p>
          <w:p w:rsidR="00F7428E" w:rsidRPr="00AE78C2" w:rsidRDefault="00F7428E" w:rsidP="002539EF">
            <w:pPr>
              <w:autoSpaceDE w:val="0"/>
              <w:autoSpaceDN w:val="0"/>
              <w:adjustRightInd w:val="0"/>
              <w:jc w:val="center"/>
              <w:rPr>
                <w:sz w:val="22"/>
                <w:szCs w:val="22"/>
              </w:rPr>
            </w:pPr>
            <w:r w:rsidRPr="00AE78C2">
              <w:rPr>
                <w:sz w:val="22"/>
                <w:szCs w:val="22"/>
              </w:rPr>
              <w:fldChar w:fldCharType="begin">
                <w:ffData>
                  <w:name w:val="Check2"/>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F7428E" w:rsidRPr="00AE78C2" w:rsidRDefault="00F7428E" w:rsidP="002539EF">
            <w:pPr>
              <w:autoSpaceDE w:val="0"/>
              <w:autoSpaceDN w:val="0"/>
              <w:adjustRightInd w:val="0"/>
              <w:jc w:val="center"/>
              <w:rPr>
                <w:sz w:val="22"/>
                <w:szCs w:val="22"/>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9B7F2E">
            <w:pPr>
              <w:numPr>
                <w:ilvl w:val="0"/>
                <w:numId w:val="29"/>
              </w:numPr>
              <w:autoSpaceDE w:val="0"/>
              <w:autoSpaceDN w:val="0"/>
              <w:adjustRightInd w:val="0"/>
              <w:rPr>
                <w:b/>
                <w:sz w:val="28"/>
                <w:szCs w:val="28"/>
              </w:rPr>
            </w:pPr>
            <w:r w:rsidRPr="00AE78C2">
              <w:rPr>
                <w:b/>
                <w:sz w:val="28"/>
                <w:szCs w:val="28"/>
              </w:rPr>
              <w:t xml:space="preserve">Increase infection control competency and practice in all healthcare settings through training </w:t>
            </w:r>
          </w:p>
          <w:p w:rsidR="002C5619" w:rsidRPr="00AE78C2" w:rsidRDefault="00F7428E" w:rsidP="009B7F2E">
            <w:pPr>
              <w:numPr>
                <w:ilvl w:val="0"/>
                <w:numId w:val="30"/>
              </w:numPr>
              <w:autoSpaceDE w:val="0"/>
              <w:autoSpaceDN w:val="0"/>
              <w:adjustRightInd w:val="0"/>
              <w:rPr>
                <w:b/>
                <w:szCs w:val="22"/>
              </w:rPr>
            </w:pPr>
            <w:r w:rsidRPr="00AE78C2">
              <w:rPr>
                <w:b/>
                <w:szCs w:val="22"/>
              </w:rPr>
              <w:t>Incorporate general infection control knowledge and practice assessments of competency into state licensing board requirements, credentialing, and continuing education requirements for clinical care providers (e.g., medical license, admitting privileges) and/or licensing/accreditation requirements for healthcare facilities.</w:t>
            </w:r>
          </w:p>
          <w:p w:rsidR="004A5596" w:rsidRPr="00AE78C2" w:rsidRDefault="004A5596" w:rsidP="004A5596">
            <w:pPr>
              <w:autoSpaceDE w:val="0"/>
              <w:autoSpaceDN w:val="0"/>
              <w:adjustRightInd w:val="0"/>
              <w:ind w:left="720"/>
              <w:rPr>
                <w:b/>
                <w:szCs w:val="22"/>
              </w:rPr>
            </w:pPr>
          </w:p>
          <w:p w:rsidR="004A5596" w:rsidRPr="00AE78C2" w:rsidRDefault="004A5596" w:rsidP="004A5596">
            <w:pPr>
              <w:autoSpaceDE w:val="0"/>
              <w:autoSpaceDN w:val="0"/>
              <w:adjustRightInd w:val="0"/>
              <w:ind w:left="720"/>
              <w:rPr>
                <w:b/>
                <w:szCs w:val="22"/>
              </w:rPr>
            </w:pPr>
            <w:r w:rsidRPr="00AE78C2">
              <w:rPr>
                <w:iCs/>
                <w:color w:val="000000"/>
                <w:shd w:val="clear" w:color="auto" w:fill="FFFFFF"/>
              </w:rPr>
              <w:t>MDPH is investigating current infection prevention and control education and training standards or requirements in MA healthcare facilities; collecting information from APIC, HICPAC, SHEA and other organizations on best practices and standards for education and training; and collecting</w:t>
            </w:r>
            <w:r w:rsidRPr="00AE78C2">
              <w:rPr>
                <w:rStyle w:val="apple-converted-space"/>
                <w:iCs/>
                <w:color w:val="000000"/>
                <w:shd w:val="clear" w:color="auto" w:fill="FFFFFF"/>
              </w:rPr>
              <w:t> </w:t>
            </w:r>
            <w:r w:rsidRPr="00AE78C2">
              <w:rPr>
                <w:iCs/>
                <w:color w:val="000000"/>
                <w:shd w:val="clear" w:color="auto" w:fill="FFFFFF"/>
              </w:rPr>
              <w:t>information from several other states (e.g., NY, CA, TN, NC, SC), that already have state regulations to require provision of education and training in healthcare facilities to inform the MA process.</w:t>
            </w:r>
            <w:r w:rsidRPr="00AE78C2">
              <w:rPr>
                <w:rStyle w:val="apple-converted-space"/>
                <w:iCs/>
                <w:color w:val="000000"/>
                <w:shd w:val="clear" w:color="auto" w:fill="FFFFFF"/>
              </w:rPr>
              <w:t> </w:t>
            </w:r>
            <w:r w:rsidRPr="00AE78C2">
              <w:rPr>
                <w:iCs/>
                <w:color w:val="000000"/>
                <w:shd w:val="clear" w:color="auto" w:fill="FFFFFF"/>
              </w:rPr>
              <w:t>Using the information collected, MDPH will explore the feasibility of</w:t>
            </w:r>
            <w:r w:rsidRPr="00AE78C2">
              <w:rPr>
                <w:iCs/>
                <w:color w:val="365F91"/>
                <w:shd w:val="clear" w:color="auto" w:fill="FFFFFF"/>
              </w:rPr>
              <w:t xml:space="preserve"> </w:t>
            </w:r>
            <w:r w:rsidRPr="00AE78C2">
              <w:rPr>
                <w:iCs/>
                <w:color w:val="000000"/>
                <w:shd w:val="clear" w:color="auto" w:fill="FFFFFF"/>
              </w:rPr>
              <w:t>promulgating state regulations to require provision of infection prevention and control education and training</w:t>
            </w:r>
            <w:r w:rsidR="00C2136B" w:rsidRPr="00AE78C2">
              <w:rPr>
                <w:iCs/>
                <w:color w:val="000000"/>
                <w:shd w:val="clear" w:color="auto" w:fill="FFFFFF"/>
              </w:rPr>
              <w:t xml:space="preserve"> as a condition of licensure</w:t>
            </w:r>
            <w:r w:rsidRPr="00AE78C2">
              <w:rPr>
                <w:iCs/>
                <w:color w:val="000000"/>
                <w:shd w:val="clear" w:color="auto" w:fill="FFFFFF"/>
              </w:rPr>
              <w:t>. Exploration will include seeking the input of the TAG and interviewing representatives of the MA Board of Registration in Medicine and MDPH Division of Health Professions Licensure.</w:t>
            </w:r>
          </w:p>
          <w:p w:rsidR="002C5619" w:rsidRPr="00AE78C2" w:rsidRDefault="002C5619" w:rsidP="002C5619">
            <w:pPr>
              <w:autoSpaceDE w:val="0"/>
              <w:autoSpaceDN w:val="0"/>
              <w:adjustRightInd w:val="0"/>
              <w:ind w:left="720"/>
              <w:rPr>
                <w:b/>
                <w:szCs w:val="22"/>
              </w:rPr>
            </w:pPr>
          </w:p>
          <w:p w:rsidR="00F7428E" w:rsidRPr="00AE78C2" w:rsidRDefault="00F7428E" w:rsidP="000F6288">
            <w:pPr>
              <w:numPr>
                <w:ilvl w:val="0"/>
                <w:numId w:val="30"/>
              </w:numPr>
              <w:autoSpaceDE w:val="0"/>
              <w:autoSpaceDN w:val="0"/>
              <w:adjustRightInd w:val="0"/>
              <w:rPr>
                <w:sz w:val="22"/>
                <w:szCs w:val="22"/>
              </w:rPr>
            </w:pPr>
            <w:r w:rsidRPr="00AE78C2">
              <w:rPr>
                <w:b/>
                <w:szCs w:val="22"/>
              </w:rPr>
              <w:t xml:space="preserve">Develop a sustainable training program based on CDC </w:t>
            </w:r>
            <w:r w:rsidRPr="00AE78C2">
              <w:rPr>
                <w:b/>
                <w:szCs w:val="22"/>
              </w:rPr>
              <w:lastRenderedPageBreak/>
              <w:t>guidance and technical assistance to perform training, prioritizing on-site train-the-trainer programs in key domains of infection control, including the incorporation of hands on evaluations and competency assessments of best practices and a system to monitor ongoing compliance and competency.</w:t>
            </w:r>
            <w:r w:rsidRPr="00AE78C2">
              <w:rPr>
                <w:szCs w:val="22"/>
              </w:rPr>
              <w:t xml:space="preserve"> </w:t>
            </w:r>
            <w:r w:rsidR="0047675C" w:rsidRPr="00AE78C2">
              <w:rPr>
                <w:szCs w:val="22"/>
              </w:rPr>
              <w:br/>
            </w:r>
            <w:r w:rsidR="0047675C" w:rsidRPr="00AE78C2">
              <w:rPr>
                <w:color w:val="365F91"/>
                <w:szCs w:val="22"/>
              </w:rPr>
              <w:br/>
            </w:r>
            <w:r w:rsidR="00AF6461" w:rsidRPr="00AE78C2">
              <w:rPr>
                <w:iCs/>
                <w:color w:val="000000"/>
                <w:shd w:val="clear" w:color="auto" w:fill="FFFFFF"/>
              </w:rPr>
              <w:t xml:space="preserve">MDPH is investigating current infection prevention and control education and training standards or requirements in MA healthcare facilities; collecting information from APIC, HICPAC, SHEA and other organizations on best practices and standards for education and training; and </w:t>
            </w:r>
            <w:r w:rsidR="009F783B" w:rsidRPr="00AE78C2">
              <w:rPr>
                <w:iCs/>
                <w:color w:val="000000"/>
                <w:shd w:val="clear" w:color="auto" w:fill="FFFFFF"/>
              </w:rPr>
              <w:t>c</w:t>
            </w:r>
            <w:r w:rsidR="00AF6461" w:rsidRPr="00AE78C2">
              <w:rPr>
                <w:iCs/>
                <w:color w:val="000000"/>
                <w:shd w:val="clear" w:color="auto" w:fill="FFFFFF"/>
              </w:rPr>
              <w:t>ollecting</w:t>
            </w:r>
            <w:r w:rsidR="00AF6461" w:rsidRPr="00AE78C2">
              <w:rPr>
                <w:rStyle w:val="apple-converted-space"/>
                <w:iCs/>
                <w:color w:val="000000"/>
                <w:shd w:val="clear" w:color="auto" w:fill="FFFFFF"/>
              </w:rPr>
              <w:t> </w:t>
            </w:r>
            <w:r w:rsidR="00AF6461" w:rsidRPr="00AE78C2">
              <w:rPr>
                <w:iCs/>
                <w:color w:val="000000"/>
                <w:shd w:val="clear" w:color="auto" w:fill="FFFFFF"/>
              </w:rPr>
              <w:t>information from several other states (e.g., NY, CA, TN, NC, SC), that already have state regulations to require provision of education and training to inform the MA process</w:t>
            </w:r>
            <w:r w:rsidR="004A5596" w:rsidRPr="00AE78C2">
              <w:rPr>
                <w:iCs/>
                <w:color w:val="000000"/>
                <w:shd w:val="clear" w:color="auto" w:fill="FFFFFF"/>
              </w:rPr>
              <w:t xml:space="preserve"> of developing training programs.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7428E" w:rsidRPr="00AE78C2" w:rsidRDefault="00F7428E" w:rsidP="002539EF">
            <w:pPr>
              <w:autoSpaceDE w:val="0"/>
              <w:autoSpaceDN w:val="0"/>
              <w:adjustRightInd w:val="0"/>
              <w:rPr>
                <w:sz w:val="22"/>
                <w:szCs w:val="22"/>
              </w:rPr>
            </w:pPr>
          </w:p>
          <w:p w:rsidR="00F7428E" w:rsidRPr="00AE78C2" w:rsidRDefault="00F7428E"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6669EB" w:rsidP="00374DF0">
            <w:pPr>
              <w:autoSpaceDE w:val="0"/>
              <w:autoSpaceDN w:val="0"/>
              <w:adjustRightInd w:val="0"/>
              <w:rPr>
                <w:sz w:val="22"/>
                <w:szCs w:val="22"/>
              </w:rPr>
            </w:pPr>
          </w:p>
          <w:p w:rsidR="006669EB" w:rsidRPr="00AE78C2" w:rsidRDefault="00575535" w:rsidP="00374DF0">
            <w:pPr>
              <w:autoSpaceDE w:val="0"/>
              <w:autoSpaceDN w:val="0"/>
              <w:adjustRightInd w:val="0"/>
              <w:rPr>
                <w:color w:val="000000"/>
              </w:rPr>
            </w:pPr>
            <w:r w:rsidRPr="00AE78C2">
              <w:rPr>
                <w:color w:val="000000"/>
              </w:rPr>
              <w:t>2</w:t>
            </w:r>
            <w:r w:rsidR="006669EB" w:rsidRPr="00AE78C2">
              <w:rPr>
                <w:color w:val="000000"/>
              </w:rPr>
              <w:t>016</w:t>
            </w: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365F91"/>
              </w:rPr>
            </w:pPr>
          </w:p>
          <w:p w:rsidR="00575535" w:rsidRPr="00AE78C2" w:rsidRDefault="00575535" w:rsidP="00374DF0">
            <w:pPr>
              <w:autoSpaceDE w:val="0"/>
              <w:autoSpaceDN w:val="0"/>
              <w:adjustRightInd w:val="0"/>
              <w:rPr>
                <w:color w:val="000000"/>
              </w:rPr>
            </w:pPr>
            <w:r w:rsidRPr="00AE78C2">
              <w:rPr>
                <w:color w:val="000000"/>
              </w:rPr>
              <w:t>2016</w:t>
            </w:r>
          </w:p>
          <w:p w:rsidR="006669EB" w:rsidRPr="00AE78C2" w:rsidRDefault="006669EB" w:rsidP="00374DF0">
            <w:pPr>
              <w:autoSpaceDE w:val="0"/>
              <w:autoSpaceDN w:val="0"/>
              <w:adjustRightInd w:val="0"/>
              <w:rPr>
                <w:sz w:val="22"/>
                <w:szCs w:val="22"/>
              </w:rPr>
            </w:pPr>
          </w:p>
        </w:tc>
      </w:tr>
      <w:tr w:rsidR="00836D51" w:rsidRPr="00AE78C2" w:rsidTr="00836D51">
        <w:tc>
          <w:tcPr>
            <w:tcW w:w="1440" w:type="dxa"/>
            <w:tcBorders>
              <w:top w:val="single" w:sz="4" w:space="0" w:color="auto"/>
            </w:tcBorders>
            <w:shd w:val="clear" w:color="auto" w:fill="auto"/>
          </w:tcPr>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36D51" w:rsidRPr="00AE78C2" w:rsidRDefault="008F4690" w:rsidP="002539E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r w:rsidRPr="00AE78C2">
              <w:rPr>
                <w:sz w:val="22"/>
                <w:szCs w:val="22"/>
              </w:rPr>
              <w:fldChar w:fldCharType="begin">
                <w:ffData>
                  <w:name w:val=""/>
                  <w:enabled/>
                  <w:calcOnExit w:val="0"/>
                  <w:checkBox>
                    <w:sizeAuto/>
                    <w:default w:val="1"/>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1260" w:type="dxa"/>
            <w:tcBorders>
              <w:top w:val="single" w:sz="4" w:space="0" w:color="auto"/>
            </w:tcBorders>
            <w:shd w:val="clear" w:color="auto" w:fill="auto"/>
          </w:tcPr>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36D51" w:rsidRPr="00AE78C2" w:rsidRDefault="008F4690" w:rsidP="002539EF">
            <w:pPr>
              <w:jc w:val="center"/>
              <w:rPr>
                <w:sz w:val="22"/>
                <w:szCs w:val="22"/>
              </w:rPr>
            </w:pPr>
            <w:r w:rsidRPr="00AE78C2">
              <w:rPr>
                <w:sz w:val="22"/>
                <w:szCs w:val="22"/>
              </w:rPr>
              <w:fldChar w:fldCharType="begin">
                <w:ffData>
                  <w:name w:val=""/>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r w:rsidRPr="00AE78C2">
              <w:rPr>
                <w:sz w:val="22"/>
                <w:szCs w:val="22"/>
              </w:rPr>
              <w:fldChar w:fldCharType="begin">
                <w:ffData>
                  <w:name w:val=""/>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r w:rsidRPr="00AE78C2">
              <w:rPr>
                <w:sz w:val="22"/>
                <w:szCs w:val="22"/>
              </w:rPr>
              <w:fldChar w:fldCharType="begin">
                <w:ffData>
                  <w:name w:val=""/>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p>
          <w:p w:rsidR="008F4690" w:rsidRPr="00AE78C2" w:rsidRDefault="008F4690" w:rsidP="002539EF">
            <w:pPr>
              <w:jc w:val="center"/>
              <w:rPr>
                <w:sz w:val="22"/>
                <w:szCs w:val="22"/>
              </w:rPr>
            </w:pPr>
            <w:r w:rsidRPr="00AE78C2">
              <w:rPr>
                <w:sz w:val="22"/>
                <w:szCs w:val="22"/>
              </w:rPr>
              <w:fldChar w:fldCharType="begin">
                <w:ffData>
                  <w:name w:val=""/>
                  <w:enabled/>
                  <w:calcOnExit w:val="0"/>
                  <w:checkBox>
                    <w:sizeAuto/>
                    <w:default w:val="0"/>
                  </w:checkBox>
                </w:ffData>
              </w:fldChar>
            </w:r>
            <w:r w:rsidRPr="00AE78C2">
              <w:rPr>
                <w:sz w:val="22"/>
                <w:szCs w:val="22"/>
              </w:rPr>
              <w:instrText xml:space="preserve"> FORMCHECKBOX </w:instrText>
            </w:r>
            <w:r w:rsidRPr="00AE78C2">
              <w:rPr>
                <w:sz w:val="22"/>
                <w:szCs w:val="22"/>
              </w:rPr>
            </w:r>
            <w:r w:rsidRPr="00AE78C2">
              <w:rPr>
                <w:sz w:val="22"/>
                <w:szCs w:val="22"/>
              </w:rPr>
              <w:fldChar w:fldCharType="end"/>
            </w:r>
          </w:p>
        </w:tc>
        <w:tc>
          <w:tcPr>
            <w:tcW w:w="6660" w:type="dxa"/>
            <w:tcBorders>
              <w:top w:val="single" w:sz="4" w:space="0" w:color="auto"/>
            </w:tcBorders>
            <w:shd w:val="clear" w:color="auto" w:fill="auto"/>
          </w:tcPr>
          <w:p w:rsidR="00836D51" w:rsidRPr="00AE78C2" w:rsidRDefault="00836D51" w:rsidP="009B7F2E">
            <w:pPr>
              <w:numPr>
                <w:ilvl w:val="0"/>
                <w:numId w:val="29"/>
              </w:numPr>
              <w:autoSpaceDE w:val="0"/>
              <w:autoSpaceDN w:val="0"/>
              <w:adjustRightInd w:val="0"/>
              <w:rPr>
                <w:b/>
                <w:sz w:val="28"/>
                <w:szCs w:val="28"/>
              </w:rPr>
            </w:pPr>
            <w:r w:rsidRPr="00AE78C2">
              <w:rPr>
                <w:b/>
                <w:sz w:val="28"/>
                <w:szCs w:val="28"/>
              </w:rPr>
              <w:lastRenderedPageBreak/>
              <w:t>Enhance surveillance capacity to improve situational awareness, describe emerging threats, and target onsite assessments to implement prevention programs</w:t>
            </w:r>
          </w:p>
          <w:p w:rsidR="00836D51" w:rsidRPr="00AE78C2" w:rsidRDefault="00836D51" w:rsidP="009B7F2E">
            <w:pPr>
              <w:numPr>
                <w:ilvl w:val="0"/>
                <w:numId w:val="31"/>
              </w:numPr>
              <w:autoSpaceDE w:val="0"/>
              <w:autoSpaceDN w:val="0"/>
              <w:adjustRightInd w:val="0"/>
              <w:ind w:hanging="198"/>
              <w:rPr>
                <w:b/>
                <w:szCs w:val="22"/>
              </w:rPr>
            </w:pPr>
            <w:r w:rsidRPr="00AE78C2">
              <w:rPr>
                <w:b/>
                <w:szCs w:val="22"/>
              </w:rPr>
              <w:t>Build capacity to analyze data reported by facilities in a defined region to allow for a comprehensive assessment of potential healthcare-associated infection threats, and communicate results with healthcare facilities.</w:t>
            </w:r>
          </w:p>
          <w:p w:rsidR="00836D51" w:rsidRPr="00AE78C2" w:rsidRDefault="00836D51" w:rsidP="00836D51">
            <w:pPr>
              <w:autoSpaceDE w:val="0"/>
              <w:autoSpaceDN w:val="0"/>
              <w:adjustRightInd w:val="0"/>
              <w:ind w:left="720"/>
              <w:rPr>
                <w:b/>
                <w:szCs w:val="22"/>
              </w:rPr>
            </w:pPr>
          </w:p>
          <w:p w:rsidR="00836D51" w:rsidRPr="00AE78C2" w:rsidRDefault="00836D51" w:rsidP="00836D51">
            <w:pPr>
              <w:autoSpaceDE w:val="0"/>
              <w:autoSpaceDN w:val="0"/>
              <w:adjustRightInd w:val="0"/>
              <w:ind w:left="720"/>
            </w:pPr>
            <w:r w:rsidRPr="00AE78C2">
              <w:t xml:space="preserve">Currently, MDPH analyzes NHSN and other data by facility type and size, as well as by region of the state.  MDPH </w:t>
            </w:r>
            <w:r w:rsidR="00D62A0E" w:rsidRPr="00AE78C2">
              <w:t>can</w:t>
            </w:r>
            <w:r w:rsidRPr="00AE78C2">
              <w:t xml:space="preserve"> identify statistical outliers across a variety of variables and outcomes.  Through the HAI Coordinator and epidemiologists of the Bureau of Infectious Disease</w:t>
            </w:r>
            <w:r w:rsidR="000F6288" w:rsidRPr="00AE78C2">
              <w:t xml:space="preserve"> and Laboratory Sciences</w:t>
            </w:r>
            <w:r w:rsidRPr="00AE78C2">
              <w:t xml:space="preserve">, MDPH is in close communication with healthcare epidemiologists and infection preventionists across facilities and facility </w:t>
            </w:r>
            <w:r w:rsidRPr="00AE78C2">
              <w:lastRenderedPageBreak/>
              <w:t xml:space="preserve">type.  Implementation of provider utilization of MAVEN will enhance this communication regarding specific cases and situations.  MAVEN also has automated geocoding functionality.  Thus, the Department </w:t>
            </w:r>
            <w:r w:rsidR="00D62A0E" w:rsidRPr="00AE78C2">
              <w:t>can</w:t>
            </w:r>
            <w:r w:rsidRPr="00AE78C2">
              <w:t xml:space="preserve"> monitor and interact with facilities in any region of the state.</w:t>
            </w:r>
          </w:p>
          <w:p w:rsidR="00836D51" w:rsidRPr="00AE78C2" w:rsidRDefault="00836D51" w:rsidP="00836D51">
            <w:pPr>
              <w:autoSpaceDE w:val="0"/>
              <w:autoSpaceDN w:val="0"/>
              <w:adjustRightInd w:val="0"/>
              <w:ind w:left="720"/>
              <w:rPr>
                <w:b/>
                <w:szCs w:val="22"/>
              </w:rPr>
            </w:pPr>
          </w:p>
          <w:p w:rsidR="00836D51" w:rsidRPr="00AE78C2" w:rsidRDefault="00836D51" w:rsidP="009B7F2E">
            <w:pPr>
              <w:numPr>
                <w:ilvl w:val="0"/>
                <w:numId w:val="31"/>
              </w:numPr>
              <w:autoSpaceDE w:val="0"/>
              <w:autoSpaceDN w:val="0"/>
              <w:adjustRightInd w:val="0"/>
              <w:rPr>
                <w:b/>
                <w:szCs w:val="22"/>
              </w:rPr>
            </w:pPr>
            <w:r w:rsidRPr="00AE78C2">
              <w:rPr>
                <w:b/>
                <w:szCs w:val="22"/>
              </w:rPr>
              <w:t>Work with CDC to guide analytic direction and identify facilities for prioritized assessments/response</w:t>
            </w:r>
            <w:r w:rsidRPr="00AE78C2">
              <w:rPr>
                <w:b/>
                <w:szCs w:val="22"/>
                <w:highlight w:val="yellow"/>
              </w:rPr>
              <w:br/>
            </w:r>
            <w:r w:rsidRPr="00AE78C2">
              <w:rPr>
                <w:b/>
                <w:szCs w:val="22"/>
                <w:highlight w:val="yellow"/>
              </w:rPr>
              <w:br/>
            </w:r>
            <w:r w:rsidRPr="00AE78C2">
              <w:t>MDPH looks forward to working with CDC to investigate, develop and implement mechanisms for identifying significant deviations from expected incidence of HAI, clusters across facilities and outbreaks.</w:t>
            </w:r>
            <w:r w:rsidRPr="00AE78C2">
              <w:rPr>
                <w:b/>
                <w:szCs w:val="22"/>
                <w:highlight w:val="yellow"/>
              </w:rPr>
              <w:br/>
            </w:r>
          </w:p>
          <w:p w:rsidR="00836D51" w:rsidRPr="00AE78C2" w:rsidRDefault="00836D51" w:rsidP="00836D51">
            <w:pPr>
              <w:numPr>
                <w:ilvl w:val="0"/>
                <w:numId w:val="31"/>
              </w:numPr>
              <w:autoSpaceDE w:val="0"/>
              <w:autoSpaceDN w:val="0"/>
              <w:adjustRightInd w:val="0"/>
              <w:rPr>
                <w:b/>
                <w:szCs w:val="22"/>
              </w:rPr>
            </w:pPr>
            <w:r w:rsidRPr="00AE78C2">
              <w:rPr>
                <w:b/>
                <w:szCs w:val="22"/>
              </w:rPr>
              <w:t>Improve outbreak reporting capacity by developing an infrastructure that includes clear definitions of infectious threats of epidemiologic importance that are communicated to facilities</w:t>
            </w:r>
            <w:r w:rsidRPr="00AE78C2">
              <w:rPr>
                <w:b/>
                <w:szCs w:val="22"/>
              </w:rPr>
              <w:br/>
            </w:r>
            <w:r w:rsidRPr="00AE78C2">
              <w:rPr>
                <w:b/>
                <w:szCs w:val="22"/>
              </w:rPr>
              <w:br/>
            </w:r>
            <w:r w:rsidRPr="00AE78C2">
              <w:t>MDPH expects to eventually</w:t>
            </w:r>
            <w:r w:rsidR="000F6288" w:rsidRPr="00AE78C2">
              <w:t xml:space="preserve"> extend</w:t>
            </w:r>
            <w:r w:rsidRPr="00AE78C2">
              <w:t xml:space="preserve"> use</w:t>
            </w:r>
            <w:r w:rsidR="000F6288" w:rsidRPr="00AE78C2">
              <w:t xml:space="preserve"> of</w:t>
            </w:r>
            <w:r w:rsidRPr="00AE78C2">
              <w:t xml:space="preserve"> the MAVEN Outbreak Module, which has served well in managing outbreaks, for joint management of healthcare-associated outbreaks with the involved facilities.  MAVEN has the added advantage of allowing for shared records amo</w:t>
            </w:r>
            <w:r w:rsidRPr="00AE78C2">
              <w:rPr>
                <w:color w:val="365F91"/>
              </w:rPr>
              <w:t xml:space="preserve">ng </w:t>
            </w:r>
            <w:r w:rsidR="000F6288" w:rsidRPr="00AE78C2">
              <w:t>authorized users</w:t>
            </w:r>
            <w:r w:rsidRPr="00AE78C2">
              <w:t xml:space="preserve"> (over 95% of the local health departments in MA are using the system)</w:t>
            </w:r>
            <w:r w:rsidR="00F37388" w:rsidRPr="00AE78C2">
              <w:t xml:space="preserve"> </w:t>
            </w:r>
            <w:r w:rsidRPr="00AE78C2">
              <w:t>and facilities involved in outbreak investigation and management, using a secure web-based system.  MDPH will develop mutually agreed upon case definitions with hospital epidemiology and infection prevention partners in consultation with CDC.  Moving forward, these efforts will involve a larger spectrum of healthcare facility types to address the many different settings in which patients receive care.</w:t>
            </w:r>
            <w:r w:rsidRPr="00AE78C2">
              <w:rPr>
                <w:b/>
                <w:szCs w:val="22"/>
              </w:rPr>
              <w:br/>
            </w:r>
          </w:p>
          <w:p w:rsidR="00836D51" w:rsidRPr="00AE78C2" w:rsidRDefault="00836D51" w:rsidP="0079124F">
            <w:pPr>
              <w:numPr>
                <w:ilvl w:val="0"/>
                <w:numId w:val="31"/>
              </w:numPr>
              <w:autoSpaceDE w:val="0"/>
              <w:autoSpaceDN w:val="0"/>
              <w:adjustRightInd w:val="0"/>
              <w:rPr>
                <w:i/>
                <w:sz w:val="22"/>
                <w:szCs w:val="22"/>
              </w:rPr>
            </w:pPr>
            <w:r w:rsidRPr="00AE78C2">
              <w:rPr>
                <w:b/>
                <w:szCs w:val="22"/>
              </w:rPr>
              <w:t>Implement a response plan to address potential emerging threats identified by using enhanced surveillance</w:t>
            </w:r>
            <w:r w:rsidRPr="00AE78C2">
              <w:rPr>
                <w:szCs w:val="22"/>
              </w:rPr>
              <w:t xml:space="preserve"> </w:t>
            </w:r>
            <w:r w:rsidRPr="00AE78C2">
              <w:rPr>
                <w:szCs w:val="22"/>
              </w:rPr>
              <w:br/>
            </w:r>
            <w:r w:rsidRPr="00AE78C2">
              <w:rPr>
                <w:szCs w:val="22"/>
              </w:rPr>
              <w:br/>
            </w:r>
            <w:r w:rsidRPr="00AE78C2">
              <w:t>The Department is currently updating infectious disease response plans.  These will be inclusive of HAI and emerging infections that have impact on healthcare facilities.  Opportunities for enhanced surveillance include broadening the use of NHSN, enlarging utilization and functionality of MAVEN</w:t>
            </w:r>
            <w:r w:rsidR="000F6288" w:rsidRPr="00AE78C2">
              <w:t>,</w:t>
            </w:r>
            <w:r w:rsidRPr="00AE78C2">
              <w:t xml:space="preserve"> and utilizing our electronic health record-based surveillance system, ESPnet enables medical practices and hospitals to provide automated, timely information about notifiable and other conditions, influenza-like illness and chronic diseases by using information in electronic health records.  Users can use ESPnet to query their own data and allow queries from the Departments of Public Health.  As ESPnet is deployed in outpatient and inpatient settings, and enhanced to new purposes, it can be used to extract data from electronic health records for HAI surveillance purposes using automated algorithms.  As </w:t>
            </w:r>
            <w:proofErr w:type="gramStart"/>
            <w:r w:rsidRPr="00AE78C2">
              <w:t>accountable</w:t>
            </w:r>
            <w:proofErr w:type="gramEnd"/>
            <w:r w:rsidRPr="00AE78C2">
              <w:t xml:space="preserve"> care organizations come into full operation, access to electronic health records</w:t>
            </w:r>
            <w:r w:rsidRPr="00AE78C2">
              <w:rPr>
                <w:color w:val="365F91"/>
              </w:rPr>
              <w:t xml:space="preserve"> </w:t>
            </w:r>
            <w:r w:rsidRPr="00AE78C2">
              <w:t>for public health surveillance will become even more powerful.  Detailed information about ESPnet is available at </w:t>
            </w:r>
            <w:hyperlink r:id="rId24" w:tgtFrame="_blank" w:history="1">
              <w:r w:rsidRPr="00AE78C2">
                <w:rPr>
                  <w:u w:val="single"/>
                </w:rPr>
                <w:t>http://esphealth.org/</w:t>
              </w:r>
            </w:hyperlink>
            <w:r w:rsidRPr="00AE78C2">
              <w:t>.</w:t>
            </w:r>
          </w:p>
        </w:tc>
        <w:tc>
          <w:tcPr>
            <w:tcW w:w="1980" w:type="dxa"/>
            <w:tcBorders>
              <w:top w:val="single" w:sz="4" w:space="0" w:color="auto"/>
            </w:tcBorders>
            <w:shd w:val="clear" w:color="auto" w:fill="auto"/>
          </w:tcPr>
          <w:p w:rsidR="00836D51" w:rsidRPr="00AE78C2" w:rsidRDefault="00836D51"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pPr>
              <w:rPr>
                <w:sz w:val="22"/>
                <w:szCs w:val="22"/>
              </w:rPr>
            </w:pPr>
          </w:p>
          <w:p w:rsidR="006669EB" w:rsidRPr="00AE78C2" w:rsidRDefault="006669EB" w:rsidP="002539EF">
            <w:r w:rsidRPr="00AE78C2">
              <w:t>Ongoing</w:t>
            </w: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F37388" w:rsidRPr="00AE78C2" w:rsidRDefault="00F37388" w:rsidP="002539EF">
            <w:pPr>
              <w:rPr>
                <w:color w:val="365F91"/>
                <w:highlight w:val="green"/>
              </w:rPr>
            </w:pPr>
          </w:p>
          <w:p w:rsidR="004A5596" w:rsidRPr="00AE78C2" w:rsidRDefault="000E2951" w:rsidP="002539EF">
            <w:r w:rsidRPr="00AE78C2">
              <w:t>2017</w:t>
            </w: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4A5596" w:rsidP="002539EF">
            <w:pPr>
              <w:rPr>
                <w:color w:val="365F91"/>
              </w:rPr>
            </w:pPr>
          </w:p>
          <w:p w:rsidR="004A5596" w:rsidRPr="00AE78C2" w:rsidRDefault="000E2951" w:rsidP="002539EF">
            <w:pPr>
              <w:rPr>
                <w:color w:val="365F91"/>
              </w:rPr>
            </w:pPr>
            <w:r w:rsidRPr="00AE78C2">
              <w:rPr>
                <w:color w:val="365F91"/>
              </w:rPr>
              <w:t>Ongoing</w:t>
            </w:r>
          </w:p>
        </w:tc>
      </w:tr>
      <w:tr w:rsidR="008A25EC" w:rsidRPr="00AE78C2" w:rsidTr="009B7F2E">
        <w:tc>
          <w:tcPr>
            <w:tcW w:w="2700" w:type="dxa"/>
            <w:gridSpan w:val="2"/>
            <w:tcBorders>
              <w:top w:val="single" w:sz="4" w:space="0" w:color="auto"/>
            </w:tcBorders>
            <w:shd w:val="clear" w:color="auto" w:fill="auto"/>
          </w:tcPr>
          <w:p w:rsidR="008A25EC" w:rsidRPr="00AE78C2" w:rsidRDefault="008A25EC" w:rsidP="002539EF">
            <w:pPr>
              <w:jc w:val="center"/>
              <w:rPr>
                <w:sz w:val="22"/>
                <w:szCs w:val="22"/>
              </w:rPr>
            </w:pPr>
          </w:p>
        </w:tc>
        <w:tc>
          <w:tcPr>
            <w:tcW w:w="6660" w:type="dxa"/>
            <w:tcBorders>
              <w:top w:val="single" w:sz="4" w:space="0" w:color="auto"/>
            </w:tcBorders>
            <w:shd w:val="clear" w:color="auto" w:fill="auto"/>
          </w:tcPr>
          <w:p w:rsidR="008A25EC" w:rsidRPr="00AE78C2" w:rsidRDefault="008A25EC" w:rsidP="002C5619">
            <w:pPr>
              <w:autoSpaceDE w:val="0"/>
              <w:autoSpaceDN w:val="0"/>
              <w:adjustRightInd w:val="0"/>
              <w:rPr>
                <w:i/>
                <w:sz w:val="22"/>
                <w:szCs w:val="22"/>
              </w:rPr>
            </w:pPr>
            <w:r w:rsidRPr="00AE78C2">
              <w:rPr>
                <w:i/>
                <w:sz w:val="22"/>
                <w:szCs w:val="22"/>
              </w:rPr>
              <w:t>Other activities or descriptions:</w:t>
            </w:r>
          </w:p>
        </w:tc>
        <w:tc>
          <w:tcPr>
            <w:tcW w:w="1980" w:type="dxa"/>
            <w:tcBorders>
              <w:top w:val="single" w:sz="4" w:space="0" w:color="auto"/>
            </w:tcBorders>
            <w:shd w:val="clear" w:color="auto" w:fill="auto"/>
          </w:tcPr>
          <w:p w:rsidR="008A25EC" w:rsidRPr="00AE78C2" w:rsidRDefault="008A25EC" w:rsidP="002539EF">
            <w:pPr>
              <w:rPr>
                <w:sz w:val="22"/>
                <w:szCs w:val="22"/>
              </w:rPr>
            </w:pPr>
          </w:p>
        </w:tc>
      </w:tr>
    </w:tbl>
    <w:p w:rsidR="00A87879" w:rsidRPr="00AE78C2" w:rsidRDefault="00A87879" w:rsidP="00A87879">
      <w:pPr>
        <w:outlineLvl w:val="0"/>
        <w:rPr>
          <w:b/>
          <w:sz w:val="22"/>
          <w:szCs w:val="22"/>
        </w:rPr>
        <w:sectPr w:rsidR="00A87879" w:rsidRPr="00AE78C2" w:rsidSect="00042757">
          <w:footerReference w:type="default" r:id="rId25"/>
          <w:type w:val="continuous"/>
          <w:pgSz w:w="15840" w:h="12240" w:orient="landscape"/>
          <w:pgMar w:top="1440" w:right="1440" w:bottom="1440" w:left="1440" w:header="720" w:footer="720" w:gutter="0"/>
          <w:cols w:space="720"/>
          <w:noEndnote/>
        </w:sectPr>
      </w:pPr>
    </w:p>
    <w:p w:rsidR="003451FF" w:rsidRPr="00AE78C2" w:rsidRDefault="003451FF" w:rsidP="005D663C">
      <w:pPr>
        <w:outlineLvl w:val="0"/>
        <w:rPr>
          <w:b/>
          <w:sz w:val="22"/>
          <w:szCs w:val="22"/>
        </w:rPr>
      </w:pPr>
      <w:r w:rsidRPr="00AE78C2">
        <w:rPr>
          <w:b/>
          <w:sz w:val="22"/>
          <w:szCs w:val="22"/>
        </w:rPr>
        <w:lastRenderedPageBreak/>
        <w:t xml:space="preserve">Appendix 1 </w:t>
      </w:r>
    </w:p>
    <w:p w:rsidR="003451FF" w:rsidRPr="00AE78C2" w:rsidRDefault="003451FF" w:rsidP="003451FF">
      <w:pPr>
        <w:rPr>
          <w:b/>
          <w:sz w:val="22"/>
          <w:szCs w:val="22"/>
        </w:rPr>
      </w:pPr>
    </w:p>
    <w:p w:rsidR="003451FF" w:rsidRPr="00AE78C2" w:rsidRDefault="003451FF" w:rsidP="003451FF">
      <w:pPr>
        <w:rPr>
          <w:sz w:val="22"/>
          <w:szCs w:val="22"/>
        </w:rPr>
      </w:pPr>
      <w:r w:rsidRPr="00AE78C2">
        <w:rPr>
          <w:sz w:val="22"/>
          <w:szCs w:val="22"/>
        </w:rPr>
        <w:t>The HHS Action plan identifies metrics and 5-year national prevention targets.  These metrics and prevention targets were developed by representatives from various federal agencies, the Healthcare Infection Control Practices Advisory Committee (HICPAC), professional and scientific organizations, researchers, and other stakeholders.  The group of experts was charged with identifying potential targets and metrics for six categories of healthcare-associated infections:</w:t>
      </w:r>
    </w:p>
    <w:p w:rsidR="003451FF" w:rsidRPr="00AE78C2" w:rsidRDefault="003451FF" w:rsidP="003451FF">
      <w:pPr>
        <w:rPr>
          <w:sz w:val="22"/>
          <w:szCs w:val="22"/>
        </w:rPr>
      </w:pPr>
    </w:p>
    <w:p w:rsidR="003451FF" w:rsidRPr="00AE78C2" w:rsidRDefault="003451FF" w:rsidP="009B7F2E">
      <w:pPr>
        <w:numPr>
          <w:ilvl w:val="0"/>
          <w:numId w:val="2"/>
        </w:numPr>
        <w:rPr>
          <w:sz w:val="22"/>
          <w:szCs w:val="22"/>
        </w:rPr>
      </w:pPr>
      <w:r w:rsidRPr="00AE78C2">
        <w:rPr>
          <w:sz w:val="22"/>
          <w:szCs w:val="22"/>
        </w:rPr>
        <w:t>Central Line-associated Bloodstream Infections (CLABSI)</w:t>
      </w:r>
    </w:p>
    <w:p w:rsidR="003451FF" w:rsidRPr="00AE78C2" w:rsidRDefault="003451FF" w:rsidP="009B7F2E">
      <w:pPr>
        <w:numPr>
          <w:ilvl w:val="0"/>
          <w:numId w:val="2"/>
        </w:numPr>
        <w:rPr>
          <w:sz w:val="22"/>
          <w:szCs w:val="22"/>
        </w:rPr>
      </w:pPr>
      <w:r w:rsidRPr="00AE78C2">
        <w:rPr>
          <w:sz w:val="22"/>
          <w:szCs w:val="22"/>
        </w:rPr>
        <w:t>Clostridium difficile Infections (CDI)</w:t>
      </w:r>
    </w:p>
    <w:p w:rsidR="003451FF" w:rsidRPr="00AE78C2" w:rsidRDefault="003451FF" w:rsidP="009B7F2E">
      <w:pPr>
        <w:numPr>
          <w:ilvl w:val="0"/>
          <w:numId w:val="2"/>
        </w:numPr>
        <w:rPr>
          <w:sz w:val="22"/>
          <w:szCs w:val="22"/>
        </w:rPr>
      </w:pPr>
      <w:r w:rsidRPr="00AE78C2">
        <w:rPr>
          <w:sz w:val="22"/>
          <w:szCs w:val="22"/>
        </w:rPr>
        <w:t>Catheter-associated Urinary Tract Infections (CAUTI)</w:t>
      </w:r>
    </w:p>
    <w:p w:rsidR="003451FF" w:rsidRPr="00AE78C2" w:rsidRDefault="003451FF" w:rsidP="009B7F2E">
      <w:pPr>
        <w:numPr>
          <w:ilvl w:val="0"/>
          <w:numId w:val="2"/>
        </w:numPr>
        <w:rPr>
          <w:sz w:val="22"/>
          <w:szCs w:val="22"/>
        </w:rPr>
      </w:pPr>
      <w:r w:rsidRPr="00AE78C2">
        <w:rPr>
          <w:sz w:val="22"/>
          <w:szCs w:val="22"/>
        </w:rPr>
        <w:t>Methicillin-resistant Staphylococcus aureus (MRSA) Infections</w:t>
      </w:r>
    </w:p>
    <w:p w:rsidR="003451FF" w:rsidRPr="00AE78C2" w:rsidRDefault="003451FF" w:rsidP="009B7F2E">
      <w:pPr>
        <w:numPr>
          <w:ilvl w:val="0"/>
          <w:numId w:val="2"/>
        </w:numPr>
        <w:rPr>
          <w:sz w:val="22"/>
          <w:szCs w:val="22"/>
        </w:rPr>
      </w:pPr>
      <w:r w:rsidRPr="00AE78C2">
        <w:rPr>
          <w:sz w:val="22"/>
          <w:szCs w:val="22"/>
        </w:rPr>
        <w:t>Surgical Site Infections (SSI)</w:t>
      </w:r>
    </w:p>
    <w:p w:rsidR="003451FF" w:rsidRPr="00AE78C2" w:rsidRDefault="003451FF" w:rsidP="009B7F2E">
      <w:pPr>
        <w:numPr>
          <w:ilvl w:val="0"/>
          <w:numId w:val="2"/>
        </w:numPr>
        <w:rPr>
          <w:sz w:val="22"/>
          <w:szCs w:val="22"/>
        </w:rPr>
      </w:pPr>
      <w:r w:rsidRPr="00AE78C2">
        <w:rPr>
          <w:sz w:val="22"/>
          <w:szCs w:val="22"/>
        </w:rPr>
        <w:t>Ventilator-associated Pneumonia (VAP)</w:t>
      </w:r>
    </w:p>
    <w:p w:rsidR="00203317" w:rsidRPr="00AE78C2" w:rsidRDefault="00203317" w:rsidP="00B52E9A">
      <w:pPr>
        <w:rPr>
          <w:sz w:val="22"/>
          <w:szCs w:val="22"/>
        </w:rPr>
      </w:pPr>
    </w:p>
    <w:p w:rsidR="00203317" w:rsidRPr="00AE78C2" w:rsidRDefault="00203317" w:rsidP="00B52E9A">
      <w:pPr>
        <w:autoSpaceDE w:val="0"/>
        <w:autoSpaceDN w:val="0"/>
        <w:adjustRightInd w:val="0"/>
        <w:rPr>
          <w:b/>
          <w:sz w:val="22"/>
          <w:szCs w:val="22"/>
        </w:rPr>
      </w:pPr>
      <w:r w:rsidRPr="00AE78C2">
        <w:rPr>
          <w:sz w:val="22"/>
          <w:szCs w:val="22"/>
        </w:rPr>
        <w:t>Following the development of draft metrics as part of the HHS Action Plan in January 2009, HHS solicited comments from stakeholders for review.</w:t>
      </w:r>
    </w:p>
    <w:p w:rsidR="00203317" w:rsidRPr="00AE78C2" w:rsidRDefault="00203317" w:rsidP="00B52E9A">
      <w:pPr>
        <w:autoSpaceDE w:val="0"/>
        <w:autoSpaceDN w:val="0"/>
        <w:adjustRightInd w:val="0"/>
        <w:rPr>
          <w:b/>
          <w:sz w:val="22"/>
          <w:szCs w:val="22"/>
        </w:rPr>
      </w:pPr>
    </w:p>
    <w:p w:rsidR="00B52E9A" w:rsidRPr="00AE78C2" w:rsidRDefault="00B52E9A" w:rsidP="00B52E9A">
      <w:pPr>
        <w:autoSpaceDE w:val="0"/>
        <w:autoSpaceDN w:val="0"/>
        <w:adjustRightInd w:val="0"/>
        <w:rPr>
          <w:b/>
          <w:sz w:val="22"/>
          <w:szCs w:val="22"/>
        </w:rPr>
      </w:pPr>
      <w:r w:rsidRPr="00AE78C2">
        <w:rPr>
          <w:b/>
          <w:sz w:val="22"/>
          <w:szCs w:val="22"/>
        </w:rPr>
        <w:t>Stakeholder feedback and revision</w:t>
      </w:r>
      <w:r w:rsidR="00203317" w:rsidRPr="00AE78C2">
        <w:rPr>
          <w:b/>
          <w:sz w:val="22"/>
          <w:szCs w:val="22"/>
        </w:rPr>
        <w:t>s to the original draft Metrics</w:t>
      </w:r>
    </w:p>
    <w:p w:rsidR="00B52E9A" w:rsidRPr="00AE78C2" w:rsidRDefault="00B52E9A" w:rsidP="00B52E9A">
      <w:pPr>
        <w:autoSpaceDE w:val="0"/>
        <w:autoSpaceDN w:val="0"/>
        <w:adjustRightInd w:val="0"/>
        <w:rPr>
          <w:sz w:val="22"/>
          <w:szCs w:val="22"/>
        </w:rPr>
      </w:pPr>
    </w:p>
    <w:p w:rsidR="00B52E9A" w:rsidRPr="00AE78C2" w:rsidRDefault="00B52E9A" w:rsidP="00B52E9A">
      <w:pPr>
        <w:autoSpaceDE w:val="0"/>
        <w:autoSpaceDN w:val="0"/>
        <w:adjustRightInd w:val="0"/>
        <w:rPr>
          <w:sz w:val="22"/>
          <w:szCs w:val="22"/>
        </w:rPr>
      </w:pPr>
      <w:r w:rsidRPr="00AE78C2">
        <w:rPr>
          <w:sz w:val="22"/>
          <w:szCs w:val="22"/>
        </w:rPr>
        <w:t>Comments on the initial draft metrics published as part of the HHS Action Plan in January 2009 were reviewed</w:t>
      </w:r>
      <w:r w:rsidR="005205C4" w:rsidRPr="00AE78C2">
        <w:rPr>
          <w:sz w:val="22"/>
          <w:szCs w:val="22"/>
        </w:rPr>
        <w:t xml:space="preserve"> and incorporated into revised </w:t>
      </w:r>
      <w:r w:rsidR="000223F6" w:rsidRPr="00AE78C2">
        <w:rPr>
          <w:sz w:val="22"/>
          <w:szCs w:val="22"/>
        </w:rPr>
        <w:t>metrics</w:t>
      </w:r>
      <w:r w:rsidRPr="00AE78C2">
        <w:rPr>
          <w:sz w:val="22"/>
          <w:szCs w:val="22"/>
        </w:rPr>
        <w:t>. While comments ranged from high level strategic observations to technic</w:t>
      </w:r>
      <w:r w:rsidR="000223F6" w:rsidRPr="00AE78C2">
        <w:rPr>
          <w:sz w:val="22"/>
          <w:szCs w:val="22"/>
        </w:rPr>
        <w:t>al measurement details, commenters</w:t>
      </w:r>
      <w:r w:rsidRPr="00AE78C2">
        <w:rPr>
          <w:sz w:val="22"/>
          <w:szCs w:val="22"/>
        </w:rPr>
        <w:t xml:space="preserve"> encouraged established baselines, both at the national and local level, use of standardized definitions and methods, engagement with the National Quality Forum, raised concerns regarding the use of a national targets for payment or accreditation purposes and of the validity of proposed measures, and would like to have both a target rate and a percent reduction for all metrics. Furthermore, commenters emphasized the need for flexibility in the metrics, to accommodate advances in electronic reporting and information technology and for advances in prevention of HAIs, in particular ventilator-associated pneumonia.</w:t>
      </w:r>
    </w:p>
    <w:p w:rsidR="00B52E9A" w:rsidRPr="00AE78C2" w:rsidRDefault="00B52E9A" w:rsidP="00B52E9A">
      <w:pPr>
        <w:autoSpaceDE w:val="0"/>
        <w:autoSpaceDN w:val="0"/>
        <w:adjustRightInd w:val="0"/>
        <w:rPr>
          <w:sz w:val="22"/>
          <w:szCs w:val="22"/>
        </w:rPr>
      </w:pPr>
    </w:p>
    <w:p w:rsidR="00B52E9A" w:rsidRPr="00AE78C2" w:rsidRDefault="00B52E9A" w:rsidP="00B52E9A">
      <w:pPr>
        <w:autoSpaceDE w:val="0"/>
        <w:autoSpaceDN w:val="0"/>
        <w:adjustRightInd w:val="0"/>
        <w:rPr>
          <w:sz w:val="22"/>
          <w:szCs w:val="22"/>
        </w:rPr>
      </w:pPr>
      <w:r w:rsidRPr="00AE78C2">
        <w:rPr>
          <w:sz w:val="22"/>
          <w:szCs w:val="22"/>
        </w:rPr>
        <w:t xml:space="preserve">To address comments received on the Action Plan Metrics and Targets, proposed metrics have been updated to include source of metric data, baselines, and which agency would coordinate the measure. To respond to the requests for percentage reduction in HAIs in addition to HAI rates, a new type of metric, the standardized infection ratio (SIR), is being proposed. Below is a detailed technical description of the SIR. </w:t>
      </w:r>
    </w:p>
    <w:p w:rsidR="003451FF" w:rsidRPr="00AE78C2" w:rsidRDefault="00B52E9A" w:rsidP="00490F34">
      <w:pPr>
        <w:autoSpaceDE w:val="0"/>
        <w:autoSpaceDN w:val="0"/>
        <w:adjustRightInd w:val="0"/>
        <w:rPr>
          <w:sz w:val="22"/>
          <w:szCs w:val="22"/>
        </w:rPr>
      </w:pPr>
      <w:r w:rsidRPr="00AE78C2">
        <w:rPr>
          <w:sz w:val="22"/>
          <w:szCs w:val="22"/>
        </w:rPr>
        <w:br/>
      </w:r>
      <w:r w:rsidR="003451FF" w:rsidRPr="00AE78C2">
        <w:rPr>
          <w:sz w:val="22"/>
          <w:szCs w:val="22"/>
        </w:rPr>
        <w:t xml:space="preserve">Below is a table of </w:t>
      </w:r>
      <w:r w:rsidRPr="00AE78C2">
        <w:rPr>
          <w:sz w:val="22"/>
          <w:szCs w:val="22"/>
        </w:rPr>
        <w:t xml:space="preserve">the revised </w:t>
      </w:r>
      <w:r w:rsidR="003451FF" w:rsidRPr="00AE78C2">
        <w:rPr>
          <w:sz w:val="22"/>
          <w:szCs w:val="22"/>
        </w:rPr>
        <w:t>metrics described in the</w:t>
      </w:r>
      <w:r w:rsidRPr="00AE78C2">
        <w:rPr>
          <w:sz w:val="22"/>
          <w:szCs w:val="22"/>
        </w:rPr>
        <w:t xml:space="preserve"> HHS Action plan.  P</w:t>
      </w:r>
      <w:r w:rsidR="003451FF" w:rsidRPr="00AE78C2">
        <w:rPr>
          <w:sz w:val="22"/>
          <w:szCs w:val="22"/>
        </w:rPr>
        <w:t xml:space="preserve">lease select items or add additional items for state planning efforts. </w:t>
      </w:r>
    </w:p>
    <w:p w:rsidR="00490F34" w:rsidRPr="00AE78C2" w:rsidRDefault="00490F34" w:rsidP="00490F34">
      <w:pPr>
        <w:autoSpaceDE w:val="0"/>
        <w:autoSpaceDN w:val="0"/>
        <w:adjustRightInd w:val="0"/>
        <w:rPr>
          <w:sz w:val="22"/>
          <w:szCs w:val="22"/>
        </w:rPr>
      </w:pPr>
    </w:p>
    <w:p w:rsidR="00471754" w:rsidRPr="00AE78C2" w:rsidRDefault="00471754" w:rsidP="003451FF">
      <w:pPr>
        <w:rPr>
          <w:sz w:val="22"/>
          <w:szCs w:val="22"/>
        </w:rPr>
      </w:pPr>
    </w:p>
    <w:tbl>
      <w:tblPr>
        <w:tblW w:w="1445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75"/>
        <w:gridCol w:w="1820"/>
        <w:gridCol w:w="1681"/>
        <w:gridCol w:w="1359"/>
        <w:gridCol w:w="2880"/>
        <w:gridCol w:w="2700"/>
        <w:gridCol w:w="1440"/>
        <w:gridCol w:w="1295"/>
      </w:tblGrid>
      <w:tr w:rsidR="002D036A" w:rsidRPr="00AE78C2" w:rsidTr="00066FFC">
        <w:trPr>
          <w:tblHeader/>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jc w:val="center"/>
              <w:rPr>
                <w:sz w:val="22"/>
                <w:szCs w:val="22"/>
              </w:rPr>
            </w:pPr>
            <w:r w:rsidRPr="00AE78C2">
              <w:rPr>
                <w:rStyle w:val="Strong"/>
                <w:sz w:val="22"/>
                <w:szCs w:val="22"/>
              </w:rPr>
              <w:t>Metric Number and Label</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jc w:val="center"/>
              <w:rPr>
                <w:sz w:val="22"/>
                <w:szCs w:val="22"/>
              </w:rPr>
            </w:pPr>
            <w:r w:rsidRPr="00AE78C2">
              <w:rPr>
                <w:rStyle w:val="Strong"/>
                <w:sz w:val="22"/>
                <w:szCs w:val="22"/>
              </w:rPr>
              <w:t>Original HAI Elimination Metric</w:t>
            </w: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jc w:val="center"/>
              <w:rPr>
                <w:rStyle w:val="Strong"/>
                <w:sz w:val="22"/>
                <w:szCs w:val="22"/>
              </w:rPr>
            </w:pPr>
            <w:r w:rsidRPr="00AE78C2">
              <w:rPr>
                <w:rStyle w:val="Strong"/>
                <w:sz w:val="22"/>
                <w:szCs w:val="22"/>
              </w:rPr>
              <w:t>HAI Comparison Metric</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jc w:val="center"/>
              <w:rPr>
                <w:sz w:val="22"/>
                <w:szCs w:val="22"/>
              </w:rPr>
            </w:pPr>
            <w:r w:rsidRPr="00AE78C2">
              <w:rPr>
                <w:rStyle w:val="Strong"/>
                <w:sz w:val="22"/>
                <w:szCs w:val="22"/>
              </w:rPr>
              <w:t>Measurement System</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jc w:val="center"/>
              <w:rPr>
                <w:rStyle w:val="Strong"/>
                <w:sz w:val="22"/>
                <w:szCs w:val="22"/>
              </w:rPr>
            </w:pPr>
            <w:r w:rsidRPr="00AE78C2">
              <w:rPr>
                <w:rStyle w:val="Strong"/>
                <w:sz w:val="22"/>
                <w:szCs w:val="22"/>
              </w:rPr>
              <w:t>National Baseline Established</w:t>
            </w:r>
          </w:p>
          <w:p w:rsidR="002D036A" w:rsidRPr="00AE78C2" w:rsidRDefault="002D036A" w:rsidP="003C51E6">
            <w:pPr>
              <w:pStyle w:val="NormalWeb"/>
              <w:jc w:val="center"/>
              <w:rPr>
                <w:rStyle w:val="Strong"/>
                <w:sz w:val="22"/>
                <w:szCs w:val="22"/>
              </w:rPr>
            </w:pPr>
            <w:r w:rsidRPr="00AE78C2">
              <w:rPr>
                <w:rStyle w:val="Strong"/>
                <w:sz w:val="22"/>
                <w:szCs w:val="22"/>
              </w:rPr>
              <w:t>(State Baselines Established)</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jc w:val="center"/>
              <w:rPr>
                <w:sz w:val="22"/>
                <w:szCs w:val="22"/>
              </w:rPr>
            </w:pPr>
            <w:r w:rsidRPr="00AE78C2">
              <w:rPr>
                <w:rStyle w:val="Strong"/>
                <w:sz w:val="22"/>
                <w:szCs w:val="22"/>
              </w:rPr>
              <w:t>National 5-Year Prevention Target</w:t>
            </w: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jc w:val="center"/>
              <w:rPr>
                <w:rStyle w:val="Strong"/>
                <w:sz w:val="22"/>
                <w:szCs w:val="22"/>
              </w:rPr>
            </w:pPr>
            <w:r w:rsidRPr="00AE78C2">
              <w:rPr>
                <w:rStyle w:val="Strong"/>
                <w:sz w:val="22"/>
                <w:szCs w:val="22"/>
              </w:rPr>
              <w:t>Coordinator of Measurement System</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jc w:val="center"/>
              <w:rPr>
                <w:rStyle w:val="Strong"/>
                <w:sz w:val="22"/>
                <w:szCs w:val="22"/>
              </w:rPr>
            </w:pPr>
            <w:r w:rsidRPr="00AE78C2">
              <w:rPr>
                <w:rStyle w:val="Strong"/>
                <w:sz w:val="22"/>
                <w:szCs w:val="22"/>
              </w:rPr>
              <w:t>Is the metric NQF endorsed?</w:t>
            </w:r>
          </w:p>
        </w:tc>
      </w:tr>
      <w:tr w:rsidR="002D036A" w:rsidRPr="00AE78C2" w:rsidTr="003C51E6">
        <w:trPr>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lastRenderedPageBreak/>
              <w:t>1. CLABSI 1</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CLABSIs per 1000 device days by ICU and other locations</w:t>
            </w: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CLABSI SIR</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 NHSN Device-Associated Module</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2006-2008</w:t>
            </w:r>
          </w:p>
          <w:p w:rsidR="002D036A" w:rsidRPr="00AE78C2" w:rsidRDefault="002D036A" w:rsidP="003C51E6">
            <w:pPr>
              <w:pStyle w:val="NormalWeb"/>
              <w:rPr>
                <w:sz w:val="22"/>
                <w:szCs w:val="22"/>
              </w:rPr>
            </w:pPr>
            <w:r w:rsidRPr="00AE78C2">
              <w:rPr>
                <w:sz w:val="22"/>
                <w:szCs w:val="22"/>
              </w:rPr>
              <w:t>(proposed 2009, in consultation with states)</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xml:space="preserve">Reduce the CLABSI SIR </w:t>
            </w:r>
            <w:r w:rsidR="00D93A8B" w:rsidRPr="00AE78C2">
              <w:rPr>
                <w:sz w:val="22"/>
                <w:szCs w:val="22"/>
              </w:rPr>
              <w:t xml:space="preserve">by at least </w:t>
            </w:r>
            <w:r w:rsidRPr="00AE78C2">
              <w:rPr>
                <w:sz w:val="22"/>
                <w:szCs w:val="22"/>
              </w:rPr>
              <w:t>5</w:t>
            </w:r>
            <w:r w:rsidR="00D93A8B" w:rsidRPr="00AE78C2">
              <w:rPr>
                <w:sz w:val="22"/>
                <w:szCs w:val="22"/>
              </w:rPr>
              <w:t>0</w:t>
            </w:r>
            <w:r w:rsidRPr="00AE78C2">
              <w:rPr>
                <w:sz w:val="22"/>
                <w:szCs w:val="22"/>
              </w:rPr>
              <w:t>% from baseline or to zero in ICU and other locations</w:t>
            </w:r>
            <w:r w:rsidRPr="00AE78C2" w:rsidDel="00DF0F6F">
              <w:rPr>
                <w:sz w:val="22"/>
                <w:szCs w:val="22"/>
              </w:rPr>
              <w:t xml:space="preserve"> </w:t>
            </w:r>
          </w:p>
          <w:p w:rsidR="00D93A8B" w:rsidRPr="00AE78C2" w:rsidRDefault="00D93A8B" w:rsidP="003C51E6">
            <w:pPr>
              <w:pStyle w:val="NormalWeb"/>
              <w:rPr>
                <w:sz w:val="22"/>
                <w:szCs w:val="22"/>
              </w:rPr>
            </w:pP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Yes</w:t>
            </w:r>
            <w:r w:rsidRPr="00AE78C2">
              <w:rPr>
                <w:sz w:val="22"/>
                <w:szCs w:val="22"/>
                <w:vertAlign w:val="superscript"/>
              </w:rPr>
              <w:t>*</w:t>
            </w:r>
          </w:p>
        </w:tc>
      </w:tr>
      <w:tr w:rsidR="002D036A" w:rsidRPr="00AE78C2" w:rsidTr="003C51E6">
        <w:trPr>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2. CLIP 1 (formerly CLABSI 4)</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Central line bundle compliance</w:t>
            </w: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CLIP Adherence percentage</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 NHSN CLIP in Device-Associated Module</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2009</w:t>
            </w:r>
          </w:p>
          <w:p w:rsidR="002D036A" w:rsidRPr="00AE78C2" w:rsidRDefault="002D036A" w:rsidP="003C51E6">
            <w:pPr>
              <w:pStyle w:val="NormalWeb"/>
              <w:rPr>
                <w:sz w:val="22"/>
                <w:szCs w:val="22"/>
              </w:rPr>
            </w:pPr>
            <w:r w:rsidRPr="00AE78C2">
              <w:rPr>
                <w:sz w:val="22"/>
                <w:szCs w:val="22"/>
              </w:rPr>
              <w:t>(proposed 2009, in consultation with states)</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xml:space="preserve">100% adherence with central line bundle </w:t>
            </w: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Yes</w:t>
            </w:r>
            <w:r w:rsidRPr="00AE78C2">
              <w:rPr>
                <w:sz w:val="22"/>
                <w:szCs w:val="22"/>
                <w:vertAlign w:val="superscript"/>
              </w:rPr>
              <w:t>†</w:t>
            </w:r>
          </w:p>
        </w:tc>
      </w:tr>
      <w:tr w:rsidR="002D036A" w:rsidRPr="00AE78C2" w:rsidTr="003C51E6">
        <w:trPr>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3a. C diff 1</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xml:space="preserve">Case rate per patient days; administrative/discharge data for ICD-9 CM coded </w:t>
            </w:r>
            <w:r w:rsidRPr="00AE78C2">
              <w:rPr>
                <w:i/>
                <w:sz w:val="22"/>
                <w:szCs w:val="22"/>
              </w:rPr>
              <w:t>Clostridium difficile</w:t>
            </w:r>
            <w:r w:rsidRPr="00AE78C2">
              <w:rPr>
                <w:sz w:val="22"/>
                <w:szCs w:val="22"/>
              </w:rPr>
              <w:t xml:space="preserve"> Infections</w:t>
            </w: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xml:space="preserve">Hospitalizations  with </w:t>
            </w:r>
            <w:r w:rsidRPr="00AE78C2">
              <w:rPr>
                <w:i/>
                <w:sz w:val="22"/>
                <w:szCs w:val="22"/>
              </w:rPr>
              <w:t>C.</w:t>
            </w:r>
            <w:r w:rsidRPr="00AE78C2">
              <w:rPr>
                <w:sz w:val="22"/>
                <w:szCs w:val="22"/>
              </w:rPr>
              <w:t xml:space="preserve"> </w:t>
            </w:r>
            <w:r w:rsidRPr="00AE78C2">
              <w:rPr>
                <w:i/>
                <w:sz w:val="22"/>
                <w:szCs w:val="22"/>
              </w:rPr>
              <w:t>difficile</w:t>
            </w:r>
            <w:r w:rsidRPr="00AE78C2">
              <w:rPr>
                <w:sz w:val="22"/>
                <w:szCs w:val="22"/>
              </w:rPr>
              <w:t xml:space="preserve"> per 1000 patient discharges</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Hospital discharge data</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2008</w:t>
            </w:r>
          </w:p>
          <w:p w:rsidR="002D036A" w:rsidRPr="00AE78C2" w:rsidRDefault="002D036A" w:rsidP="003C51E6">
            <w:pPr>
              <w:pStyle w:val="NormalWeb"/>
              <w:rPr>
                <w:sz w:val="22"/>
                <w:szCs w:val="22"/>
              </w:rPr>
            </w:pPr>
            <w:r w:rsidRPr="00AE78C2">
              <w:rPr>
                <w:sz w:val="22"/>
                <w:szCs w:val="22"/>
              </w:rPr>
              <w:t>(proposed 2008, in consultation with states)</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xml:space="preserve">At least 30% reduction in hospitalizations with </w:t>
            </w:r>
            <w:r w:rsidRPr="00AE78C2">
              <w:rPr>
                <w:i/>
                <w:sz w:val="22"/>
                <w:szCs w:val="22"/>
              </w:rPr>
              <w:t>C.</w:t>
            </w:r>
            <w:r w:rsidRPr="00AE78C2">
              <w:rPr>
                <w:sz w:val="22"/>
                <w:szCs w:val="22"/>
              </w:rPr>
              <w:t xml:space="preserve"> </w:t>
            </w:r>
            <w:r w:rsidRPr="00AE78C2">
              <w:rPr>
                <w:i/>
                <w:sz w:val="22"/>
                <w:szCs w:val="22"/>
              </w:rPr>
              <w:t>difficile</w:t>
            </w:r>
            <w:r w:rsidRPr="00AE78C2">
              <w:rPr>
                <w:sz w:val="22"/>
                <w:szCs w:val="22"/>
              </w:rPr>
              <w:t xml:space="preserve"> per 1000 patient discharges </w:t>
            </w:r>
          </w:p>
          <w:p w:rsidR="002D036A" w:rsidRPr="00AE78C2" w:rsidRDefault="002D036A" w:rsidP="003C51E6">
            <w:pPr>
              <w:pStyle w:val="NormalWeb"/>
              <w:rPr>
                <w:sz w:val="22"/>
                <w:szCs w:val="22"/>
              </w:rPr>
            </w:pPr>
            <w:r w:rsidRPr="00AE78C2">
              <w:rPr>
                <w:sz w:val="22"/>
                <w:szCs w:val="22"/>
              </w:rPr>
              <w:t> </w:t>
            </w: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AHRQ</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No</w:t>
            </w:r>
          </w:p>
        </w:tc>
      </w:tr>
      <w:tr w:rsidR="002D036A" w:rsidRPr="00AE78C2" w:rsidTr="003C51E6">
        <w:trPr>
          <w:trHeight w:val="1758"/>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3b. C diff 2</w:t>
            </w:r>
          </w:p>
          <w:p w:rsidR="002D036A" w:rsidRPr="00AE78C2" w:rsidRDefault="002D036A" w:rsidP="003C51E6">
            <w:pPr>
              <w:pStyle w:val="NormalWeb"/>
              <w:rPr>
                <w:sz w:val="22"/>
                <w:szCs w:val="22"/>
              </w:rPr>
            </w:pPr>
            <w:bookmarkStart w:id="7" w:name="OLE_LINK9"/>
            <w:bookmarkStart w:id="8" w:name="OLE_LINK10"/>
            <w:r w:rsidRPr="00AE78C2">
              <w:rPr>
                <w:sz w:val="22"/>
                <w:szCs w:val="22"/>
              </w:rPr>
              <w:t>(new)</w:t>
            </w:r>
            <w:bookmarkEnd w:id="7"/>
            <w:bookmarkEnd w:id="8"/>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i/>
                <w:iCs/>
                <w:sz w:val="22"/>
                <w:szCs w:val="22"/>
              </w:rPr>
              <w:t>C. difficile</w:t>
            </w:r>
            <w:r w:rsidRPr="00AE78C2">
              <w:rPr>
                <w:sz w:val="22"/>
                <w:szCs w:val="22"/>
              </w:rPr>
              <w:t xml:space="preserve"> SIR</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 NHSN MDRO/CDAD Module LabID</w:t>
            </w:r>
            <w:r w:rsidRPr="00AE78C2">
              <w:rPr>
                <w:sz w:val="22"/>
                <w:szCs w:val="22"/>
                <w:vertAlign w:val="superscript"/>
              </w:rPr>
              <w:t>‡</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2009-2010</w:t>
            </w:r>
          </w:p>
          <w:p w:rsidR="002D036A" w:rsidRPr="00AE78C2" w:rsidRDefault="002D036A" w:rsidP="003C51E6">
            <w:pPr>
              <w:pStyle w:val="NormalWeb"/>
              <w:rPr>
                <w:sz w:val="22"/>
                <w:szCs w:val="22"/>
              </w:rPr>
            </w:pP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xml:space="preserve">Reduce the facility-wide healthcare facility-onset </w:t>
            </w:r>
            <w:r w:rsidRPr="00AE78C2">
              <w:rPr>
                <w:i/>
                <w:iCs/>
                <w:sz w:val="22"/>
                <w:szCs w:val="22"/>
              </w:rPr>
              <w:t>C. difficile</w:t>
            </w:r>
            <w:r w:rsidR="000D161D" w:rsidRPr="00AE78C2">
              <w:rPr>
                <w:sz w:val="22"/>
                <w:szCs w:val="22"/>
              </w:rPr>
              <w:t xml:space="preserve"> LabID event SIR by at least 30</w:t>
            </w:r>
            <w:r w:rsidRPr="00AE78C2">
              <w:rPr>
                <w:sz w:val="22"/>
                <w:szCs w:val="22"/>
              </w:rPr>
              <w:t>% from baseline or to zero</w:t>
            </w: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No</w:t>
            </w:r>
          </w:p>
        </w:tc>
      </w:tr>
      <w:tr w:rsidR="002D036A" w:rsidRPr="00AE78C2" w:rsidTr="003C51E6">
        <w:trPr>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4. CAUTI 2</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of symptomatic UTI per 1,000 urinary catheter days </w:t>
            </w: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CAUTI SIR</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 NHSN Device-Associated Module</w:t>
            </w:r>
          </w:p>
          <w:p w:rsidR="002D036A" w:rsidRPr="00AE78C2" w:rsidRDefault="002D036A" w:rsidP="003C51E6">
            <w:pPr>
              <w:pStyle w:val="NormalWeb"/>
              <w:rPr>
                <w:sz w:val="22"/>
                <w:szCs w:val="22"/>
              </w:rPr>
            </w:pP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xml:space="preserve">2009 for ICUs and other locations </w:t>
            </w:r>
          </w:p>
          <w:p w:rsidR="002D036A" w:rsidRPr="00AE78C2" w:rsidRDefault="002D036A" w:rsidP="003C51E6">
            <w:pPr>
              <w:pStyle w:val="NormalWeb"/>
              <w:rPr>
                <w:sz w:val="22"/>
                <w:szCs w:val="22"/>
              </w:rPr>
            </w:pPr>
            <w:r w:rsidRPr="00AE78C2">
              <w:rPr>
                <w:sz w:val="22"/>
                <w:szCs w:val="22"/>
              </w:rPr>
              <w:t>2009 for other hospital units</w:t>
            </w:r>
          </w:p>
          <w:p w:rsidR="002D036A" w:rsidRPr="00AE78C2" w:rsidRDefault="002D036A" w:rsidP="003C51E6">
            <w:pPr>
              <w:pStyle w:val="NormalWeb"/>
              <w:rPr>
                <w:sz w:val="22"/>
                <w:szCs w:val="22"/>
              </w:rPr>
            </w:pPr>
            <w:r w:rsidRPr="00AE78C2">
              <w:rPr>
                <w:sz w:val="22"/>
                <w:szCs w:val="22"/>
              </w:rPr>
              <w:t xml:space="preserve">(proposed 2009, in consultation </w:t>
            </w:r>
            <w:r w:rsidRPr="00AE78C2">
              <w:rPr>
                <w:sz w:val="22"/>
                <w:szCs w:val="22"/>
              </w:rPr>
              <w:lastRenderedPageBreak/>
              <w:t>with states)</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lastRenderedPageBreak/>
              <w:t>Reduce the CAUTI SIR by at least 25% from baseline or to zero in ICU and other locations</w:t>
            </w:r>
          </w:p>
          <w:p w:rsidR="002D036A" w:rsidRPr="00AE78C2" w:rsidRDefault="002D036A" w:rsidP="003C51E6">
            <w:pPr>
              <w:pStyle w:val="NormalWeb"/>
              <w:rPr>
                <w:sz w:val="22"/>
                <w:szCs w:val="22"/>
              </w:rPr>
            </w:pPr>
            <w:r w:rsidRPr="00AE78C2">
              <w:rPr>
                <w:sz w:val="22"/>
                <w:szCs w:val="22"/>
              </w:rPr>
              <w:t> </w:t>
            </w: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Yes</w:t>
            </w:r>
            <w:r w:rsidRPr="00AE78C2">
              <w:rPr>
                <w:sz w:val="22"/>
                <w:szCs w:val="22"/>
                <w:vertAlign w:val="superscript"/>
              </w:rPr>
              <w:t>*</w:t>
            </w:r>
          </w:p>
        </w:tc>
      </w:tr>
      <w:tr w:rsidR="002D036A" w:rsidRPr="00AE78C2" w:rsidTr="00066FFC">
        <w:trPr>
          <w:trHeight w:val="1473"/>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lastRenderedPageBreak/>
              <w:t>5a. MRSA 1</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Incidence rate (number per 100,000 persons) of invasive MRSA infections</w:t>
            </w: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MRSA Incidence rate</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 EIP/ABCs</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2007-2008</w:t>
            </w:r>
          </w:p>
          <w:p w:rsidR="002D036A" w:rsidRPr="00AE78C2" w:rsidRDefault="002D036A" w:rsidP="003C51E6">
            <w:pPr>
              <w:pStyle w:val="NormalWeb"/>
              <w:rPr>
                <w:sz w:val="22"/>
                <w:szCs w:val="22"/>
              </w:rPr>
            </w:pPr>
            <w:r w:rsidRPr="00AE78C2" w:rsidDel="005D1603">
              <w:rPr>
                <w:sz w:val="22"/>
                <w:szCs w:val="22"/>
              </w:rPr>
              <w:t xml:space="preserve"> </w:t>
            </w:r>
            <w:r w:rsidRPr="00AE78C2">
              <w:rPr>
                <w:sz w:val="22"/>
                <w:szCs w:val="22"/>
              </w:rPr>
              <w:t>(for non-EIP states, MRSA metric to be developed in collaboration with EIP states)</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At least a 50% reduction in incidence of healthcare-associated invasive MRSA infections</w:t>
            </w: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No</w:t>
            </w:r>
          </w:p>
        </w:tc>
      </w:tr>
      <w:tr w:rsidR="002D036A" w:rsidRPr="00AE78C2" w:rsidTr="00066FFC">
        <w:trPr>
          <w:trHeight w:val="1773"/>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5b. MRSA 2</w:t>
            </w:r>
          </w:p>
          <w:p w:rsidR="002D036A" w:rsidRPr="00AE78C2" w:rsidRDefault="002D036A" w:rsidP="003C51E6">
            <w:pPr>
              <w:pStyle w:val="NormalWeb"/>
              <w:rPr>
                <w:sz w:val="22"/>
                <w:szCs w:val="22"/>
              </w:rPr>
            </w:pPr>
            <w:r w:rsidRPr="00AE78C2">
              <w:rPr>
                <w:sz w:val="22"/>
                <w:szCs w:val="22"/>
              </w:rPr>
              <w:t>(new)</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MRSA bacteremia SIR</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 NHSN MDRO/CDAD Module LabID</w:t>
            </w:r>
            <w:r w:rsidRPr="00AE78C2">
              <w:rPr>
                <w:sz w:val="22"/>
                <w:szCs w:val="22"/>
                <w:vertAlign w:val="superscript"/>
              </w:rPr>
              <w:t>‡</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2009-2010</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Reduce the facility-wide healthcare facility-onset MRSA bacteremia LabID event SIR by at least 25% from baseline or to zero</w:t>
            </w: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No</w:t>
            </w:r>
          </w:p>
        </w:tc>
      </w:tr>
      <w:tr w:rsidR="002D036A" w:rsidRPr="00AE78C2" w:rsidTr="003C51E6">
        <w:trPr>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6. SSI 1</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Deep incision and organ space infection rates using NHSN definitions (SCIP procedures)</w:t>
            </w: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SSI SIR</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 NHSN Procedure-Associated Module</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2006-2008</w:t>
            </w:r>
          </w:p>
          <w:p w:rsidR="002D036A" w:rsidRPr="00AE78C2" w:rsidRDefault="002D036A" w:rsidP="003C51E6">
            <w:pPr>
              <w:pStyle w:val="NormalWeb"/>
              <w:rPr>
                <w:sz w:val="22"/>
                <w:szCs w:val="22"/>
              </w:rPr>
            </w:pPr>
            <w:r w:rsidRPr="00AE78C2">
              <w:rPr>
                <w:sz w:val="22"/>
                <w:szCs w:val="22"/>
              </w:rPr>
              <w:t>(proposed 2009, in consultation with states)</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Reduce the admission and readmission SSI</w:t>
            </w:r>
            <w:r w:rsidRPr="00AE78C2">
              <w:rPr>
                <w:sz w:val="22"/>
                <w:szCs w:val="22"/>
                <w:vertAlign w:val="superscript"/>
              </w:rPr>
              <w:t>§</w:t>
            </w:r>
            <w:r w:rsidRPr="00AE78C2">
              <w:rPr>
                <w:sz w:val="22"/>
                <w:szCs w:val="22"/>
              </w:rPr>
              <w:t xml:space="preserve"> SIR by at least 25% from baseline or to zero</w:t>
            </w:r>
          </w:p>
          <w:p w:rsidR="002D036A" w:rsidRPr="00AE78C2" w:rsidRDefault="002D036A" w:rsidP="003C51E6">
            <w:pPr>
              <w:pStyle w:val="NormalWeb"/>
              <w:rPr>
                <w:sz w:val="22"/>
                <w:szCs w:val="22"/>
              </w:rPr>
            </w:pP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CDC</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Yes</w:t>
            </w:r>
            <w:r w:rsidRPr="00AE78C2">
              <w:rPr>
                <w:sz w:val="22"/>
                <w:szCs w:val="22"/>
                <w:vertAlign w:val="superscript"/>
              </w:rPr>
              <w:t>¶</w:t>
            </w:r>
          </w:p>
        </w:tc>
      </w:tr>
      <w:tr w:rsidR="002D036A" w:rsidRPr="00AE78C2" w:rsidTr="003C51E6">
        <w:trPr>
          <w:tblCellSpacing w:w="0" w:type="dxa"/>
        </w:trPr>
        <w:tc>
          <w:tcPr>
            <w:tcW w:w="127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7. SCIP 1 (formerly SSI 2)</w:t>
            </w:r>
          </w:p>
        </w:tc>
        <w:tc>
          <w:tcPr>
            <w:tcW w:w="182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 xml:space="preserve">Adherence to SCIP/NQF infection process measures </w:t>
            </w:r>
          </w:p>
        </w:tc>
        <w:tc>
          <w:tcPr>
            <w:tcW w:w="1681"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SCIP Adherence percentage</w:t>
            </w:r>
          </w:p>
        </w:tc>
        <w:tc>
          <w:tcPr>
            <w:tcW w:w="1359"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CMS SCIP</w:t>
            </w:r>
          </w:p>
        </w:tc>
        <w:tc>
          <w:tcPr>
            <w:tcW w:w="288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To be determined by CMS</w:t>
            </w:r>
          </w:p>
        </w:tc>
        <w:tc>
          <w:tcPr>
            <w:tcW w:w="270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At least 95% adherence to process measures to prevent surgical site infections</w:t>
            </w:r>
          </w:p>
        </w:tc>
        <w:tc>
          <w:tcPr>
            <w:tcW w:w="1440"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CMS</w:t>
            </w:r>
          </w:p>
        </w:tc>
        <w:tc>
          <w:tcPr>
            <w:tcW w:w="1295" w:type="dxa"/>
            <w:tcBorders>
              <w:top w:val="outset" w:sz="6" w:space="0" w:color="auto"/>
              <w:left w:val="outset" w:sz="6" w:space="0" w:color="auto"/>
              <w:bottom w:val="outset" w:sz="6" w:space="0" w:color="auto"/>
              <w:right w:val="outset" w:sz="6" w:space="0" w:color="auto"/>
            </w:tcBorders>
          </w:tcPr>
          <w:p w:rsidR="002D036A" w:rsidRPr="00AE78C2" w:rsidRDefault="002D036A" w:rsidP="003C51E6">
            <w:pPr>
              <w:pStyle w:val="NormalWeb"/>
              <w:rPr>
                <w:sz w:val="22"/>
                <w:szCs w:val="22"/>
              </w:rPr>
            </w:pPr>
            <w:r w:rsidRPr="00AE78C2">
              <w:rPr>
                <w:sz w:val="22"/>
                <w:szCs w:val="22"/>
              </w:rPr>
              <w:t>Yes</w:t>
            </w:r>
          </w:p>
        </w:tc>
      </w:tr>
    </w:tbl>
    <w:p w:rsidR="002D036A" w:rsidRPr="00AE78C2" w:rsidRDefault="002D036A" w:rsidP="002D036A">
      <w:pPr>
        <w:rPr>
          <w:sz w:val="22"/>
          <w:szCs w:val="22"/>
        </w:rPr>
      </w:pPr>
      <w:r w:rsidRPr="00AE78C2">
        <w:rPr>
          <w:sz w:val="22"/>
          <w:szCs w:val="22"/>
          <w:vertAlign w:val="superscript"/>
        </w:rPr>
        <w:t>*</w:t>
      </w:r>
      <w:r w:rsidRPr="00AE78C2">
        <w:rPr>
          <w:sz w:val="22"/>
          <w:szCs w:val="22"/>
        </w:rPr>
        <w:t xml:space="preserve"> NHSN SIR metric is derived from NQF-endorsed metric data</w:t>
      </w:r>
    </w:p>
    <w:p w:rsidR="002D036A" w:rsidRPr="00AE78C2" w:rsidRDefault="002D036A" w:rsidP="002D036A">
      <w:pPr>
        <w:rPr>
          <w:sz w:val="22"/>
          <w:szCs w:val="22"/>
        </w:rPr>
      </w:pPr>
      <w:r w:rsidRPr="00AE78C2">
        <w:rPr>
          <w:sz w:val="22"/>
          <w:szCs w:val="22"/>
          <w:vertAlign w:val="superscript"/>
        </w:rPr>
        <w:t xml:space="preserve">† </w:t>
      </w:r>
      <w:r w:rsidRPr="00AE78C2">
        <w:rPr>
          <w:sz w:val="22"/>
          <w:szCs w:val="22"/>
        </w:rPr>
        <w:t>NHSN does not collect information on daily review of line necessity, which is part of the NQF</w:t>
      </w:r>
    </w:p>
    <w:p w:rsidR="002D036A" w:rsidRPr="00AE78C2" w:rsidRDefault="002D036A" w:rsidP="002D036A">
      <w:pPr>
        <w:rPr>
          <w:sz w:val="22"/>
          <w:szCs w:val="22"/>
        </w:rPr>
      </w:pPr>
      <w:r w:rsidRPr="00AE78C2">
        <w:rPr>
          <w:sz w:val="22"/>
          <w:szCs w:val="22"/>
          <w:vertAlign w:val="superscript"/>
        </w:rPr>
        <w:t>‡</w:t>
      </w:r>
      <w:r w:rsidRPr="00AE78C2">
        <w:rPr>
          <w:sz w:val="22"/>
          <w:szCs w:val="22"/>
        </w:rPr>
        <w:t xml:space="preserve"> LabID, events reported through laboratory detection methods that produce proxy measures for infection surveillance </w:t>
      </w:r>
    </w:p>
    <w:p w:rsidR="002D036A" w:rsidRPr="00AE78C2" w:rsidRDefault="002D036A" w:rsidP="002D036A">
      <w:pPr>
        <w:rPr>
          <w:sz w:val="22"/>
          <w:szCs w:val="22"/>
        </w:rPr>
      </w:pPr>
      <w:r w:rsidRPr="00AE78C2">
        <w:rPr>
          <w:sz w:val="22"/>
          <w:szCs w:val="22"/>
          <w:vertAlign w:val="superscript"/>
        </w:rPr>
        <w:t>§</w:t>
      </w:r>
      <w:r w:rsidRPr="00AE78C2">
        <w:rPr>
          <w:sz w:val="22"/>
          <w:szCs w:val="22"/>
        </w:rPr>
        <w:t xml:space="preserve"> Inclusion of SSI events detected on admission and readmission reduces potential bias introduced by variability in post-discharge surveillance efforts  </w:t>
      </w:r>
    </w:p>
    <w:p w:rsidR="002D036A" w:rsidRPr="00AE78C2" w:rsidRDefault="002D036A" w:rsidP="002D036A">
      <w:pPr>
        <w:rPr>
          <w:sz w:val="22"/>
          <w:szCs w:val="22"/>
        </w:rPr>
      </w:pPr>
      <w:r w:rsidRPr="00AE78C2">
        <w:rPr>
          <w:sz w:val="22"/>
          <w:szCs w:val="22"/>
          <w:vertAlign w:val="superscript"/>
        </w:rPr>
        <w:t>¶</w:t>
      </w:r>
      <w:r w:rsidRPr="00AE78C2">
        <w:rPr>
          <w:sz w:val="22"/>
          <w:szCs w:val="22"/>
        </w:rPr>
        <w:t xml:space="preserve"> The NQF-endorsed metric includes deep wound and organ space SSIs only which are included the target.</w:t>
      </w:r>
    </w:p>
    <w:p w:rsidR="002C5619" w:rsidRPr="00AE78C2" w:rsidRDefault="002C5619" w:rsidP="002D036A">
      <w:pPr>
        <w:rPr>
          <w:b/>
          <w:bCs/>
          <w:sz w:val="22"/>
          <w:szCs w:val="22"/>
        </w:rPr>
      </w:pPr>
    </w:p>
    <w:p w:rsidR="002C5619" w:rsidRPr="00AE78C2" w:rsidRDefault="002C5619" w:rsidP="002D036A">
      <w:pPr>
        <w:rPr>
          <w:b/>
          <w:bCs/>
          <w:sz w:val="22"/>
          <w:szCs w:val="22"/>
        </w:rPr>
      </w:pPr>
    </w:p>
    <w:p w:rsidR="002C5619" w:rsidRPr="00AE78C2" w:rsidRDefault="002C5619" w:rsidP="002D036A">
      <w:pPr>
        <w:rPr>
          <w:b/>
          <w:bCs/>
          <w:sz w:val="22"/>
          <w:szCs w:val="22"/>
        </w:rPr>
      </w:pPr>
    </w:p>
    <w:p w:rsidR="002C5619" w:rsidRPr="00AE78C2" w:rsidRDefault="002C5619" w:rsidP="002D036A">
      <w:pPr>
        <w:rPr>
          <w:b/>
          <w:bCs/>
          <w:sz w:val="22"/>
          <w:szCs w:val="22"/>
        </w:rPr>
      </w:pPr>
    </w:p>
    <w:p w:rsidR="002C5619" w:rsidRPr="00AE78C2" w:rsidRDefault="002C5619" w:rsidP="002D036A">
      <w:pPr>
        <w:rPr>
          <w:b/>
          <w:bCs/>
          <w:sz w:val="22"/>
          <w:szCs w:val="22"/>
        </w:rPr>
      </w:pPr>
    </w:p>
    <w:p w:rsidR="002D036A" w:rsidRPr="00AE78C2" w:rsidRDefault="002D036A" w:rsidP="002D036A">
      <w:pPr>
        <w:rPr>
          <w:b/>
          <w:bCs/>
          <w:sz w:val="22"/>
          <w:szCs w:val="22"/>
        </w:rPr>
      </w:pPr>
      <w:r w:rsidRPr="00AE78C2">
        <w:rPr>
          <w:b/>
          <w:bCs/>
          <w:sz w:val="22"/>
          <w:szCs w:val="22"/>
        </w:rPr>
        <w:t>Understanding the Relationship between HAI Rate and SIR Comparison Metrics</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 xml:space="preserve">The Original HAI Elimination Metrics listed above are very useful for performing evaluations.  Several of these metrics are based on the science employed in the NHSN.  For example, metric #1 (CLABSI 1) for CLABSI events measures the number of CLABSI events per 1000 device (central line) days by ICU and other locations.  While national aggregate CLABSI data are published in the annual NHSN Reports these rates </w:t>
      </w:r>
      <w:r w:rsidR="001B053C" w:rsidRPr="00AE78C2">
        <w:rPr>
          <w:sz w:val="22"/>
          <w:szCs w:val="22"/>
        </w:rPr>
        <w:t xml:space="preserve">must </w:t>
      </w:r>
      <w:r w:rsidRPr="00AE78C2">
        <w:rPr>
          <w:sz w:val="22"/>
          <w:szCs w:val="22"/>
        </w:rPr>
        <w:t>be stratified by types of locations to be risk-adjusted.  This scientifically sound risk-adjustment strategy creates a practical challenge to summarizing this information nationally, regionally or even for an individual healthcare facility.  For instance, when comparing CLABSI rates, there may be a number of different types of locations for which a CLABSI rate could be reported.  Given CLABSI rates among 15 different types of locations, one may observe many different combinations of patterns of temporal changes.  This raises the need for a way to combine CLABSI rate data across location types.</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A standardized infection ratio (SIR) is identical in concept to a standardized mortality ratio and can be used as an indirect standardization method for summarizing HAI experience across any number of stratified groups of data.  To illustrate the method for calculating an SIR and understand how it could be used as an HAI comparison metric, the following example data are displayed below:</w:t>
      </w:r>
    </w:p>
    <w:p w:rsidR="002D036A" w:rsidRPr="00AE78C2" w:rsidRDefault="002D036A" w:rsidP="002D036A">
      <w:pPr>
        <w:rPr>
          <w:sz w:val="22"/>
          <w:szCs w:val="22"/>
        </w:rPr>
      </w:pPr>
    </w:p>
    <w:p w:rsidR="002D036A" w:rsidRPr="00AE78C2" w:rsidRDefault="002D036A" w:rsidP="002D036A">
      <w:pPr>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2340"/>
        <w:gridCol w:w="1800"/>
        <w:gridCol w:w="1256"/>
        <w:gridCol w:w="2160"/>
        <w:gridCol w:w="1800"/>
      </w:tblGrid>
      <w:tr w:rsidR="002D036A" w:rsidRPr="00AE78C2" w:rsidTr="006B742F">
        <w:tc>
          <w:tcPr>
            <w:tcW w:w="1800" w:type="dxa"/>
            <w:shd w:val="clear" w:color="auto" w:fill="auto"/>
          </w:tcPr>
          <w:p w:rsidR="002D036A" w:rsidRPr="00AE78C2" w:rsidRDefault="002D036A" w:rsidP="006B742F">
            <w:pPr>
              <w:jc w:val="center"/>
              <w:rPr>
                <w:b/>
                <w:bCs/>
                <w:sz w:val="22"/>
                <w:szCs w:val="22"/>
              </w:rPr>
            </w:pPr>
            <w:r w:rsidRPr="00AE78C2">
              <w:rPr>
                <w:b/>
                <w:bCs/>
                <w:sz w:val="22"/>
                <w:szCs w:val="22"/>
              </w:rPr>
              <w:t>Risk Group Stratifier</w:t>
            </w:r>
          </w:p>
        </w:tc>
        <w:tc>
          <w:tcPr>
            <w:tcW w:w="5580" w:type="dxa"/>
            <w:gridSpan w:val="3"/>
            <w:tcBorders>
              <w:left w:val="single" w:sz="12" w:space="0" w:color="auto"/>
              <w:right w:val="single" w:sz="24" w:space="0" w:color="auto"/>
            </w:tcBorders>
          </w:tcPr>
          <w:p w:rsidR="002D036A" w:rsidRPr="00AE78C2" w:rsidRDefault="002D036A" w:rsidP="006B742F">
            <w:pPr>
              <w:jc w:val="center"/>
              <w:rPr>
                <w:b/>
                <w:bCs/>
                <w:sz w:val="22"/>
                <w:szCs w:val="22"/>
              </w:rPr>
            </w:pPr>
            <w:r w:rsidRPr="00AE78C2">
              <w:rPr>
                <w:b/>
                <w:bCs/>
                <w:sz w:val="22"/>
                <w:szCs w:val="22"/>
              </w:rPr>
              <w:t>Observed CLABSI Rates</w:t>
            </w:r>
          </w:p>
        </w:tc>
        <w:tc>
          <w:tcPr>
            <w:tcW w:w="5216" w:type="dxa"/>
            <w:gridSpan w:val="3"/>
            <w:tcBorders>
              <w:left w:val="single" w:sz="24" w:space="0" w:color="auto"/>
            </w:tcBorders>
            <w:shd w:val="clear" w:color="auto" w:fill="auto"/>
          </w:tcPr>
          <w:p w:rsidR="002D036A" w:rsidRPr="00AE78C2" w:rsidRDefault="002D036A" w:rsidP="006B742F">
            <w:pPr>
              <w:jc w:val="center"/>
              <w:rPr>
                <w:b/>
                <w:bCs/>
                <w:sz w:val="22"/>
                <w:szCs w:val="22"/>
              </w:rPr>
            </w:pPr>
            <w:r w:rsidRPr="00AE78C2">
              <w:rPr>
                <w:b/>
                <w:bCs/>
                <w:sz w:val="22"/>
                <w:szCs w:val="22"/>
              </w:rPr>
              <w:t>NHSN CLABSI Rates for 2008</w:t>
            </w:r>
          </w:p>
          <w:p w:rsidR="002D036A" w:rsidRPr="00AE78C2" w:rsidRDefault="002D036A" w:rsidP="006B742F">
            <w:pPr>
              <w:jc w:val="center"/>
              <w:rPr>
                <w:b/>
                <w:bCs/>
                <w:sz w:val="22"/>
                <w:szCs w:val="22"/>
              </w:rPr>
            </w:pPr>
            <w:r w:rsidRPr="00AE78C2">
              <w:rPr>
                <w:b/>
                <w:bCs/>
                <w:sz w:val="22"/>
                <w:szCs w:val="22"/>
              </w:rPr>
              <w:t>(Standard Population)</w:t>
            </w:r>
          </w:p>
          <w:p w:rsidR="002D036A" w:rsidRPr="00AE78C2" w:rsidRDefault="002D036A" w:rsidP="006B742F">
            <w:pPr>
              <w:jc w:val="center"/>
              <w:rPr>
                <w:b/>
                <w:bCs/>
                <w:sz w:val="22"/>
                <w:szCs w:val="22"/>
              </w:rPr>
            </w:pPr>
          </w:p>
        </w:tc>
      </w:tr>
      <w:tr w:rsidR="002D036A" w:rsidRPr="00AE78C2" w:rsidTr="006B742F">
        <w:tc>
          <w:tcPr>
            <w:tcW w:w="1800" w:type="dxa"/>
            <w:shd w:val="clear" w:color="auto" w:fill="auto"/>
          </w:tcPr>
          <w:p w:rsidR="002D036A" w:rsidRPr="00AE78C2" w:rsidRDefault="002D036A" w:rsidP="006B742F">
            <w:pPr>
              <w:jc w:val="center"/>
              <w:rPr>
                <w:b/>
                <w:bCs/>
                <w:sz w:val="22"/>
                <w:szCs w:val="22"/>
              </w:rPr>
            </w:pPr>
            <w:r w:rsidRPr="00AE78C2">
              <w:rPr>
                <w:b/>
                <w:bCs/>
                <w:sz w:val="22"/>
                <w:szCs w:val="22"/>
              </w:rPr>
              <w:t>Location Type</w:t>
            </w:r>
          </w:p>
        </w:tc>
        <w:tc>
          <w:tcPr>
            <w:tcW w:w="1440" w:type="dxa"/>
            <w:tcBorders>
              <w:left w:val="single" w:sz="12" w:space="0" w:color="auto"/>
            </w:tcBorders>
            <w:vAlign w:val="bottom"/>
          </w:tcPr>
          <w:p w:rsidR="002D036A" w:rsidRPr="00AE78C2" w:rsidRDefault="002D036A" w:rsidP="006B742F">
            <w:pPr>
              <w:jc w:val="center"/>
              <w:rPr>
                <w:b/>
                <w:bCs/>
                <w:sz w:val="22"/>
                <w:szCs w:val="22"/>
              </w:rPr>
            </w:pPr>
            <w:r w:rsidRPr="00AE78C2">
              <w:rPr>
                <w:b/>
                <w:bCs/>
                <w:sz w:val="22"/>
                <w:szCs w:val="22"/>
              </w:rPr>
              <w:t>#CLABSI</w:t>
            </w:r>
          </w:p>
        </w:tc>
        <w:tc>
          <w:tcPr>
            <w:tcW w:w="2340" w:type="dxa"/>
            <w:vAlign w:val="bottom"/>
          </w:tcPr>
          <w:p w:rsidR="002D036A" w:rsidRPr="00AE78C2" w:rsidRDefault="002D036A" w:rsidP="006B742F">
            <w:pPr>
              <w:jc w:val="center"/>
              <w:rPr>
                <w:b/>
                <w:bCs/>
                <w:sz w:val="22"/>
                <w:szCs w:val="22"/>
              </w:rPr>
            </w:pPr>
            <w:r w:rsidRPr="00AE78C2">
              <w:rPr>
                <w:b/>
                <w:bCs/>
                <w:sz w:val="22"/>
                <w:szCs w:val="22"/>
              </w:rPr>
              <w:t>#Central line-days</w:t>
            </w:r>
          </w:p>
        </w:tc>
        <w:tc>
          <w:tcPr>
            <w:tcW w:w="1800" w:type="dxa"/>
            <w:tcBorders>
              <w:right w:val="single" w:sz="24" w:space="0" w:color="auto"/>
            </w:tcBorders>
            <w:vAlign w:val="bottom"/>
          </w:tcPr>
          <w:p w:rsidR="002D036A" w:rsidRPr="00AE78C2" w:rsidRDefault="002D036A" w:rsidP="006B742F">
            <w:pPr>
              <w:jc w:val="center"/>
              <w:rPr>
                <w:b/>
                <w:bCs/>
                <w:sz w:val="22"/>
                <w:szCs w:val="22"/>
              </w:rPr>
            </w:pPr>
            <w:r w:rsidRPr="00AE78C2">
              <w:rPr>
                <w:b/>
                <w:bCs/>
                <w:sz w:val="22"/>
                <w:szCs w:val="22"/>
              </w:rPr>
              <w:t>CLABSI rate</w:t>
            </w:r>
            <w:r w:rsidRPr="00AE78C2">
              <w:rPr>
                <w:b/>
                <w:bCs/>
                <w:sz w:val="22"/>
                <w:szCs w:val="22"/>
                <w:vertAlign w:val="superscript"/>
              </w:rPr>
              <w:t>*</w:t>
            </w:r>
          </w:p>
        </w:tc>
        <w:tc>
          <w:tcPr>
            <w:tcW w:w="1256" w:type="dxa"/>
            <w:tcBorders>
              <w:left w:val="single" w:sz="24" w:space="0" w:color="auto"/>
            </w:tcBorders>
            <w:shd w:val="clear" w:color="auto" w:fill="auto"/>
            <w:vAlign w:val="bottom"/>
          </w:tcPr>
          <w:p w:rsidR="002D036A" w:rsidRPr="00AE78C2" w:rsidRDefault="002D036A" w:rsidP="006B742F">
            <w:pPr>
              <w:jc w:val="center"/>
              <w:rPr>
                <w:b/>
                <w:bCs/>
                <w:sz w:val="22"/>
                <w:szCs w:val="22"/>
              </w:rPr>
            </w:pPr>
            <w:r w:rsidRPr="00AE78C2">
              <w:rPr>
                <w:b/>
                <w:bCs/>
                <w:sz w:val="22"/>
                <w:szCs w:val="22"/>
              </w:rPr>
              <w:t>#CLABSI</w:t>
            </w:r>
          </w:p>
        </w:tc>
        <w:tc>
          <w:tcPr>
            <w:tcW w:w="2160" w:type="dxa"/>
            <w:shd w:val="clear" w:color="auto" w:fill="auto"/>
            <w:vAlign w:val="bottom"/>
          </w:tcPr>
          <w:p w:rsidR="002D036A" w:rsidRPr="00AE78C2" w:rsidRDefault="002D036A" w:rsidP="006B742F">
            <w:pPr>
              <w:jc w:val="center"/>
              <w:rPr>
                <w:b/>
                <w:bCs/>
                <w:sz w:val="22"/>
                <w:szCs w:val="22"/>
              </w:rPr>
            </w:pPr>
            <w:r w:rsidRPr="00AE78C2">
              <w:rPr>
                <w:b/>
                <w:bCs/>
                <w:sz w:val="22"/>
                <w:szCs w:val="22"/>
              </w:rPr>
              <w:t>#Central line-days</w:t>
            </w:r>
          </w:p>
        </w:tc>
        <w:tc>
          <w:tcPr>
            <w:tcW w:w="1800" w:type="dxa"/>
            <w:shd w:val="clear" w:color="auto" w:fill="auto"/>
            <w:vAlign w:val="bottom"/>
          </w:tcPr>
          <w:p w:rsidR="002D036A" w:rsidRPr="00AE78C2" w:rsidRDefault="002D036A" w:rsidP="006B742F">
            <w:pPr>
              <w:jc w:val="center"/>
              <w:rPr>
                <w:b/>
                <w:bCs/>
                <w:sz w:val="22"/>
                <w:szCs w:val="22"/>
              </w:rPr>
            </w:pPr>
            <w:r w:rsidRPr="00AE78C2">
              <w:rPr>
                <w:b/>
                <w:bCs/>
                <w:sz w:val="22"/>
                <w:szCs w:val="22"/>
              </w:rPr>
              <w:t>CLABSI rate</w:t>
            </w:r>
            <w:r w:rsidRPr="00AE78C2">
              <w:rPr>
                <w:b/>
                <w:bCs/>
                <w:sz w:val="22"/>
                <w:szCs w:val="22"/>
                <w:vertAlign w:val="superscript"/>
              </w:rPr>
              <w:t>*</w:t>
            </w:r>
          </w:p>
        </w:tc>
      </w:tr>
      <w:tr w:rsidR="002D036A" w:rsidRPr="00AE78C2" w:rsidTr="006B742F">
        <w:trPr>
          <w:trHeight w:val="503"/>
        </w:trPr>
        <w:tc>
          <w:tcPr>
            <w:tcW w:w="1800" w:type="dxa"/>
            <w:vAlign w:val="center"/>
          </w:tcPr>
          <w:p w:rsidR="002D036A" w:rsidRPr="00AE78C2" w:rsidRDefault="002D036A" w:rsidP="006B742F">
            <w:pPr>
              <w:jc w:val="center"/>
              <w:rPr>
                <w:sz w:val="22"/>
                <w:szCs w:val="22"/>
              </w:rPr>
            </w:pPr>
            <w:r w:rsidRPr="00AE78C2">
              <w:rPr>
                <w:sz w:val="22"/>
                <w:szCs w:val="22"/>
              </w:rPr>
              <w:t>ICU</w:t>
            </w:r>
          </w:p>
        </w:tc>
        <w:tc>
          <w:tcPr>
            <w:tcW w:w="1440" w:type="dxa"/>
            <w:tcBorders>
              <w:left w:val="single" w:sz="12" w:space="0" w:color="auto"/>
            </w:tcBorders>
            <w:vAlign w:val="center"/>
          </w:tcPr>
          <w:p w:rsidR="002D036A" w:rsidRPr="00AE78C2" w:rsidRDefault="002D036A" w:rsidP="006B742F">
            <w:pPr>
              <w:jc w:val="center"/>
              <w:rPr>
                <w:sz w:val="22"/>
                <w:szCs w:val="22"/>
              </w:rPr>
            </w:pPr>
            <w:r w:rsidRPr="00AE78C2">
              <w:rPr>
                <w:sz w:val="22"/>
                <w:szCs w:val="22"/>
              </w:rPr>
              <w:t>170</w:t>
            </w:r>
          </w:p>
        </w:tc>
        <w:tc>
          <w:tcPr>
            <w:tcW w:w="2340" w:type="dxa"/>
            <w:vAlign w:val="center"/>
          </w:tcPr>
          <w:p w:rsidR="002D036A" w:rsidRPr="00AE78C2" w:rsidRDefault="002D036A" w:rsidP="006B742F">
            <w:pPr>
              <w:jc w:val="center"/>
              <w:rPr>
                <w:sz w:val="22"/>
                <w:szCs w:val="22"/>
              </w:rPr>
            </w:pPr>
            <w:r w:rsidRPr="00AE78C2">
              <w:rPr>
                <w:sz w:val="22"/>
                <w:szCs w:val="22"/>
              </w:rPr>
              <w:t>100,000</w:t>
            </w:r>
          </w:p>
        </w:tc>
        <w:tc>
          <w:tcPr>
            <w:tcW w:w="1800" w:type="dxa"/>
            <w:tcBorders>
              <w:right w:val="single" w:sz="24" w:space="0" w:color="auto"/>
            </w:tcBorders>
            <w:vAlign w:val="center"/>
          </w:tcPr>
          <w:p w:rsidR="002D036A" w:rsidRPr="00AE78C2" w:rsidRDefault="002D036A" w:rsidP="006B742F">
            <w:pPr>
              <w:jc w:val="center"/>
              <w:rPr>
                <w:sz w:val="22"/>
                <w:szCs w:val="22"/>
              </w:rPr>
            </w:pPr>
            <w:r w:rsidRPr="00AE78C2">
              <w:rPr>
                <w:sz w:val="22"/>
                <w:szCs w:val="22"/>
              </w:rPr>
              <w:t>1.7</w:t>
            </w:r>
          </w:p>
        </w:tc>
        <w:tc>
          <w:tcPr>
            <w:tcW w:w="1256" w:type="dxa"/>
            <w:tcBorders>
              <w:left w:val="single" w:sz="24" w:space="0" w:color="auto"/>
            </w:tcBorders>
            <w:shd w:val="clear" w:color="auto" w:fill="auto"/>
            <w:vAlign w:val="center"/>
          </w:tcPr>
          <w:p w:rsidR="002D036A" w:rsidRPr="00AE78C2" w:rsidRDefault="002D036A" w:rsidP="006B742F">
            <w:pPr>
              <w:jc w:val="center"/>
              <w:rPr>
                <w:sz w:val="22"/>
                <w:szCs w:val="22"/>
              </w:rPr>
            </w:pPr>
            <w:r w:rsidRPr="00AE78C2">
              <w:rPr>
                <w:sz w:val="22"/>
                <w:szCs w:val="22"/>
              </w:rPr>
              <w:t>1200</w:t>
            </w:r>
          </w:p>
        </w:tc>
        <w:tc>
          <w:tcPr>
            <w:tcW w:w="2160" w:type="dxa"/>
            <w:shd w:val="clear" w:color="auto" w:fill="auto"/>
            <w:vAlign w:val="center"/>
          </w:tcPr>
          <w:p w:rsidR="002D036A" w:rsidRPr="00AE78C2" w:rsidRDefault="002D036A" w:rsidP="006B742F">
            <w:pPr>
              <w:jc w:val="center"/>
              <w:rPr>
                <w:sz w:val="22"/>
                <w:szCs w:val="22"/>
              </w:rPr>
            </w:pPr>
            <w:r w:rsidRPr="00AE78C2">
              <w:rPr>
                <w:sz w:val="22"/>
                <w:szCs w:val="22"/>
              </w:rPr>
              <w:t>600,000</w:t>
            </w:r>
          </w:p>
        </w:tc>
        <w:tc>
          <w:tcPr>
            <w:tcW w:w="1800" w:type="dxa"/>
            <w:shd w:val="clear" w:color="auto" w:fill="auto"/>
            <w:vAlign w:val="center"/>
          </w:tcPr>
          <w:p w:rsidR="002D036A" w:rsidRPr="00AE78C2" w:rsidRDefault="002D036A" w:rsidP="006B742F">
            <w:pPr>
              <w:jc w:val="center"/>
              <w:rPr>
                <w:sz w:val="22"/>
                <w:szCs w:val="22"/>
              </w:rPr>
            </w:pPr>
            <w:r w:rsidRPr="00AE78C2">
              <w:rPr>
                <w:sz w:val="22"/>
                <w:szCs w:val="22"/>
              </w:rPr>
              <w:t>2.0</w:t>
            </w:r>
          </w:p>
        </w:tc>
      </w:tr>
      <w:tr w:rsidR="002D036A" w:rsidRPr="00AE78C2" w:rsidTr="006B742F">
        <w:trPr>
          <w:trHeight w:val="530"/>
        </w:trPr>
        <w:tc>
          <w:tcPr>
            <w:tcW w:w="1800" w:type="dxa"/>
            <w:tcBorders>
              <w:bottom w:val="single" w:sz="12" w:space="0" w:color="auto"/>
            </w:tcBorders>
            <w:vAlign w:val="center"/>
          </w:tcPr>
          <w:p w:rsidR="002D036A" w:rsidRPr="00AE78C2" w:rsidRDefault="002D036A" w:rsidP="006B742F">
            <w:pPr>
              <w:jc w:val="center"/>
              <w:rPr>
                <w:sz w:val="22"/>
                <w:szCs w:val="22"/>
              </w:rPr>
            </w:pPr>
            <w:r w:rsidRPr="00AE78C2">
              <w:rPr>
                <w:sz w:val="22"/>
                <w:szCs w:val="22"/>
              </w:rPr>
              <w:t>WARD</w:t>
            </w:r>
          </w:p>
        </w:tc>
        <w:tc>
          <w:tcPr>
            <w:tcW w:w="1440" w:type="dxa"/>
            <w:tcBorders>
              <w:left w:val="single" w:sz="12" w:space="0" w:color="auto"/>
              <w:bottom w:val="single" w:sz="12" w:space="0" w:color="auto"/>
            </w:tcBorders>
            <w:vAlign w:val="center"/>
          </w:tcPr>
          <w:p w:rsidR="002D036A" w:rsidRPr="00AE78C2" w:rsidRDefault="002D036A" w:rsidP="006B742F">
            <w:pPr>
              <w:jc w:val="center"/>
              <w:rPr>
                <w:sz w:val="22"/>
                <w:szCs w:val="22"/>
              </w:rPr>
            </w:pPr>
            <w:r w:rsidRPr="00AE78C2">
              <w:rPr>
                <w:sz w:val="22"/>
                <w:szCs w:val="22"/>
              </w:rPr>
              <w:t>58</w:t>
            </w:r>
          </w:p>
        </w:tc>
        <w:tc>
          <w:tcPr>
            <w:tcW w:w="2340" w:type="dxa"/>
            <w:tcBorders>
              <w:bottom w:val="single" w:sz="12" w:space="0" w:color="auto"/>
            </w:tcBorders>
            <w:vAlign w:val="center"/>
          </w:tcPr>
          <w:p w:rsidR="002D036A" w:rsidRPr="00AE78C2" w:rsidRDefault="002D036A" w:rsidP="006B742F">
            <w:pPr>
              <w:jc w:val="center"/>
              <w:rPr>
                <w:sz w:val="22"/>
                <w:szCs w:val="22"/>
              </w:rPr>
            </w:pPr>
            <w:r w:rsidRPr="00AE78C2">
              <w:rPr>
                <w:sz w:val="22"/>
                <w:szCs w:val="22"/>
              </w:rPr>
              <w:t>58,000</w:t>
            </w:r>
          </w:p>
        </w:tc>
        <w:tc>
          <w:tcPr>
            <w:tcW w:w="1800" w:type="dxa"/>
            <w:tcBorders>
              <w:bottom w:val="single" w:sz="12" w:space="0" w:color="auto"/>
              <w:right w:val="single" w:sz="24" w:space="0" w:color="auto"/>
            </w:tcBorders>
            <w:vAlign w:val="center"/>
          </w:tcPr>
          <w:p w:rsidR="002D036A" w:rsidRPr="00AE78C2" w:rsidRDefault="002D036A" w:rsidP="006B742F">
            <w:pPr>
              <w:jc w:val="center"/>
              <w:rPr>
                <w:sz w:val="22"/>
                <w:szCs w:val="22"/>
              </w:rPr>
            </w:pPr>
            <w:r w:rsidRPr="00AE78C2">
              <w:rPr>
                <w:sz w:val="22"/>
                <w:szCs w:val="22"/>
              </w:rPr>
              <w:t>1.0</w:t>
            </w:r>
          </w:p>
        </w:tc>
        <w:tc>
          <w:tcPr>
            <w:tcW w:w="1256" w:type="dxa"/>
            <w:tcBorders>
              <w:left w:val="single" w:sz="24" w:space="0" w:color="auto"/>
              <w:bottom w:val="single" w:sz="12" w:space="0" w:color="auto"/>
            </w:tcBorders>
            <w:shd w:val="clear" w:color="auto" w:fill="auto"/>
            <w:vAlign w:val="center"/>
          </w:tcPr>
          <w:p w:rsidR="002D036A" w:rsidRPr="00AE78C2" w:rsidRDefault="002D036A" w:rsidP="006B742F">
            <w:pPr>
              <w:jc w:val="center"/>
              <w:rPr>
                <w:sz w:val="22"/>
                <w:szCs w:val="22"/>
              </w:rPr>
            </w:pPr>
            <w:r w:rsidRPr="00AE78C2">
              <w:rPr>
                <w:sz w:val="22"/>
                <w:szCs w:val="22"/>
              </w:rPr>
              <w:t>600</w:t>
            </w:r>
          </w:p>
        </w:tc>
        <w:tc>
          <w:tcPr>
            <w:tcW w:w="2160" w:type="dxa"/>
            <w:tcBorders>
              <w:bottom w:val="single" w:sz="12" w:space="0" w:color="auto"/>
            </w:tcBorders>
            <w:shd w:val="clear" w:color="auto" w:fill="auto"/>
            <w:vAlign w:val="center"/>
          </w:tcPr>
          <w:p w:rsidR="002D036A" w:rsidRPr="00AE78C2" w:rsidRDefault="002D036A" w:rsidP="006B742F">
            <w:pPr>
              <w:jc w:val="center"/>
              <w:rPr>
                <w:sz w:val="22"/>
                <w:szCs w:val="22"/>
              </w:rPr>
            </w:pPr>
            <w:r w:rsidRPr="00AE78C2">
              <w:rPr>
                <w:sz w:val="22"/>
                <w:szCs w:val="22"/>
              </w:rPr>
              <w:t>400,000</w:t>
            </w:r>
          </w:p>
        </w:tc>
        <w:tc>
          <w:tcPr>
            <w:tcW w:w="1800" w:type="dxa"/>
            <w:tcBorders>
              <w:bottom w:val="single" w:sz="12" w:space="0" w:color="auto"/>
            </w:tcBorders>
            <w:shd w:val="clear" w:color="auto" w:fill="auto"/>
            <w:vAlign w:val="center"/>
          </w:tcPr>
          <w:p w:rsidR="002D036A" w:rsidRPr="00AE78C2" w:rsidRDefault="002D036A" w:rsidP="006B742F">
            <w:pPr>
              <w:jc w:val="center"/>
              <w:rPr>
                <w:sz w:val="22"/>
                <w:szCs w:val="22"/>
              </w:rPr>
            </w:pPr>
            <w:r w:rsidRPr="00AE78C2">
              <w:rPr>
                <w:sz w:val="22"/>
                <w:szCs w:val="22"/>
              </w:rPr>
              <w:t>1.5</w:t>
            </w:r>
          </w:p>
        </w:tc>
      </w:tr>
      <w:tr w:rsidR="002D036A" w:rsidRPr="00AE78C2" w:rsidTr="006B742F">
        <w:trPr>
          <w:trHeight w:val="152"/>
        </w:trPr>
        <w:tc>
          <w:tcPr>
            <w:tcW w:w="1800" w:type="dxa"/>
            <w:tcBorders>
              <w:top w:val="single" w:sz="12" w:space="0" w:color="auto"/>
              <w:bottom w:val="single" w:sz="12" w:space="0" w:color="auto"/>
            </w:tcBorders>
            <w:vAlign w:val="center"/>
          </w:tcPr>
          <w:p w:rsidR="002D036A" w:rsidRPr="00AE78C2" w:rsidRDefault="002D036A" w:rsidP="003C51E6">
            <w:pPr>
              <w:rPr>
                <w:sz w:val="22"/>
                <w:szCs w:val="22"/>
              </w:rPr>
            </w:pPr>
          </w:p>
        </w:tc>
        <w:tc>
          <w:tcPr>
            <w:tcW w:w="5580" w:type="dxa"/>
            <w:gridSpan w:val="3"/>
            <w:tcBorders>
              <w:top w:val="single" w:sz="12" w:space="0" w:color="auto"/>
              <w:left w:val="single" w:sz="12" w:space="0" w:color="auto"/>
              <w:bottom w:val="single" w:sz="12" w:space="0" w:color="auto"/>
              <w:right w:val="single" w:sz="24" w:space="0" w:color="auto"/>
            </w:tcBorders>
            <w:vAlign w:val="center"/>
          </w:tcPr>
          <w:p w:rsidR="002D036A" w:rsidRPr="00AE78C2" w:rsidRDefault="002D036A" w:rsidP="006B742F">
            <w:pPr>
              <w:jc w:val="center"/>
              <w:rPr>
                <w:sz w:val="22"/>
                <w:szCs w:val="22"/>
              </w:rPr>
            </w:pPr>
          </w:p>
        </w:tc>
        <w:tc>
          <w:tcPr>
            <w:tcW w:w="5216" w:type="dxa"/>
            <w:gridSpan w:val="3"/>
            <w:tcBorders>
              <w:top w:val="single" w:sz="12" w:space="0" w:color="auto"/>
              <w:left w:val="single" w:sz="24" w:space="0" w:color="auto"/>
              <w:bottom w:val="single" w:sz="12" w:space="0" w:color="auto"/>
            </w:tcBorders>
            <w:shd w:val="clear" w:color="auto" w:fill="auto"/>
            <w:vAlign w:val="center"/>
          </w:tcPr>
          <w:p w:rsidR="002D036A" w:rsidRPr="00AE78C2" w:rsidRDefault="002D036A" w:rsidP="006B742F">
            <w:pPr>
              <w:jc w:val="center"/>
              <w:rPr>
                <w:sz w:val="22"/>
                <w:szCs w:val="22"/>
              </w:rPr>
            </w:pPr>
          </w:p>
        </w:tc>
      </w:tr>
      <w:tr w:rsidR="002D036A" w:rsidRPr="00AE78C2" w:rsidTr="006B742F">
        <w:trPr>
          <w:trHeight w:val="512"/>
        </w:trPr>
        <w:tc>
          <w:tcPr>
            <w:tcW w:w="12596" w:type="dxa"/>
            <w:gridSpan w:val="7"/>
            <w:tcBorders>
              <w:top w:val="single" w:sz="12" w:space="0" w:color="auto"/>
            </w:tcBorders>
            <w:vAlign w:val="center"/>
          </w:tcPr>
          <w:p w:rsidR="002D036A" w:rsidRPr="00AE78C2" w:rsidRDefault="002D036A" w:rsidP="006B742F">
            <w:pPr>
              <w:jc w:val="center"/>
              <w:rPr>
                <w:sz w:val="22"/>
                <w:szCs w:val="22"/>
              </w:rPr>
            </w:pPr>
            <w:r w:rsidRPr="00AE78C2">
              <w:rPr>
                <w:sz w:val="22"/>
                <w:szCs w:val="22"/>
              </w:rPr>
              <w:t xml:space="preserve">SIR = </w:t>
            </w:r>
            <w:r w:rsidRPr="00AE78C2">
              <w:rPr>
                <w:position w:val="-62"/>
                <w:sz w:val="22"/>
                <w:szCs w:val="22"/>
              </w:rPr>
              <w:object w:dxaOrig="7119" w:dyaOrig="999">
                <v:shape id="_x0000_i1025" type="#_x0000_t75" style="width:355.8pt;height:49.8pt" o:ole="">
                  <v:imagedata r:id="rId26" o:title=""/>
                </v:shape>
                <o:OLEObject Type="Embed" ProgID="Equation.3" ShapeID="_x0000_i1025" DrawAspect="Content" ObjectID="_1607428913" r:id="rId27"/>
              </w:object>
            </w:r>
            <w:r w:rsidRPr="00AE78C2">
              <w:rPr>
                <w:sz w:val="22"/>
                <w:szCs w:val="22"/>
              </w:rPr>
              <w:t xml:space="preserve">          95%CI = (0.628,0.989)</w:t>
            </w:r>
          </w:p>
        </w:tc>
      </w:tr>
    </w:tbl>
    <w:p w:rsidR="002D036A" w:rsidRPr="00AE78C2" w:rsidRDefault="002D036A" w:rsidP="002D036A">
      <w:pPr>
        <w:rPr>
          <w:sz w:val="22"/>
          <w:szCs w:val="22"/>
        </w:rPr>
      </w:pPr>
      <w:r w:rsidRPr="00AE78C2">
        <w:rPr>
          <w:sz w:val="22"/>
          <w:szCs w:val="22"/>
        </w:rPr>
        <w:t xml:space="preserve">   </w:t>
      </w:r>
      <w:r w:rsidRPr="00AE78C2">
        <w:rPr>
          <w:b/>
          <w:bCs/>
          <w:sz w:val="22"/>
          <w:szCs w:val="22"/>
          <w:vertAlign w:val="superscript"/>
        </w:rPr>
        <w:t>*</w:t>
      </w:r>
      <w:r w:rsidRPr="00AE78C2">
        <w:rPr>
          <w:sz w:val="22"/>
          <w:szCs w:val="22"/>
        </w:rPr>
        <w:t>defined as the number of CLABSIs per 1000 central line-days</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 xml:space="preserve">In the table above, there are two strata to illustrate risk-adjustment by location type for which national data exist from NHSN.  The SIR calculation is based on dividing the total number of observed CLABSI events by an “expected” number using the CLABSI rates from the standard population.  This “expected” number is calculated by multiplying the national CLABSI rate from the standard population by the observed number of central line-days for each stratum </w:t>
      </w:r>
      <w:r w:rsidRPr="00AE78C2">
        <w:rPr>
          <w:sz w:val="22"/>
          <w:szCs w:val="22"/>
        </w:rPr>
        <w:lastRenderedPageBreak/>
        <w:t xml:space="preserve">which can also be understood as a prediction or projection.  If the observed data represented a follow-up period such as 2009 one would state that an SIR of 0.79 implies that there was a 21% reduction in CLABSIs overall for the nation, region or facility. </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The SIR concept and calculation is completely based on the underlying CLABSI rate data that exist across a potentially large group of strata.  Thus, the SIR provides a single metric for performing comparisons rather than attempting to perform multiple comparisons across many strata which makes the task cumbersome.  Given the underlying CLABSI rate data, one retains the option to perform comparisons within a particular set of strata where observed rates may differ significantly from the standard populations.  These types of more detailed comparisons could be very useful and necessary for identifying areas for more focused prevention efforts.</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The National 5-year prevention target for metric #1 could be implemented using the concept of an SIR equal to 0.25 as the goal.  That is, an SIR value based on the observed CLABSI rate data at the 5-year mark could be calculated using NHSN CLABSI rate data stratified by location type as the baseline to assess whether the 75% reduction goal was met.  There are statistical methods that allow for calculation of confidence intervals, hypothesis testing and graphical presentation using this HAI summary comparison metric called the SIR.</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The SIR concept and calculation can be applied equitably to other HAI metrics list above.  This is especially true for HAI metrics for which national data are available and reasonably precise using a measurement system such as the NHSN.  The SIR calculation methods differ in the risk group stratification only.  To better understand metric #6 (SSI 1) see the following example data and SIR calculation:</w:t>
      </w:r>
    </w:p>
    <w:p w:rsidR="002D036A" w:rsidRPr="00AE78C2" w:rsidRDefault="002D036A" w:rsidP="002D036A">
      <w:pPr>
        <w:rPr>
          <w:sz w:val="22"/>
          <w:szCs w:val="22"/>
        </w:rPr>
      </w:pPr>
    </w:p>
    <w:tbl>
      <w:tblPr>
        <w:tblpPr w:leftFromText="180" w:rightFromText="180" w:vertAnchor="text" w:horzAnchor="margin" w:tblpXSpec="center" w:tblpY="142"/>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1548"/>
        <w:gridCol w:w="2160"/>
        <w:gridCol w:w="1980"/>
        <w:gridCol w:w="1440"/>
        <w:gridCol w:w="1800"/>
        <w:gridCol w:w="1440"/>
      </w:tblGrid>
      <w:tr w:rsidR="002D036A" w:rsidRPr="00AE78C2" w:rsidTr="006B742F">
        <w:trPr>
          <w:trHeight w:val="620"/>
        </w:trPr>
        <w:tc>
          <w:tcPr>
            <w:tcW w:w="3060" w:type="dxa"/>
            <w:gridSpan w:val="2"/>
          </w:tcPr>
          <w:p w:rsidR="002D036A" w:rsidRPr="00AE78C2" w:rsidRDefault="002D036A" w:rsidP="006B742F">
            <w:pPr>
              <w:jc w:val="center"/>
              <w:rPr>
                <w:b/>
                <w:bCs/>
                <w:sz w:val="22"/>
                <w:szCs w:val="22"/>
              </w:rPr>
            </w:pPr>
            <w:r w:rsidRPr="00AE78C2">
              <w:rPr>
                <w:b/>
                <w:bCs/>
                <w:sz w:val="22"/>
                <w:szCs w:val="22"/>
              </w:rPr>
              <w:t>Risk Group Stratifiers</w:t>
            </w:r>
          </w:p>
        </w:tc>
        <w:tc>
          <w:tcPr>
            <w:tcW w:w="5688" w:type="dxa"/>
            <w:gridSpan w:val="3"/>
            <w:tcBorders>
              <w:left w:val="single" w:sz="12" w:space="0" w:color="auto"/>
              <w:right w:val="single" w:sz="24" w:space="0" w:color="auto"/>
            </w:tcBorders>
          </w:tcPr>
          <w:p w:rsidR="002D036A" w:rsidRPr="00AE78C2" w:rsidRDefault="002D036A" w:rsidP="006B742F">
            <w:pPr>
              <w:jc w:val="center"/>
              <w:rPr>
                <w:b/>
                <w:bCs/>
                <w:sz w:val="22"/>
                <w:szCs w:val="22"/>
              </w:rPr>
            </w:pPr>
            <w:r w:rsidRPr="00AE78C2">
              <w:rPr>
                <w:b/>
                <w:bCs/>
                <w:sz w:val="22"/>
                <w:szCs w:val="22"/>
              </w:rPr>
              <w:t>Observed SSI Rates</w:t>
            </w:r>
          </w:p>
        </w:tc>
        <w:tc>
          <w:tcPr>
            <w:tcW w:w="4680" w:type="dxa"/>
            <w:gridSpan w:val="3"/>
            <w:tcBorders>
              <w:left w:val="single" w:sz="24" w:space="0" w:color="auto"/>
            </w:tcBorders>
            <w:shd w:val="clear" w:color="auto" w:fill="auto"/>
          </w:tcPr>
          <w:p w:rsidR="002D036A" w:rsidRPr="00AE78C2" w:rsidRDefault="002D036A" w:rsidP="006B742F">
            <w:pPr>
              <w:jc w:val="center"/>
              <w:rPr>
                <w:b/>
                <w:bCs/>
                <w:sz w:val="22"/>
                <w:szCs w:val="22"/>
              </w:rPr>
            </w:pPr>
            <w:r w:rsidRPr="00AE78C2">
              <w:rPr>
                <w:b/>
                <w:bCs/>
                <w:sz w:val="22"/>
                <w:szCs w:val="22"/>
              </w:rPr>
              <w:t>NHSN SSI Rates for 2008</w:t>
            </w:r>
          </w:p>
          <w:p w:rsidR="002D036A" w:rsidRPr="00AE78C2" w:rsidRDefault="002D036A" w:rsidP="006B742F">
            <w:pPr>
              <w:jc w:val="center"/>
              <w:rPr>
                <w:b/>
                <w:bCs/>
                <w:sz w:val="22"/>
                <w:szCs w:val="22"/>
              </w:rPr>
            </w:pPr>
            <w:r w:rsidRPr="00AE78C2">
              <w:rPr>
                <w:b/>
                <w:bCs/>
                <w:sz w:val="22"/>
                <w:szCs w:val="22"/>
              </w:rPr>
              <w:t>(Standard Population)</w:t>
            </w:r>
          </w:p>
          <w:p w:rsidR="002D036A" w:rsidRPr="00AE78C2" w:rsidRDefault="002D036A" w:rsidP="006B742F">
            <w:pPr>
              <w:jc w:val="center"/>
              <w:rPr>
                <w:b/>
                <w:bCs/>
                <w:sz w:val="22"/>
                <w:szCs w:val="22"/>
              </w:rPr>
            </w:pPr>
          </w:p>
        </w:tc>
      </w:tr>
      <w:tr w:rsidR="002D036A" w:rsidRPr="00AE78C2" w:rsidTr="006B742F">
        <w:tc>
          <w:tcPr>
            <w:tcW w:w="1440" w:type="dxa"/>
          </w:tcPr>
          <w:p w:rsidR="002D036A" w:rsidRPr="00AE78C2" w:rsidRDefault="002D036A" w:rsidP="006B742F">
            <w:pPr>
              <w:jc w:val="center"/>
              <w:rPr>
                <w:b/>
                <w:bCs/>
                <w:sz w:val="22"/>
                <w:szCs w:val="22"/>
              </w:rPr>
            </w:pPr>
            <w:r w:rsidRPr="00AE78C2">
              <w:rPr>
                <w:b/>
                <w:bCs/>
                <w:sz w:val="22"/>
                <w:szCs w:val="22"/>
              </w:rPr>
              <w:t>Procedure Code</w:t>
            </w:r>
          </w:p>
        </w:tc>
        <w:tc>
          <w:tcPr>
            <w:tcW w:w="1620" w:type="dxa"/>
            <w:shd w:val="clear" w:color="auto" w:fill="auto"/>
          </w:tcPr>
          <w:p w:rsidR="002D036A" w:rsidRPr="00AE78C2" w:rsidRDefault="002D036A" w:rsidP="006B742F">
            <w:pPr>
              <w:jc w:val="center"/>
              <w:rPr>
                <w:b/>
                <w:bCs/>
                <w:sz w:val="22"/>
                <w:szCs w:val="22"/>
              </w:rPr>
            </w:pPr>
            <w:r w:rsidRPr="00AE78C2">
              <w:rPr>
                <w:b/>
                <w:bCs/>
                <w:sz w:val="22"/>
                <w:szCs w:val="22"/>
              </w:rPr>
              <w:t>Risk Index Category</w:t>
            </w:r>
          </w:p>
        </w:tc>
        <w:tc>
          <w:tcPr>
            <w:tcW w:w="1548" w:type="dxa"/>
            <w:tcBorders>
              <w:left w:val="single" w:sz="12" w:space="0" w:color="auto"/>
            </w:tcBorders>
            <w:vAlign w:val="bottom"/>
          </w:tcPr>
          <w:p w:rsidR="002D036A" w:rsidRPr="00AE78C2" w:rsidRDefault="002D036A" w:rsidP="006B742F">
            <w:pPr>
              <w:jc w:val="center"/>
              <w:rPr>
                <w:b/>
                <w:bCs/>
                <w:sz w:val="22"/>
                <w:szCs w:val="22"/>
              </w:rPr>
            </w:pPr>
            <w:bookmarkStart w:id="9" w:name="OLE_LINK3"/>
            <w:bookmarkStart w:id="10" w:name="OLE_LINK4"/>
            <w:r w:rsidRPr="00AE78C2">
              <w:rPr>
                <w:b/>
                <w:bCs/>
                <w:sz w:val="22"/>
                <w:szCs w:val="22"/>
              </w:rPr>
              <w:t>#SSI</w:t>
            </w:r>
            <w:bookmarkStart w:id="11" w:name="OLE_LINK1"/>
            <w:bookmarkStart w:id="12" w:name="OLE_LINK2"/>
            <w:r w:rsidRPr="00AE78C2">
              <w:rPr>
                <w:b/>
                <w:bCs/>
                <w:sz w:val="22"/>
                <w:szCs w:val="22"/>
                <w:vertAlign w:val="superscript"/>
              </w:rPr>
              <w:t>†</w:t>
            </w:r>
            <w:bookmarkEnd w:id="9"/>
            <w:bookmarkEnd w:id="10"/>
            <w:bookmarkEnd w:id="11"/>
            <w:bookmarkEnd w:id="12"/>
          </w:p>
        </w:tc>
        <w:tc>
          <w:tcPr>
            <w:tcW w:w="2160" w:type="dxa"/>
            <w:vAlign w:val="bottom"/>
          </w:tcPr>
          <w:p w:rsidR="002D036A" w:rsidRPr="00AE78C2" w:rsidRDefault="002D036A" w:rsidP="006B742F">
            <w:pPr>
              <w:jc w:val="center"/>
              <w:rPr>
                <w:b/>
                <w:bCs/>
                <w:sz w:val="22"/>
                <w:szCs w:val="22"/>
              </w:rPr>
            </w:pPr>
            <w:r w:rsidRPr="00AE78C2">
              <w:rPr>
                <w:b/>
                <w:bCs/>
                <w:sz w:val="22"/>
                <w:szCs w:val="22"/>
              </w:rPr>
              <w:t>#procedures</w:t>
            </w:r>
          </w:p>
        </w:tc>
        <w:tc>
          <w:tcPr>
            <w:tcW w:w="1980" w:type="dxa"/>
            <w:tcBorders>
              <w:right w:val="single" w:sz="24" w:space="0" w:color="auto"/>
            </w:tcBorders>
            <w:vAlign w:val="bottom"/>
          </w:tcPr>
          <w:p w:rsidR="002D036A" w:rsidRPr="00AE78C2" w:rsidRDefault="002D036A" w:rsidP="006B742F">
            <w:pPr>
              <w:jc w:val="center"/>
              <w:rPr>
                <w:b/>
                <w:bCs/>
                <w:sz w:val="22"/>
                <w:szCs w:val="22"/>
              </w:rPr>
            </w:pPr>
            <w:r w:rsidRPr="00AE78C2">
              <w:rPr>
                <w:b/>
                <w:bCs/>
                <w:sz w:val="22"/>
                <w:szCs w:val="22"/>
              </w:rPr>
              <w:t>SSI rate</w:t>
            </w:r>
            <w:r w:rsidRPr="00AE78C2">
              <w:rPr>
                <w:b/>
                <w:bCs/>
                <w:sz w:val="22"/>
                <w:szCs w:val="22"/>
                <w:vertAlign w:val="superscript"/>
              </w:rPr>
              <w:t>*</w:t>
            </w:r>
          </w:p>
        </w:tc>
        <w:tc>
          <w:tcPr>
            <w:tcW w:w="1440" w:type="dxa"/>
            <w:tcBorders>
              <w:left w:val="single" w:sz="24" w:space="0" w:color="auto"/>
            </w:tcBorders>
            <w:shd w:val="clear" w:color="auto" w:fill="auto"/>
            <w:vAlign w:val="bottom"/>
          </w:tcPr>
          <w:p w:rsidR="002D036A" w:rsidRPr="00AE78C2" w:rsidRDefault="002D036A" w:rsidP="006B742F">
            <w:pPr>
              <w:jc w:val="center"/>
              <w:rPr>
                <w:b/>
                <w:bCs/>
                <w:sz w:val="22"/>
                <w:szCs w:val="22"/>
              </w:rPr>
            </w:pPr>
            <w:r w:rsidRPr="00AE78C2">
              <w:rPr>
                <w:b/>
                <w:bCs/>
                <w:sz w:val="22"/>
                <w:szCs w:val="22"/>
              </w:rPr>
              <w:t>#SSI</w:t>
            </w:r>
            <w:r w:rsidRPr="00AE78C2">
              <w:rPr>
                <w:b/>
                <w:bCs/>
                <w:sz w:val="22"/>
                <w:szCs w:val="22"/>
                <w:vertAlign w:val="superscript"/>
              </w:rPr>
              <w:t>†</w:t>
            </w:r>
          </w:p>
        </w:tc>
        <w:tc>
          <w:tcPr>
            <w:tcW w:w="1800" w:type="dxa"/>
            <w:shd w:val="clear" w:color="auto" w:fill="auto"/>
            <w:vAlign w:val="bottom"/>
          </w:tcPr>
          <w:p w:rsidR="002D036A" w:rsidRPr="00AE78C2" w:rsidRDefault="002D036A" w:rsidP="006B742F">
            <w:pPr>
              <w:jc w:val="center"/>
              <w:rPr>
                <w:b/>
                <w:bCs/>
                <w:sz w:val="22"/>
                <w:szCs w:val="22"/>
              </w:rPr>
            </w:pPr>
            <w:r w:rsidRPr="00AE78C2">
              <w:rPr>
                <w:b/>
                <w:bCs/>
                <w:sz w:val="22"/>
                <w:szCs w:val="22"/>
              </w:rPr>
              <w:t>#procedures</w:t>
            </w:r>
          </w:p>
        </w:tc>
        <w:tc>
          <w:tcPr>
            <w:tcW w:w="1440" w:type="dxa"/>
            <w:shd w:val="clear" w:color="auto" w:fill="auto"/>
            <w:vAlign w:val="bottom"/>
          </w:tcPr>
          <w:p w:rsidR="002D036A" w:rsidRPr="00AE78C2" w:rsidRDefault="002D036A" w:rsidP="006B742F">
            <w:pPr>
              <w:jc w:val="center"/>
              <w:rPr>
                <w:b/>
                <w:bCs/>
                <w:sz w:val="22"/>
                <w:szCs w:val="22"/>
              </w:rPr>
            </w:pPr>
            <w:r w:rsidRPr="00AE78C2">
              <w:rPr>
                <w:b/>
                <w:bCs/>
                <w:sz w:val="22"/>
                <w:szCs w:val="22"/>
              </w:rPr>
              <w:t>SSI rate</w:t>
            </w:r>
            <w:r w:rsidRPr="00AE78C2">
              <w:rPr>
                <w:b/>
                <w:bCs/>
                <w:sz w:val="22"/>
                <w:szCs w:val="22"/>
                <w:vertAlign w:val="superscript"/>
              </w:rPr>
              <w:t>*</w:t>
            </w:r>
          </w:p>
        </w:tc>
      </w:tr>
      <w:tr w:rsidR="002D036A" w:rsidRPr="00AE78C2" w:rsidTr="006B742F">
        <w:trPr>
          <w:trHeight w:val="503"/>
        </w:trPr>
        <w:tc>
          <w:tcPr>
            <w:tcW w:w="1440" w:type="dxa"/>
            <w:vAlign w:val="center"/>
          </w:tcPr>
          <w:p w:rsidR="002D036A" w:rsidRPr="00AE78C2" w:rsidRDefault="002D036A" w:rsidP="006B742F">
            <w:pPr>
              <w:jc w:val="center"/>
              <w:rPr>
                <w:sz w:val="22"/>
                <w:szCs w:val="22"/>
              </w:rPr>
            </w:pPr>
            <w:r w:rsidRPr="00AE78C2">
              <w:rPr>
                <w:sz w:val="22"/>
                <w:szCs w:val="22"/>
              </w:rPr>
              <w:t>CBGB</w:t>
            </w:r>
          </w:p>
        </w:tc>
        <w:tc>
          <w:tcPr>
            <w:tcW w:w="1620" w:type="dxa"/>
            <w:vAlign w:val="center"/>
          </w:tcPr>
          <w:p w:rsidR="002D036A" w:rsidRPr="00AE78C2" w:rsidRDefault="002D036A" w:rsidP="006B742F">
            <w:pPr>
              <w:jc w:val="center"/>
              <w:rPr>
                <w:sz w:val="22"/>
                <w:szCs w:val="22"/>
              </w:rPr>
            </w:pPr>
            <w:r w:rsidRPr="00AE78C2">
              <w:rPr>
                <w:sz w:val="22"/>
                <w:szCs w:val="22"/>
              </w:rPr>
              <w:t>1</w:t>
            </w:r>
          </w:p>
        </w:tc>
        <w:tc>
          <w:tcPr>
            <w:tcW w:w="1548" w:type="dxa"/>
            <w:tcBorders>
              <w:left w:val="single" w:sz="12" w:space="0" w:color="auto"/>
            </w:tcBorders>
            <w:vAlign w:val="center"/>
          </w:tcPr>
          <w:p w:rsidR="002D036A" w:rsidRPr="00AE78C2" w:rsidRDefault="002D036A" w:rsidP="006B742F">
            <w:pPr>
              <w:jc w:val="center"/>
              <w:rPr>
                <w:sz w:val="22"/>
                <w:szCs w:val="22"/>
              </w:rPr>
            </w:pPr>
            <w:r w:rsidRPr="00AE78C2">
              <w:rPr>
                <w:sz w:val="22"/>
                <w:szCs w:val="22"/>
              </w:rPr>
              <w:t>315</w:t>
            </w:r>
          </w:p>
        </w:tc>
        <w:tc>
          <w:tcPr>
            <w:tcW w:w="2160" w:type="dxa"/>
            <w:vAlign w:val="center"/>
          </w:tcPr>
          <w:p w:rsidR="002D036A" w:rsidRPr="00AE78C2" w:rsidRDefault="002D036A" w:rsidP="006B742F">
            <w:pPr>
              <w:jc w:val="center"/>
              <w:rPr>
                <w:sz w:val="22"/>
                <w:szCs w:val="22"/>
              </w:rPr>
            </w:pPr>
            <w:r w:rsidRPr="00AE78C2">
              <w:rPr>
                <w:sz w:val="22"/>
                <w:szCs w:val="22"/>
              </w:rPr>
              <w:t>12,600</w:t>
            </w:r>
          </w:p>
        </w:tc>
        <w:tc>
          <w:tcPr>
            <w:tcW w:w="1980" w:type="dxa"/>
            <w:tcBorders>
              <w:right w:val="single" w:sz="24" w:space="0" w:color="auto"/>
            </w:tcBorders>
            <w:vAlign w:val="center"/>
          </w:tcPr>
          <w:p w:rsidR="002D036A" w:rsidRPr="00AE78C2" w:rsidRDefault="002D036A" w:rsidP="006B742F">
            <w:pPr>
              <w:jc w:val="center"/>
              <w:rPr>
                <w:sz w:val="22"/>
                <w:szCs w:val="22"/>
              </w:rPr>
            </w:pPr>
            <w:r w:rsidRPr="00AE78C2">
              <w:rPr>
                <w:sz w:val="22"/>
                <w:szCs w:val="22"/>
              </w:rPr>
              <w:t>2.5</w:t>
            </w:r>
          </w:p>
        </w:tc>
        <w:tc>
          <w:tcPr>
            <w:tcW w:w="1440" w:type="dxa"/>
            <w:tcBorders>
              <w:left w:val="single" w:sz="24" w:space="0" w:color="auto"/>
            </w:tcBorders>
            <w:shd w:val="clear" w:color="auto" w:fill="auto"/>
            <w:vAlign w:val="center"/>
          </w:tcPr>
          <w:p w:rsidR="002D036A" w:rsidRPr="00AE78C2" w:rsidRDefault="002D036A" w:rsidP="006B742F">
            <w:pPr>
              <w:jc w:val="center"/>
              <w:rPr>
                <w:sz w:val="22"/>
                <w:szCs w:val="22"/>
              </w:rPr>
            </w:pPr>
            <w:r w:rsidRPr="00AE78C2">
              <w:rPr>
                <w:sz w:val="22"/>
                <w:szCs w:val="22"/>
              </w:rPr>
              <w:t>2100</w:t>
            </w:r>
          </w:p>
        </w:tc>
        <w:tc>
          <w:tcPr>
            <w:tcW w:w="1800" w:type="dxa"/>
            <w:shd w:val="clear" w:color="auto" w:fill="auto"/>
            <w:vAlign w:val="center"/>
          </w:tcPr>
          <w:p w:rsidR="002D036A" w:rsidRPr="00AE78C2" w:rsidRDefault="002D036A" w:rsidP="006B742F">
            <w:pPr>
              <w:jc w:val="center"/>
              <w:rPr>
                <w:sz w:val="22"/>
                <w:szCs w:val="22"/>
              </w:rPr>
            </w:pPr>
            <w:r w:rsidRPr="00AE78C2">
              <w:rPr>
                <w:sz w:val="22"/>
                <w:szCs w:val="22"/>
              </w:rPr>
              <w:t>70,000</w:t>
            </w:r>
          </w:p>
        </w:tc>
        <w:tc>
          <w:tcPr>
            <w:tcW w:w="1440" w:type="dxa"/>
            <w:shd w:val="clear" w:color="auto" w:fill="auto"/>
            <w:vAlign w:val="center"/>
          </w:tcPr>
          <w:p w:rsidR="002D036A" w:rsidRPr="00AE78C2" w:rsidRDefault="002D036A" w:rsidP="006B742F">
            <w:pPr>
              <w:jc w:val="center"/>
              <w:rPr>
                <w:sz w:val="22"/>
                <w:szCs w:val="22"/>
              </w:rPr>
            </w:pPr>
            <w:r w:rsidRPr="00AE78C2">
              <w:rPr>
                <w:sz w:val="22"/>
                <w:szCs w:val="22"/>
              </w:rPr>
              <w:t>3.0</w:t>
            </w:r>
          </w:p>
        </w:tc>
      </w:tr>
      <w:tr w:rsidR="002D036A" w:rsidRPr="00AE78C2" w:rsidTr="006B742F">
        <w:trPr>
          <w:trHeight w:val="503"/>
        </w:trPr>
        <w:tc>
          <w:tcPr>
            <w:tcW w:w="1440" w:type="dxa"/>
            <w:vAlign w:val="center"/>
          </w:tcPr>
          <w:p w:rsidR="002D036A" w:rsidRPr="00AE78C2" w:rsidRDefault="002D036A" w:rsidP="006B742F">
            <w:pPr>
              <w:jc w:val="center"/>
              <w:rPr>
                <w:sz w:val="22"/>
                <w:szCs w:val="22"/>
              </w:rPr>
            </w:pPr>
            <w:r w:rsidRPr="00AE78C2">
              <w:rPr>
                <w:sz w:val="22"/>
                <w:szCs w:val="22"/>
              </w:rPr>
              <w:t>CBGB</w:t>
            </w:r>
          </w:p>
        </w:tc>
        <w:tc>
          <w:tcPr>
            <w:tcW w:w="1620" w:type="dxa"/>
            <w:vAlign w:val="center"/>
          </w:tcPr>
          <w:p w:rsidR="002D036A" w:rsidRPr="00AE78C2" w:rsidRDefault="002D036A" w:rsidP="006B742F">
            <w:pPr>
              <w:jc w:val="center"/>
              <w:rPr>
                <w:sz w:val="22"/>
                <w:szCs w:val="22"/>
              </w:rPr>
            </w:pPr>
            <w:r w:rsidRPr="00AE78C2">
              <w:rPr>
                <w:sz w:val="22"/>
                <w:szCs w:val="22"/>
              </w:rPr>
              <w:t>2,3</w:t>
            </w:r>
          </w:p>
        </w:tc>
        <w:tc>
          <w:tcPr>
            <w:tcW w:w="1548" w:type="dxa"/>
            <w:tcBorders>
              <w:left w:val="single" w:sz="12" w:space="0" w:color="auto"/>
            </w:tcBorders>
            <w:vAlign w:val="center"/>
          </w:tcPr>
          <w:p w:rsidR="002D036A" w:rsidRPr="00AE78C2" w:rsidRDefault="002D036A" w:rsidP="006B742F">
            <w:pPr>
              <w:jc w:val="center"/>
              <w:rPr>
                <w:sz w:val="22"/>
                <w:szCs w:val="22"/>
              </w:rPr>
            </w:pPr>
            <w:r w:rsidRPr="00AE78C2">
              <w:rPr>
                <w:sz w:val="22"/>
                <w:szCs w:val="22"/>
              </w:rPr>
              <w:t>210</w:t>
            </w:r>
          </w:p>
        </w:tc>
        <w:tc>
          <w:tcPr>
            <w:tcW w:w="2160" w:type="dxa"/>
            <w:vAlign w:val="center"/>
          </w:tcPr>
          <w:p w:rsidR="002D036A" w:rsidRPr="00AE78C2" w:rsidRDefault="002D036A" w:rsidP="006B742F">
            <w:pPr>
              <w:jc w:val="center"/>
              <w:rPr>
                <w:sz w:val="22"/>
                <w:szCs w:val="22"/>
              </w:rPr>
            </w:pPr>
            <w:r w:rsidRPr="00AE78C2">
              <w:rPr>
                <w:sz w:val="22"/>
                <w:szCs w:val="22"/>
              </w:rPr>
              <w:t>7000</w:t>
            </w:r>
          </w:p>
        </w:tc>
        <w:tc>
          <w:tcPr>
            <w:tcW w:w="1980" w:type="dxa"/>
            <w:tcBorders>
              <w:right w:val="single" w:sz="24" w:space="0" w:color="auto"/>
            </w:tcBorders>
            <w:vAlign w:val="center"/>
          </w:tcPr>
          <w:p w:rsidR="002D036A" w:rsidRPr="00AE78C2" w:rsidRDefault="002D036A" w:rsidP="006B742F">
            <w:pPr>
              <w:jc w:val="center"/>
              <w:rPr>
                <w:sz w:val="22"/>
                <w:szCs w:val="22"/>
              </w:rPr>
            </w:pPr>
            <w:r w:rsidRPr="00AE78C2">
              <w:rPr>
                <w:sz w:val="22"/>
                <w:szCs w:val="22"/>
              </w:rPr>
              <w:t>3.0</w:t>
            </w:r>
          </w:p>
        </w:tc>
        <w:tc>
          <w:tcPr>
            <w:tcW w:w="1440" w:type="dxa"/>
            <w:tcBorders>
              <w:left w:val="single" w:sz="24" w:space="0" w:color="auto"/>
            </w:tcBorders>
            <w:shd w:val="clear" w:color="auto" w:fill="auto"/>
            <w:vAlign w:val="center"/>
          </w:tcPr>
          <w:p w:rsidR="002D036A" w:rsidRPr="00AE78C2" w:rsidRDefault="002D036A" w:rsidP="006B742F">
            <w:pPr>
              <w:jc w:val="center"/>
              <w:rPr>
                <w:sz w:val="22"/>
                <w:szCs w:val="22"/>
              </w:rPr>
            </w:pPr>
            <w:r w:rsidRPr="00AE78C2">
              <w:rPr>
                <w:sz w:val="22"/>
                <w:szCs w:val="22"/>
              </w:rPr>
              <w:t>1000</w:t>
            </w:r>
          </w:p>
        </w:tc>
        <w:tc>
          <w:tcPr>
            <w:tcW w:w="1800" w:type="dxa"/>
            <w:shd w:val="clear" w:color="auto" w:fill="auto"/>
            <w:vAlign w:val="center"/>
          </w:tcPr>
          <w:p w:rsidR="002D036A" w:rsidRPr="00AE78C2" w:rsidRDefault="002D036A" w:rsidP="006B742F">
            <w:pPr>
              <w:jc w:val="center"/>
              <w:rPr>
                <w:sz w:val="22"/>
                <w:szCs w:val="22"/>
              </w:rPr>
            </w:pPr>
            <w:r w:rsidRPr="00AE78C2">
              <w:rPr>
                <w:sz w:val="22"/>
                <w:szCs w:val="22"/>
              </w:rPr>
              <w:t>20,000</w:t>
            </w:r>
          </w:p>
        </w:tc>
        <w:tc>
          <w:tcPr>
            <w:tcW w:w="1440" w:type="dxa"/>
            <w:shd w:val="clear" w:color="auto" w:fill="auto"/>
            <w:vAlign w:val="center"/>
          </w:tcPr>
          <w:p w:rsidR="002D036A" w:rsidRPr="00AE78C2" w:rsidRDefault="002D036A" w:rsidP="006B742F">
            <w:pPr>
              <w:jc w:val="center"/>
              <w:rPr>
                <w:sz w:val="22"/>
                <w:szCs w:val="22"/>
              </w:rPr>
            </w:pPr>
            <w:r w:rsidRPr="00AE78C2">
              <w:rPr>
                <w:sz w:val="22"/>
                <w:szCs w:val="22"/>
              </w:rPr>
              <w:t>5.0</w:t>
            </w:r>
          </w:p>
        </w:tc>
      </w:tr>
      <w:tr w:rsidR="002D036A" w:rsidRPr="00AE78C2" w:rsidTr="006B742F">
        <w:trPr>
          <w:trHeight w:val="530"/>
        </w:trPr>
        <w:tc>
          <w:tcPr>
            <w:tcW w:w="1440" w:type="dxa"/>
            <w:tcBorders>
              <w:bottom w:val="single" w:sz="12" w:space="0" w:color="auto"/>
            </w:tcBorders>
            <w:vAlign w:val="center"/>
          </w:tcPr>
          <w:p w:rsidR="002D036A" w:rsidRPr="00AE78C2" w:rsidRDefault="002D036A" w:rsidP="006B742F">
            <w:pPr>
              <w:jc w:val="center"/>
              <w:rPr>
                <w:sz w:val="22"/>
                <w:szCs w:val="22"/>
              </w:rPr>
            </w:pPr>
            <w:r w:rsidRPr="00AE78C2">
              <w:rPr>
                <w:sz w:val="22"/>
                <w:szCs w:val="22"/>
              </w:rPr>
              <w:t>HPRO</w:t>
            </w:r>
          </w:p>
        </w:tc>
        <w:tc>
          <w:tcPr>
            <w:tcW w:w="1620" w:type="dxa"/>
            <w:tcBorders>
              <w:bottom w:val="single" w:sz="12" w:space="0" w:color="auto"/>
            </w:tcBorders>
            <w:vAlign w:val="center"/>
          </w:tcPr>
          <w:p w:rsidR="002D036A" w:rsidRPr="00AE78C2" w:rsidRDefault="002D036A" w:rsidP="006B742F">
            <w:pPr>
              <w:jc w:val="center"/>
              <w:rPr>
                <w:sz w:val="22"/>
                <w:szCs w:val="22"/>
              </w:rPr>
            </w:pPr>
            <w:r w:rsidRPr="00AE78C2">
              <w:rPr>
                <w:sz w:val="22"/>
                <w:szCs w:val="22"/>
              </w:rPr>
              <w:t>1</w:t>
            </w:r>
          </w:p>
        </w:tc>
        <w:tc>
          <w:tcPr>
            <w:tcW w:w="1548" w:type="dxa"/>
            <w:tcBorders>
              <w:left w:val="single" w:sz="12" w:space="0" w:color="auto"/>
              <w:bottom w:val="single" w:sz="12" w:space="0" w:color="auto"/>
            </w:tcBorders>
            <w:vAlign w:val="center"/>
          </w:tcPr>
          <w:p w:rsidR="002D036A" w:rsidRPr="00AE78C2" w:rsidRDefault="002D036A" w:rsidP="006B742F">
            <w:pPr>
              <w:jc w:val="center"/>
              <w:rPr>
                <w:sz w:val="22"/>
                <w:szCs w:val="22"/>
              </w:rPr>
            </w:pPr>
            <w:r w:rsidRPr="00AE78C2">
              <w:rPr>
                <w:sz w:val="22"/>
                <w:szCs w:val="22"/>
              </w:rPr>
              <w:t>111</w:t>
            </w:r>
          </w:p>
        </w:tc>
        <w:tc>
          <w:tcPr>
            <w:tcW w:w="2160" w:type="dxa"/>
            <w:tcBorders>
              <w:bottom w:val="single" w:sz="12" w:space="0" w:color="auto"/>
            </w:tcBorders>
            <w:vAlign w:val="center"/>
          </w:tcPr>
          <w:p w:rsidR="002D036A" w:rsidRPr="00AE78C2" w:rsidRDefault="002D036A" w:rsidP="006B742F">
            <w:pPr>
              <w:jc w:val="center"/>
              <w:rPr>
                <w:sz w:val="22"/>
                <w:szCs w:val="22"/>
              </w:rPr>
            </w:pPr>
            <w:r w:rsidRPr="00AE78C2">
              <w:rPr>
                <w:sz w:val="22"/>
                <w:szCs w:val="22"/>
              </w:rPr>
              <w:t>7400</w:t>
            </w:r>
          </w:p>
        </w:tc>
        <w:tc>
          <w:tcPr>
            <w:tcW w:w="1980" w:type="dxa"/>
            <w:tcBorders>
              <w:bottom w:val="single" w:sz="12" w:space="0" w:color="auto"/>
              <w:right w:val="single" w:sz="24" w:space="0" w:color="auto"/>
            </w:tcBorders>
            <w:vAlign w:val="center"/>
          </w:tcPr>
          <w:p w:rsidR="002D036A" w:rsidRPr="00AE78C2" w:rsidRDefault="002D036A" w:rsidP="006B742F">
            <w:pPr>
              <w:jc w:val="center"/>
              <w:rPr>
                <w:sz w:val="22"/>
                <w:szCs w:val="22"/>
              </w:rPr>
            </w:pPr>
            <w:r w:rsidRPr="00AE78C2">
              <w:rPr>
                <w:sz w:val="22"/>
                <w:szCs w:val="22"/>
              </w:rPr>
              <w:t>1.5</w:t>
            </w:r>
          </w:p>
        </w:tc>
        <w:tc>
          <w:tcPr>
            <w:tcW w:w="1440" w:type="dxa"/>
            <w:tcBorders>
              <w:left w:val="single" w:sz="24" w:space="0" w:color="auto"/>
              <w:bottom w:val="single" w:sz="12" w:space="0" w:color="auto"/>
            </w:tcBorders>
            <w:shd w:val="clear" w:color="auto" w:fill="auto"/>
            <w:vAlign w:val="center"/>
          </w:tcPr>
          <w:p w:rsidR="002D036A" w:rsidRPr="00AE78C2" w:rsidRDefault="002D036A" w:rsidP="006B742F">
            <w:pPr>
              <w:jc w:val="center"/>
              <w:rPr>
                <w:sz w:val="22"/>
                <w:szCs w:val="22"/>
              </w:rPr>
            </w:pPr>
            <w:r w:rsidRPr="00AE78C2">
              <w:rPr>
                <w:sz w:val="22"/>
                <w:szCs w:val="22"/>
              </w:rPr>
              <w:t>1020</w:t>
            </w:r>
          </w:p>
        </w:tc>
        <w:tc>
          <w:tcPr>
            <w:tcW w:w="1800" w:type="dxa"/>
            <w:tcBorders>
              <w:bottom w:val="single" w:sz="12" w:space="0" w:color="auto"/>
            </w:tcBorders>
            <w:shd w:val="clear" w:color="auto" w:fill="auto"/>
            <w:vAlign w:val="center"/>
          </w:tcPr>
          <w:p w:rsidR="002D036A" w:rsidRPr="00AE78C2" w:rsidRDefault="002D036A" w:rsidP="006B742F">
            <w:pPr>
              <w:jc w:val="center"/>
              <w:rPr>
                <w:sz w:val="22"/>
                <w:szCs w:val="22"/>
              </w:rPr>
            </w:pPr>
            <w:r w:rsidRPr="00AE78C2">
              <w:rPr>
                <w:sz w:val="22"/>
                <w:szCs w:val="22"/>
              </w:rPr>
              <w:t>60,000</w:t>
            </w:r>
          </w:p>
        </w:tc>
        <w:tc>
          <w:tcPr>
            <w:tcW w:w="1440" w:type="dxa"/>
            <w:tcBorders>
              <w:bottom w:val="single" w:sz="12" w:space="0" w:color="auto"/>
            </w:tcBorders>
            <w:shd w:val="clear" w:color="auto" w:fill="auto"/>
            <w:vAlign w:val="center"/>
          </w:tcPr>
          <w:p w:rsidR="002D036A" w:rsidRPr="00AE78C2" w:rsidRDefault="002D036A" w:rsidP="006B742F">
            <w:pPr>
              <w:jc w:val="center"/>
              <w:rPr>
                <w:sz w:val="22"/>
                <w:szCs w:val="22"/>
              </w:rPr>
            </w:pPr>
            <w:r w:rsidRPr="00AE78C2">
              <w:rPr>
                <w:sz w:val="22"/>
                <w:szCs w:val="22"/>
              </w:rPr>
              <w:t>1.7</w:t>
            </w:r>
          </w:p>
        </w:tc>
      </w:tr>
      <w:tr w:rsidR="002D036A" w:rsidRPr="00AE78C2" w:rsidTr="006B742F">
        <w:trPr>
          <w:trHeight w:val="152"/>
        </w:trPr>
        <w:tc>
          <w:tcPr>
            <w:tcW w:w="3060" w:type="dxa"/>
            <w:gridSpan w:val="2"/>
            <w:tcBorders>
              <w:top w:val="single" w:sz="12" w:space="0" w:color="auto"/>
              <w:bottom w:val="single" w:sz="12" w:space="0" w:color="auto"/>
            </w:tcBorders>
            <w:vAlign w:val="center"/>
          </w:tcPr>
          <w:p w:rsidR="002D036A" w:rsidRPr="00AE78C2" w:rsidRDefault="002D036A" w:rsidP="006B742F">
            <w:pPr>
              <w:jc w:val="center"/>
              <w:rPr>
                <w:sz w:val="22"/>
                <w:szCs w:val="22"/>
              </w:rPr>
            </w:pPr>
          </w:p>
        </w:tc>
        <w:tc>
          <w:tcPr>
            <w:tcW w:w="5688" w:type="dxa"/>
            <w:gridSpan w:val="3"/>
            <w:tcBorders>
              <w:top w:val="single" w:sz="12" w:space="0" w:color="auto"/>
              <w:left w:val="single" w:sz="12" w:space="0" w:color="auto"/>
              <w:bottom w:val="single" w:sz="12" w:space="0" w:color="auto"/>
              <w:right w:val="single" w:sz="24" w:space="0" w:color="auto"/>
            </w:tcBorders>
            <w:vAlign w:val="center"/>
          </w:tcPr>
          <w:p w:rsidR="002D036A" w:rsidRPr="00AE78C2" w:rsidRDefault="002D036A" w:rsidP="006B742F">
            <w:pPr>
              <w:jc w:val="center"/>
              <w:rPr>
                <w:sz w:val="22"/>
                <w:szCs w:val="22"/>
              </w:rPr>
            </w:pPr>
          </w:p>
        </w:tc>
        <w:tc>
          <w:tcPr>
            <w:tcW w:w="4680" w:type="dxa"/>
            <w:gridSpan w:val="3"/>
            <w:tcBorders>
              <w:top w:val="single" w:sz="12" w:space="0" w:color="auto"/>
              <w:left w:val="single" w:sz="24" w:space="0" w:color="auto"/>
              <w:bottom w:val="single" w:sz="12" w:space="0" w:color="auto"/>
            </w:tcBorders>
            <w:shd w:val="clear" w:color="auto" w:fill="auto"/>
            <w:vAlign w:val="center"/>
          </w:tcPr>
          <w:p w:rsidR="002D036A" w:rsidRPr="00AE78C2" w:rsidRDefault="002D036A" w:rsidP="006B742F">
            <w:pPr>
              <w:jc w:val="center"/>
              <w:rPr>
                <w:sz w:val="22"/>
                <w:szCs w:val="22"/>
              </w:rPr>
            </w:pPr>
          </w:p>
        </w:tc>
      </w:tr>
      <w:tr w:rsidR="002D036A" w:rsidRPr="00AE78C2" w:rsidTr="006B742F">
        <w:trPr>
          <w:trHeight w:val="512"/>
        </w:trPr>
        <w:tc>
          <w:tcPr>
            <w:tcW w:w="13428" w:type="dxa"/>
            <w:gridSpan w:val="8"/>
            <w:tcBorders>
              <w:top w:val="single" w:sz="12" w:space="0" w:color="auto"/>
            </w:tcBorders>
            <w:vAlign w:val="center"/>
          </w:tcPr>
          <w:p w:rsidR="002D036A" w:rsidRPr="00AE78C2" w:rsidRDefault="002D036A" w:rsidP="006B742F">
            <w:pPr>
              <w:jc w:val="center"/>
              <w:rPr>
                <w:sz w:val="22"/>
                <w:szCs w:val="22"/>
              </w:rPr>
            </w:pPr>
            <w:r w:rsidRPr="00AE78C2">
              <w:rPr>
                <w:sz w:val="22"/>
                <w:szCs w:val="22"/>
              </w:rPr>
              <w:t xml:space="preserve">SIR = </w:t>
            </w:r>
            <w:r w:rsidRPr="00AE78C2">
              <w:rPr>
                <w:position w:val="-62"/>
                <w:sz w:val="22"/>
                <w:szCs w:val="22"/>
              </w:rPr>
              <w:object w:dxaOrig="8919" w:dyaOrig="999">
                <v:shape id="_x0000_i1026" type="#_x0000_t75" style="width:445.8pt;height:49.8pt" o:ole="">
                  <v:imagedata r:id="rId28" o:title=""/>
                </v:shape>
                <o:OLEObject Type="Embed" ProgID="Equation.3" ShapeID="_x0000_i1026" DrawAspect="Content" ObjectID="_1607428914" r:id="rId29"/>
              </w:object>
            </w:r>
            <w:bookmarkStart w:id="13" w:name="OLE_LINK7"/>
            <w:bookmarkStart w:id="14" w:name="OLE_LINK8"/>
            <w:r w:rsidRPr="00AE78C2">
              <w:rPr>
                <w:sz w:val="22"/>
                <w:szCs w:val="22"/>
              </w:rPr>
              <w:t xml:space="preserve">        95%CI = (0.649,0.851)</w:t>
            </w:r>
            <w:bookmarkEnd w:id="13"/>
            <w:bookmarkEnd w:id="14"/>
          </w:p>
        </w:tc>
      </w:tr>
    </w:tbl>
    <w:p w:rsidR="002D036A" w:rsidRPr="00AE78C2" w:rsidRDefault="002D036A" w:rsidP="002D036A">
      <w:pPr>
        <w:rPr>
          <w:sz w:val="22"/>
          <w:szCs w:val="22"/>
        </w:rPr>
      </w:pPr>
      <w:bookmarkStart w:id="15" w:name="OLE_LINK5"/>
      <w:bookmarkStart w:id="16" w:name="OLE_LINK6"/>
      <w:r w:rsidRPr="00AE78C2">
        <w:rPr>
          <w:b/>
          <w:bCs/>
          <w:sz w:val="22"/>
          <w:szCs w:val="22"/>
          <w:vertAlign w:val="superscript"/>
        </w:rPr>
        <w:t xml:space="preserve">              † </w:t>
      </w:r>
      <w:r w:rsidRPr="00AE78C2">
        <w:rPr>
          <w:sz w:val="22"/>
          <w:szCs w:val="22"/>
        </w:rPr>
        <w:t>SSI, surgical site infection</w:t>
      </w:r>
    </w:p>
    <w:bookmarkEnd w:id="15"/>
    <w:bookmarkEnd w:id="16"/>
    <w:p w:rsidR="002D036A" w:rsidRPr="00AE78C2" w:rsidRDefault="002D036A" w:rsidP="002D036A">
      <w:pPr>
        <w:rPr>
          <w:sz w:val="22"/>
          <w:szCs w:val="22"/>
        </w:rPr>
      </w:pPr>
      <w:r w:rsidRPr="00AE78C2">
        <w:rPr>
          <w:b/>
          <w:bCs/>
          <w:sz w:val="22"/>
          <w:szCs w:val="22"/>
          <w:vertAlign w:val="superscript"/>
        </w:rPr>
        <w:lastRenderedPageBreak/>
        <w:t xml:space="preserve">              * </w:t>
      </w:r>
      <w:r w:rsidRPr="00AE78C2">
        <w:rPr>
          <w:sz w:val="22"/>
          <w:szCs w:val="22"/>
        </w:rPr>
        <w:t>defined as the number of deep incision or organ space SSIs per 100 procedures</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This example uses SSI rate data stratified by procedure and risk index category.  Nevertheless, an SIR can be calculated using the same calculation process as for CLABSI data except using different risk group stratifiers for these example data.  The SIR for this set of observed data is 0.74 which indicates there’s a 26% reduction in the number of SSI events based on the baseline NHSN SSI rates as representing the standard population.  Once again, these data can reflect the national picture at the 5-year mark and the SIR can serve as metric that summarizes the SSI experience into a single comparison.</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There are clear advantages to reporting and comparing a single number for prevention assessment.  However, since the SIR calculations are based on standard HAI rates among individual risk groups there is the ability to perform more detailed comparisons within any individual risk group should the need arise.  Furthermore, the process for determining the best risk-adjustment for any HAI rate data is flexible and always based on more detailed risk factor analyses that provide ample scientific rigor supporting any SIR calculations.  The extent to which any HAI rate data can be risk-adjusted is obviously related to the detail and volume of data that exist in a given measurement system.</w:t>
      </w:r>
    </w:p>
    <w:p w:rsidR="002D036A" w:rsidRPr="00AE78C2" w:rsidRDefault="002D036A" w:rsidP="002D036A">
      <w:pPr>
        <w:rPr>
          <w:sz w:val="22"/>
          <w:szCs w:val="22"/>
        </w:rPr>
      </w:pPr>
    </w:p>
    <w:p w:rsidR="002D036A" w:rsidRPr="00AE78C2" w:rsidRDefault="002D036A" w:rsidP="002D036A">
      <w:pPr>
        <w:rPr>
          <w:sz w:val="22"/>
          <w:szCs w:val="22"/>
        </w:rPr>
      </w:pPr>
      <w:r w:rsidRPr="00AE78C2">
        <w:rPr>
          <w:sz w:val="22"/>
          <w:szCs w:val="22"/>
        </w:rPr>
        <w:t>In addition to the simplicity of the SIR concept and the advantages listed above, it’s important to note another benefit of using an SIR comparison metric for HAI data.  If there was need at any level of aggregation (national, regional, facility-wide, etc.) to combine the SIR values across mutually-exclusive data one could do so.  The below table demonstrates how the example data from the previous two metric settings could be summarized.</w:t>
      </w:r>
    </w:p>
    <w:p w:rsidR="002D036A" w:rsidRPr="00AE78C2" w:rsidRDefault="002D036A" w:rsidP="002D036A">
      <w:pPr>
        <w:rPr>
          <w:sz w:val="22"/>
          <w:szCs w:val="22"/>
        </w:rPr>
      </w:pPr>
      <w:r w:rsidRPr="00AE78C2">
        <w:rPr>
          <w:sz w:val="22"/>
          <w:szCs w:val="22"/>
        </w:rPr>
        <w:t xml:space="preserve">   </w:t>
      </w:r>
      <w:r w:rsidRPr="00AE78C2">
        <w:rPr>
          <w:position w:val="-10"/>
          <w:sz w:val="22"/>
          <w:szCs w:val="22"/>
        </w:rPr>
        <w:object w:dxaOrig="180" w:dyaOrig="340">
          <v:shape id="_x0000_i1027" type="#_x0000_t75" style="width:9pt;height:16.8pt" o:ole="">
            <v:imagedata r:id="rId30" o:title=""/>
          </v:shape>
          <o:OLEObject Type="Embed" ProgID="Equation.3" ShapeID="_x0000_i1027" DrawAspect="Content" ObjectID="_1607428915" r:id="rId31"/>
        </w:objec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800"/>
        <w:gridCol w:w="1980"/>
        <w:gridCol w:w="1440"/>
        <w:gridCol w:w="1800"/>
        <w:gridCol w:w="2336"/>
      </w:tblGrid>
      <w:tr w:rsidR="002D036A" w:rsidRPr="00AE78C2" w:rsidTr="006B742F">
        <w:tc>
          <w:tcPr>
            <w:tcW w:w="1800" w:type="dxa"/>
            <w:shd w:val="clear" w:color="auto" w:fill="auto"/>
          </w:tcPr>
          <w:p w:rsidR="002D036A" w:rsidRPr="00AE78C2" w:rsidRDefault="002D036A" w:rsidP="006B742F">
            <w:pPr>
              <w:jc w:val="center"/>
              <w:rPr>
                <w:b/>
                <w:bCs/>
                <w:sz w:val="22"/>
                <w:szCs w:val="22"/>
              </w:rPr>
            </w:pPr>
          </w:p>
        </w:tc>
        <w:tc>
          <w:tcPr>
            <w:tcW w:w="5220" w:type="dxa"/>
            <w:gridSpan w:val="3"/>
            <w:tcBorders>
              <w:left w:val="single" w:sz="12" w:space="0" w:color="auto"/>
              <w:right w:val="single" w:sz="24" w:space="0" w:color="auto"/>
            </w:tcBorders>
          </w:tcPr>
          <w:p w:rsidR="002D036A" w:rsidRPr="00AE78C2" w:rsidRDefault="002D036A" w:rsidP="006B742F">
            <w:pPr>
              <w:jc w:val="center"/>
              <w:rPr>
                <w:b/>
                <w:bCs/>
                <w:sz w:val="22"/>
                <w:szCs w:val="22"/>
              </w:rPr>
            </w:pPr>
            <w:r w:rsidRPr="00AE78C2">
              <w:rPr>
                <w:b/>
                <w:bCs/>
                <w:sz w:val="22"/>
                <w:szCs w:val="22"/>
              </w:rPr>
              <w:t>Observed HAIs</w:t>
            </w:r>
          </w:p>
        </w:tc>
        <w:tc>
          <w:tcPr>
            <w:tcW w:w="5576" w:type="dxa"/>
            <w:gridSpan w:val="3"/>
            <w:tcBorders>
              <w:left w:val="single" w:sz="24" w:space="0" w:color="auto"/>
            </w:tcBorders>
            <w:shd w:val="clear" w:color="auto" w:fill="auto"/>
          </w:tcPr>
          <w:p w:rsidR="002D036A" w:rsidRPr="00AE78C2" w:rsidRDefault="002D036A" w:rsidP="006B742F">
            <w:pPr>
              <w:jc w:val="center"/>
              <w:rPr>
                <w:b/>
                <w:bCs/>
                <w:sz w:val="22"/>
                <w:szCs w:val="22"/>
              </w:rPr>
            </w:pPr>
            <w:r w:rsidRPr="00AE78C2">
              <w:rPr>
                <w:b/>
                <w:bCs/>
                <w:sz w:val="22"/>
                <w:szCs w:val="22"/>
              </w:rPr>
              <w:t xml:space="preserve">Expected HAIs </w:t>
            </w:r>
          </w:p>
        </w:tc>
      </w:tr>
      <w:tr w:rsidR="002D036A" w:rsidRPr="00AE78C2" w:rsidTr="006B742F">
        <w:tc>
          <w:tcPr>
            <w:tcW w:w="1800" w:type="dxa"/>
            <w:shd w:val="clear" w:color="auto" w:fill="auto"/>
          </w:tcPr>
          <w:p w:rsidR="002D036A" w:rsidRPr="00AE78C2" w:rsidRDefault="002D036A" w:rsidP="006B742F">
            <w:pPr>
              <w:jc w:val="center"/>
              <w:rPr>
                <w:b/>
                <w:bCs/>
                <w:sz w:val="22"/>
                <w:szCs w:val="22"/>
              </w:rPr>
            </w:pPr>
            <w:r w:rsidRPr="00AE78C2">
              <w:rPr>
                <w:b/>
                <w:bCs/>
                <w:sz w:val="22"/>
                <w:szCs w:val="22"/>
              </w:rPr>
              <w:t>HAI Metric</w:t>
            </w:r>
          </w:p>
        </w:tc>
        <w:tc>
          <w:tcPr>
            <w:tcW w:w="1440" w:type="dxa"/>
            <w:tcBorders>
              <w:left w:val="single" w:sz="12" w:space="0" w:color="auto"/>
            </w:tcBorders>
            <w:vAlign w:val="bottom"/>
          </w:tcPr>
          <w:p w:rsidR="002D036A" w:rsidRPr="00AE78C2" w:rsidRDefault="002D036A" w:rsidP="006B742F">
            <w:pPr>
              <w:jc w:val="center"/>
              <w:rPr>
                <w:b/>
                <w:bCs/>
                <w:sz w:val="22"/>
                <w:szCs w:val="22"/>
              </w:rPr>
            </w:pPr>
            <w:r w:rsidRPr="00AE78C2">
              <w:rPr>
                <w:b/>
                <w:bCs/>
                <w:sz w:val="22"/>
                <w:szCs w:val="22"/>
              </w:rPr>
              <w:t>#CLABSI</w:t>
            </w:r>
          </w:p>
        </w:tc>
        <w:tc>
          <w:tcPr>
            <w:tcW w:w="1800" w:type="dxa"/>
            <w:vAlign w:val="bottom"/>
          </w:tcPr>
          <w:p w:rsidR="002D036A" w:rsidRPr="00AE78C2" w:rsidRDefault="002D036A" w:rsidP="006B742F">
            <w:pPr>
              <w:jc w:val="center"/>
              <w:rPr>
                <w:b/>
                <w:bCs/>
                <w:sz w:val="22"/>
                <w:szCs w:val="22"/>
              </w:rPr>
            </w:pPr>
            <w:r w:rsidRPr="00AE78C2">
              <w:rPr>
                <w:b/>
                <w:bCs/>
                <w:sz w:val="22"/>
                <w:szCs w:val="22"/>
              </w:rPr>
              <w:t>#SSI</w:t>
            </w:r>
            <w:r w:rsidRPr="00AE78C2">
              <w:rPr>
                <w:b/>
                <w:bCs/>
                <w:sz w:val="22"/>
                <w:szCs w:val="22"/>
                <w:vertAlign w:val="superscript"/>
              </w:rPr>
              <w:t>†</w:t>
            </w:r>
          </w:p>
        </w:tc>
        <w:tc>
          <w:tcPr>
            <w:tcW w:w="1980" w:type="dxa"/>
            <w:tcBorders>
              <w:right w:val="single" w:sz="24" w:space="0" w:color="auto"/>
            </w:tcBorders>
            <w:vAlign w:val="bottom"/>
          </w:tcPr>
          <w:p w:rsidR="002D036A" w:rsidRPr="00AE78C2" w:rsidRDefault="002D036A" w:rsidP="006B742F">
            <w:pPr>
              <w:jc w:val="center"/>
              <w:rPr>
                <w:b/>
                <w:bCs/>
                <w:sz w:val="22"/>
                <w:szCs w:val="22"/>
              </w:rPr>
            </w:pPr>
            <w:r w:rsidRPr="00AE78C2">
              <w:rPr>
                <w:b/>
                <w:bCs/>
                <w:sz w:val="22"/>
                <w:szCs w:val="22"/>
              </w:rPr>
              <w:t>#Combined HAI</w:t>
            </w:r>
          </w:p>
        </w:tc>
        <w:tc>
          <w:tcPr>
            <w:tcW w:w="1440" w:type="dxa"/>
            <w:tcBorders>
              <w:left w:val="single" w:sz="24" w:space="0" w:color="auto"/>
            </w:tcBorders>
            <w:shd w:val="clear" w:color="auto" w:fill="auto"/>
            <w:vAlign w:val="bottom"/>
          </w:tcPr>
          <w:p w:rsidR="002D036A" w:rsidRPr="00AE78C2" w:rsidRDefault="002D036A" w:rsidP="006B742F">
            <w:pPr>
              <w:jc w:val="center"/>
              <w:rPr>
                <w:b/>
                <w:bCs/>
                <w:sz w:val="22"/>
                <w:szCs w:val="22"/>
              </w:rPr>
            </w:pPr>
            <w:r w:rsidRPr="00AE78C2">
              <w:rPr>
                <w:b/>
                <w:bCs/>
                <w:sz w:val="22"/>
                <w:szCs w:val="22"/>
              </w:rPr>
              <w:t>#CLABSI</w:t>
            </w:r>
          </w:p>
        </w:tc>
        <w:tc>
          <w:tcPr>
            <w:tcW w:w="1800" w:type="dxa"/>
            <w:tcBorders>
              <w:bottom w:val="single" w:sz="4" w:space="0" w:color="auto"/>
            </w:tcBorders>
            <w:shd w:val="clear" w:color="auto" w:fill="auto"/>
            <w:vAlign w:val="bottom"/>
          </w:tcPr>
          <w:p w:rsidR="002D036A" w:rsidRPr="00AE78C2" w:rsidRDefault="002D036A" w:rsidP="006B742F">
            <w:pPr>
              <w:jc w:val="center"/>
              <w:rPr>
                <w:b/>
                <w:bCs/>
                <w:sz w:val="22"/>
                <w:szCs w:val="22"/>
              </w:rPr>
            </w:pPr>
            <w:r w:rsidRPr="00AE78C2">
              <w:rPr>
                <w:b/>
                <w:bCs/>
                <w:sz w:val="22"/>
                <w:szCs w:val="22"/>
              </w:rPr>
              <w:t>#SSI</w:t>
            </w:r>
            <w:r w:rsidRPr="00AE78C2">
              <w:rPr>
                <w:b/>
                <w:bCs/>
                <w:sz w:val="22"/>
                <w:szCs w:val="22"/>
                <w:vertAlign w:val="superscript"/>
              </w:rPr>
              <w:t>†</w:t>
            </w:r>
          </w:p>
        </w:tc>
        <w:tc>
          <w:tcPr>
            <w:tcW w:w="2336" w:type="dxa"/>
            <w:tcBorders>
              <w:bottom w:val="single" w:sz="4" w:space="0" w:color="auto"/>
            </w:tcBorders>
            <w:shd w:val="clear" w:color="auto" w:fill="auto"/>
            <w:vAlign w:val="bottom"/>
          </w:tcPr>
          <w:p w:rsidR="002D036A" w:rsidRPr="00AE78C2" w:rsidRDefault="002D036A" w:rsidP="006B742F">
            <w:pPr>
              <w:jc w:val="center"/>
              <w:rPr>
                <w:b/>
                <w:bCs/>
                <w:sz w:val="22"/>
                <w:szCs w:val="22"/>
              </w:rPr>
            </w:pPr>
            <w:r w:rsidRPr="00AE78C2">
              <w:rPr>
                <w:b/>
                <w:bCs/>
                <w:sz w:val="22"/>
                <w:szCs w:val="22"/>
              </w:rPr>
              <w:t>#Combined HAI</w:t>
            </w:r>
          </w:p>
        </w:tc>
      </w:tr>
      <w:tr w:rsidR="002D036A" w:rsidRPr="00AE78C2" w:rsidTr="006B742F">
        <w:trPr>
          <w:trHeight w:val="503"/>
        </w:trPr>
        <w:tc>
          <w:tcPr>
            <w:tcW w:w="1800" w:type="dxa"/>
            <w:vAlign w:val="center"/>
          </w:tcPr>
          <w:p w:rsidR="002D036A" w:rsidRPr="00AE78C2" w:rsidRDefault="002D036A" w:rsidP="006B742F">
            <w:pPr>
              <w:jc w:val="center"/>
              <w:rPr>
                <w:sz w:val="22"/>
                <w:szCs w:val="22"/>
              </w:rPr>
            </w:pPr>
            <w:r w:rsidRPr="00AE78C2">
              <w:rPr>
                <w:sz w:val="22"/>
                <w:szCs w:val="22"/>
              </w:rPr>
              <w:t>CLABSI 1</w:t>
            </w:r>
          </w:p>
        </w:tc>
        <w:tc>
          <w:tcPr>
            <w:tcW w:w="1440" w:type="dxa"/>
            <w:tcBorders>
              <w:left w:val="single" w:sz="12" w:space="0" w:color="auto"/>
              <w:bottom w:val="single" w:sz="4" w:space="0" w:color="auto"/>
            </w:tcBorders>
            <w:vAlign w:val="center"/>
          </w:tcPr>
          <w:p w:rsidR="002D036A" w:rsidRPr="00AE78C2" w:rsidRDefault="002D036A" w:rsidP="006B742F">
            <w:pPr>
              <w:jc w:val="center"/>
              <w:rPr>
                <w:sz w:val="22"/>
                <w:szCs w:val="22"/>
              </w:rPr>
            </w:pPr>
            <w:r w:rsidRPr="00AE78C2">
              <w:rPr>
                <w:sz w:val="22"/>
                <w:szCs w:val="22"/>
              </w:rPr>
              <w:t>228</w:t>
            </w:r>
          </w:p>
        </w:tc>
        <w:tc>
          <w:tcPr>
            <w:tcW w:w="1800" w:type="dxa"/>
            <w:shd w:val="clear" w:color="auto" w:fill="E6E6E6"/>
            <w:vAlign w:val="center"/>
          </w:tcPr>
          <w:p w:rsidR="002D036A" w:rsidRPr="00AE78C2" w:rsidRDefault="002D036A" w:rsidP="003C51E6">
            <w:pPr>
              <w:rPr>
                <w:sz w:val="22"/>
                <w:szCs w:val="22"/>
              </w:rPr>
            </w:pPr>
          </w:p>
        </w:tc>
        <w:tc>
          <w:tcPr>
            <w:tcW w:w="1980" w:type="dxa"/>
            <w:tcBorders>
              <w:right w:val="single" w:sz="24" w:space="0" w:color="auto"/>
            </w:tcBorders>
            <w:shd w:val="clear" w:color="auto" w:fill="E6E6E6"/>
            <w:vAlign w:val="center"/>
          </w:tcPr>
          <w:p w:rsidR="002D036A" w:rsidRPr="00AE78C2" w:rsidRDefault="002D036A" w:rsidP="006B742F">
            <w:pPr>
              <w:jc w:val="center"/>
              <w:rPr>
                <w:sz w:val="22"/>
                <w:szCs w:val="22"/>
              </w:rPr>
            </w:pPr>
          </w:p>
        </w:tc>
        <w:tc>
          <w:tcPr>
            <w:tcW w:w="1440" w:type="dxa"/>
            <w:tcBorders>
              <w:left w:val="single" w:sz="24" w:space="0" w:color="auto"/>
              <w:bottom w:val="single" w:sz="4" w:space="0" w:color="auto"/>
            </w:tcBorders>
            <w:shd w:val="clear" w:color="auto" w:fill="auto"/>
            <w:vAlign w:val="center"/>
          </w:tcPr>
          <w:p w:rsidR="002D036A" w:rsidRPr="00AE78C2" w:rsidRDefault="002D036A" w:rsidP="006B742F">
            <w:pPr>
              <w:jc w:val="center"/>
              <w:rPr>
                <w:sz w:val="22"/>
                <w:szCs w:val="22"/>
              </w:rPr>
            </w:pPr>
            <w:r w:rsidRPr="00AE78C2">
              <w:rPr>
                <w:sz w:val="22"/>
                <w:szCs w:val="22"/>
              </w:rPr>
              <w:t>287</w:t>
            </w:r>
          </w:p>
        </w:tc>
        <w:tc>
          <w:tcPr>
            <w:tcW w:w="1800" w:type="dxa"/>
            <w:shd w:val="clear" w:color="auto" w:fill="E6E6E6"/>
            <w:vAlign w:val="center"/>
          </w:tcPr>
          <w:p w:rsidR="002D036A" w:rsidRPr="00AE78C2" w:rsidRDefault="002D036A" w:rsidP="006B742F">
            <w:pPr>
              <w:jc w:val="center"/>
              <w:rPr>
                <w:sz w:val="22"/>
                <w:szCs w:val="22"/>
              </w:rPr>
            </w:pPr>
          </w:p>
        </w:tc>
        <w:tc>
          <w:tcPr>
            <w:tcW w:w="2336" w:type="dxa"/>
            <w:shd w:val="clear" w:color="auto" w:fill="E6E6E6"/>
            <w:vAlign w:val="center"/>
          </w:tcPr>
          <w:p w:rsidR="002D036A" w:rsidRPr="00AE78C2" w:rsidRDefault="002D036A" w:rsidP="006B742F">
            <w:pPr>
              <w:jc w:val="center"/>
              <w:rPr>
                <w:sz w:val="22"/>
                <w:szCs w:val="22"/>
              </w:rPr>
            </w:pPr>
          </w:p>
        </w:tc>
      </w:tr>
      <w:tr w:rsidR="002D036A" w:rsidRPr="00AE78C2" w:rsidTr="006B742F">
        <w:trPr>
          <w:trHeight w:val="503"/>
        </w:trPr>
        <w:tc>
          <w:tcPr>
            <w:tcW w:w="1800" w:type="dxa"/>
            <w:vAlign w:val="center"/>
          </w:tcPr>
          <w:p w:rsidR="002D036A" w:rsidRPr="00AE78C2" w:rsidRDefault="002D036A" w:rsidP="006B742F">
            <w:pPr>
              <w:jc w:val="center"/>
              <w:rPr>
                <w:sz w:val="22"/>
                <w:szCs w:val="22"/>
              </w:rPr>
            </w:pPr>
            <w:r w:rsidRPr="00AE78C2">
              <w:rPr>
                <w:sz w:val="22"/>
                <w:szCs w:val="22"/>
              </w:rPr>
              <w:t>SSI 1</w:t>
            </w:r>
          </w:p>
        </w:tc>
        <w:tc>
          <w:tcPr>
            <w:tcW w:w="1440" w:type="dxa"/>
            <w:tcBorders>
              <w:left w:val="single" w:sz="12" w:space="0" w:color="auto"/>
            </w:tcBorders>
            <w:shd w:val="clear" w:color="auto" w:fill="E6E6E6"/>
            <w:vAlign w:val="center"/>
          </w:tcPr>
          <w:p w:rsidR="002D036A" w:rsidRPr="00AE78C2" w:rsidRDefault="002D036A" w:rsidP="006B742F">
            <w:pPr>
              <w:jc w:val="center"/>
              <w:rPr>
                <w:sz w:val="22"/>
                <w:szCs w:val="22"/>
              </w:rPr>
            </w:pPr>
          </w:p>
        </w:tc>
        <w:tc>
          <w:tcPr>
            <w:tcW w:w="1800" w:type="dxa"/>
            <w:vAlign w:val="center"/>
          </w:tcPr>
          <w:p w:rsidR="002D036A" w:rsidRPr="00AE78C2" w:rsidRDefault="002D036A" w:rsidP="006B742F">
            <w:pPr>
              <w:jc w:val="center"/>
              <w:rPr>
                <w:sz w:val="22"/>
                <w:szCs w:val="22"/>
              </w:rPr>
            </w:pPr>
            <w:r w:rsidRPr="00AE78C2">
              <w:rPr>
                <w:sz w:val="22"/>
                <w:szCs w:val="22"/>
              </w:rPr>
              <w:t>636</w:t>
            </w:r>
          </w:p>
        </w:tc>
        <w:tc>
          <w:tcPr>
            <w:tcW w:w="1980" w:type="dxa"/>
            <w:tcBorders>
              <w:right w:val="single" w:sz="24" w:space="0" w:color="auto"/>
            </w:tcBorders>
            <w:shd w:val="clear" w:color="auto" w:fill="E6E6E6"/>
            <w:vAlign w:val="center"/>
          </w:tcPr>
          <w:p w:rsidR="002D036A" w:rsidRPr="00AE78C2" w:rsidRDefault="002D036A" w:rsidP="006B742F">
            <w:pPr>
              <w:jc w:val="center"/>
              <w:rPr>
                <w:sz w:val="22"/>
                <w:szCs w:val="22"/>
              </w:rPr>
            </w:pPr>
          </w:p>
        </w:tc>
        <w:tc>
          <w:tcPr>
            <w:tcW w:w="1440" w:type="dxa"/>
            <w:tcBorders>
              <w:left w:val="single" w:sz="24" w:space="0" w:color="auto"/>
            </w:tcBorders>
            <w:shd w:val="clear" w:color="auto" w:fill="E6E6E6"/>
            <w:vAlign w:val="center"/>
          </w:tcPr>
          <w:p w:rsidR="002D036A" w:rsidRPr="00AE78C2" w:rsidRDefault="002D036A" w:rsidP="006B742F">
            <w:pPr>
              <w:jc w:val="center"/>
              <w:rPr>
                <w:sz w:val="22"/>
                <w:szCs w:val="22"/>
              </w:rPr>
            </w:pPr>
          </w:p>
        </w:tc>
        <w:tc>
          <w:tcPr>
            <w:tcW w:w="1800" w:type="dxa"/>
            <w:shd w:val="clear" w:color="auto" w:fill="auto"/>
            <w:vAlign w:val="center"/>
          </w:tcPr>
          <w:p w:rsidR="002D036A" w:rsidRPr="00AE78C2" w:rsidRDefault="002D036A" w:rsidP="006B742F">
            <w:pPr>
              <w:jc w:val="center"/>
              <w:rPr>
                <w:sz w:val="22"/>
                <w:szCs w:val="22"/>
              </w:rPr>
            </w:pPr>
            <w:r w:rsidRPr="00AE78C2">
              <w:rPr>
                <w:sz w:val="22"/>
                <w:szCs w:val="22"/>
              </w:rPr>
              <w:t>853.8</w:t>
            </w:r>
          </w:p>
        </w:tc>
        <w:tc>
          <w:tcPr>
            <w:tcW w:w="2336" w:type="dxa"/>
            <w:shd w:val="clear" w:color="auto" w:fill="E6E6E6"/>
            <w:vAlign w:val="center"/>
          </w:tcPr>
          <w:p w:rsidR="002D036A" w:rsidRPr="00AE78C2" w:rsidRDefault="002D036A" w:rsidP="006B742F">
            <w:pPr>
              <w:jc w:val="center"/>
              <w:rPr>
                <w:sz w:val="22"/>
                <w:szCs w:val="22"/>
              </w:rPr>
            </w:pPr>
          </w:p>
        </w:tc>
      </w:tr>
      <w:tr w:rsidR="002D036A" w:rsidRPr="00AE78C2" w:rsidTr="006B742F">
        <w:trPr>
          <w:trHeight w:val="530"/>
        </w:trPr>
        <w:tc>
          <w:tcPr>
            <w:tcW w:w="1800" w:type="dxa"/>
            <w:tcBorders>
              <w:bottom w:val="single" w:sz="12" w:space="0" w:color="auto"/>
            </w:tcBorders>
            <w:vAlign w:val="center"/>
          </w:tcPr>
          <w:p w:rsidR="002D036A" w:rsidRPr="00AE78C2" w:rsidRDefault="002D036A" w:rsidP="006B742F">
            <w:pPr>
              <w:jc w:val="center"/>
              <w:rPr>
                <w:sz w:val="22"/>
                <w:szCs w:val="22"/>
              </w:rPr>
            </w:pPr>
            <w:r w:rsidRPr="00AE78C2">
              <w:rPr>
                <w:sz w:val="22"/>
                <w:szCs w:val="22"/>
              </w:rPr>
              <w:t>Combined HAI</w:t>
            </w:r>
          </w:p>
        </w:tc>
        <w:tc>
          <w:tcPr>
            <w:tcW w:w="1440" w:type="dxa"/>
            <w:tcBorders>
              <w:left w:val="single" w:sz="12" w:space="0" w:color="auto"/>
              <w:bottom w:val="single" w:sz="12" w:space="0" w:color="auto"/>
            </w:tcBorders>
            <w:shd w:val="clear" w:color="auto" w:fill="E6E6E6"/>
            <w:vAlign w:val="center"/>
          </w:tcPr>
          <w:p w:rsidR="002D036A" w:rsidRPr="00AE78C2" w:rsidRDefault="002D036A" w:rsidP="006B742F">
            <w:pPr>
              <w:jc w:val="center"/>
              <w:rPr>
                <w:sz w:val="22"/>
                <w:szCs w:val="22"/>
              </w:rPr>
            </w:pPr>
            <w:r w:rsidRPr="00AE78C2">
              <w:rPr>
                <w:sz w:val="22"/>
                <w:szCs w:val="22"/>
              </w:rPr>
              <w:t xml:space="preserve"> </w:t>
            </w:r>
          </w:p>
        </w:tc>
        <w:tc>
          <w:tcPr>
            <w:tcW w:w="1800" w:type="dxa"/>
            <w:tcBorders>
              <w:bottom w:val="single" w:sz="12" w:space="0" w:color="auto"/>
            </w:tcBorders>
            <w:shd w:val="clear" w:color="auto" w:fill="E6E6E6"/>
            <w:vAlign w:val="center"/>
          </w:tcPr>
          <w:p w:rsidR="002D036A" w:rsidRPr="00AE78C2" w:rsidRDefault="002D036A" w:rsidP="006B742F">
            <w:pPr>
              <w:jc w:val="center"/>
              <w:rPr>
                <w:sz w:val="22"/>
                <w:szCs w:val="22"/>
              </w:rPr>
            </w:pPr>
          </w:p>
        </w:tc>
        <w:tc>
          <w:tcPr>
            <w:tcW w:w="1980" w:type="dxa"/>
            <w:tcBorders>
              <w:bottom w:val="single" w:sz="12" w:space="0" w:color="auto"/>
              <w:right w:val="single" w:sz="24" w:space="0" w:color="auto"/>
            </w:tcBorders>
            <w:vAlign w:val="center"/>
          </w:tcPr>
          <w:p w:rsidR="002D036A" w:rsidRPr="00AE78C2" w:rsidRDefault="002D036A" w:rsidP="006B742F">
            <w:pPr>
              <w:jc w:val="center"/>
              <w:rPr>
                <w:sz w:val="22"/>
                <w:szCs w:val="22"/>
              </w:rPr>
            </w:pPr>
            <w:r w:rsidRPr="00AE78C2">
              <w:rPr>
                <w:sz w:val="22"/>
                <w:szCs w:val="22"/>
              </w:rPr>
              <w:t>228 + 636 = 864</w:t>
            </w:r>
          </w:p>
        </w:tc>
        <w:tc>
          <w:tcPr>
            <w:tcW w:w="1440" w:type="dxa"/>
            <w:tcBorders>
              <w:left w:val="single" w:sz="24" w:space="0" w:color="auto"/>
              <w:bottom w:val="single" w:sz="12" w:space="0" w:color="auto"/>
            </w:tcBorders>
            <w:shd w:val="clear" w:color="auto" w:fill="E6E6E6"/>
            <w:vAlign w:val="center"/>
          </w:tcPr>
          <w:p w:rsidR="002D036A" w:rsidRPr="00AE78C2" w:rsidRDefault="002D036A" w:rsidP="006B742F">
            <w:pPr>
              <w:jc w:val="center"/>
              <w:rPr>
                <w:sz w:val="22"/>
                <w:szCs w:val="22"/>
              </w:rPr>
            </w:pPr>
          </w:p>
        </w:tc>
        <w:tc>
          <w:tcPr>
            <w:tcW w:w="1800" w:type="dxa"/>
            <w:tcBorders>
              <w:bottom w:val="single" w:sz="12" w:space="0" w:color="auto"/>
            </w:tcBorders>
            <w:shd w:val="clear" w:color="auto" w:fill="E6E6E6"/>
            <w:vAlign w:val="center"/>
          </w:tcPr>
          <w:p w:rsidR="002D036A" w:rsidRPr="00AE78C2" w:rsidRDefault="002D036A" w:rsidP="006B742F">
            <w:pPr>
              <w:jc w:val="center"/>
              <w:rPr>
                <w:sz w:val="22"/>
                <w:szCs w:val="22"/>
              </w:rPr>
            </w:pPr>
          </w:p>
        </w:tc>
        <w:tc>
          <w:tcPr>
            <w:tcW w:w="2336" w:type="dxa"/>
            <w:tcBorders>
              <w:bottom w:val="single" w:sz="12" w:space="0" w:color="auto"/>
            </w:tcBorders>
            <w:shd w:val="clear" w:color="auto" w:fill="auto"/>
            <w:vAlign w:val="center"/>
          </w:tcPr>
          <w:p w:rsidR="002D036A" w:rsidRPr="00AE78C2" w:rsidRDefault="002D036A" w:rsidP="006B742F">
            <w:pPr>
              <w:jc w:val="center"/>
              <w:rPr>
                <w:sz w:val="22"/>
                <w:szCs w:val="22"/>
              </w:rPr>
            </w:pPr>
            <w:r w:rsidRPr="00AE78C2">
              <w:rPr>
                <w:sz w:val="22"/>
                <w:szCs w:val="22"/>
              </w:rPr>
              <w:t>287+853.8 = 1140.8</w:t>
            </w:r>
          </w:p>
        </w:tc>
      </w:tr>
      <w:tr w:rsidR="002D036A" w:rsidRPr="00AE78C2" w:rsidTr="006B742F">
        <w:trPr>
          <w:trHeight w:val="152"/>
        </w:trPr>
        <w:tc>
          <w:tcPr>
            <w:tcW w:w="1800" w:type="dxa"/>
            <w:tcBorders>
              <w:top w:val="single" w:sz="12" w:space="0" w:color="auto"/>
              <w:bottom w:val="single" w:sz="12" w:space="0" w:color="auto"/>
            </w:tcBorders>
            <w:vAlign w:val="center"/>
          </w:tcPr>
          <w:p w:rsidR="002D036A" w:rsidRPr="00AE78C2" w:rsidRDefault="002D036A" w:rsidP="003C51E6">
            <w:pPr>
              <w:rPr>
                <w:sz w:val="22"/>
                <w:szCs w:val="22"/>
              </w:rPr>
            </w:pPr>
          </w:p>
        </w:tc>
        <w:tc>
          <w:tcPr>
            <w:tcW w:w="5220" w:type="dxa"/>
            <w:gridSpan w:val="3"/>
            <w:tcBorders>
              <w:top w:val="single" w:sz="12" w:space="0" w:color="auto"/>
              <w:left w:val="single" w:sz="12" w:space="0" w:color="auto"/>
              <w:bottom w:val="single" w:sz="12" w:space="0" w:color="auto"/>
              <w:right w:val="single" w:sz="24" w:space="0" w:color="auto"/>
            </w:tcBorders>
            <w:vAlign w:val="center"/>
          </w:tcPr>
          <w:p w:rsidR="002D036A" w:rsidRPr="00AE78C2" w:rsidRDefault="002D036A" w:rsidP="006B742F">
            <w:pPr>
              <w:jc w:val="center"/>
              <w:rPr>
                <w:sz w:val="22"/>
                <w:szCs w:val="22"/>
              </w:rPr>
            </w:pPr>
          </w:p>
        </w:tc>
        <w:tc>
          <w:tcPr>
            <w:tcW w:w="5576" w:type="dxa"/>
            <w:gridSpan w:val="3"/>
            <w:tcBorders>
              <w:top w:val="single" w:sz="12" w:space="0" w:color="auto"/>
              <w:left w:val="single" w:sz="24" w:space="0" w:color="auto"/>
              <w:bottom w:val="single" w:sz="12" w:space="0" w:color="auto"/>
            </w:tcBorders>
            <w:shd w:val="clear" w:color="auto" w:fill="auto"/>
            <w:vAlign w:val="center"/>
          </w:tcPr>
          <w:p w:rsidR="002D036A" w:rsidRPr="00AE78C2" w:rsidRDefault="002D036A" w:rsidP="006B742F">
            <w:pPr>
              <w:jc w:val="center"/>
              <w:rPr>
                <w:sz w:val="22"/>
                <w:szCs w:val="22"/>
              </w:rPr>
            </w:pPr>
          </w:p>
        </w:tc>
      </w:tr>
      <w:tr w:rsidR="002D036A" w:rsidRPr="00AE78C2" w:rsidTr="006B742F">
        <w:trPr>
          <w:trHeight w:val="512"/>
        </w:trPr>
        <w:tc>
          <w:tcPr>
            <w:tcW w:w="12596" w:type="dxa"/>
            <w:gridSpan w:val="7"/>
            <w:tcBorders>
              <w:top w:val="single" w:sz="12" w:space="0" w:color="auto"/>
            </w:tcBorders>
            <w:vAlign w:val="center"/>
          </w:tcPr>
          <w:p w:rsidR="002D036A" w:rsidRPr="00AE78C2" w:rsidRDefault="002D036A" w:rsidP="006B742F">
            <w:pPr>
              <w:jc w:val="center"/>
              <w:rPr>
                <w:sz w:val="22"/>
                <w:szCs w:val="22"/>
              </w:rPr>
            </w:pPr>
            <w:r w:rsidRPr="00AE78C2">
              <w:rPr>
                <w:sz w:val="22"/>
                <w:szCs w:val="22"/>
              </w:rPr>
              <w:t xml:space="preserve">SIR = </w:t>
            </w:r>
            <w:r w:rsidRPr="00AE78C2">
              <w:rPr>
                <w:position w:val="-28"/>
                <w:sz w:val="22"/>
                <w:szCs w:val="22"/>
              </w:rPr>
              <w:object w:dxaOrig="3980" w:dyaOrig="660">
                <v:shape id="_x0000_i1028" type="#_x0000_t75" style="width:199.2pt;height:33pt" o:ole="">
                  <v:imagedata r:id="rId32" o:title=""/>
                </v:shape>
                <o:OLEObject Type="Embed" ProgID="Equation.3" ShapeID="_x0000_i1028" DrawAspect="Content" ObjectID="_1607428916" r:id="rId33"/>
              </w:object>
            </w:r>
            <w:r w:rsidRPr="00AE78C2">
              <w:rPr>
                <w:sz w:val="22"/>
                <w:szCs w:val="22"/>
              </w:rPr>
              <w:t xml:space="preserve">        95%CI = (0.673,0.849)</w:t>
            </w:r>
          </w:p>
        </w:tc>
      </w:tr>
    </w:tbl>
    <w:p w:rsidR="002D036A" w:rsidRPr="00AE78C2" w:rsidRDefault="002D036A" w:rsidP="002D036A">
      <w:pPr>
        <w:rPr>
          <w:sz w:val="22"/>
          <w:szCs w:val="22"/>
        </w:rPr>
      </w:pPr>
      <w:r w:rsidRPr="00AE78C2">
        <w:rPr>
          <w:b/>
          <w:bCs/>
          <w:sz w:val="22"/>
          <w:szCs w:val="22"/>
          <w:vertAlign w:val="superscript"/>
        </w:rPr>
        <w:t xml:space="preserve">      † </w:t>
      </w:r>
      <w:r w:rsidRPr="00AE78C2">
        <w:rPr>
          <w:sz w:val="22"/>
          <w:szCs w:val="22"/>
        </w:rPr>
        <w:t>SSI</w:t>
      </w:r>
      <w:r w:rsidR="00490F34" w:rsidRPr="00AE78C2">
        <w:rPr>
          <w:sz w:val="22"/>
          <w:szCs w:val="22"/>
        </w:rPr>
        <w:t xml:space="preserve"> (</w:t>
      </w:r>
      <w:r w:rsidRPr="00AE78C2">
        <w:rPr>
          <w:sz w:val="22"/>
          <w:szCs w:val="22"/>
        </w:rPr>
        <w:t>surgical site infection</w:t>
      </w:r>
      <w:r w:rsidR="00490F34" w:rsidRPr="00AE78C2">
        <w:rPr>
          <w:sz w:val="22"/>
          <w:szCs w:val="22"/>
        </w:rPr>
        <w:t>)</w:t>
      </w:r>
    </w:p>
    <w:p w:rsidR="00BB4343" w:rsidRPr="00AE78C2" w:rsidRDefault="00BB4343" w:rsidP="002D036A">
      <w:pPr>
        <w:rPr>
          <w:sz w:val="22"/>
          <w:szCs w:val="22"/>
        </w:rPr>
      </w:pPr>
    </w:p>
    <w:p w:rsidR="00BB4343" w:rsidRPr="00AE78C2" w:rsidRDefault="00BB4343" w:rsidP="002D036A">
      <w:pPr>
        <w:rPr>
          <w:sz w:val="22"/>
          <w:szCs w:val="22"/>
        </w:rPr>
      </w:pPr>
    </w:p>
    <w:p w:rsidR="00BB4343" w:rsidRPr="00AE78C2" w:rsidRDefault="00BB4343" w:rsidP="002D036A">
      <w:pPr>
        <w:rPr>
          <w:sz w:val="22"/>
          <w:szCs w:val="22"/>
        </w:rPr>
        <w:sectPr w:rsidR="00BB4343" w:rsidRPr="00AE78C2" w:rsidSect="002D036A">
          <w:headerReference w:type="even" r:id="rId34"/>
          <w:footerReference w:type="even" r:id="rId35"/>
          <w:footerReference w:type="default" r:id="rId36"/>
          <w:headerReference w:type="first" r:id="rId37"/>
          <w:pgSz w:w="15840" w:h="12240" w:orient="landscape"/>
          <w:pgMar w:top="1440" w:right="900" w:bottom="1440" w:left="900" w:header="720" w:footer="720" w:gutter="0"/>
          <w:cols w:space="720"/>
          <w:noEndnote/>
        </w:sectPr>
      </w:pPr>
    </w:p>
    <w:p w:rsidR="00BB4343" w:rsidRPr="00AE78C2" w:rsidRDefault="00BB4343" w:rsidP="00BB4343">
      <w:pPr>
        <w:jc w:val="center"/>
        <w:rPr>
          <w:b/>
          <w:i/>
        </w:rPr>
      </w:pPr>
      <w:r w:rsidRPr="00AE78C2">
        <w:rPr>
          <w:b/>
          <w:i/>
        </w:rPr>
        <w:lastRenderedPageBreak/>
        <w:t xml:space="preserve">  </w:t>
      </w:r>
    </w:p>
    <w:p w:rsidR="00B86F23" w:rsidRPr="00AE78C2" w:rsidRDefault="00B86F23" w:rsidP="00B86F23">
      <w:pPr>
        <w:rPr>
          <w:b/>
        </w:rPr>
      </w:pPr>
      <w:r w:rsidRPr="00AE78C2">
        <w:rPr>
          <w:b/>
          <w:bCs/>
          <w:color w:val="000000"/>
          <w:sz w:val="22"/>
          <w:szCs w:val="28"/>
        </w:rPr>
        <w:t>Appendix 2: Massachusetts Healthcare Associated Infections Technical Advisory Group</w:t>
      </w:r>
      <w:r w:rsidRPr="00AE78C2">
        <w:rPr>
          <w:b/>
          <w:bCs/>
          <w:color w:val="000000"/>
          <w:sz w:val="22"/>
          <w:szCs w:val="28"/>
        </w:rPr>
        <w:br/>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860"/>
        <w:gridCol w:w="1620"/>
        <w:gridCol w:w="4140"/>
      </w:tblGrid>
      <w:tr w:rsidR="00BB4343" w:rsidRPr="00AE78C2" w:rsidTr="00B86F23">
        <w:trPr>
          <w:trHeight w:val="280"/>
        </w:trPr>
        <w:tc>
          <w:tcPr>
            <w:tcW w:w="2628" w:type="dxa"/>
            <w:tcBorders>
              <w:top w:val="single" w:sz="4" w:space="0" w:color="auto"/>
              <w:left w:val="single" w:sz="4" w:space="0" w:color="auto"/>
              <w:bottom w:val="single" w:sz="4" w:space="0" w:color="auto"/>
              <w:right w:val="single" w:sz="12" w:space="0" w:color="auto"/>
            </w:tcBorders>
            <w:shd w:val="clear" w:color="auto" w:fill="D9D9D9"/>
          </w:tcPr>
          <w:p w:rsidR="00BB4343" w:rsidRPr="00AE78C2" w:rsidRDefault="00BB4343" w:rsidP="004E35F8">
            <w:pPr>
              <w:rPr>
                <w:b/>
              </w:rPr>
            </w:pPr>
            <w:r w:rsidRPr="00AE78C2">
              <w:rPr>
                <w:b/>
              </w:rPr>
              <w:t>NAME</w:t>
            </w:r>
          </w:p>
        </w:tc>
        <w:tc>
          <w:tcPr>
            <w:tcW w:w="4860" w:type="dxa"/>
            <w:tcBorders>
              <w:top w:val="single" w:sz="4" w:space="0" w:color="auto"/>
              <w:left w:val="single" w:sz="12" w:space="0" w:color="auto"/>
              <w:bottom w:val="single" w:sz="4" w:space="0" w:color="auto"/>
              <w:right w:val="single" w:sz="12" w:space="0" w:color="auto"/>
            </w:tcBorders>
            <w:shd w:val="clear" w:color="auto" w:fill="D9D9D9"/>
          </w:tcPr>
          <w:p w:rsidR="00BB4343" w:rsidRPr="00AE78C2" w:rsidRDefault="00BB4343" w:rsidP="004E35F8">
            <w:pPr>
              <w:rPr>
                <w:b/>
              </w:rPr>
            </w:pPr>
            <w:r w:rsidRPr="00AE78C2">
              <w:rPr>
                <w:b/>
              </w:rPr>
              <w:t>TITLE AND AFFILIATION</w:t>
            </w:r>
          </w:p>
        </w:tc>
        <w:tc>
          <w:tcPr>
            <w:tcW w:w="1620" w:type="dxa"/>
            <w:tcBorders>
              <w:top w:val="single" w:sz="4" w:space="0" w:color="auto"/>
              <w:left w:val="single" w:sz="12" w:space="0" w:color="auto"/>
              <w:bottom w:val="single" w:sz="4" w:space="0" w:color="auto"/>
              <w:right w:val="single" w:sz="12" w:space="0" w:color="auto"/>
            </w:tcBorders>
            <w:shd w:val="clear" w:color="auto" w:fill="D9D9D9"/>
          </w:tcPr>
          <w:p w:rsidR="00BB4343" w:rsidRPr="00AE78C2" w:rsidRDefault="00BB4343" w:rsidP="004E35F8">
            <w:pPr>
              <w:rPr>
                <w:b/>
              </w:rPr>
            </w:pPr>
            <w:r w:rsidRPr="00AE78C2">
              <w:rPr>
                <w:b/>
              </w:rPr>
              <w:t xml:space="preserve">PHONE </w:t>
            </w:r>
            <w:r w:rsidRPr="00AE78C2">
              <w:rPr>
                <w:b/>
              </w:rPr>
              <w:lastRenderedPageBreak/>
              <w:t>NUMBER</w:t>
            </w:r>
          </w:p>
        </w:tc>
        <w:tc>
          <w:tcPr>
            <w:tcW w:w="4140" w:type="dxa"/>
            <w:tcBorders>
              <w:top w:val="single" w:sz="4" w:space="0" w:color="auto"/>
              <w:left w:val="single" w:sz="12" w:space="0" w:color="auto"/>
              <w:bottom w:val="single" w:sz="4" w:space="0" w:color="auto"/>
              <w:right w:val="single" w:sz="4" w:space="0" w:color="auto"/>
            </w:tcBorders>
            <w:shd w:val="clear" w:color="auto" w:fill="D9D9D9"/>
          </w:tcPr>
          <w:p w:rsidR="00BB4343" w:rsidRPr="00AE78C2" w:rsidRDefault="00BB4343" w:rsidP="004E35F8">
            <w:pPr>
              <w:tabs>
                <w:tab w:val="left" w:pos="200"/>
              </w:tabs>
              <w:rPr>
                <w:b/>
              </w:rPr>
            </w:pPr>
            <w:r w:rsidRPr="00AE78C2">
              <w:rPr>
                <w:b/>
                <w:sz w:val="28"/>
                <w:szCs w:val="28"/>
              </w:rPr>
              <w:lastRenderedPageBreak/>
              <w:tab/>
            </w:r>
            <w:r w:rsidRPr="00AE78C2">
              <w:rPr>
                <w:b/>
              </w:rPr>
              <w:t>EMAIL ADDRESS</w:t>
            </w:r>
          </w:p>
        </w:tc>
      </w:tr>
      <w:tr w:rsidR="00BB4343" w:rsidRPr="00AE78C2" w:rsidTr="00B86F23">
        <w:trPr>
          <w:trHeight w:val="140"/>
        </w:trPr>
        <w:tc>
          <w:tcPr>
            <w:tcW w:w="2628" w:type="dxa"/>
            <w:tcBorders>
              <w:top w:val="single" w:sz="4" w:space="0" w:color="auto"/>
              <w:right w:val="single" w:sz="12" w:space="0" w:color="auto"/>
            </w:tcBorders>
            <w:shd w:val="clear" w:color="auto" w:fill="auto"/>
          </w:tcPr>
          <w:p w:rsidR="00BB4343" w:rsidRPr="00AE78C2" w:rsidRDefault="00BB4343" w:rsidP="004E35F8">
            <w:pPr>
              <w:rPr>
                <w:b/>
              </w:rPr>
            </w:pPr>
            <w:r w:rsidRPr="00AE78C2">
              <w:rPr>
                <w:b/>
              </w:rPr>
              <w:lastRenderedPageBreak/>
              <w:t>Chair</w:t>
            </w:r>
          </w:p>
        </w:tc>
        <w:tc>
          <w:tcPr>
            <w:tcW w:w="4860" w:type="dxa"/>
            <w:tcBorders>
              <w:top w:val="single" w:sz="4" w:space="0" w:color="auto"/>
              <w:left w:val="single" w:sz="12" w:space="0" w:color="auto"/>
              <w:right w:val="single" w:sz="12" w:space="0" w:color="auto"/>
            </w:tcBorders>
            <w:shd w:val="clear" w:color="auto" w:fill="auto"/>
          </w:tcPr>
          <w:p w:rsidR="00BB4343" w:rsidRPr="00AE78C2" w:rsidRDefault="00BB4343" w:rsidP="004E35F8">
            <w:pPr>
              <w:rPr>
                <w:b/>
                <w:sz w:val="22"/>
                <w:szCs w:val="22"/>
              </w:rPr>
            </w:pPr>
          </w:p>
        </w:tc>
        <w:tc>
          <w:tcPr>
            <w:tcW w:w="1620" w:type="dxa"/>
            <w:tcBorders>
              <w:top w:val="single" w:sz="4" w:space="0" w:color="auto"/>
              <w:left w:val="single" w:sz="12" w:space="0" w:color="auto"/>
              <w:right w:val="single" w:sz="12" w:space="0" w:color="auto"/>
            </w:tcBorders>
            <w:shd w:val="clear" w:color="auto" w:fill="auto"/>
          </w:tcPr>
          <w:p w:rsidR="00BB4343" w:rsidRPr="00AE78C2" w:rsidRDefault="00BB4343" w:rsidP="004E35F8">
            <w:pPr>
              <w:rPr>
                <w:b/>
                <w:sz w:val="22"/>
                <w:szCs w:val="22"/>
              </w:rPr>
            </w:pPr>
          </w:p>
        </w:tc>
        <w:tc>
          <w:tcPr>
            <w:tcW w:w="4140" w:type="dxa"/>
            <w:tcBorders>
              <w:top w:val="single" w:sz="4" w:space="0" w:color="auto"/>
              <w:left w:val="single" w:sz="12" w:space="0" w:color="auto"/>
            </w:tcBorders>
            <w:shd w:val="clear" w:color="auto" w:fill="auto"/>
          </w:tcPr>
          <w:p w:rsidR="00BB4343" w:rsidRPr="00AE78C2" w:rsidRDefault="00BB4343" w:rsidP="004E35F8">
            <w:pPr>
              <w:rPr>
                <w:b/>
                <w:sz w:val="22"/>
                <w:szCs w:val="22"/>
              </w:rPr>
            </w:pPr>
          </w:p>
        </w:tc>
      </w:tr>
      <w:tr w:rsidR="00BB4343" w:rsidRPr="00AE78C2" w:rsidTr="004E35F8">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Alfred DeMaria Jr. M.D. </w:t>
            </w:r>
          </w:p>
          <w:p w:rsidR="00BB4343" w:rsidRPr="00AE78C2" w:rsidRDefault="00BB4343" w:rsidP="004E35F8">
            <w:pPr>
              <w:rPr>
                <w:sz w:val="22"/>
                <w:szCs w:val="22"/>
              </w:rPr>
            </w:pPr>
          </w:p>
          <w:p w:rsidR="00BB4343" w:rsidRPr="00AE78C2" w:rsidRDefault="00BB4343" w:rsidP="004E35F8">
            <w:pPr>
              <w:rPr>
                <w:sz w:val="22"/>
                <w:szCs w:val="22"/>
              </w:rPr>
            </w:pPr>
          </w:p>
        </w:tc>
        <w:tc>
          <w:tcPr>
            <w:tcW w:w="4860" w:type="dxa"/>
            <w:tcBorders>
              <w:left w:val="single" w:sz="12" w:space="0" w:color="auto"/>
              <w:right w:val="single" w:sz="12" w:space="0" w:color="auto"/>
            </w:tcBorders>
            <w:shd w:val="clear" w:color="auto" w:fill="auto"/>
          </w:tcPr>
          <w:p w:rsidR="00BB4343" w:rsidRPr="00AE78C2" w:rsidRDefault="00BB4343" w:rsidP="004E35F8">
            <w:pPr>
              <w:autoSpaceDE w:val="0"/>
              <w:autoSpaceDN w:val="0"/>
              <w:adjustRightInd w:val="0"/>
              <w:rPr>
                <w:sz w:val="22"/>
                <w:szCs w:val="22"/>
              </w:rPr>
            </w:pPr>
            <w:r w:rsidRPr="00AE78C2">
              <w:rPr>
                <w:sz w:val="22"/>
                <w:szCs w:val="22"/>
              </w:rPr>
              <w:t xml:space="preserve">Medical Director, Bureau of Infectious Disease </w:t>
            </w:r>
            <w:r w:rsidR="00C67A15" w:rsidRPr="00AE78C2">
              <w:rPr>
                <w:sz w:val="22"/>
                <w:szCs w:val="22"/>
              </w:rPr>
              <w:t>and Laboratory Sciences</w:t>
            </w:r>
          </w:p>
          <w:p w:rsidR="00BB4343" w:rsidRPr="00AE78C2" w:rsidRDefault="00BB4343" w:rsidP="004E35F8">
            <w:pPr>
              <w:rPr>
                <w:sz w:val="22"/>
                <w:szCs w:val="22"/>
              </w:rPr>
            </w:pPr>
            <w:r w:rsidRPr="00AE78C2">
              <w:rPr>
                <w:sz w:val="22"/>
                <w:szCs w:val="22"/>
              </w:rPr>
              <w:t>State Epidemiologist</w:t>
            </w:r>
          </w:p>
          <w:p w:rsidR="00BB4343" w:rsidRPr="00AE78C2" w:rsidRDefault="00BB4343" w:rsidP="004E35F8">
            <w:pPr>
              <w:rPr>
                <w:i/>
                <w:sz w:val="22"/>
                <w:szCs w:val="22"/>
              </w:rPr>
            </w:pPr>
            <w:r w:rsidRPr="00AE78C2">
              <w:rPr>
                <w:i/>
                <w:sz w:val="22"/>
                <w:szCs w:val="22"/>
              </w:rPr>
              <w:t xml:space="preserve">Massachusetts Department of Public Health </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617-983-6550</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38" w:history="1">
              <w:r w:rsidRPr="00AE78C2">
                <w:rPr>
                  <w:rStyle w:val="Hyperlink"/>
                  <w:sz w:val="22"/>
                  <w:szCs w:val="22"/>
                </w:rPr>
                <w:t>Alfred.demaria@state.ma.us</w:t>
              </w:r>
            </w:hyperlink>
          </w:p>
          <w:p w:rsidR="00BB4343" w:rsidRPr="00AE78C2" w:rsidRDefault="00BB4343" w:rsidP="004E35F8">
            <w:pPr>
              <w:rPr>
                <w:sz w:val="22"/>
                <w:szCs w:val="22"/>
              </w:rPr>
            </w:pPr>
          </w:p>
        </w:tc>
      </w:tr>
      <w:tr w:rsidR="00BB4343" w:rsidRPr="00AE78C2" w:rsidTr="004E35F8">
        <w:tc>
          <w:tcPr>
            <w:tcW w:w="2628" w:type="dxa"/>
            <w:tcBorders>
              <w:right w:val="single" w:sz="12" w:space="0" w:color="auto"/>
            </w:tcBorders>
            <w:shd w:val="clear" w:color="auto" w:fill="auto"/>
          </w:tcPr>
          <w:p w:rsidR="00BB4343" w:rsidRPr="00AE78C2" w:rsidRDefault="00BB4343" w:rsidP="004E35F8">
            <w:pPr>
              <w:rPr>
                <w:b/>
                <w:sz w:val="22"/>
                <w:szCs w:val="22"/>
              </w:rPr>
            </w:pPr>
            <w:r w:rsidRPr="00AE78C2">
              <w:rPr>
                <w:b/>
                <w:sz w:val="22"/>
                <w:szCs w:val="22"/>
              </w:rPr>
              <w:t>Members</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p>
        </w:tc>
        <w:tc>
          <w:tcPr>
            <w:tcW w:w="4140" w:type="dxa"/>
            <w:tcBorders>
              <w:left w:val="single" w:sz="12" w:space="0" w:color="auto"/>
            </w:tcBorders>
            <w:shd w:val="clear" w:color="auto" w:fill="auto"/>
          </w:tcPr>
          <w:p w:rsidR="00BB4343" w:rsidRPr="00AE78C2" w:rsidRDefault="00BB4343" w:rsidP="004E35F8">
            <w:pPr>
              <w:jc w:val="center"/>
              <w:rPr>
                <w:sz w:val="22"/>
                <w:szCs w:val="22"/>
              </w:rPr>
            </w:pPr>
          </w:p>
        </w:tc>
      </w:tr>
      <w:tr w:rsidR="00BB4343" w:rsidRPr="00AE78C2" w:rsidTr="004E35F8">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Karen Boudreau, MD</w:t>
            </w:r>
          </w:p>
        </w:tc>
        <w:tc>
          <w:tcPr>
            <w:tcW w:w="4860" w:type="dxa"/>
            <w:tcBorders>
              <w:left w:val="single" w:sz="12" w:space="0" w:color="auto"/>
              <w:right w:val="single" w:sz="12" w:space="0" w:color="auto"/>
            </w:tcBorders>
            <w:shd w:val="clear" w:color="auto" w:fill="auto"/>
          </w:tcPr>
          <w:p w:rsidR="00BB4343" w:rsidRPr="00AE78C2" w:rsidRDefault="00BB4343" w:rsidP="004E35F8">
            <w:pPr>
              <w:rPr>
                <w:color w:val="333333"/>
                <w:sz w:val="22"/>
                <w:szCs w:val="22"/>
                <w:lang w:val="en"/>
              </w:rPr>
            </w:pPr>
            <w:r w:rsidRPr="00AE78C2">
              <w:rPr>
                <w:color w:val="333333"/>
                <w:sz w:val="22"/>
                <w:szCs w:val="22"/>
                <w:lang w:val="en"/>
              </w:rPr>
              <w:t xml:space="preserve">Chief Medical Officer </w:t>
            </w:r>
          </w:p>
          <w:p w:rsidR="00BB4343" w:rsidRPr="00AE78C2" w:rsidRDefault="00BB4343" w:rsidP="004E35F8">
            <w:pPr>
              <w:rPr>
                <w:i/>
                <w:sz w:val="20"/>
                <w:szCs w:val="20"/>
              </w:rPr>
            </w:pPr>
            <w:r w:rsidRPr="00AE78C2">
              <w:rPr>
                <w:color w:val="333333"/>
                <w:sz w:val="22"/>
                <w:szCs w:val="22"/>
                <w:lang w:val="en"/>
              </w:rPr>
              <w:t>Boston Medical Center HealthNet Plan</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p>
        </w:tc>
        <w:tc>
          <w:tcPr>
            <w:tcW w:w="4140" w:type="dxa"/>
            <w:tcBorders>
              <w:left w:val="single" w:sz="12" w:space="0" w:color="auto"/>
            </w:tcBorders>
            <w:shd w:val="clear" w:color="auto" w:fill="auto"/>
          </w:tcPr>
          <w:p w:rsidR="00BB4343" w:rsidRPr="00AE78C2" w:rsidRDefault="00BB4343" w:rsidP="004E35F8">
            <w:pPr>
              <w:rPr>
                <w:sz w:val="22"/>
                <w:szCs w:val="22"/>
              </w:rPr>
            </w:pPr>
            <w:hyperlink r:id="rId39" w:history="1">
              <w:r w:rsidRPr="00AE78C2">
                <w:rPr>
                  <w:rStyle w:val="Hyperlink"/>
                  <w:sz w:val="22"/>
                  <w:szCs w:val="22"/>
                </w:rPr>
                <w:t>Karen.Boudreau@bmchp.org</w:t>
              </w:r>
            </w:hyperlink>
          </w:p>
          <w:p w:rsidR="00BB4343" w:rsidRPr="00AE78C2" w:rsidRDefault="00BB4343" w:rsidP="004E35F8">
            <w:pPr>
              <w:rPr>
                <w:sz w:val="22"/>
                <w:szCs w:val="22"/>
              </w:rPr>
            </w:pPr>
          </w:p>
        </w:tc>
      </w:tr>
      <w:tr w:rsidR="00BB4343" w:rsidRPr="00AE78C2" w:rsidTr="004E35F8">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Mari-Kim Bunnell, MD</w:t>
            </w:r>
          </w:p>
        </w:tc>
        <w:tc>
          <w:tcPr>
            <w:tcW w:w="4860" w:type="dxa"/>
            <w:tcBorders>
              <w:left w:val="single" w:sz="12" w:space="0" w:color="auto"/>
              <w:right w:val="single" w:sz="12" w:space="0" w:color="auto"/>
            </w:tcBorders>
            <w:shd w:val="clear" w:color="auto" w:fill="auto"/>
          </w:tcPr>
          <w:p w:rsidR="00BB4343" w:rsidRPr="00AE78C2" w:rsidRDefault="00BB4343" w:rsidP="004E35F8">
            <w:pPr>
              <w:autoSpaceDE w:val="0"/>
              <w:autoSpaceDN w:val="0"/>
              <w:adjustRightInd w:val="0"/>
              <w:rPr>
                <w:sz w:val="22"/>
                <w:szCs w:val="22"/>
              </w:rPr>
            </w:pPr>
            <w:r w:rsidRPr="00AE78C2">
              <w:rPr>
                <w:sz w:val="22"/>
                <w:szCs w:val="22"/>
              </w:rPr>
              <w:t>OB/GYN New England Obstetrics and Gynecology Associates</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617-731-3400</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0" w:history="1">
              <w:r w:rsidRPr="00AE78C2">
                <w:rPr>
                  <w:rStyle w:val="Hyperlink"/>
                  <w:sz w:val="22"/>
                  <w:szCs w:val="22"/>
                </w:rPr>
                <w:t>mbunnell@partners.org</w:t>
              </w:r>
            </w:hyperlink>
          </w:p>
        </w:tc>
      </w:tr>
      <w:tr w:rsidR="00BB4343" w:rsidRPr="00AE78C2" w:rsidTr="004E35F8">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Wanda Carey, RN, BSN, CIC</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Infection Control Professional  </w:t>
            </w:r>
          </w:p>
          <w:p w:rsidR="00BB4343" w:rsidRPr="00AE78C2" w:rsidRDefault="00BB4343" w:rsidP="004E35F8">
            <w:pPr>
              <w:rPr>
                <w:sz w:val="22"/>
                <w:szCs w:val="22"/>
              </w:rPr>
            </w:pPr>
            <w:r w:rsidRPr="00AE78C2">
              <w:rPr>
                <w:i/>
                <w:sz w:val="22"/>
                <w:szCs w:val="22"/>
              </w:rPr>
              <w:t>Steward Healthcare, Norwood Hospital</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781-278-6326</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1" w:history="1">
              <w:r w:rsidRPr="00AE78C2">
                <w:rPr>
                  <w:rStyle w:val="Hyperlink"/>
                  <w:sz w:val="22"/>
                  <w:szCs w:val="22"/>
                </w:rPr>
                <w:t>wanda.carey@steward.org</w:t>
              </w:r>
            </w:hyperlink>
          </w:p>
          <w:p w:rsidR="00BB4343" w:rsidRPr="00AE78C2" w:rsidRDefault="00BB4343" w:rsidP="004E35F8">
            <w:pPr>
              <w:rPr>
                <w:sz w:val="22"/>
                <w:szCs w:val="22"/>
                <w:highlight w:val="yellow"/>
              </w:rPr>
            </w:pPr>
          </w:p>
        </w:tc>
      </w:tr>
      <w:tr w:rsidR="00BB4343" w:rsidRPr="00AE78C2" w:rsidTr="004E35F8">
        <w:trPr>
          <w:trHeight w:val="255"/>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Philip Carling, MD</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Director Infectious Diseases and Hospital Epidemiology</w:t>
            </w:r>
          </w:p>
          <w:p w:rsidR="00BB4343" w:rsidRPr="00AE78C2" w:rsidRDefault="00BB4343" w:rsidP="004E35F8">
            <w:pPr>
              <w:rPr>
                <w:sz w:val="22"/>
                <w:szCs w:val="22"/>
              </w:rPr>
            </w:pPr>
            <w:r w:rsidRPr="00AE78C2">
              <w:rPr>
                <w:i/>
                <w:sz w:val="22"/>
                <w:szCs w:val="22"/>
              </w:rPr>
              <w:t>Steward Healthcare, Carney Hospital</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617-296-4000 </w:t>
            </w:r>
          </w:p>
          <w:p w:rsidR="00BB4343" w:rsidRPr="00AE78C2" w:rsidRDefault="00BB4343" w:rsidP="004E35F8">
            <w:pPr>
              <w:rPr>
                <w:sz w:val="22"/>
                <w:szCs w:val="22"/>
              </w:rPr>
            </w:pPr>
            <w:r w:rsidRPr="00AE78C2">
              <w:rPr>
                <w:sz w:val="22"/>
                <w:szCs w:val="22"/>
              </w:rPr>
              <w:t>x 5050</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2" w:history="1">
              <w:r w:rsidRPr="00AE78C2">
                <w:rPr>
                  <w:rStyle w:val="Hyperlink"/>
                  <w:sz w:val="22"/>
                  <w:szCs w:val="22"/>
                </w:rPr>
                <w:t>Philip.Carling.MD@steward.org</w:t>
              </w:r>
            </w:hyperlink>
          </w:p>
          <w:p w:rsidR="00BB4343" w:rsidRPr="00AE78C2" w:rsidRDefault="00BB4343" w:rsidP="004E35F8">
            <w:pPr>
              <w:rPr>
                <w:sz w:val="22"/>
                <w:szCs w:val="22"/>
              </w:rPr>
            </w:pPr>
          </w:p>
          <w:p w:rsidR="00BB4343" w:rsidRPr="00AE78C2" w:rsidRDefault="00BB4343" w:rsidP="004E35F8">
            <w:pPr>
              <w:rPr>
                <w:sz w:val="22"/>
                <w:szCs w:val="22"/>
                <w:highlight w:val="yellow"/>
              </w:rPr>
            </w:pPr>
          </w:p>
        </w:tc>
      </w:tr>
      <w:tr w:rsidR="00BB4343" w:rsidRPr="00AE78C2" w:rsidTr="004E35F8">
        <w:trPr>
          <w:trHeight w:val="382"/>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Richard T. Ellison III, MD</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Hospital Epidemiologist</w:t>
            </w:r>
          </w:p>
          <w:p w:rsidR="00BB4343" w:rsidRPr="00AE78C2" w:rsidRDefault="00BB4343" w:rsidP="004E35F8">
            <w:pPr>
              <w:rPr>
                <w:i/>
                <w:sz w:val="22"/>
                <w:szCs w:val="22"/>
              </w:rPr>
            </w:pPr>
            <w:r w:rsidRPr="00AE78C2">
              <w:rPr>
                <w:i/>
                <w:sz w:val="22"/>
                <w:szCs w:val="22"/>
              </w:rPr>
              <w:t>U Mass Memorial Medical Center</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508-856-3158</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3" w:history="1">
              <w:r w:rsidRPr="00AE78C2">
                <w:rPr>
                  <w:rStyle w:val="Hyperlink"/>
                  <w:sz w:val="22"/>
                  <w:szCs w:val="22"/>
                </w:rPr>
                <w:t>ellisonr@ummhc.org</w:t>
              </w:r>
            </w:hyperlink>
          </w:p>
          <w:p w:rsidR="00BB4343" w:rsidRPr="00AE78C2" w:rsidRDefault="00BB4343" w:rsidP="004E35F8">
            <w:pPr>
              <w:rPr>
                <w:sz w:val="22"/>
                <w:szCs w:val="22"/>
              </w:rPr>
            </w:pPr>
          </w:p>
        </w:tc>
      </w:tr>
      <w:tr w:rsidR="00BB4343" w:rsidRPr="00AE78C2" w:rsidTr="004E35F8">
        <w:trPr>
          <w:trHeight w:val="382"/>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Paula Griswold, MS</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Executive Director,</w:t>
            </w:r>
          </w:p>
          <w:p w:rsidR="00BB4343" w:rsidRPr="00AE78C2" w:rsidRDefault="00BB4343" w:rsidP="004E35F8">
            <w:pPr>
              <w:rPr>
                <w:i/>
                <w:sz w:val="22"/>
                <w:szCs w:val="22"/>
              </w:rPr>
            </w:pPr>
            <w:r w:rsidRPr="00AE78C2">
              <w:rPr>
                <w:i/>
                <w:sz w:val="22"/>
                <w:szCs w:val="22"/>
              </w:rPr>
              <w:t>Massachusetts Coalition for the Prevention of Medical Errors</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781-272-8000 x152</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4" w:history="1">
              <w:r w:rsidRPr="00AE78C2">
                <w:rPr>
                  <w:rStyle w:val="Hyperlink"/>
                  <w:sz w:val="22"/>
                  <w:szCs w:val="22"/>
                </w:rPr>
                <w:t>pgriswold@mhalink.org</w:t>
              </w:r>
            </w:hyperlink>
          </w:p>
          <w:p w:rsidR="00BB4343" w:rsidRPr="00AE78C2" w:rsidRDefault="00BB4343" w:rsidP="004E35F8">
            <w:pPr>
              <w:rPr>
                <w:sz w:val="22"/>
                <w:szCs w:val="22"/>
              </w:rPr>
            </w:pPr>
          </w:p>
        </w:tc>
      </w:tr>
      <w:tr w:rsidR="00BB4343" w:rsidRPr="00AE78C2" w:rsidTr="004E35F8">
        <w:trPr>
          <w:trHeight w:val="382"/>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David Hooper, MD</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Internal Medicine/ Infectious Disease</w:t>
            </w:r>
          </w:p>
          <w:p w:rsidR="00BB4343" w:rsidRPr="00AE78C2" w:rsidRDefault="00BB4343" w:rsidP="004E35F8">
            <w:pPr>
              <w:rPr>
                <w:sz w:val="22"/>
                <w:szCs w:val="22"/>
              </w:rPr>
            </w:pPr>
            <w:r w:rsidRPr="00AE78C2">
              <w:rPr>
                <w:i/>
                <w:sz w:val="22"/>
                <w:szCs w:val="22"/>
              </w:rPr>
              <w:t>Massachusetts General Hospital</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617-726-3811</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5" w:history="1">
              <w:r w:rsidRPr="00AE78C2">
                <w:rPr>
                  <w:rStyle w:val="Hyperlink"/>
                  <w:sz w:val="22"/>
                  <w:szCs w:val="22"/>
                </w:rPr>
                <w:t>dhooper@partners.org</w:t>
              </w:r>
            </w:hyperlink>
          </w:p>
          <w:p w:rsidR="00BB4343" w:rsidRPr="00AE78C2" w:rsidRDefault="00BB4343" w:rsidP="004E35F8">
            <w:pPr>
              <w:rPr>
                <w:sz w:val="22"/>
                <w:szCs w:val="22"/>
              </w:rPr>
            </w:pPr>
          </w:p>
        </w:tc>
      </w:tr>
      <w:tr w:rsidR="00BB4343" w:rsidRPr="00AE78C2" w:rsidTr="004E35F8">
        <w:trPr>
          <w:trHeight w:val="382"/>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Tom Hutton </w:t>
            </w:r>
          </w:p>
          <w:p w:rsidR="00BB4343" w:rsidRPr="00AE78C2" w:rsidRDefault="00BB4343" w:rsidP="004E35F8">
            <w:pPr>
              <w:rPr>
                <w:sz w:val="22"/>
                <w:szCs w:val="22"/>
              </w:rPr>
            </w:pPr>
          </w:p>
          <w:p w:rsidR="00BB4343" w:rsidRPr="00AE78C2" w:rsidRDefault="00BB4343" w:rsidP="004E35F8">
            <w:pPr>
              <w:rPr>
                <w:sz w:val="22"/>
                <w:szCs w:val="22"/>
              </w:rPr>
            </w:pP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Healthcare </w:t>
            </w:r>
            <w:r w:rsidR="008D60FF" w:rsidRPr="00AE78C2">
              <w:rPr>
                <w:sz w:val="22"/>
                <w:szCs w:val="22"/>
              </w:rPr>
              <w:t>Systems Preparedness</w:t>
            </w:r>
            <w:r w:rsidRPr="00AE78C2">
              <w:rPr>
                <w:sz w:val="22"/>
                <w:szCs w:val="22"/>
              </w:rPr>
              <w:t xml:space="preserve"> Manager,  </w:t>
            </w:r>
          </w:p>
          <w:p w:rsidR="00BB4343" w:rsidRPr="00AE78C2" w:rsidRDefault="00BB4343" w:rsidP="004E35F8">
            <w:pPr>
              <w:rPr>
                <w:sz w:val="22"/>
                <w:szCs w:val="22"/>
              </w:rPr>
            </w:pPr>
            <w:r w:rsidRPr="00AE78C2">
              <w:rPr>
                <w:sz w:val="22"/>
                <w:szCs w:val="22"/>
              </w:rPr>
              <w:t>Office of Preparedness and Emergency Management</w:t>
            </w:r>
          </w:p>
          <w:p w:rsidR="00BB4343" w:rsidRPr="00AE78C2" w:rsidRDefault="00BB4343" w:rsidP="004E35F8">
            <w:pPr>
              <w:rPr>
                <w:i/>
                <w:sz w:val="22"/>
                <w:szCs w:val="22"/>
              </w:rPr>
            </w:pPr>
            <w:r w:rsidRPr="00AE78C2">
              <w:rPr>
                <w:i/>
                <w:sz w:val="22"/>
                <w:szCs w:val="22"/>
              </w:rPr>
              <w:t>Massachusetts Department of Public Health</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617-624-5289</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6" w:history="1">
              <w:r w:rsidRPr="00AE78C2">
                <w:rPr>
                  <w:rStyle w:val="Hyperlink"/>
                  <w:sz w:val="22"/>
                  <w:szCs w:val="22"/>
                </w:rPr>
                <w:t>Tom.Hutton@MassMail.State.MA.US</w:t>
              </w:r>
            </w:hyperlink>
          </w:p>
          <w:p w:rsidR="00BB4343" w:rsidRPr="00AE78C2" w:rsidRDefault="00BB4343" w:rsidP="004E35F8">
            <w:pPr>
              <w:rPr>
                <w:sz w:val="22"/>
                <w:szCs w:val="22"/>
              </w:rPr>
            </w:pPr>
          </w:p>
        </w:tc>
      </w:tr>
      <w:tr w:rsidR="00BB4343" w:rsidRPr="00AE78C2" w:rsidTr="004E35F8">
        <w:trPr>
          <w:trHeight w:val="382"/>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Linda Kenney</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President, Executive Director </w:t>
            </w:r>
          </w:p>
          <w:p w:rsidR="00BB4343" w:rsidRPr="00AE78C2" w:rsidRDefault="00BB4343" w:rsidP="004E35F8">
            <w:pPr>
              <w:rPr>
                <w:i/>
                <w:sz w:val="22"/>
                <w:szCs w:val="22"/>
              </w:rPr>
            </w:pPr>
            <w:r w:rsidRPr="00AE78C2">
              <w:rPr>
                <w:i/>
                <w:sz w:val="22"/>
                <w:szCs w:val="22"/>
              </w:rPr>
              <w:t>Medically Induced Trauma Support Services</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617-232-0090</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7" w:history="1">
              <w:r w:rsidRPr="00AE78C2">
                <w:rPr>
                  <w:rStyle w:val="Hyperlink"/>
                  <w:sz w:val="22"/>
                  <w:szCs w:val="22"/>
                </w:rPr>
                <w:t>Lkenney@MITSS.org</w:t>
              </w:r>
            </w:hyperlink>
          </w:p>
          <w:p w:rsidR="00BB4343" w:rsidRPr="00AE78C2" w:rsidRDefault="00BB4343" w:rsidP="004E35F8">
            <w:pPr>
              <w:rPr>
                <w:sz w:val="22"/>
                <w:szCs w:val="22"/>
              </w:rPr>
            </w:pPr>
          </w:p>
        </w:tc>
      </w:tr>
      <w:tr w:rsidR="00BB4343" w:rsidRPr="00AE78C2" w:rsidTr="004E35F8">
        <w:trPr>
          <w:trHeight w:val="638"/>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Tricia A. Lemon, BSN, MPH, CIC</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Infection Prevention Manager </w:t>
            </w:r>
          </w:p>
          <w:p w:rsidR="00BB4343" w:rsidRPr="00AE78C2" w:rsidRDefault="00BB4343" w:rsidP="004E35F8">
            <w:pPr>
              <w:rPr>
                <w:i/>
                <w:sz w:val="22"/>
                <w:szCs w:val="22"/>
              </w:rPr>
            </w:pPr>
            <w:r w:rsidRPr="00AE78C2">
              <w:rPr>
                <w:i/>
                <w:sz w:val="22"/>
                <w:szCs w:val="22"/>
              </w:rPr>
              <w:t>Mount Auburn Hospital</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617-499-5665 ext. 4253</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48" w:history="1">
              <w:r w:rsidRPr="00AE78C2">
                <w:rPr>
                  <w:rStyle w:val="Hyperlink"/>
                  <w:sz w:val="22"/>
                  <w:szCs w:val="22"/>
                </w:rPr>
                <w:t>tlemon@mah.harvard.edu</w:t>
              </w:r>
            </w:hyperlink>
          </w:p>
        </w:tc>
      </w:tr>
      <w:tr w:rsidR="00BB4343" w:rsidRPr="00AE78C2" w:rsidTr="00B86F23">
        <w:trPr>
          <w:trHeight w:val="512"/>
        </w:trPr>
        <w:tc>
          <w:tcPr>
            <w:tcW w:w="2628" w:type="dxa"/>
            <w:tcBorders>
              <w:bottom w:val="single" w:sz="4" w:space="0" w:color="auto"/>
              <w:right w:val="single" w:sz="12" w:space="0" w:color="auto"/>
            </w:tcBorders>
            <w:shd w:val="clear" w:color="auto" w:fill="auto"/>
          </w:tcPr>
          <w:p w:rsidR="00BB4343" w:rsidRPr="00AE78C2" w:rsidRDefault="008D60FF" w:rsidP="00B86F23">
            <w:pPr>
              <w:rPr>
                <w:sz w:val="22"/>
                <w:szCs w:val="22"/>
              </w:rPr>
            </w:pPr>
            <w:r w:rsidRPr="00AE78C2">
              <w:rPr>
                <w:sz w:val="22"/>
                <w:szCs w:val="22"/>
              </w:rPr>
              <w:t>Tracy Stiles</w:t>
            </w:r>
            <w:r w:rsidR="00BB4343" w:rsidRPr="00AE78C2">
              <w:rPr>
                <w:sz w:val="22"/>
                <w:szCs w:val="22"/>
              </w:rPr>
              <w:t>, PhD, D(ABMM)</w:t>
            </w:r>
          </w:p>
        </w:tc>
        <w:tc>
          <w:tcPr>
            <w:tcW w:w="4860" w:type="dxa"/>
            <w:tcBorders>
              <w:left w:val="single" w:sz="12" w:space="0" w:color="auto"/>
              <w:bottom w:val="single" w:sz="4" w:space="0" w:color="auto"/>
              <w:right w:val="single" w:sz="12" w:space="0" w:color="auto"/>
            </w:tcBorders>
            <w:shd w:val="clear" w:color="auto" w:fill="auto"/>
          </w:tcPr>
          <w:p w:rsidR="00BB4343" w:rsidRPr="00AE78C2" w:rsidRDefault="008D60FF" w:rsidP="004E35F8">
            <w:pPr>
              <w:rPr>
                <w:sz w:val="22"/>
                <w:szCs w:val="22"/>
              </w:rPr>
            </w:pPr>
            <w:r w:rsidRPr="00AE78C2">
              <w:rPr>
                <w:sz w:val="22"/>
                <w:szCs w:val="22"/>
              </w:rPr>
              <w:t>Manager,</w:t>
            </w:r>
            <w:r w:rsidR="00BB4343" w:rsidRPr="00AE78C2">
              <w:rPr>
                <w:sz w:val="22"/>
                <w:szCs w:val="22"/>
              </w:rPr>
              <w:t xml:space="preserve"> the Bureau of Laboratory Sciences </w:t>
            </w:r>
            <w:r w:rsidR="00BB4343" w:rsidRPr="00AE78C2">
              <w:rPr>
                <w:i/>
                <w:sz w:val="22"/>
                <w:szCs w:val="22"/>
              </w:rPr>
              <w:t>Hinton State Laboratory Institute</w:t>
            </w:r>
          </w:p>
        </w:tc>
        <w:tc>
          <w:tcPr>
            <w:tcW w:w="1620" w:type="dxa"/>
            <w:tcBorders>
              <w:left w:val="single" w:sz="12" w:space="0" w:color="auto"/>
              <w:bottom w:val="single" w:sz="4"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617-983-4362</w:t>
            </w:r>
          </w:p>
        </w:tc>
        <w:tc>
          <w:tcPr>
            <w:tcW w:w="4140" w:type="dxa"/>
            <w:tcBorders>
              <w:left w:val="single" w:sz="12" w:space="0" w:color="auto"/>
              <w:bottom w:val="single" w:sz="4" w:space="0" w:color="auto"/>
            </w:tcBorders>
            <w:shd w:val="clear" w:color="auto" w:fill="auto"/>
          </w:tcPr>
          <w:p w:rsidR="00BB4343" w:rsidRPr="00AE78C2" w:rsidRDefault="00BB4343" w:rsidP="004E35F8">
            <w:pPr>
              <w:rPr>
                <w:sz w:val="22"/>
                <w:szCs w:val="22"/>
              </w:rPr>
            </w:pPr>
          </w:p>
          <w:p w:rsidR="00936F75" w:rsidRPr="00AE78C2" w:rsidRDefault="00936F75" w:rsidP="004E35F8">
            <w:pPr>
              <w:rPr>
                <w:sz w:val="22"/>
                <w:szCs w:val="22"/>
              </w:rPr>
            </w:pPr>
            <w:r w:rsidRPr="00AE78C2">
              <w:rPr>
                <w:sz w:val="22"/>
                <w:szCs w:val="22"/>
              </w:rPr>
              <w:t>Tracy.Stiles@MassMail.State.MA.US</w:t>
            </w:r>
          </w:p>
        </w:tc>
      </w:tr>
      <w:tr w:rsidR="00BB4343" w:rsidRPr="00AE78C2" w:rsidTr="00B86F23">
        <w:trPr>
          <w:trHeight w:val="280"/>
        </w:trPr>
        <w:tc>
          <w:tcPr>
            <w:tcW w:w="2628" w:type="dxa"/>
            <w:tcBorders>
              <w:top w:val="single" w:sz="4" w:space="0" w:color="auto"/>
              <w:left w:val="single" w:sz="4" w:space="0" w:color="auto"/>
              <w:bottom w:val="single" w:sz="4" w:space="0" w:color="auto"/>
              <w:right w:val="single" w:sz="12" w:space="0" w:color="auto"/>
            </w:tcBorders>
            <w:shd w:val="clear" w:color="auto" w:fill="D9D9D9"/>
          </w:tcPr>
          <w:p w:rsidR="00BB4343" w:rsidRPr="00AE78C2" w:rsidRDefault="00BB4343" w:rsidP="004E35F8">
            <w:pPr>
              <w:rPr>
                <w:b/>
              </w:rPr>
            </w:pPr>
            <w:r w:rsidRPr="00AE78C2">
              <w:rPr>
                <w:b/>
              </w:rPr>
              <w:t>NAME</w:t>
            </w:r>
          </w:p>
        </w:tc>
        <w:tc>
          <w:tcPr>
            <w:tcW w:w="4860" w:type="dxa"/>
            <w:tcBorders>
              <w:top w:val="single" w:sz="4" w:space="0" w:color="auto"/>
              <w:left w:val="single" w:sz="12" w:space="0" w:color="auto"/>
              <w:bottom w:val="single" w:sz="4" w:space="0" w:color="auto"/>
              <w:right w:val="single" w:sz="12" w:space="0" w:color="auto"/>
            </w:tcBorders>
            <w:shd w:val="clear" w:color="auto" w:fill="D9D9D9"/>
          </w:tcPr>
          <w:p w:rsidR="00BB4343" w:rsidRPr="00AE78C2" w:rsidRDefault="00BB4343" w:rsidP="004E35F8">
            <w:pPr>
              <w:rPr>
                <w:b/>
              </w:rPr>
            </w:pPr>
            <w:r w:rsidRPr="00AE78C2">
              <w:rPr>
                <w:b/>
              </w:rPr>
              <w:t>TITLE AND AFFILIATION</w:t>
            </w:r>
          </w:p>
        </w:tc>
        <w:tc>
          <w:tcPr>
            <w:tcW w:w="1620" w:type="dxa"/>
            <w:tcBorders>
              <w:top w:val="single" w:sz="4" w:space="0" w:color="auto"/>
              <w:left w:val="single" w:sz="12" w:space="0" w:color="auto"/>
              <w:bottom w:val="single" w:sz="4" w:space="0" w:color="auto"/>
              <w:right w:val="single" w:sz="12" w:space="0" w:color="auto"/>
            </w:tcBorders>
            <w:shd w:val="clear" w:color="auto" w:fill="D9D9D9"/>
          </w:tcPr>
          <w:p w:rsidR="00BB4343" w:rsidRPr="00AE78C2" w:rsidRDefault="00BB4343" w:rsidP="004E35F8">
            <w:pPr>
              <w:rPr>
                <w:b/>
              </w:rPr>
            </w:pPr>
            <w:r w:rsidRPr="00AE78C2">
              <w:rPr>
                <w:b/>
              </w:rPr>
              <w:t>PHONE NUMBER</w:t>
            </w:r>
          </w:p>
        </w:tc>
        <w:tc>
          <w:tcPr>
            <w:tcW w:w="4140" w:type="dxa"/>
            <w:tcBorders>
              <w:top w:val="single" w:sz="4" w:space="0" w:color="auto"/>
              <w:left w:val="single" w:sz="12" w:space="0" w:color="auto"/>
              <w:bottom w:val="single" w:sz="4" w:space="0" w:color="auto"/>
              <w:right w:val="single" w:sz="4" w:space="0" w:color="auto"/>
            </w:tcBorders>
            <w:shd w:val="clear" w:color="auto" w:fill="D9D9D9"/>
          </w:tcPr>
          <w:p w:rsidR="00BB4343" w:rsidRPr="00AE78C2" w:rsidRDefault="00BB4343" w:rsidP="004E35F8">
            <w:pPr>
              <w:tabs>
                <w:tab w:val="left" w:pos="200"/>
              </w:tabs>
              <w:rPr>
                <w:b/>
              </w:rPr>
            </w:pPr>
            <w:r w:rsidRPr="00AE78C2">
              <w:rPr>
                <w:b/>
                <w:sz w:val="28"/>
                <w:szCs w:val="28"/>
              </w:rPr>
              <w:tab/>
            </w:r>
            <w:r w:rsidRPr="00AE78C2">
              <w:rPr>
                <w:b/>
              </w:rPr>
              <w:t>EMAIL ADDRESS</w:t>
            </w:r>
          </w:p>
        </w:tc>
      </w:tr>
      <w:tr w:rsidR="00BB4343" w:rsidRPr="00AE78C2" w:rsidTr="00B86F23">
        <w:trPr>
          <w:trHeight w:val="382"/>
        </w:trPr>
        <w:tc>
          <w:tcPr>
            <w:tcW w:w="2628" w:type="dxa"/>
            <w:tcBorders>
              <w:top w:val="single" w:sz="4"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lastRenderedPageBreak/>
              <w:t>Thomas Sandora, MD, MPH</w:t>
            </w:r>
          </w:p>
        </w:tc>
        <w:tc>
          <w:tcPr>
            <w:tcW w:w="4860" w:type="dxa"/>
            <w:tcBorders>
              <w:top w:val="single" w:sz="4" w:space="0" w:color="auto"/>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Pediatric Infectious Disease </w:t>
            </w:r>
          </w:p>
          <w:p w:rsidR="00BB4343" w:rsidRPr="00AE78C2" w:rsidRDefault="00BB4343" w:rsidP="004E35F8">
            <w:pPr>
              <w:rPr>
                <w:sz w:val="22"/>
                <w:szCs w:val="22"/>
              </w:rPr>
            </w:pPr>
            <w:r w:rsidRPr="00AE78C2">
              <w:rPr>
                <w:i/>
                <w:sz w:val="22"/>
                <w:szCs w:val="22"/>
              </w:rPr>
              <w:t>Children’s Hospital Boston</w:t>
            </w:r>
          </w:p>
        </w:tc>
        <w:tc>
          <w:tcPr>
            <w:tcW w:w="1620" w:type="dxa"/>
            <w:tcBorders>
              <w:top w:val="single" w:sz="4" w:space="0" w:color="auto"/>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617-355-3858</w:t>
            </w:r>
          </w:p>
        </w:tc>
        <w:tc>
          <w:tcPr>
            <w:tcW w:w="4140" w:type="dxa"/>
            <w:tcBorders>
              <w:top w:val="single" w:sz="4" w:space="0" w:color="auto"/>
              <w:left w:val="single" w:sz="12" w:space="0" w:color="auto"/>
            </w:tcBorders>
            <w:shd w:val="clear" w:color="auto" w:fill="auto"/>
          </w:tcPr>
          <w:p w:rsidR="00BB4343" w:rsidRPr="00AE78C2" w:rsidRDefault="00BB4343" w:rsidP="004E35F8">
            <w:pPr>
              <w:rPr>
                <w:sz w:val="22"/>
                <w:szCs w:val="22"/>
              </w:rPr>
            </w:pPr>
            <w:hyperlink r:id="rId49" w:history="1">
              <w:r w:rsidRPr="00AE78C2">
                <w:rPr>
                  <w:rStyle w:val="Hyperlink"/>
                  <w:sz w:val="22"/>
                  <w:szCs w:val="22"/>
                </w:rPr>
                <w:t>thomas.sandora@childrens.harvard.edu</w:t>
              </w:r>
            </w:hyperlink>
          </w:p>
          <w:p w:rsidR="00BB4343" w:rsidRPr="00AE78C2" w:rsidRDefault="00BB4343" w:rsidP="004E35F8">
            <w:pPr>
              <w:rPr>
                <w:sz w:val="22"/>
                <w:szCs w:val="22"/>
              </w:rPr>
            </w:pPr>
          </w:p>
        </w:tc>
      </w:tr>
      <w:tr w:rsidR="00BB4343" w:rsidRPr="00AE78C2" w:rsidTr="004E35F8">
        <w:trPr>
          <w:trHeight w:val="382"/>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Mary Ellen Scales, RN, MSN, CIC</w:t>
            </w:r>
          </w:p>
        </w:tc>
        <w:tc>
          <w:tcPr>
            <w:tcW w:w="4860" w:type="dxa"/>
            <w:tcBorders>
              <w:left w:val="single" w:sz="12" w:space="0" w:color="auto"/>
              <w:right w:val="single" w:sz="12" w:space="0" w:color="auto"/>
            </w:tcBorders>
            <w:shd w:val="clear" w:color="auto" w:fill="auto"/>
          </w:tcPr>
          <w:p w:rsidR="00BB4343" w:rsidRPr="00AE78C2" w:rsidRDefault="00BB4343" w:rsidP="004E35F8">
            <w:pPr>
              <w:rPr>
                <w:i/>
                <w:sz w:val="22"/>
                <w:szCs w:val="22"/>
              </w:rPr>
            </w:pPr>
            <w:r w:rsidRPr="00AE78C2">
              <w:rPr>
                <w:color w:val="333333"/>
                <w:sz w:val="22"/>
                <w:szCs w:val="22"/>
              </w:rPr>
              <w:t>Chief Infection Control Officer</w:t>
            </w:r>
          </w:p>
          <w:p w:rsidR="00BB4343" w:rsidRPr="00AE78C2" w:rsidRDefault="00BB4343" w:rsidP="004E35F8">
            <w:pPr>
              <w:rPr>
                <w:i/>
                <w:sz w:val="22"/>
                <w:szCs w:val="22"/>
              </w:rPr>
            </w:pPr>
            <w:r w:rsidRPr="00AE78C2">
              <w:rPr>
                <w:i/>
                <w:sz w:val="22"/>
                <w:szCs w:val="22"/>
              </w:rPr>
              <w:t>Baystate Health</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413-794-4782</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50" w:history="1">
              <w:r w:rsidRPr="00AE78C2">
                <w:rPr>
                  <w:rStyle w:val="Hyperlink"/>
                  <w:sz w:val="22"/>
                  <w:szCs w:val="22"/>
                </w:rPr>
                <w:t>maryellen.scales@bhs.org</w:t>
              </w:r>
            </w:hyperlink>
          </w:p>
          <w:p w:rsidR="00BB4343" w:rsidRPr="00AE78C2" w:rsidRDefault="00BB4343" w:rsidP="004E35F8">
            <w:pPr>
              <w:rPr>
                <w:sz w:val="22"/>
                <w:szCs w:val="22"/>
              </w:rPr>
            </w:pPr>
          </w:p>
        </w:tc>
      </w:tr>
      <w:tr w:rsidR="00BB4343" w:rsidRPr="00AE78C2" w:rsidTr="004E35F8">
        <w:trPr>
          <w:trHeight w:val="382"/>
        </w:trPr>
        <w:tc>
          <w:tcPr>
            <w:tcW w:w="2628" w:type="dxa"/>
            <w:tcBorders>
              <w:right w:val="single" w:sz="12" w:space="0" w:color="auto"/>
            </w:tcBorders>
            <w:shd w:val="clear" w:color="auto" w:fill="auto"/>
          </w:tcPr>
          <w:p w:rsidR="00BB4343" w:rsidRPr="00AE78C2" w:rsidRDefault="009938AC" w:rsidP="004E35F8">
            <w:pPr>
              <w:pStyle w:val="Default"/>
              <w:rPr>
                <w:rFonts w:ascii="Times New Roman" w:hAnsi="Times New Roman" w:cs="Times New Roman"/>
                <w:sz w:val="22"/>
                <w:szCs w:val="22"/>
              </w:rPr>
            </w:pPr>
            <w:r w:rsidRPr="00AE78C2">
              <w:rPr>
                <w:rFonts w:ascii="Times New Roman" w:hAnsi="Times New Roman" w:cs="Times New Roman"/>
                <w:sz w:val="22"/>
                <w:szCs w:val="22"/>
              </w:rPr>
              <w:t>Lynn Chase</w:t>
            </w:r>
          </w:p>
        </w:tc>
        <w:tc>
          <w:tcPr>
            <w:tcW w:w="4860" w:type="dxa"/>
            <w:tcBorders>
              <w:left w:val="single" w:sz="12" w:space="0" w:color="auto"/>
              <w:right w:val="single" w:sz="12" w:space="0" w:color="auto"/>
            </w:tcBorders>
            <w:shd w:val="clear" w:color="auto" w:fill="auto"/>
          </w:tcPr>
          <w:p w:rsidR="00D62A0E" w:rsidRPr="00AE78C2" w:rsidRDefault="004808D5" w:rsidP="004E35F8">
            <w:pPr>
              <w:rPr>
                <w:color w:val="000000"/>
                <w:sz w:val="22"/>
                <w:szCs w:val="22"/>
              </w:rPr>
            </w:pPr>
            <w:r w:rsidRPr="00AE78C2">
              <w:rPr>
                <w:color w:val="000000"/>
                <w:sz w:val="22"/>
                <w:szCs w:val="22"/>
              </w:rPr>
              <w:t>Massachusetts QIO Program Director</w:t>
            </w:r>
          </w:p>
          <w:p w:rsidR="00BB4343" w:rsidRPr="00AE78C2" w:rsidRDefault="004808D5" w:rsidP="004E35F8">
            <w:pPr>
              <w:rPr>
                <w:i/>
                <w:sz w:val="22"/>
                <w:szCs w:val="22"/>
              </w:rPr>
            </w:pPr>
            <w:r w:rsidRPr="00AE78C2">
              <w:rPr>
                <w:i/>
                <w:sz w:val="22"/>
                <w:szCs w:val="22"/>
              </w:rPr>
              <w:t xml:space="preserve">Healthcentric Advisors </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color w:val="000000"/>
                <w:sz w:val="22"/>
                <w:szCs w:val="22"/>
              </w:rPr>
              <w:t>781-419-2844</w:t>
            </w:r>
          </w:p>
        </w:tc>
        <w:tc>
          <w:tcPr>
            <w:tcW w:w="4140" w:type="dxa"/>
            <w:tcBorders>
              <w:left w:val="single" w:sz="12" w:space="0" w:color="auto"/>
            </w:tcBorders>
            <w:shd w:val="clear" w:color="auto" w:fill="auto"/>
          </w:tcPr>
          <w:p w:rsidR="00BB4343" w:rsidRPr="00AE78C2" w:rsidRDefault="004808D5" w:rsidP="004E35F8">
            <w:pPr>
              <w:rPr>
                <w:sz w:val="22"/>
                <w:szCs w:val="22"/>
              </w:rPr>
            </w:pPr>
            <w:r w:rsidRPr="00AE78C2">
              <w:rPr>
                <w:sz w:val="22"/>
                <w:szCs w:val="22"/>
              </w:rPr>
              <w:t>lchase@healthcentricadvisors.org</w:t>
            </w:r>
          </w:p>
        </w:tc>
      </w:tr>
      <w:tr w:rsidR="00BB4343" w:rsidRPr="00AE78C2" w:rsidTr="004E35F8">
        <w:trPr>
          <w:trHeight w:val="382"/>
        </w:trPr>
        <w:tc>
          <w:tcPr>
            <w:tcW w:w="2628" w:type="dxa"/>
            <w:tcBorders>
              <w:right w:val="single" w:sz="12" w:space="0" w:color="auto"/>
            </w:tcBorders>
            <w:shd w:val="clear" w:color="auto" w:fill="auto"/>
          </w:tcPr>
          <w:p w:rsidR="00BB4343" w:rsidRPr="00AE78C2" w:rsidRDefault="004808D5" w:rsidP="004E35F8">
            <w:pPr>
              <w:rPr>
                <w:sz w:val="22"/>
                <w:szCs w:val="22"/>
              </w:rPr>
            </w:pPr>
            <w:r w:rsidRPr="00AE78C2">
              <w:rPr>
                <w:sz w:val="22"/>
                <w:szCs w:val="22"/>
              </w:rPr>
              <w:t>Pat Noga, Ph.D., RN, FAAN</w:t>
            </w:r>
          </w:p>
        </w:tc>
        <w:tc>
          <w:tcPr>
            <w:tcW w:w="4860" w:type="dxa"/>
            <w:tcBorders>
              <w:left w:val="single" w:sz="12" w:space="0" w:color="auto"/>
              <w:right w:val="single" w:sz="12" w:space="0" w:color="auto"/>
            </w:tcBorders>
            <w:shd w:val="clear" w:color="auto" w:fill="auto"/>
          </w:tcPr>
          <w:p w:rsidR="00BB4343" w:rsidRPr="00AE78C2" w:rsidRDefault="004808D5" w:rsidP="004E35F8">
            <w:pPr>
              <w:rPr>
                <w:sz w:val="22"/>
                <w:szCs w:val="22"/>
              </w:rPr>
            </w:pPr>
            <w:r w:rsidRPr="00AE78C2">
              <w:rPr>
                <w:sz w:val="22"/>
                <w:szCs w:val="22"/>
              </w:rPr>
              <w:t>Vice President</w:t>
            </w:r>
            <w:r w:rsidR="00BB4343" w:rsidRPr="00AE78C2">
              <w:rPr>
                <w:sz w:val="22"/>
                <w:szCs w:val="22"/>
              </w:rPr>
              <w:t xml:space="preserve">, </w:t>
            </w:r>
            <w:r w:rsidRPr="00AE78C2">
              <w:rPr>
                <w:sz w:val="22"/>
                <w:szCs w:val="22"/>
              </w:rPr>
              <w:t>Clinical Affairs</w:t>
            </w:r>
          </w:p>
          <w:p w:rsidR="00BB4343" w:rsidRPr="00AE78C2" w:rsidRDefault="00BB4343" w:rsidP="004E35F8">
            <w:pPr>
              <w:rPr>
                <w:i/>
                <w:sz w:val="22"/>
                <w:szCs w:val="22"/>
              </w:rPr>
            </w:pPr>
            <w:r w:rsidRPr="00AE78C2">
              <w:rPr>
                <w:i/>
                <w:sz w:val="22"/>
                <w:szCs w:val="22"/>
              </w:rPr>
              <w:t xml:space="preserve">Massachusetts </w:t>
            </w:r>
            <w:r w:rsidR="004808D5" w:rsidRPr="00AE78C2">
              <w:rPr>
                <w:i/>
                <w:sz w:val="22"/>
                <w:szCs w:val="22"/>
              </w:rPr>
              <w:t xml:space="preserve">Health and </w:t>
            </w:r>
            <w:r w:rsidRPr="00AE78C2">
              <w:rPr>
                <w:i/>
                <w:sz w:val="22"/>
                <w:szCs w:val="22"/>
              </w:rPr>
              <w:t>Hospital Association</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 xml:space="preserve">781-272-8000 </w:t>
            </w:r>
          </w:p>
        </w:tc>
        <w:tc>
          <w:tcPr>
            <w:tcW w:w="4140" w:type="dxa"/>
            <w:tcBorders>
              <w:left w:val="single" w:sz="12" w:space="0" w:color="auto"/>
            </w:tcBorders>
            <w:shd w:val="clear" w:color="auto" w:fill="auto"/>
          </w:tcPr>
          <w:p w:rsidR="00BB4343" w:rsidRPr="00AE78C2" w:rsidRDefault="004808D5" w:rsidP="004E35F8">
            <w:pPr>
              <w:rPr>
                <w:sz w:val="22"/>
                <w:szCs w:val="22"/>
              </w:rPr>
            </w:pPr>
            <w:hyperlink r:id="rId51" w:history="1">
              <w:r w:rsidRPr="00AE78C2">
                <w:rPr>
                  <w:rStyle w:val="Hyperlink"/>
                  <w:sz w:val="22"/>
                  <w:szCs w:val="22"/>
                </w:rPr>
                <w:t>pnoga@mhalink.org</w:t>
              </w:r>
            </w:hyperlink>
          </w:p>
          <w:p w:rsidR="00BB4343" w:rsidRPr="00AE78C2" w:rsidRDefault="00BB4343" w:rsidP="004E35F8">
            <w:pPr>
              <w:rPr>
                <w:sz w:val="22"/>
                <w:szCs w:val="22"/>
              </w:rPr>
            </w:pPr>
          </w:p>
        </w:tc>
      </w:tr>
      <w:tr w:rsidR="00BB4343" w:rsidRPr="00AE78C2" w:rsidTr="004E35F8">
        <w:trPr>
          <w:trHeight w:val="255"/>
        </w:trPr>
        <w:tc>
          <w:tcPr>
            <w:tcW w:w="2628" w:type="dxa"/>
            <w:tcBorders>
              <w:right w:val="single" w:sz="12" w:space="0" w:color="auto"/>
            </w:tcBorders>
            <w:shd w:val="clear" w:color="auto" w:fill="auto"/>
          </w:tcPr>
          <w:p w:rsidR="00BB4343" w:rsidRPr="00AE78C2" w:rsidRDefault="00BB4343" w:rsidP="004E35F8">
            <w:pPr>
              <w:rPr>
                <w:sz w:val="22"/>
                <w:szCs w:val="22"/>
              </w:rPr>
            </w:pPr>
            <w:r w:rsidRPr="00AE78C2">
              <w:rPr>
                <w:sz w:val="22"/>
                <w:szCs w:val="22"/>
              </w:rPr>
              <w:t>Deborah Yokoe, MD,</w:t>
            </w:r>
          </w:p>
          <w:p w:rsidR="00BB4343" w:rsidRPr="00AE78C2" w:rsidRDefault="00BB4343" w:rsidP="004E35F8">
            <w:pPr>
              <w:rPr>
                <w:sz w:val="22"/>
                <w:szCs w:val="22"/>
              </w:rPr>
            </w:pPr>
            <w:r w:rsidRPr="00AE78C2">
              <w:rPr>
                <w:sz w:val="22"/>
                <w:szCs w:val="22"/>
              </w:rPr>
              <w:t xml:space="preserve">MPH </w:t>
            </w:r>
          </w:p>
        </w:tc>
        <w:tc>
          <w:tcPr>
            <w:tcW w:w="486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Hospital Epidemiologist</w:t>
            </w:r>
          </w:p>
          <w:p w:rsidR="00BB4343" w:rsidRPr="00AE78C2" w:rsidRDefault="00BB4343" w:rsidP="004E35F8">
            <w:pPr>
              <w:rPr>
                <w:i/>
                <w:sz w:val="22"/>
                <w:szCs w:val="22"/>
              </w:rPr>
            </w:pPr>
            <w:r w:rsidRPr="00AE78C2">
              <w:rPr>
                <w:i/>
                <w:sz w:val="22"/>
                <w:szCs w:val="22"/>
              </w:rPr>
              <w:t xml:space="preserve">Brigham and Women’s Hospital </w:t>
            </w:r>
          </w:p>
        </w:tc>
        <w:tc>
          <w:tcPr>
            <w:tcW w:w="1620" w:type="dxa"/>
            <w:tcBorders>
              <w:left w:val="single" w:sz="12" w:space="0" w:color="auto"/>
              <w:right w:val="single" w:sz="12" w:space="0" w:color="auto"/>
            </w:tcBorders>
            <w:shd w:val="clear" w:color="auto" w:fill="auto"/>
          </w:tcPr>
          <w:p w:rsidR="00BB4343" w:rsidRPr="00AE78C2" w:rsidRDefault="00BB4343" w:rsidP="004E35F8">
            <w:pPr>
              <w:rPr>
                <w:sz w:val="22"/>
                <w:szCs w:val="22"/>
              </w:rPr>
            </w:pPr>
            <w:r w:rsidRPr="00AE78C2">
              <w:rPr>
                <w:sz w:val="22"/>
                <w:szCs w:val="22"/>
              </w:rPr>
              <w:t>617-525-2689</w:t>
            </w:r>
          </w:p>
        </w:tc>
        <w:tc>
          <w:tcPr>
            <w:tcW w:w="4140" w:type="dxa"/>
            <w:tcBorders>
              <w:left w:val="single" w:sz="12" w:space="0" w:color="auto"/>
            </w:tcBorders>
            <w:shd w:val="clear" w:color="auto" w:fill="auto"/>
          </w:tcPr>
          <w:p w:rsidR="00BB4343" w:rsidRPr="00AE78C2" w:rsidRDefault="00BB4343" w:rsidP="004E35F8">
            <w:pPr>
              <w:rPr>
                <w:sz w:val="22"/>
                <w:szCs w:val="22"/>
              </w:rPr>
            </w:pPr>
            <w:hyperlink r:id="rId52" w:history="1">
              <w:r w:rsidRPr="00AE78C2">
                <w:rPr>
                  <w:rStyle w:val="Hyperlink"/>
                  <w:sz w:val="22"/>
                  <w:szCs w:val="22"/>
                </w:rPr>
                <w:t>dyokoe@partners.org</w:t>
              </w:r>
            </w:hyperlink>
          </w:p>
          <w:p w:rsidR="00BB4343" w:rsidRPr="00AE78C2" w:rsidRDefault="00BB4343" w:rsidP="004E35F8">
            <w:pPr>
              <w:rPr>
                <w:sz w:val="22"/>
                <w:szCs w:val="22"/>
              </w:rPr>
            </w:pPr>
          </w:p>
        </w:tc>
      </w:tr>
    </w:tbl>
    <w:p w:rsidR="00BB4343" w:rsidRPr="00AE78C2" w:rsidRDefault="00BB4343" w:rsidP="00BB4343"/>
    <w:p w:rsidR="00BB4343" w:rsidRPr="00AE78C2" w:rsidRDefault="00BB4343" w:rsidP="00BB4343">
      <w:pPr>
        <w:rPr>
          <w:sz w:val="22"/>
          <w:szCs w:val="22"/>
        </w:rPr>
      </w:pPr>
    </w:p>
    <w:p w:rsidR="00BB4343" w:rsidRPr="00AE78C2" w:rsidRDefault="00BB4343" w:rsidP="00BB4343">
      <w:pPr>
        <w:rPr>
          <w:sz w:val="22"/>
          <w:szCs w:val="22"/>
        </w:rPr>
      </w:pPr>
    </w:p>
    <w:p w:rsidR="00BB4343" w:rsidRPr="00AE78C2" w:rsidRDefault="00BB4343" w:rsidP="00BB4343">
      <w:pPr>
        <w:rPr>
          <w:sz w:val="22"/>
          <w:szCs w:val="22"/>
        </w:rPr>
      </w:pPr>
    </w:p>
    <w:p w:rsidR="00BB4343" w:rsidRPr="00AE78C2" w:rsidRDefault="00BB4343" w:rsidP="002D036A">
      <w:pPr>
        <w:rPr>
          <w:sz w:val="22"/>
          <w:szCs w:val="22"/>
        </w:rPr>
      </w:pPr>
    </w:p>
    <w:p w:rsidR="00B86F23" w:rsidRPr="00AE78C2" w:rsidRDefault="00B86F23" w:rsidP="002D036A">
      <w:pPr>
        <w:rPr>
          <w:sz w:val="22"/>
          <w:szCs w:val="22"/>
        </w:rPr>
      </w:pPr>
    </w:p>
    <w:p w:rsidR="00BB4343" w:rsidRPr="00AE78C2" w:rsidRDefault="00BB4343" w:rsidP="002D036A">
      <w:pPr>
        <w:rPr>
          <w:sz w:val="22"/>
          <w:szCs w:val="22"/>
        </w:rPr>
      </w:pPr>
    </w:p>
    <w:p w:rsidR="00BB4343" w:rsidRPr="00AE78C2" w:rsidRDefault="00BB4343" w:rsidP="002D036A">
      <w:pPr>
        <w:rPr>
          <w:sz w:val="22"/>
          <w:szCs w:val="22"/>
        </w:rPr>
      </w:pPr>
    </w:p>
    <w:p w:rsidR="00BB4343" w:rsidRPr="00AE78C2" w:rsidRDefault="00BB4343" w:rsidP="002D036A">
      <w:pPr>
        <w:rPr>
          <w:sz w:val="22"/>
          <w:szCs w:val="22"/>
        </w:rPr>
      </w:pPr>
    </w:p>
    <w:p w:rsidR="00BB4343" w:rsidRPr="00AE78C2" w:rsidRDefault="00BB4343" w:rsidP="002D036A">
      <w:pPr>
        <w:rPr>
          <w:sz w:val="22"/>
          <w:szCs w:val="22"/>
        </w:rPr>
      </w:pPr>
    </w:p>
    <w:p w:rsidR="00BB4343" w:rsidRPr="00AE78C2" w:rsidRDefault="00BB4343" w:rsidP="002D036A">
      <w:pPr>
        <w:rPr>
          <w:sz w:val="22"/>
          <w:szCs w:val="22"/>
        </w:rPr>
      </w:pPr>
    </w:p>
    <w:sectPr w:rsidR="00BB4343" w:rsidRPr="00AE78C2" w:rsidSect="00BB4343">
      <w:headerReference w:type="default" r:id="rId53"/>
      <w:footerReference w:type="default" r:id="rId54"/>
      <w:type w:val="continuous"/>
      <w:pgSz w:w="15840" w:h="12240" w:orient="landscape"/>
      <w:pgMar w:top="1440" w:right="900" w:bottom="1440" w:left="9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30" w:rsidRDefault="00750230">
      <w:r>
        <w:separator/>
      </w:r>
    </w:p>
    <w:p w:rsidR="00750230" w:rsidRDefault="00750230"/>
  </w:endnote>
  <w:endnote w:type="continuationSeparator" w:id="0">
    <w:p w:rsidR="00750230" w:rsidRDefault="00750230">
      <w:r>
        <w:continuationSeparator/>
      </w:r>
    </w:p>
    <w:p w:rsidR="00750230" w:rsidRDefault="00750230"/>
  </w:endnote>
  <w:endnote w:id="1">
    <w:p w:rsidR="007B15BA" w:rsidRDefault="007B15BA">
      <w:pPr>
        <w:pStyle w:val="EndnoteText"/>
      </w:pPr>
      <w:r>
        <w:rPr>
          <w:rStyle w:val="EndnoteReference"/>
        </w:rPr>
        <w:endnoteRef/>
      </w:r>
      <w:r>
        <w:t xml:space="preserve"> </w:t>
      </w:r>
      <w:r w:rsidRPr="007B15BA">
        <w:t>Magill SS, Edwards JR, Bamberg W,</w:t>
      </w:r>
      <w:r>
        <w:t xml:space="preserve"> et al. </w:t>
      </w:r>
      <w:r w:rsidRPr="007B15BA">
        <w:t>Multistate point-prevalence survey of health care-associated infections.</w:t>
      </w:r>
      <w:r>
        <w:t xml:space="preserve">  </w:t>
      </w:r>
      <w:proofErr w:type="gramStart"/>
      <w:r w:rsidRPr="007B15BA">
        <w:t>N Engl J Med. 2014;</w:t>
      </w:r>
      <w:r>
        <w:t xml:space="preserve"> </w:t>
      </w:r>
      <w:r w:rsidRPr="007B15BA">
        <w:t>370:1198-208.</w:t>
      </w:r>
      <w:proofErr w:type="gramEnd"/>
    </w:p>
  </w:endnote>
  <w:endnote w:id="2">
    <w:p w:rsidR="00692938" w:rsidRDefault="00692938" w:rsidP="002A0D6D">
      <w:pPr>
        <w:pStyle w:val="EndnoteText"/>
      </w:pPr>
      <w:r>
        <w:rPr>
          <w:rStyle w:val="EndnoteReference"/>
        </w:rPr>
        <w:endnoteRef/>
      </w:r>
      <w:r>
        <w:t xml:space="preserve"> </w:t>
      </w:r>
      <w:r w:rsidRPr="002D5C84">
        <w:t>2.Scott II, Douglas, R., The Direct Medical Costs of Healthcare-Associated Infections in US Hospitals and the Benefits of Prevention., Division of Healthcare Quality Promotion National Center for Preparedness, Detection and Control of Infectious Diseases, Coordinating Center for Infectious Diseases Centers for Disease Control and prevention. March 2009., pp. 1-2</w:t>
      </w:r>
    </w:p>
  </w:endnote>
  <w:endnote w:id="3">
    <w:p w:rsidR="00B07C04" w:rsidRDefault="00B07C04">
      <w:pPr>
        <w:pStyle w:val="EndnoteText"/>
      </w:pPr>
      <w:r>
        <w:rPr>
          <w:rStyle w:val="EndnoteReference"/>
        </w:rPr>
        <w:endnoteRef/>
      </w:r>
      <w:r>
        <w:t xml:space="preserve"> </w:t>
      </w:r>
      <w:proofErr w:type="gramStart"/>
      <w:r w:rsidRPr="00B07C04">
        <w:t>Magill SS, Edwards JR, Beldavs ZG</w:t>
      </w:r>
      <w:r>
        <w:t>, et al.</w:t>
      </w:r>
      <w:proofErr w:type="gramEnd"/>
      <w:r>
        <w:t xml:space="preserve">  </w:t>
      </w:r>
      <w:r w:rsidRPr="00B07C04">
        <w:t>Prevalence of antimicrobial use in US acute care hospitals, May-September 2011.</w:t>
      </w:r>
      <w:r>
        <w:t xml:space="preserve">  </w:t>
      </w:r>
      <w:proofErr w:type="gramStart"/>
      <w:r w:rsidRPr="00B07C04">
        <w:t>JAMA.</w:t>
      </w:r>
      <w:proofErr w:type="gramEnd"/>
      <w:r w:rsidRPr="00B07C04">
        <w:t xml:space="preserve"> </w:t>
      </w:r>
      <w:proofErr w:type="gramStart"/>
      <w:r w:rsidRPr="00B07C04">
        <w:t>2014;</w:t>
      </w:r>
      <w:r>
        <w:t xml:space="preserve"> </w:t>
      </w:r>
      <w:r w:rsidRPr="00B07C04">
        <w:t>312:1438-46.</w:t>
      </w:r>
      <w:proofErr w:type="gramEnd"/>
    </w:p>
  </w:endnote>
  <w:endnote w:id="4">
    <w:p w:rsidR="00B07C04" w:rsidRDefault="00B07C04">
      <w:pPr>
        <w:pStyle w:val="EndnoteText"/>
      </w:pPr>
      <w:r>
        <w:rPr>
          <w:rStyle w:val="EndnoteReference"/>
        </w:rPr>
        <w:endnoteRef/>
      </w:r>
      <w:r>
        <w:t xml:space="preserve"> </w:t>
      </w:r>
      <w:proofErr w:type="gramStart"/>
      <w:r w:rsidRPr="00B07C04">
        <w:t>Hecker MT, Aron DC, Patel NP, Lehmann MK, Donskey CJ.</w:t>
      </w:r>
      <w:proofErr w:type="gramEnd"/>
      <w:r w:rsidRPr="00B07C04">
        <w:t xml:space="preserve"> Unnecessary use of antimicrobials in hospitalized patients: current patterns of misuse with an emphasis on the antianaerobic spectrum of activity. Arch Intern Med 2003</w:t>
      </w:r>
      <w:proofErr w:type="gramStart"/>
      <w:r w:rsidRPr="00B07C04">
        <w:t>;163:972</w:t>
      </w:r>
      <w:proofErr w:type="gramEnd"/>
      <w:r w:rsidRPr="00B07C04">
        <w:t>–8.</w:t>
      </w:r>
    </w:p>
    <w:p w:rsidR="00BB4343" w:rsidRDefault="00BB434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1</w:t>
    </w:r>
    <w:r>
      <w:rPr>
        <w:rStyle w:val="PageNumber"/>
      </w:rPr>
      <w:fldChar w:fldCharType="end"/>
    </w:r>
  </w:p>
  <w:p w:rsidR="00692938" w:rsidRDefault="00A8512C" w:rsidP="008B55A3">
    <w:pPr>
      <w:pStyle w:val="Footer"/>
      <w:ind w:right="360"/>
    </w:pPr>
    <w:r>
      <w:t>Introduction to Massachusetts HAI Plan</w:t>
    </w:r>
    <w:r w:rsidR="00692938">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66</w:t>
    </w:r>
    <w:r>
      <w:rPr>
        <w:rStyle w:val="PageNumber"/>
      </w:rPr>
      <w:fldChar w:fldCharType="end"/>
    </w:r>
  </w:p>
  <w:p w:rsidR="00692938" w:rsidRDefault="00692938" w:rsidP="008B55A3">
    <w:pPr>
      <w:pStyle w:val="Footer"/>
      <w:ind w:right="360"/>
    </w:pPr>
    <w:r>
      <w:t>Appendix 1</w:t>
    </w:r>
  </w:p>
  <w:p w:rsidR="00692938" w:rsidRDefault="0069293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43" w:rsidRDefault="00BB4343"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68</w:t>
    </w:r>
    <w:r>
      <w:rPr>
        <w:rStyle w:val="PageNumber"/>
      </w:rPr>
      <w:fldChar w:fldCharType="end"/>
    </w:r>
  </w:p>
  <w:p w:rsidR="00BB4343" w:rsidRDefault="00BB4343" w:rsidP="008B55A3">
    <w:pPr>
      <w:pStyle w:val="Footer"/>
      <w:ind w:right="360"/>
    </w:pPr>
    <w:r>
      <w:t>Appendix 2</w:t>
    </w:r>
  </w:p>
  <w:p w:rsidR="00BB4343" w:rsidRDefault="00BB43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2C" w:rsidRDefault="00A8512C"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3</w:t>
    </w:r>
    <w:r>
      <w:rPr>
        <w:rStyle w:val="PageNumber"/>
      </w:rPr>
      <w:fldChar w:fldCharType="end"/>
    </w:r>
  </w:p>
  <w:p w:rsidR="00A8512C" w:rsidRDefault="00A8512C" w:rsidP="008B55A3">
    <w:pPr>
      <w:pStyle w:val="Footer"/>
      <w:ind w:right="360"/>
    </w:pPr>
    <w:r>
      <w:t>Table 1: Enhance HAI Program Infrastructure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15</w:t>
    </w:r>
    <w:r>
      <w:rPr>
        <w:rStyle w:val="PageNumber"/>
      </w:rPr>
      <w:fldChar w:fldCharType="end"/>
    </w:r>
  </w:p>
  <w:p w:rsidR="00692938" w:rsidRDefault="00692938" w:rsidP="008B55A3">
    <w:pPr>
      <w:pStyle w:val="Footer"/>
      <w:ind w:right="360"/>
    </w:pPr>
    <w:r>
      <w:t xml:space="preserve">Table 2: Surveillance, Detection, Reporting, and Response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33</w:t>
    </w:r>
    <w:r>
      <w:rPr>
        <w:rStyle w:val="PageNumber"/>
      </w:rPr>
      <w:fldChar w:fldCharType="end"/>
    </w:r>
  </w:p>
  <w:p w:rsidR="00692938" w:rsidRDefault="00692938" w:rsidP="008B55A3">
    <w:pPr>
      <w:pStyle w:val="Footer"/>
      <w:ind w:right="360"/>
    </w:pPr>
    <w:r>
      <w:t>Table 2: Surveillance, Detection, Reporting, and Response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43</w:t>
    </w:r>
    <w:r>
      <w:rPr>
        <w:rStyle w:val="PageNumber"/>
      </w:rPr>
      <w:fldChar w:fldCharType="end"/>
    </w:r>
  </w:p>
  <w:p w:rsidR="00692938" w:rsidRDefault="00692938" w:rsidP="008B55A3">
    <w:pPr>
      <w:pStyle w:val="Footer"/>
      <w:ind w:right="360"/>
    </w:pPr>
    <w:r>
      <w:t>Table 3: Prevention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44</w:t>
    </w:r>
    <w:r>
      <w:rPr>
        <w:rStyle w:val="PageNumber"/>
      </w:rPr>
      <w:fldChar w:fldCharType="end"/>
    </w:r>
  </w:p>
  <w:p w:rsidR="00692938" w:rsidRDefault="00692938" w:rsidP="008B55A3">
    <w:pPr>
      <w:pStyle w:val="Footer"/>
      <w:ind w:right="360"/>
    </w:pPr>
    <w:r>
      <w:t>Table 4: Evaluation and Communication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55</w:t>
    </w:r>
    <w:r>
      <w:rPr>
        <w:rStyle w:val="PageNumber"/>
      </w:rPr>
      <w:fldChar w:fldCharType="end"/>
    </w:r>
  </w:p>
  <w:p w:rsidR="00692938" w:rsidRDefault="00692938" w:rsidP="008B55A3">
    <w:pPr>
      <w:pStyle w:val="Footer"/>
      <w:ind w:right="360"/>
    </w:pPr>
    <w:r>
      <w:t>Table 5: Infection Control and Response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050B">
      <w:rPr>
        <w:rStyle w:val="PageNumber"/>
        <w:noProof/>
      </w:rPr>
      <w:t>60</w:t>
    </w:r>
    <w:r>
      <w:rPr>
        <w:rStyle w:val="PageNumber"/>
      </w:rPr>
      <w:fldChar w:fldCharType="end"/>
    </w:r>
  </w:p>
  <w:p w:rsidR="00692938" w:rsidRDefault="00692938" w:rsidP="008B55A3">
    <w:pPr>
      <w:pStyle w:val="Footer"/>
      <w:ind w:right="360"/>
    </w:pPr>
    <w:r>
      <w:t>Table 6: Targeted Healthcare Infection Prevention Programs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rsidP="00A14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2938" w:rsidRDefault="00692938" w:rsidP="008B55A3">
    <w:pPr>
      <w:pStyle w:val="Footer"/>
      <w:ind w:right="360"/>
    </w:pPr>
  </w:p>
  <w:p w:rsidR="00692938" w:rsidRDefault="006929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30" w:rsidRDefault="00750230">
      <w:r>
        <w:separator/>
      </w:r>
    </w:p>
    <w:p w:rsidR="00750230" w:rsidRDefault="00750230"/>
  </w:footnote>
  <w:footnote w:type="continuationSeparator" w:id="0">
    <w:p w:rsidR="00750230" w:rsidRDefault="00750230">
      <w:r>
        <w:continuationSeparator/>
      </w:r>
    </w:p>
    <w:p w:rsidR="00750230" w:rsidRDefault="00750230"/>
  </w:footnote>
  <w:footnote w:id="1">
    <w:p w:rsidR="00692938" w:rsidRPr="009C793E" w:rsidRDefault="00692938" w:rsidP="002E2745">
      <w:pPr>
        <w:pStyle w:val="EndnoteText"/>
      </w:pPr>
      <w:r>
        <w:rPr>
          <w:rStyle w:val="FootnoteReference"/>
        </w:rPr>
        <w:footnoteRef/>
      </w:r>
      <w:r>
        <w:t xml:space="preserve"> Thacker SB, Berkelman RL. </w:t>
      </w:r>
      <w:proofErr w:type="gramStart"/>
      <w:r>
        <w:t>Public health surveillance in the United States.</w:t>
      </w:r>
      <w:proofErr w:type="gramEnd"/>
      <w:r>
        <w:t xml:space="preserve"> Epidemiol Rev 1988</w:t>
      </w:r>
      <w:proofErr w:type="gramStart"/>
      <w:r>
        <w:t>;10:164</w:t>
      </w:r>
      <w:proofErr w:type="gramEnd"/>
      <w:r>
        <w:t>-90.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p>
  <w:p w:rsidR="00692938" w:rsidRDefault="00692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38" w:rsidRDefault="006929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43" w:rsidRDefault="00BB4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2C74D3B"/>
    <w:multiLevelType w:val="hybridMultilevel"/>
    <w:tmpl w:val="81EE0108"/>
    <w:lvl w:ilvl="0" w:tplc="0409001B">
      <w:start w:val="1"/>
      <w:numFmt w:val="lowerRoman"/>
      <w:lvlText w:val="%1."/>
      <w:lvlJc w:val="right"/>
      <w:pPr>
        <w:tabs>
          <w:tab w:val="num" w:pos="540"/>
        </w:tabs>
        <w:ind w:left="540" w:hanging="180"/>
      </w:p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
    <w:nsid w:val="0D9A1246"/>
    <w:multiLevelType w:val="hybridMultilevel"/>
    <w:tmpl w:val="DFB24C28"/>
    <w:lvl w:ilvl="0" w:tplc="4DC4AE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36993"/>
    <w:multiLevelType w:val="hybridMultilevel"/>
    <w:tmpl w:val="DFB24C28"/>
    <w:lvl w:ilvl="0" w:tplc="4DC4AE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042F52"/>
    <w:multiLevelType w:val="hybridMultilevel"/>
    <w:tmpl w:val="33CA54A4"/>
    <w:lvl w:ilvl="0" w:tplc="15DE3F18">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
    <w:nsid w:val="11952E5F"/>
    <w:multiLevelType w:val="hybridMultilevel"/>
    <w:tmpl w:val="60E46DAC"/>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5">
    <w:nsid w:val="11F92691"/>
    <w:multiLevelType w:val="hybridMultilevel"/>
    <w:tmpl w:val="8E283120"/>
    <w:lvl w:ilvl="0" w:tplc="7162211E">
      <w:start w:val="1"/>
      <w:numFmt w:val="low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67745"/>
    <w:multiLevelType w:val="hybridMultilevel"/>
    <w:tmpl w:val="AF82B79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7F70A3F"/>
    <w:multiLevelType w:val="hybridMultilevel"/>
    <w:tmpl w:val="699CDF28"/>
    <w:lvl w:ilvl="0" w:tplc="C0120BA0">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8">
    <w:nsid w:val="1D015DF6"/>
    <w:multiLevelType w:val="hybridMultilevel"/>
    <w:tmpl w:val="BE94A584"/>
    <w:lvl w:ilvl="0" w:tplc="C0120BA0">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9">
    <w:nsid w:val="1D575A9E"/>
    <w:multiLevelType w:val="hybridMultilevel"/>
    <w:tmpl w:val="8E2E27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B63B7"/>
    <w:multiLevelType w:val="hybridMultilevel"/>
    <w:tmpl w:val="ECBED7B4"/>
    <w:lvl w:ilvl="0" w:tplc="B2421BFE">
      <w:start w:val="1"/>
      <w:numFmt w:val="lowerRoman"/>
      <w:lvlText w:val="%1."/>
      <w:lvlJc w:val="right"/>
      <w:pPr>
        <w:tabs>
          <w:tab w:val="num" w:pos="720"/>
        </w:tabs>
        <w:ind w:left="720" w:hanging="360"/>
      </w:pPr>
      <w:rPr>
        <w:rFonts w:hint="default"/>
        <w:color w:val="auto"/>
      </w:rPr>
    </w:lvl>
    <w:lvl w:ilvl="1" w:tplc="4DC4AE48">
      <w:start w:val="1"/>
      <w:numFmt w:val="decimal"/>
      <w:lvlText w:val="%2."/>
      <w:lvlJc w:val="left"/>
      <w:pPr>
        <w:tabs>
          <w:tab w:val="num" w:pos="1440"/>
        </w:tabs>
        <w:ind w:left="1440" w:hanging="360"/>
      </w:pPr>
      <w:rPr>
        <w:rFonts w:hint="default"/>
      </w:rPr>
    </w:lvl>
    <w:lvl w:ilvl="2" w:tplc="E31C2DEA">
      <w:start w:val="1"/>
      <w:numFmt w:val="lowerRoman"/>
      <w:lvlText w:val="%3."/>
      <w:lvlJc w:val="right"/>
      <w:pPr>
        <w:tabs>
          <w:tab w:val="num" w:pos="2160"/>
        </w:tabs>
        <w:ind w:left="2160" w:hanging="180"/>
      </w:pPr>
      <w:rPr>
        <w:rFonts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443C4E"/>
    <w:multiLevelType w:val="hybridMultilevel"/>
    <w:tmpl w:val="45D437FA"/>
    <w:lvl w:ilvl="0" w:tplc="E396939A">
      <w:start w:val="1"/>
      <w:numFmt w:val="lowerRoman"/>
      <w:lvlText w:val="%1."/>
      <w:lvlJc w:val="right"/>
      <w:pPr>
        <w:tabs>
          <w:tab w:val="num" w:pos="900"/>
        </w:tabs>
        <w:ind w:left="900" w:hanging="180"/>
      </w:pPr>
      <w:rPr>
        <w:b/>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29362798"/>
    <w:multiLevelType w:val="hybridMultilevel"/>
    <w:tmpl w:val="4B78A0F6"/>
    <w:lvl w:ilvl="0" w:tplc="08D05124">
      <w:start w:val="1"/>
      <w:numFmt w:val="bullet"/>
      <w:lvlText w:val=""/>
      <w:lvlJc w:val="left"/>
      <w:pPr>
        <w:tabs>
          <w:tab w:val="num" w:pos="28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nsid w:val="32A80430"/>
    <w:multiLevelType w:val="hybridMultilevel"/>
    <w:tmpl w:val="9534721E"/>
    <w:lvl w:ilvl="0" w:tplc="0409001B">
      <w:start w:val="1"/>
      <w:numFmt w:val="lowerRoman"/>
      <w:lvlText w:val="%1."/>
      <w:lvlJc w:val="right"/>
      <w:pPr>
        <w:tabs>
          <w:tab w:val="num" w:pos="900"/>
        </w:tabs>
        <w:ind w:left="900" w:hanging="180"/>
      </w:p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nsid w:val="372416FA"/>
    <w:multiLevelType w:val="hybridMultilevel"/>
    <w:tmpl w:val="4BB49EB0"/>
    <w:lvl w:ilvl="0" w:tplc="0409001B">
      <w:start w:val="1"/>
      <w:numFmt w:val="lowerRoman"/>
      <w:lvlText w:val="%1."/>
      <w:lvlJc w:val="right"/>
      <w:pPr>
        <w:tabs>
          <w:tab w:val="num" w:pos="900"/>
        </w:tabs>
        <w:ind w:left="900" w:hanging="180"/>
      </w:p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5">
    <w:nsid w:val="39D55DB8"/>
    <w:multiLevelType w:val="hybridMultilevel"/>
    <w:tmpl w:val="E168ECA2"/>
    <w:lvl w:ilvl="0" w:tplc="C22A663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734DB6"/>
    <w:multiLevelType w:val="hybridMultilevel"/>
    <w:tmpl w:val="95BE3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B827AD"/>
    <w:multiLevelType w:val="hybridMultilevel"/>
    <w:tmpl w:val="9DA2BA16"/>
    <w:lvl w:ilvl="0" w:tplc="C0120BA0">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8">
    <w:nsid w:val="414D71A4"/>
    <w:multiLevelType w:val="hybridMultilevel"/>
    <w:tmpl w:val="2D8E2622"/>
    <w:lvl w:ilvl="0" w:tplc="0409001B">
      <w:start w:val="1"/>
      <w:numFmt w:val="lowerRoman"/>
      <w:lvlText w:val="%1."/>
      <w:lvlJc w:val="right"/>
      <w:pPr>
        <w:tabs>
          <w:tab w:val="num" w:pos="900"/>
        </w:tabs>
        <w:ind w:left="900" w:hanging="180"/>
      </w:pPr>
    </w:lvl>
    <w:lvl w:ilvl="1" w:tplc="C0120BA0">
      <w:start w:val="1"/>
      <w:numFmt w:val="lowerRoman"/>
      <w:lvlText w:val="%2."/>
      <w:lvlJc w:val="right"/>
      <w:pPr>
        <w:tabs>
          <w:tab w:val="num" w:pos="0"/>
        </w:tabs>
        <w:ind w:left="0" w:hanging="180"/>
      </w:pPr>
      <w:rPr>
        <w:rFonts w:hint="default"/>
      </w:rPr>
    </w:lvl>
    <w:lvl w:ilvl="2" w:tplc="93A484B8">
      <w:start w:val="2"/>
      <w:numFmt w:val="lowerRoman"/>
      <w:lvlText w:val="%3."/>
      <w:lvlJc w:val="right"/>
      <w:pPr>
        <w:tabs>
          <w:tab w:val="num" w:pos="900"/>
        </w:tabs>
        <w:ind w:left="900" w:hanging="180"/>
      </w:pPr>
      <w:rPr>
        <w:rFonts w:hint="default"/>
      </w:rPr>
    </w:lvl>
    <w:lvl w:ilvl="3" w:tplc="6B5AED34">
      <w:start w:val="1"/>
      <w:numFmt w:val="decimal"/>
      <w:lvlText w:val="%4."/>
      <w:lvlJc w:val="left"/>
      <w:pPr>
        <w:ind w:left="1620" w:hanging="360"/>
      </w:pPr>
      <w:rPr>
        <w:rFonts w:hint="default"/>
      </w:r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9">
    <w:nsid w:val="45645A58"/>
    <w:multiLevelType w:val="hybridMultilevel"/>
    <w:tmpl w:val="5A92E4C4"/>
    <w:lvl w:ilvl="0" w:tplc="0409001B">
      <w:start w:val="1"/>
      <w:numFmt w:val="lowerRoman"/>
      <w:lvlText w:val="%1."/>
      <w:lvlJc w:val="right"/>
      <w:pPr>
        <w:tabs>
          <w:tab w:val="num" w:pos="900"/>
        </w:tabs>
        <w:ind w:left="900" w:hanging="18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0">
    <w:nsid w:val="46E87CFB"/>
    <w:multiLevelType w:val="hybridMultilevel"/>
    <w:tmpl w:val="FD02C6CC"/>
    <w:lvl w:ilvl="0" w:tplc="4DC4AE48">
      <w:start w:val="1"/>
      <w:numFmt w:val="decimal"/>
      <w:lvlText w:val="%1."/>
      <w:lvlJc w:val="left"/>
      <w:pPr>
        <w:tabs>
          <w:tab w:val="num" w:pos="360"/>
        </w:tabs>
        <w:ind w:left="36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B10FB"/>
    <w:multiLevelType w:val="hybridMultilevel"/>
    <w:tmpl w:val="2DA09952"/>
    <w:lvl w:ilvl="0" w:tplc="B60C5FA4">
      <w:start w:val="2"/>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5E5C83"/>
    <w:multiLevelType w:val="hybridMultilevel"/>
    <w:tmpl w:val="72A2115E"/>
    <w:lvl w:ilvl="0" w:tplc="87AA2CC8">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E205C7"/>
    <w:multiLevelType w:val="hybridMultilevel"/>
    <w:tmpl w:val="A658F18E"/>
    <w:lvl w:ilvl="0" w:tplc="7998381E">
      <w:start w:val="1"/>
      <w:numFmt w:val="decimal"/>
      <w:lvlText w:val="%1."/>
      <w:lvlJc w:val="left"/>
      <w:pPr>
        <w:tabs>
          <w:tab w:val="num" w:pos="360"/>
        </w:tabs>
        <w:ind w:left="360" w:hanging="360"/>
      </w:pPr>
      <w:rPr>
        <w:rFonts w:hint="default"/>
        <w:b/>
        <w:sz w:val="28"/>
      </w:rPr>
    </w:lvl>
    <w:lvl w:ilvl="1" w:tplc="04090019">
      <w:start w:val="1"/>
      <w:numFmt w:val="lowerLetter"/>
      <w:lvlText w:val="%2."/>
      <w:lvlJc w:val="left"/>
      <w:pPr>
        <w:tabs>
          <w:tab w:val="num" w:pos="1440"/>
        </w:tabs>
        <w:ind w:left="1440" w:hanging="360"/>
      </w:pPr>
    </w:lvl>
    <w:lvl w:ilvl="2" w:tplc="9CAE675A">
      <w:start w:val="3"/>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814814"/>
    <w:multiLevelType w:val="hybridMultilevel"/>
    <w:tmpl w:val="24E61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866A5D"/>
    <w:multiLevelType w:val="hybridMultilevel"/>
    <w:tmpl w:val="7CECC62E"/>
    <w:lvl w:ilvl="0" w:tplc="0409001B">
      <w:start w:val="1"/>
      <w:numFmt w:val="lowerRoman"/>
      <w:lvlText w:val="%1."/>
      <w:lvlJc w:val="right"/>
      <w:pPr>
        <w:tabs>
          <w:tab w:val="num" w:pos="900"/>
        </w:tabs>
        <w:ind w:left="900" w:hanging="18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6">
    <w:nsid w:val="4CDF4A6F"/>
    <w:multiLevelType w:val="hybridMultilevel"/>
    <w:tmpl w:val="7E305F56"/>
    <w:lvl w:ilvl="0" w:tplc="D1A2CFEE">
      <w:start w:val="1"/>
      <w:numFmt w:val="lowerRoman"/>
      <w:lvlText w:val="%1."/>
      <w:lvlJc w:val="right"/>
      <w:pPr>
        <w:tabs>
          <w:tab w:val="num" w:pos="1080"/>
        </w:tabs>
        <w:ind w:left="108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024C10"/>
    <w:multiLevelType w:val="hybridMultilevel"/>
    <w:tmpl w:val="0E9AA5E6"/>
    <w:lvl w:ilvl="0" w:tplc="E026CF56">
      <w:start w:val="2"/>
      <w:numFmt w:val="lowerRoman"/>
      <w:lvlText w:val="%1."/>
      <w:lvlJc w:val="right"/>
      <w:pPr>
        <w:tabs>
          <w:tab w:val="num" w:pos="900"/>
        </w:tabs>
        <w:ind w:left="90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6940E0"/>
    <w:multiLevelType w:val="hybridMultilevel"/>
    <w:tmpl w:val="2B7A6458"/>
    <w:lvl w:ilvl="0" w:tplc="0409001B">
      <w:start w:val="1"/>
      <w:numFmt w:val="lowerRoman"/>
      <w:lvlText w:val="%1."/>
      <w:lvlJc w:val="right"/>
      <w:pPr>
        <w:tabs>
          <w:tab w:val="num" w:pos="900"/>
        </w:tabs>
        <w:ind w:left="900" w:hanging="18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9">
    <w:nsid w:val="57157768"/>
    <w:multiLevelType w:val="hybridMultilevel"/>
    <w:tmpl w:val="40A6A990"/>
    <w:lvl w:ilvl="0" w:tplc="7A0C7FC8">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677109"/>
    <w:multiLevelType w:val="hybridMultilevel"/>
    <w:tmpl w:val="7FC29F0C"/>
    <w:lvl w:ilvl="0" w:tplc="DF4016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0573572"/>
    <w:multiLevelType w:val="hybridMultilevel"/>
    <w:tmpl w:val="550E6290"/>
    <w:lvl w:ilvl="0" w:tplc="A06615BA">
      <w:start w:val="1"/>
      <w:numFmt w:val="lowerRoman"/>
      <w:lvlText w:val="%1."/>
      <w:lvlJc w:val="right"/>
      <w:pPr>
        <w:tabs>
          <w:tab w:val="num" w:pos="900"/>
        </w:tabs>
        <w:ind w:left="900" w:hanging="180"/>
      </w:pPr>
      <w:rPr>
        <w:b/>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2">
    <w:nsid w:val="61444BA0"/>
    <w:multiLevelType w:val="hybridMultilevel"/>
    <w:tmpl w:val="B3265A7C"/>
    <w:lvl w:ilvl="0" w:tplc="83E8DFF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0E01A9"/>
    <w:multiLevelType w:val="hybridMultilevel"/>
    <w:tmpl w:val="BDE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407281"/>
    <w:multiLevelType w:val="hybridMultilevel"/>
    <w:tmpl w:val="2D0A4B18"/>
    <w:lvl w:ilvl="0" w:tplc="0409001B">
      <w:start w:val="1"/>
      <w:numFmt w:val="lowerRoman"/>
      <w:lvlText w:val="%1."/>
      <w:lvlJc w:val="right"/>
      <w:pPr>
        <w:tabs>
          <w:tab w:val="num" w:pos="900"/>
        </w:tabs>
        <w:ind w:left="900" w:hanging="180"/>
      </w:pPr>
      <w:rPr>
        <w:rFonts w:hint="default"/>
      </w:rPr>
    </w:lvl>
    <w:lvl w:ilvl="1" w:tplc="61E4D634">
      <w:start w:val="2"/>
      <w:numFmt w:val="lowerRoman"/>
      <w:lvlText w:val="%2."/>
      <w:lvlJc w:val="right"/>
      <w:pPr>
        <w:tabs>
          <w:tab w:val="num" w:pos="0"/>
        </w:tabs>
        <w:ind w:left="0" w:hanging="180"/>
      </w:pPr>
      <w:rPr>
        <w:rFonts w:hint="default"/>
      </w:rPr>
    </w:lvl>
    <w:lvl w:ilvl="2" w:tplc="93A484B8">
      <w:start w:val="2"/>
      <w:numFmt w:val="lowerRoman"/>
      <w:lvlText w:val="%3."/>
      <w:lvlJc w:val="right"/>
      <w:pPr>
        <w:tabs>
          <w:tab w:val="num" w:pos="900"/>
        </w:tabs>
        <w:ind w:left="900" w:hanging="180"/>
      </w:pPr>
      <w:rPr>
        <w:rFonts w:hint="default"/>
      </w:r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5">
    <w:nsid w:val="647F2014"/>
    <w:multiLevelType w:val="hybridMultilevel"/>
    <w:tmpl w:val="CBF65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61927B8"/>
    <w:multiLevelType w:val="hybridMultilevel"/>
    <w:tmpl w:val="01883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78C2A9D"/>
    <w:multiLevelType w:val="hybridMultilevel"/>
    <w:tmpl w:val="EF8A040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69384BDC"/>
    <w:multiLevelType w:val="hybridMultilevel"/>
    <w:tmpl w:val="81EE0108"/>
    <w:lvl w:ilvl="0" w:tplc="0409001B">
      <w:start w:val="1"/>
      <w:numFmt w:val="lowerRoman"/>
      <w:lvlText w:val="%1."/>
      <w:lvlJc w:val="right"/>
      <w:pPr>
        <w:tabs>
          <w:tab w:val="num" w:pos="900"/>
        </w:tabs>
        <w:ind w:left="900" w:hanging="18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9">
    <w:nsid w:val="728774AF"/>
    <w:multiLevelType w:val="hybridMultilevel"/>
    <w:tmpl w:val="61765630"/>
    <w:lvl w:ilvl="0" w:tplc="CE88EB28">
      <w:start w:val="6"/>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54E53"/>
    <w:multiLevelType w:val="hybridMultilevel"/>
    <w:tmpl w:val="B68EEC12"/>
    <w:lvl w:ilvl="0" w:tplc="0409001B">
      <w:start w:val="1"/>
      <w:numFmt w:val="lowerRoman"/>
      <w:lvlText w:val="%1."/>
      <w:lvlJc w:val="right"/>
      <w:pPr>
        <w:tabs>
          <w:tab w:val="num" w:pos="900"/>
        </w:tabs>
        <w:ind w:left="900" w:hanging="180"/>
      </w:pPr>
    </w:lvl>
    <w:lvl w:ilvl="1" w:tplc="C0120BA0">
      <w:start w:val="1"/>
      <w:numFmt w:val="lowerRoman"/>
      <w:lvlText w:val="%2."/>
      <w:lvlJc w:val="right"/>
      <w:pPr>
        <w:tabs>
          <w:tab w:val="num" w:pos="0"/>
        </w:tabs>
        <w:ind w:left="0" w:hanging="180"/>
      </w:pPr>
      <w:rPr>
        <w:rFonts w:hint="default"/>
      </w:r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1">
    <w:nsid w:val="756B50E1"/>
    <w:multiLevelType w:val="hybridMultilevel"/>
    <w:tmpl w:val="43AEDDBA"/>
    <w:lvl w:ilvl="0" w:tplc="0409001B">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2">
    <w:nsid w:val="777513BD"/>
    <w:multiLevelType w:val="hybridMultilevel"/>
    <w:tmpl w:val="4DE6E646"/>
    <w:lvl w:ilvl="0" w:tplc="913AC732">
      <w:start w:val="1"/>
      <w:numFmt w:val="lowerRoman"/>
      <w:lvlText w:val="%1."/>
      <w:lvlJc w:val="right"/>
      <w:pPr>
        <w:tabs>
          <w:tab w:val="num" w:pos="900"/>
        </w:tabs>
        <w:ind w:left="900" w:hanging="180"/>
      </w:pPr>
      <w:rPr>
        <w:rFonts w:hint="default"/>
        <w:b/>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3">
    <w:nsid w:val="79157E7D"/>
    <w:multiLevelType w:val="hybridMultilevel"/>
    <w:tmpl w:val="C73032F2"/>
    <w:lvl w:ilvl="0" w:tplc="0409001B">
      <w:start w:val="1"/>
      <w:numFmt w:val="lowerRoman"/>
      <w:lvlText w:val="%1."/>
      <w:lvlJc w:val="right"/>
      <w:pPr>
        <w:tabs>
          <w:tab w:val="num" w:pos="900"/>
        </w:tabs>
        <w:ind w:left="900" w:hanging="180"/>
      </w:pPr>
    </w:lvl>
    <w:lvl w:ilvl="1" w:tplc="C0120BA0">
      <w:start w:val="1"/>
      <w:numFmt w:val="lowerRoman"/>
      <w:lvlText w:val="%2."/>
      <w:lvlJc w:val="right"/>
      <w:pPr>
        <w:tabs>
          <w:tab w:val="num" w:pos="0"/>
        </w:tabs>
        <w:ind w:left="0" w:hanging="180"/>
      </w:pPr>
      <w:rPr>
        <w:rFonts w:hint="default"/>
      </w:r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4">
    <w:nsid w:val="7A416174"/>
    <w:multiLevelType w:val="hybridMultilevel"/>
    <w:tmpl w:val="184A1632"/>
    <w:lvl w:ilvl="0" w:tplc="EFD67000">
      <w:start w:val="3"/>
      <w:numFmt w:val="lowerRoman"/>
      <w:lvlText w:val="%1."/>
      <w:lvlJc w:val="right"/>
      <w:pPr>
        <w:tabs>
          <w:tab w:val="num" w:pos="900"/>
        </w:tabs>
        <w:ind w:left="900" w:hanging="18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636F88"/>
    <w:multiLevelType w:val="hybridMultilevel"/>
    <w:tmpl w:val="6B2835CA"/>
    <w:lvl w:ilvl="0" w:tplc="EED85CAA">
      <w:start w:val="5"/>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7B9C6B35"/>
    <w:multiLevelType w:val="hybridMultilevel"/>
    <w:tmpl w:val="362A3AD6"/>
    <w:lvl w:ilvl="0" w:tplc="4DC4AE4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7">
    <w:nsid w:val="7BD853DE"/>
    <w:multiLevelType w:val="hybridMultilevel"/>
    <w:tmpl w:val="585E8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0"/>
  </w:num>
  <w:num w:numId="3">
    <w:abstractNumId w:val="10"/>
  </w:num>
  <w:num w:numId="4">
    <w:abstractNumId w:val="47"/>
  </w:num>
  <w:num w:numId="5">
    <w:abstractNumId w:val="46"/>
  </w:num>
  <w:num w:numId="6">
    <w:abstractNumId w:val="31"/>
  </w:num>
  <w:num w:numId="7">
    <w:abstractNumId w:val="28"/>
  </w:num>
  <w:num w:numId="8">
    <w:abstractNumId w:val="14"/>
  </w:num>
  <w:num w:numId="9">
    <w:abstractNumId w:val="11"/>
  </w:num>
  <w:num w:numId="10">
    <w:abstractNumId w:val="23"/>
  </w:num>
  <w:num w:numId="11">
    <w:abstractNumId w:val="20"/>
  </w:num>
  <w:num w:numId="12">
    <w:abstractNumId w:val="25"/>
  </w:num>
  <w:num w:numId="13">
    <w:abstractNumId w:val="13"/>
  </w:num>
  <w:num w:numId="14">
    <w:abstractNumId w:val="19"/>
  </w:num>
  <w:num w:numId="15">
    <w:abstractNumId w:val="38"/>
  </w:num>
  <w:num w:numId="16">
    <w:abstractNumId w:val="8"/>
  </w:num>
  <w:num w:numId="17">
    <w:abstractNumId w:val="40"/>
  </w:num>
  <w:num w:numId="18">
    <w:abstractNumId w:val="18"/>
  </w:num>
  <w:num w:numId="19">
    <w:abstractNumId w:val="43"/>
  </w:num>
  <w:num w:numId="20">
    <w:abstractNumId w:val="7"/>
  </w:num>
  <w:num w:numId="21">
    <w:abstractNumId w:val="41"/>
  </w:num>
  <w:num w:numId="22">
    <w:abstractNumId w:val="17"/>
  </w:num>
  <w:num w:numId="23">
    <w:abstractNumId w:val="3"/>
  </w:num>
  <w:num w:numId="24">
    <w:abstractNumId w:val="34"/>
  </w:num>
  <w:num w:numId="25">
    <w:abstractNumId w:val="42"/>
  </w:num>
  <w:num w:numId="26">
    <w:abstractNumId w:val="1"/>
  </w:num>
  <w:num w:numId="27">
    <w:abstractNumId w:val="0"/>
  </w:num>
  <w:num w:numId="28">
    <w:abstractNumId w:val="22"/>
  </w:num>
  <w:num w:numId="29">
    <w:abstractNumId w:val="2"/>
  </w:num>
  <w:num w:numId="30">
    <w:abstractNumId w:val="15"/>
  </w:num>
  <w:num w:numId="31">
    <w:abstractNumId w:val="29"/>
  </w:num>
  <w:num w:numId="32">
    <w:abstractNumId w:val="21"/>
  </w:num>
  <w:num w:numId="33">
    <w:abstractNumId w:val="26"/>
  </w:num>
  <w:num w:numId="34">
    <w:abstractNumId w:val="44"/>
  </w:num>
  <w:num w:numId="35">
    <w:abstractNumId w:val="45"/>
  </w:num>
  <w:num w:numId="36">
    <w:abstractNumId w:val="16"/>
  </w:num>
  <w:num w:numId="37">
    <w:abstractNumId w:val="36"/>
  </w:num>
  <w:num w:numId="38">
    <w:abstractNumId w:val="6"/>
  </w:num>
  <w:num w:numId="39">
    <w:abstractNumId w:val="37"/>
  </w:num>
  <w:num w:numId="40">
    <w:abstractNumId w:val="33"/>
  </w:num>
  <w:num w:numId="41">
    <w:abstractNumId w:val="35"/>
  </w:num>
  <w:num w:numId="42">
    <w:abstractNumId w:val="32"/>
  </w:num>
  <w:num w:numId="43">
    <w:abstractNumId w:val="39"/>
  </w:num>
  <w:num w:numId="44">
    <w:abstractNumId w:val="27"/>
  </w:num>
  <w:num w:numId="45">
    <w:abstractNumId w:val="5"/>
  </w:num>
  <w:num w:numId="46">
    <w:abstractNumId w:val="4"/>
  </w:num>
  <w:num w:numId="47">
    <w:abstractNumId w:val="9"/>
  </w:num>
  <w:num w:numId="48">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84"/>
    <w:rsid w:val="00000475"/>
    <w:rsid w:val="00001575"/>
    <w:rsid w:val="000024B5"/>
    <w:rsid w:val="0000273E"/>
    <w:rsid w:val="00002F6D"/>
    <w:rsid w:val="00003329"/>
    <w:rsid w:val="000033DF"/>
    <w:rsid w:val="0000353A"/>
    <w:rsid w:val="00003A61"/>
    <w:rsid w:val="0000406C"/>
    <w:rsid w:val="00004C73"/>
    <w:rsid w:val="00004F1F"/>
    <w:rsid w:val="00005739"/>
    <w:rsid w:val="000066DD"/>
    <w:rsid w:val="0000704D"/>
    <w:rsid w:val="000074D5"/>
    <w:rsid w:val="0000794B"/>
    <w:rsid w:val="00011546"/>
    <w:rsid w:val="00011718"/>
    <w:rsid w:val="00011A5A"/>
    <w:rsid w:val="00011FB9"/>
    <w:rsid w:val="00012982"/>
    <w:rsid w:val="00012D9B"/>
    <w:rsid w:val="000141F4"/>
    <w:rsid w:val="00014556"/>
    <w:rsid w:val="00014F1F"/>
    <w:rsid w:val="00015606"/>
    <w:rsid w:val="000158EC"/>
    <w:rsid w:val="00015975"/>
    <w:rsid w:val="00015CBE"/>
    <w:rsid w:val="00015CFE"/>
    <w:rsid w:val="00015ECB"/>
    <w:rsid w:val="00016D76"/>
    <w:rsid w:val="00017CF6"/>
    <w:rsid w:val="00017F51"/>
    <w:rsid w:val="00020DBB"/>
    <w:rsid w:val="0002122E"/>
    <w:rsid w:val="00021898"/>
    <w:rsid w:val="00021A67"/>
    <w:rsid w:val="0002230A"/>
    <w:rsid w:val="000223F6"/>
    <w:rsid w:val="00022686"/>
    <w:rsid w:val="00022732"/>
    <w:rsid w:val="00022A98"/>
    <w:rsid w:val="00022D71"/>
    <w:rsid w:val="000233EE"/>
    <w:rsid w:val="000234EE"/>
    <w:rsid w:val="00023D53"/>
    <w:rsid w:val="00023D5D"/>
    <w:rsid w:val="000246DF"/>
    <w:rsid w:val="00024BAF"/>
    <w:rsid w:val="00025539"/>
    <w:rsid w:val="00027008"/>
    <w:rsid w:val="00027439"/>
    <w:rsid w:val="00027A94"/>
    <w:rsid w:val="00027FAA"/>
    <w:rsid w:val="000304DE"/>
    <w:rsid w:val="00030DDD"/>
    <w:rsid w:val="0003240F"/>
    <w:rsid w:val="000324F0"/>
    <w:rsid w:val="000325E4"/>
    <w:rsid w:val="00032658"/>
    <w:rsid w:val="00032778"/>
    <w:rsid w:val="000329AE"/>
    <w:rsid w:val="000338F3"/>
    <w:rsid w:val="00033D0E"/>
    <w:rsid w:val="0003423E"/>
    <w:rsid w:val="0003495E"/>
    <w:rsid w:val="00034B79"/>
    <w:rsid w:val="00034FFA"/>
    <w:rsid w:val="00035FF4"/>
    <w:rsid w:val="000369FF"/>
    <w:rsid w:val="00040581"/>
    <w:rsid w:val="000405BF"/>
    <w:rsid w:val="0004065C"/>
    <w:rsid w:val="00041547"/>
    <w:rsid w:val="00041FD5"/>
    <w:rsid w:val="000420D8"/>
    <w:rsid w:val="00042757"/>
    <w:rsid w:val="00042951"/>
    <w:rsid w:val="00042AC7"/>
    <w:rsid w:val="00042F2D"/>
    <w:rsid w:val="000437A1"/>
    <w:rsid w:val="0004383A"/>
    <w:rsid w:val="00044F83"/>
    <w:rsid w:val="000464B7"/>
    <w:rsid w:val="000472E3"/>
    <w:rsid w:val="00047D17"/>
    <w:rsid w:val="00050325"/>
    <w:rsid w:val="00050F2B"/>
    <w:rsid w:val="000512E9"/>
    <w:rsid w:val="000512EF"/>
    <w:rsid w:val="00051F90"/>
    <w:rsid w:val="0005376D"/>
    <w:rsid w:val="00053EF5"/>
    <w:rsid w:val="000543C5"/>
    <w:rsid w:val="000544BE"/>
    <w:rsid w:val="0005472B"/>
    <w:rsid w:val="000561FB"/>
    <w:rsid w:val="00056418"/>
    <w:rsid w:val="000566BF"/>
    <w:rsid w:val="00056967"/>
    <w:rsid w:val="00056F48"/>
    <w:rsid w:val="00057C46"/>
    <w:rsid w:val="0006000B"/>
    <w:rsid w:val="000603BF"/>
    <w:rsid w:val="00060921"/>
    <w:rsid w:val="00060C38"/>
    <w:rsid w:val="00060EAD"/>
    <w:rsid w:val="00061AB0"/>
    <w:rsid w:val="00061D1B"/>
    <w:rsid w:val="00062440"/>
    <w:rsid w:val="00062B4C"/>
    <w:rsid w:val="00063A50"/>
    <w:rsid w:val="00063C53"/>
    <w:rsid w:val="00063FD0"/>
    <w:rsid w:val="000642AE"/>
    <w:rsid w:val="000652C9"/>
    <w:rsid w:val="00066AE2"/>
    <w:rsid w:val="00066E74"/>
    <w:rsid w:val="00066FBB"/>
    <w:rsid w:val="00066FFC"/>
    <w:rsid w:val="000670A3"/>
    <w:rsid w:val="00067851"/>
    <w:rsid w:val="00070295"/>
    <w:rsid w:val="00070448"/>
    <w:rsid w:val="00071309"/>
    <w:rsid w:val="0007163A"/>
    <w:rsid w:val="00071FD7"/>
    <w:rsid w:val="0007262E"/>
    <w:rsid w:val="00073341"/>
    <w:rsid w:val="00073B73"/>
    <w:rsid w:val="00073CF2"/>
    <w:rsid w:val="0007434C"/>
    <w:rsid w:val="00074407"/>
    <w:rsid w:val="000748F5"/>
    <w:rsid w:val="000754A1"/>
    <w:rsid w:val="00075BBB"/>
    <w:rsid w:val="00076496"/>
    <w:rsid w:val="00076847"/>
    <w:rsid w:val="00076CFF"/>
    <w:rsid w:val="00076ECD"/>
    <w:rsid w:val="000770A5"/>
    <w:rsid w:val="00077294"/>
    <w:rsid w:val="00077619"/>
    <w:rsid w:val="00077FD5"/>
    <w:rsid w:val="000802D0"/>
    <w:rsid w:val="000805FE"/>
    <w:rsid w:val="000822BE"/>
    <w:rsid w:val="00082BBB"/>
    <w:rsid w:val="00085474"/>
    <w:rsid w:val="000855E8"/>
    <w:rsid w:val="0008580E"/>
    <w:rsid w:val="00085DE5"/>
    <w:rsid w:val="00085E0B"/>
    <w:rsid w:val="0008682E"/>
    <w:rsid w:val="00086B60"/>
    <w:rsid w:val="00086FB5"/>
    <w:rsid w:val="000870E2"/>
    <w:rsid w:val="00090FD1"/>
    <w:rsid w:val="0009138C"/>
    <w:rsid w:val="00092191"/>
    <w:rsid w:val="0009269F"/>
    <w:rsid w:val="00092916"/>
    <w:rsid w:val="00093078"/>
    <w:rsid w:val="000930BF"/>
    <w:rsid w:val="000930EC"/>
    <w:rsid w:val="0009319F"/>
    <w:rsid w:val="00093B08"/>
    <w:rsid w:val="00093CA9"/>
    <w:rsid w:val="00094100"/>
    <w:rsid w:val="00094A85"/>
    <w:rsid w:val="00095A5B"/>
    <w:rsid w:val="00096C5C"/>
    <w:rsid w:val="00097202"/>
    <w:rsid w:val="00097951"/>
    <w:rsid w:val="000A1109"/>
    <w:rsid w:val="000A1111"/>
    <w:rsid w:val="000A13FE"/>
    <w:rsid w:val="000A18AC"/>
    <w:rsid w:val="000A204E"/>
    <w:rsid w:val="000A22F0"/>
    <w:rsid w:val="000A2949"/>
    <w:rsid w:val="000A2BFD"/>
    <w:rsid w:val="000A3167"/>
    <w:rsid w:val="000A350A"/>
    <w:rsid w:val="000A3C50"/>
    <w:rsid w:val="000A3D00"/>
    <w:rsid w:val="000A4AE4"/>
    <w:rsid w:val="000A4E3A"/>
    <w:rsid w:val="000A670E"/>
    <w:rsid w:val="000A6D49"/>
    <w:rsid w:val="000B0294"/>
    <w:rsid w:val="000B10B4"/>
    <w:rsid w:val="000B127E"/>
    <w:rsid w:val="000B1360"/>
    <w:rsid w:val="000B1411"/>
    <w:rsid w:val="000B1BD1"/>
    <w:rsid w:val="000B20BD"/>
    <w:rsid w:val="000B2983"/>
    <w:rsid w:val="000B2E4F"/>
    <w:rsid w:val="000B35AF"/>
    <w:rsid w:val="000B3890"/>
    <w:rsid w:val="000B3B32"/>
    <w:rsid w:val="000B3D04"/>
    <w:rsid w:val="000B4853"/>
    <w:rsid w:val="000B4B80"/>
    <w:rsid w:val="000B6256"/>
    <w:rsid w:val="000B6468"/>
    <w:rsid w:val="000B6E35"/>
    <w:rsid w:val="000C0115"/>
    <w:rsid w:val="000C0281"/>
    <w:rsid w:val="000C02FA"/>
    <w:rsid w:val="000C0C9E"/>
    <w:rsid w:val="000C1137"/>
    <w:rsid w:val="000C1232"/>
    <w:rsid w:val="000C22AD"/>
    <w:rsid w:val="000C35F2"/>
    <w:rsid w:val="000C371A"/>
    <w:rsid w:val="000C3D09"/>
    <w:rsid w:val="000C3D63"/>
    <w:rsid w:val="000C3E95"/>
    <w:rsid w:val="000C4F01"/>
    <w:rsid w:val="000C5D14"/>
    <w:rsid w:val="000C5FA7"/>
    <w:rsid w:val="000C6217"/>
    <w:rsid w:val="000C7D3E"/>
    <w:rsid w:val="000C7F0A"/>
    <w:rsid w:val="000D0A7F"/>
    <w:rsid w:val="000D10EF"/>
    <w:rsid w:val="000D161D"/>
    <w:rsid w:val="000D189F"/>
    <w:rsid w:val="000D1970"/>
    <w:rsid w:val="000D3D23"/>
    <w:rsid w:val="000D3E03"/>
    <w:rsid w:val="000D4BDD"/>
    <w:rsid w:val="000D4C97"/>
    <w:rsid w:val="000D56DE"/>
    <w:rsid w:val="000D57C0"/>
    <w:rsid w:val="000D5A66"/>
    <w:rsid w:val="000D631C"/>
    <w:rsid w:val="000D78EE"/>
    <w:rsid w:val="000E04D4"/>
    <w:rsid w:val="000E0C93"/>
    <w:rsid w:val="000E1843"/>
    <w:rsid w:val="000E1FCA"/>
    <w:rsid w:val="000E208C"/>
    <w:rsid w:val="000E2951"/>
    <w:rsid w:val="000E34FB"/>
    <w:rsid w:val="000E3C75"/>
    <w:rsid w:val="000E43F9"/>
    <w:rsid w:val="000E4C21"/>
    <w:rsid w:val="000E4FA3"/>
    <w:rsid w:val="000E5205"/>
    <w:rsid w:val="000E59A2"/>
    <w:rsid w:val="000E5E00"/>
    <w:rsid w:val="000E62F1"/>
    <w:rsid w:val="000E63D1"/>
    <w:rsid w:val="000E6452"/>
    <w:rsid w:val="000F050E"/>
    <w:rsid w:val="000F06AE"/>
    <w:rsid w:val="000F082C"/>
    <w:rsid w:val="000F0879"/>
    <w:rsid w:val="000F1E02"/>
    <w:rsid w:val="000F1EE4"/>
    <w:rsid w:val="000F229A"/>
    <w:rsid w:val="000F2D5A"/>
    <w:rsid w:val="000F357C"/>
    <w:rsid w:val="000F37F8"/>
    <w:rsid w:val="000F40C7"/>
    <w:rsid w:val="000F4E0F"/>
    <w:rsid w:val="000F5277"/>
    <w:rsid w:val="000F6288"/>
    <w:rsid w:val="000F6977"/>
    <w:rsid w:val="000F6F83"/>
    <w:rsid w:val="000F785D"/>
    <w:rsid w:val="000F7A5A"/>
    <w:rsid w:val="000F7D9F"/>
    <w:rsid w:val="00100B82"/>
    <w:rsid w:val="00100DA7"/>
    <w:rsid w:val="00101F31"/>
    <w:rsid w:val="00102325"/>
    <w:rsid w:val="00102DFE"/>
    <w:rsid w:val="001033F7"/>
    <w:rsid w:val="0010367F"/>
    <w:rsid w:val="00104044"/>
    <w:rsid w:val="0010425C"/>
    <w:rsid w:val="00105075"/>
    <w:rsid w:val="001051B8"/>
    <w:rsid w:val="001053F1"/>
    <w:rsid w:val="0010697C"/>
    <w:rsid w:val="00106C1A"/>
    <w:rsid w:val="00106F8E"/>
    <w:rsid w:val="0010728E"/>
    <w:rsid w:val="001078A6"/>
    <w:rsid w:val="00107BAD"/>
    <w:rsid w:val="00107D65"/>
    <w:rsid w:val="0011011F"/>
    <w:rsid w:val="00111090"/>
    <w:rsid w:val="0011114A"/>
    <w:rsid w:val="0011144B"/>
    <w:rsid w:val="00111B4F"/>
    <w:rsid w:val="00112203"/>
    <w:rsid w:val="00112380"/>
    <w:rsid w:val="00112E7A"/>
    <w:rsid w:val="001131DC"/>
    <w:rsid w:val="00113BD6"/>
    <w:rsid w:val="001151C2"/>
    <w:rsid w:val="00115754"/>
    <w:rsid w:val="0011580A"/>
    <w:rsid w:val="001159E5"/>
    <w:rsid w:val="00115B5F"/>
    <w:rsid w:val="00115CF8"/>
    <w:rsid w:val="0011611D"/>
    <w:rsid w:val="00116226"/>
    <w:rsid w:val="00116811"/>
    <w:rsid w:val="00116ED5"/>
    <w:rsid w:val="00117460"/>
    <w:rsid w:val="001175BA"/>
    <w:rsid w:val="00117DE4"/>
    <w:rsid w:val="0012035F"/>
    <w:rsid w:val="00121BA9"/>
    <w:rsid w:val="00121E85"/>
    <w:rsid w:val="001227A3"/>
    <w:rsid w:val="00123496"/>
    <w:rsid w:val="00123A07"/>
    <w:rsid w:val="00124043"/>
    <w:rsid w:val="00124921"/>
    <w:rsid w:val="00125008"/>
    <w:rsid w:val="00125259"/>
    <w:rsid w:val="00125ACE"/>
    <w:rsid w:val="00126B5E"/>
    <w:rsid w:val="00126FFE"/>
    <w:rsid w:val="00127806"/>
    <w:rsid w:val="00127B53"/>
    <w:rsid w:val="00130582"/>
    <w:rsid w:val="001309DA"/>
    <w:rsid w:val="00130E27"/>
    <w:rsid w:val="001310EB"/>
    <w:rsid w:val="001310EC"/>
    <w:rsid w:val="0013135F"/>
    <w:rsid w:val="0013158D"/>
    <w:rsid w:val="00131FE7"/>
    <w:rsid w:val="00132248"/>
    <w:rsid w:val="001325AF"/>
    <w:rsid w:val="00133521"/>
    <w:rsid w:val="001337B6"/>
    <w:rsid w:val="00133B9E"/>
    <w:rsid w:val="00135286"/>
    <w:rsid w:val="001354A4"/>
    <w:rsid w:val="00136125"/>
    <w:rsid w:val="0013651F"/>
    <w:rsid w:val="00136F9C"/>
    <w:rsid w:val="001376A8"/>
    <w:rsid w:val="00137780"/>
    <w:rsid w:val="0014060A"/>
    <w:rsid w:val="0014066B"/>
    <w:rsid w:val="00140870"/>
    <w:rsid w:val="0014097F"/>
    <w:rsid w:val="001414BA"/>
    <w:rsid w:val="0014193D"/>
    <w:rsid w:val="00141CF6"/>
    <w:rsid w:val="001420D8"/>
    <w:rsid w:val="0014292D"/>
    <w:rsid w:val="00142CDE"/>
    <w:rsid w:val="001432BD"/>
    <w:rsid w:val="0014477B"/>
    <w:rsid w:val="00144ABE"/>
    <w:rsid w:val="0014547C"/>
    <w:rsid w:val="00145980"/>
    <w:rsid w:val="00146175"/>
    <w:rsid w:val="00146CD1"/>
    <w:rsid w:val="00150596"/>
    <w:rsid w:val="0015088B"/>
    <w:rsid w:val="001509C9"/>
    <w:rsid w:val="00151A9D"/>
    <w:rsid w:val="001522AD"/>
    <w:rsid w:val="001525E9"/>
    <w:rsid w:val="00152D99"/>
    <w:rsid w:val="0015389F"/>
    <w:rsid w:val="00154BC0"/>
    <w:rsid w:val="00154DBC"/>
    <w:rsid w:val="00154FF4"/>
    <w:rsid w:val="00155A6D"/>
    <w:rsid w:val="00155CA6"/>
    <w:rsid w:val="0015675C"/>
    <w:rsid w:val="001570DA"/>
    <w:rsid w:val="00157846"/>
    <w:rsid w:val="00157CB4"/>
    <w:rsid w:val="00161305"/>
    <w:rsid w:val="00161A88"/>
    <w:rsid w:val="00162850"/>
    <w:rsid w:val="00162A06"/>
    <w:rsid w:val="0016319C"/>
    <w:rsid w:val="001634A3"/>
    <w:rsid w:val="00164423"/>
    <w:rsid w:val="001645EB"/>
    <w:rsid w:val="00164ED0"/>
    <w:rsid w:val="00164EE8"/>
    <w:rsid w:val="00164EEB"/>
    <w:rsid w:val="00166778"/>
    <w:rsid w:val="0016679B"/>
    <w:rsid w:val="0016692A"/>
    <w:rsid w:val="001669FF"/>
    <w:rsid w:val="001675D3"/>
    <w:rsid w:val="00167911"/>
    <w:rsid w:val="001711C5"/>
    <w:rsid w:val="0017162E"/>
    <w:rsid w:val="00171C09"/>
    <w:rsid w:val="00172F72"/>
    <w:rsid w:val="00173744"/>
    <w:rsid w:val="00173F7E"/>
    <w:rsid w:val="00174013"/>
    <w:rsid w:val="0017417F"/>
    <w:rsid w:val="00174A16"/>
    <w:rsid w:val="00174C09"/>
    <w:rsid w:val="001758AD"/>
    <w:rsid w:val="0017598F"/>
    <w:rsid w:val="00175AB3"/>
    <w:rsid w:val="00176A15"/>
    <w:rsid w:val="00176F6F"/>
    <w:rsid w:val="00176FCC"/>
    <w:rsid w:val="00177CF5"/>
    <w:rsid w:val="00177DB7"/>
    <w:rsid w:val="00177DE3"/>
    <w:rsid w:val="00180A10"/>
    <w:rsid w:val="00181D92"/>
    <w:rsid w:val="00182615"/>
    <w:rsid w:val="00182D8D"/>
    <w:rsid w:val="00182E1A"/>
    <w:rsid w:val="001838BE"/>
    <w:rsid w:val="001846DA"/>
    <w:rsid w:val="0018515C"/>
    <w:rsid w:val="00185406"/>
    <w:rsid w:val="001856C0"/>
    <w:rsid w:val="001859C7"/>
    <w:rsid w:val="00186A50"/>
    <w:rsid w:val="00186FB8"/>
    <w:rsid w:val="00187275"/>
    <w:rsid w:val="001878B9"/>
    <w:rsid w:val="00187C82"/>
    <w:rsid w:val="00187D83"/>
    <w:rsid w:val="00187F63"/>
    <w:rsid w:val="00190191"/>
    <w:rsid w:val="00190209"/>
    <w:rsid w:val="00190244"/>
    <w:rsid w:val="00190671"/>
    <w:rsid w:val="00190F44"/>
    <w:rsid w:val="001911C2"/>
    <w:rsid w:val="00191399"/>
    <w:rsid w:val="00191416"/>
    <w:rsid w:val="00191951"/>
    <w:rsid w:val="00191B24"/>
    <w:rsid w:val="00191BB3"/>
    <w:rsid w:val="00192342"/>
    <w:rsid w:val="00192362"/>
    <w:rsid w:val="001923E9"/>
    <w:rsid w:val="00192621"/>
    <w:rsid w:val="0019271C"/>
    <w:rsid w:val="00192912"/>
    <w:rsid w:val="00192D10"/>
    <w:rsid w:val="001932D4"/>
    <w:rsid w:val="00194A56"/>
    <w:rsid w:val="00194C1E"/>
    <w:rsid w:val="00194C9C"/>
    <w:rsid w:val="00196339"/>
    <w:rsid w:val="00196573"/>
    <w:rsid w:val="0019690D"/>
    <w:rsid w:val="001A01A0"/>
    <w:rsid w:val="001A0480"/>
    <w:rsid w:val="001A0AF3"/>
    <w:rsid w:val="001A1AA4"/>
    <w:rsid w:val="001A2833"/>
    <w:rsid w:val="001A2A21"/>
    <w:rsid w:val="001A2D27"/>
    <w:rsid w:val="001A30F0"/>
    <w:rsid w:val="001A3EBD"/>
    <w:rsid w:val="001A4F77"/>
    <w:rsid w:val="001A5382"/>
    <w:rsid w:val="001A6834"/>
    <w:rsid w:val="001A6D0E"/>
    <w:rsid w:val="001A704A"/>
    <w:rsid w:val="001A7619"/>
    <w:rsid w:val="001B046A"/>
    <w:rsid w:val="001B04C6"/>
    <w:rsid w:val="001B050B"/>
    <w:rsid w:val="001B053C"/>
    <w:rsid w:val="001B064C"/>
    <w:rsid w:val="001B201E"/>
    <w:rsid w:val="001B212A"/>
    <w:rsid w:val="001B2A3F"/>
    <w:rsid w:val="001B2D36"/>
    <w:rsid w:val="001B2F79"/>
    <w:rsid w:val="001B37E1"/>
    <w:rsid w:val="001B38FD"/>
    <w:rsid w:val="001B3E44"/>
    <w:rsid w:val="001B437A"/>
    <w:rsid w:val="001B47CC"/>
    <w:rsid w:val="001B48B9"/>
    <w:rsid w:val="001B49E0"/>
    <w:rsid w:val="001B4B65"/>
    <w:rsid w:val="001B529C"/>
    <w:rsid w:val="001B54D6"/>
    <w:rsid w:val="001B6B07"/>
    <w:rsid w:val="001B7123"/>
    <w:rsid w:val="001B73C5"/>
    <w:rsid w:val="001B75B2"/>
    <w:rsid w:val="001B77F9"/>
    <w:rsid w:val="001B78DF"/>
    <w:rsid w:val="001B7BF0"/>
    <w:rsid w:val="001B7EE0"/>
    <w:rsid w:val="001C1913"/>
    <w:rsid w:val="001C1AAD"/>
    <w:rsid w:val="001C20A8"/>
    <w:rsid w:val="001C20D7"/>
    <w:rsid w:val="001C24A8"/>
    <w:rsid w:val="001C3205"/>
    <w:rsid w:val="001C3D6D"/>
    <w:rsid w:val="001C3E9A"/>
    <w:rsid w:val="001C4819"/>
    <w:rsid w:val="001C4A26"/>
    <w:rsid w:val="001C4C19"/>
    <w:rsid w:val="001C4E1B"/>
    <w:rsid w:val="001C4E22"/>
    <w:rsid w:val="001C5832"/>
    <w:rsid w:val="001C5B25"/>
    <w:rsid w:val="001C5EB8"/>
    <w:rsid w:val="001C5F25"/>
    <w:rsid w:val="001C642C"/>
    <w:rsid w:val="001C6E73"/>
    <w:rsid w:val="001C72FD"/>
    <w:rsid w:val="001C7704"/>
    <w:rsid w:val="001C7A9C"/>
    <w:rsid w:val="001D0450"/>
    <w:rsid w:val="001D095C"/>
    <w:rsid w:val="001D0D3B"/>
    <w:rsid w:val="001D1159"/>
    <w:rsid w:val="001D1215"/>
    <w:rsid w:val="001D1F65"/>
    <w:rsid w:val="001D2960"/>
    <w:rsid w:val="001D298E"/>
    <w:rsid w:val="001D3D3E"/>
    <w:rsid w:val="001D4478"/>
    <w:rsid w:val="001D4A1A"/>
    <w:rsid w:val="001D4A3F"/>
    <w:rsid w:val="001D4AA0"/>
    <w:rsid w:val="001D4C39"/>
    <w:rsid w:val="001D5588"/>
    <w:rsid w:val="001D5F0D"/>
    <w:rsid w:val="001D6C27"/>
    <w:rsid w:val="001D6E37"/>
    <w:rsid w:val="001D6F48"/>
    <w:rsid w:val="001D73BE"/>
    <w:rsid w:val="001E0CC5"/>
    <w:rsid w:val="001E0FDB"/>
    <w:rsid w:val="001E211D"/>
    <w:rsid w:val="001E2283"/>
    <w:rsid w:val="001E2951"/>
    <w:rsid w:val="001E2EFD"/>
    <w:rsid w:val="001E33CE"/>
    <w:rsid w:val="001E3EFB"/>
    <w:rsid w:val="001E4788"/>
    <w:rsid w:val="001E5392"/>
    <w:rsid w:val="001E60AB"/>
    <w:rsid w:val="001E6573"/>
    <w:rsid w:val="001F0319"/>
    <w:rsid w:val="001F065A"/>
    <w:rsid w:val="001F0910"/>
    <w:rsid w:val="001F0B61"/>
    <w:rsid w:val="001F1048"/>
    <w:rsid w:val="001F2197"/>
    <w:rsid w:val="001F2384"/>
    <w:rsid w:val="001F2482"/>
    <w:rsid w:val="001F24D6"/>
    <w:rsid w:val="001F2719"/>
    <w:rsid w:val="001F304B"/>
    <w:rsid w:val="001F3374"/>
    <w:rsid w:val="001F3C10"/>
    <w:rsid w:val="001F446A"/>
    <w:rsid w:val="001F5F24"/>
    <w:rsid w:val="001F6145"/>
    <w:rsid w:val="001F6D5C"/>
    <w:rsid w:val="001F7310"/>
    <w:rsid w:val="001F74F5"/>
    <w:rsid w:val="00202A06"/>
    <w:rsid w:val="00202B33"/>
    <w:rsid w:val="00202B93"/>
    <w:rsid w:val="002030D8"/>
    <w:rsid w:val="00203317"/>
    <w:rsid w:val="002040F3"/>
    <w:rsid w:val="0020419E"/>
    <w:rsid w:val="002049AC"/>
    <w:rsid w:val="002049DB"/>
    <w:rsid w:val="00204ACB"/>
    <w:rsid w:val="002056F2"/>
    <w:rsid w:val="00205736"/>
    <w:rsid w:val="00205A89"/>
    <w:rsid w:val="00205D95"/>
    <w:rsid w:val="0020681C"/>
    <w:rsid w:val="00206D36"/>
    <w:rsid w:val="002073FC"/>
    <w:rsid w:val="00207A9E"/>
    <w:rsid w:val="00210425"/>
    <w:rsid w:val="002109E0"/>
    <w:rsid w:val="0021105E"/>
    <w:rsid w:val="002114A0"/>
    <w:rsid w:val="002115EE"/>
    <w:rsid w:val="00212954"/>
    <w:rsid w:val="002130A2"/>
    <w:rsid w:val="00214007"/>
    <w:rsid w:val="002140CD"/>
    <w:rsid w:val="00214B5E"/>
    <w:rsid w:val="00214CF5"/>
    <w:rsid w:val="00214D2A"/>
    <w:rsid w:val="00215479"/>
    <w:rsid w:val="002156DD"/>
    <w:rsid w:val="00215D1A"/>
    <w:rsid w:val="00216CB9"/>
    <w:rsid w:val="00217003"/>
    <w:rsid w:val="002170CE"/>
    <w:rsid w:val="002173E8"/>
    <w:rsid w:val="00217676"/>
    <w:rsid w:val="0021769C"/>
    <w:rsid w:val="002177D9"/>
    <w:rsid w:val="002179DE"/>
    <w:rsid w:val="00220A98"/>
    <w:rsid w:val="00221770"/>
    <w:rsid w:val="00221A8F"/>
    <w:rsid w:val="002220A9"/>
    <w:rsid w:val="0022287B"/>
    <w:rsid w:val="002228B1"/>
    <w:rsid w:val="002238B0"/>
    <w:rsid w:val="0022435D"/>
    <w:rsid w:val="00224680"/>
    <w:rsid w:val="00224B79"/>
    <w:rsid w:val="00224ECA"/>
    <w:rsid w:val="00225C3B"/>
    <w:rsid w:val="00225C83"/>
    <w:rsid w:val="002260B2"/>
    <w:rsid w:val="0022650C"/>
    <w:rsid w:val="00226A68"/>
    <w:rsid w:val="0022718A"/>
    <w:rsid w:val="002273DA"/>
    <w:rsid w:val="00227D6F"/>
    <w:rsid w:val="00230ABD"/>
    <w:rsid w:val="002310D4"/>
    <w:rsid w:val="002317F7"/>
    <w:rsid w:val="00231DE7"/>
    <w:rsid w:val="00231FE8"/>
    <w:rsid w:val="002329D9"/>
    <w:rsid w:val="00233949"/>
    <w:rsid w:val="0023496B"/>
    <w:rsid w:val="002356B5"/>
    <w:rsid w:val="002362F2"/>
    <w:rsid w:val="0023683C"/>
    <w:rsid w:val="0023696B"/>
    <w:rsid w:val="00236B1E"/>
    <w:rsid w:val="00237176"/>
    <w:rsid w:val="002379C6"/>
    <w:rsid w:val="00237C8A"/>
    <w:rsid w:val="00237E08"/>
    <w:rsid w:val="00237EAA"/>
    <w:rsid w:val="0024048F"/>
    <w:rsid w:val="00240EC3"/>
    <w:rsid w:val="0024111F"/>
    <w:rsid w:val="0024170D"/>
    <w:rsid w:val="0024273A"/>
    <w:rsid w:val="00242AFD"/>
    <w:rsid w:val="00242E23"/>
    <w:rsid w:val="00243452"/>
    <w:rsid w:val="0024396A"/>
    <w:rsid w:val="00243B63"/>
    <w:rsid w:val="0024435D"/>
    <w:rsid w:val="0024460D"/>
    <w:rsid w:val="002447D6"/>
    <w:rsid w:val="00244B50"/>
    <w:rsid w:val="00244C2B"/>
    <w:rsid w:val="00245D76"/>
    <w:rsid w:val="0024648F"/>
    <w:rsid w:val="002470DE"/>
    <w:rsid w:val="00247B0B"/>
    <w:rsid w:val="00247D29"/>
    <w:rsid w:val="002503C8"/>
    <w:rsid w:val="00250414"/>
    <w:rsid w:val="002512EE"/>
    <w:rsid w:val="002520C9"/>
    <w:rsid w:val="002530B5"/>
    <w:rsid w:val="002539EF"/>
    <w:rsid w:val="00253A04"/>
    <w:rsid w:val="002546D1"/>
    <w:rsid w:val="002547E6"/>
    <w:rsid w:val="00254BC8"/>
    <w:rsid w:val="002551FB"/>
    <w:rsid w:val="00256B84"/>
    <w:rsid w:val="00256C50"/>
    <w:rsid w:val="00256DE3"/>
    <w:rsid w:val="00257DFA"/>
    <w:rsid w:val="0026126D"/>
    <w:rsid w:val="002616F1"/>
    <w:rsid w:val="00261ACE"/>
    <w:rsid w:val="002621CC"/>
    <w:rsid w:val="002626F6"/>
    <w:rsid w:val="002630CF"/>
    <w:rsid w:val="00264351"/>
    <w:rsid w:val="00265260"/>
    <w:rsid w:val="00265924"/>
    <w:rsid w:val="00265C39"/>
    <w:rsid w:val="00265C9E"/>
    <w:rsid w:val="00265DB2"/>
    <w:rsid w:val="00266FA2"/>
    <w:rsid w:val="00267AD1"/>
    <w:rsid w:val="00267AF0"/>
    <w:rsid w:val="00267FE9"/>
    <w:rsid w:val="002705EF"/>
    <w:rsid w:val="002717CF"/>
    <w:rsid w:val="002717F5"/>
    <w:rsid w:val="002721A6"/>
    <w:rsid w:val="00272753"/>
    <w:rsid w:val="00272A08"/>
    <w:rsid w:val="00272A4F"/>
    <w:rsid w:val="00272AAE"/>
    <w:rsid w:val="0027328F"/>
    <w:rsid w:val="002737A0"/>
    <w:rsid w:val="002737FC"/>
    <w:rsid w:val="002739A6"/>
    <w:rsid w:val="00273A14"/>
    <w:rsid w:val="00273BA2"/>
    <w:rsid w:val="00274617"/>
    <w:rsid w:val="00274D41"/>
    <w:rsid w:val="002753FB"/>
    <w:rsid w:val="002757D6"/>
    <w:rsid w:val="002759C7"/>
    <w:rsid w:val="00275ACC"/>
    <w:rsid w:val="002762D1"/>
    <w:rsid w:val="00276FB2"/>
    <w:rsid w:val="00277323"/>
    <w:rsid w:val="00277F0C"/>
    <w:rsid w:val="002805F8"/>
    <w:rsid w:val="00280B1C"/>
    <w:rsid w:val="00280FA4"/>
    <w:rsid w:val="00281B3E"/>
    <w:rsid w:val="00281FEC"/>
    <w:rsid w:val="00282562"/>
    <w:rsid w:val="002834E1"/>
    <w:rsid w:val="0028362D"/>
    <w:rsid w:val="00283E06"/>
    <w:rsid w:val="00283FD6"/>
    <w:rsid w:val="00284769"/>
    <w:rsid w:val="0028494E"/>
    <w:rsid w:val="00284A1A"/>
    <w:rsid w:val="00284C16"/>
    <w:rsid w:val="00285288"/>
    <w:rsid w:val="00285E16"/>
    <w:rsid w:val="00286057"/>
    <w:rsid w:val="00286810"/>
    <w:rsid w:val="00287257"/>
    <w:rsid w:val="0028785B"/>
    <w:rsid w:val="00287F4A"/>
    <w:rsid w:val="00290EBA"/>
    <w:rsid w:val="00290F47"/>
    <w:rsid w:val="002916A1"/>
    <w:rsid w:val="002916FE"/>
    <w:rsid w:val="002917C8"/>
    <w:rsid w:val="00291EC8"/>
    <w:rsid w:val="00292180"/>
    <w:rsid w:val="0029246D"/>
    <w:rsid w:val="0029275F"/>
    <w:rsid w:val="00293BA3"/>
    <w:rsid w:val="00293D31"/>
    <w:rsid w:val="0029437F"/>
    <w:rsid w:val="002948D2"/>
    <w:rsid w:val="002949F7"/>
    <w:rsid w:val="00294B50"/>
    <w:rsid w:val="00294C90"/>
    <w:rsid w:val="00294D09"/>
    <w:rsid w:val="002957AC"/>
    <w:rsid w:val="00295C02"/>
    <w:rsid w:val="00296371"/>
    <w:rsid w:val="00296ACD"/>
    <w:rsid w:val="00296CC3"/>
    <w:rsid w:val="00296D09"/>
    <w:rsid w:val="00296F8B"/>
    <w:rsid w:val="00296FEF"/>
    <w:rsid w:val="00297437"/>
    <w:rsid w:val="002974A5"/>
    <w:rsid w:val="00297C86"/>
    <w:rsid w:val="00297FD2"/>
    <w:rsid w:val="002A00B5"/>
    <w:rsid w:val="002A020F"/>
    <w:rsid w:val="002A0D6D"/>
    <w:rsid w:val="002A118C"/>
    <w:rsid w:val="002A1735"/>
    <w:rsid w:val="002A17A7"/>
    <w:rsid w:val="002A1916"/>
    <w:rsid w:val="002A2778"/>
    <w:rsid w:val="002A384B"/>
    <w:rsid w:val="002A4622"/>
    <w:rsid w:val="002A47B6"/>
    <w:rsid w:val="002A49C6"/>
    <w:rsid w:val="002A4CCA"/>
    <w:rsid w:val="002A51C3"/>
    <w:rsid w:val="002A5B44"/>
    <w:rsid w:val="002A5BD1"/>
    <w:rsid w:val="002A5BD5"/>
    <w:rsid w:val="002A637B"/>
    <w:rsid w:val="002A6A9F"/>
    <w:rsid w:val="002A6F92"/>
    <w:rsid w:val="002A76D6"/>
    <w:rsid w:val="002A7A91"/>
    <w:rsid w:val="002B01F0"/>
    <w:rsid w:val="002B1220"/>
    <w:rsid w:val="002B13BE"/>
    <w:rsid w:val="002B13CB"/>
    <w:rsid w:val="002B1A4D"/>
    <w:rsid w:val="002B2223"/>
    <w:rsid w:val="002B22EF"/>
    <w:rsid w:val="002B25F1"/>
    <w:rsid w:val="002B2AE3"/>
    <w:rsid w:val="002B2D1A"/>
    <w:rsid w:val="002B3364"/>
    <w:rsid w:val="002B3CB9"/>
    <w:rsid w:val="002B4A63"/>
    <w:rsid w:val="002B4BA5"/>
    <w:rsid w:val="002B4C1B"/>
    <w:rsid w:val="002B52AE"/>
    <w:rsid w:val="002B598C"/>
    <w:rsid w:val="002B599F"/>
    <w:rsid w:val="002B6328"/>
    <w:rsid w:val="002B6574"/>
    <w:rsid w:val="002B6595"/>
    <w:rsid w:val="002B7386"/>
    <w:rsid w:val="002B742F"/>
    <w:rsid w:val="002C042A"/>
    <w:rsid w:val="002C1CF2"/>
    <w:rsid w:val="002C1EDD"/>
    <w:rsid w:val="002C26F1"/>
    <w:rsid w:val="002C2A66"/>
    <w:rsid w:val="002C2AE3"/>
    <w:rsid w:val="002C50DD"/>
    <w:rsid w:val="002C536B"/>
    <w:rsid w:val="002C5619"/>
    <w:rsid w:val="002C5C2E"/>
    <w:rsid w:val="002C5C68"/>
    <w:rsid w:val="002C6004"/>
    <w:rsid w:val="002C6271"/>
    <w:rsid w:val="002C6723"/>
    <w:rsid w:val="002C6797"/>
    <w:rsid w:val="002C7DC2"/>
    <w:rsid w:val="002D036A"/>
    <w:rsid w:val="002D0E08"/>
    <w:rsid w:val="002D1309"/>
    <w:rsid w:val="002D137A"/>
    <w:rsid w:val="002D145B"/>
    <w:rsid w:val="002D14BF"/>
    <w:rsid w:val="002D1E8C"/>
    <w:rsid w:val="002D1ED3"/>
    <w:rsid w:val="002D23D8"/>
    <w:rsid w:val="002D294F"/>
    <w:rsid w:val="002D2BC7"/>
    <w:rsid w:val="002D2EC9"/>
    <w:rsid w:val="002D373B"/>
    <w:rsid w:val="002D3A34"/>
    <w:rsid w:val="002D3D09"/>
    <w:rsid w:val="002D3D36"/>
    <w:rsid w:val="002D3FE8"/>
    <w:rsid w:val="002D5C84"/>
    <w:rsid w:val="002D63BB"/>
    <w:rsid w:val="002D6B26"/>
    <w:rsid w:val="002D753E"/>
    <w:rsid w:val="002D7941"/>
    <w:rsid w:val="002D7DC4"/>
    <w:rsid w:val="002E1315"/>
    <w:rsid w:val="002E1BC0"/>
    <w:rsid w:val="002E236A"/>
    <w:rsid w:val="002E2745"/>
    <w:rsid w:val="002E295A"/>
    <w:rsid w:val="002E3C0E"/>
    <w:rsid w:val="002E3D01"/>
    <w:rsid w:val="002E3E66"/>
    <w:rsid w:val="002E412B"/>
    <w:rsid w:val="002E43AD"/>
    <w:rsid w:val="002E55A5"/>
    <w:rsid w:val="002E5816"/>
    <w:rsid w:val="002E58E6"/>
    <w:rsid w:val="002E5C86"/>
    <w:rsid w:val="002E623D"/>
    <w:rsid w:val="002E63B1"/>
    <w:rsid w:val="002E670B"/>
    <w:rsid w:val="002E6AAC"/>
    <w:rsid w:val="002E7B17"/>
    <w:rsid w:val="002F0094"/>
    <w:rsid w:val="002F0CDA"/>
    <w:rsid w:val="002F0E16"/>
    <w:rsid w:val="002F0E21"/>
    <w:rsid w:val="002F1461"/>
    <w:rsid w:val="002F1534"/>
    <w:rsid w:val="002F19CD"/>
    <w:rsid w:val="002F2859"/>
    <w:rsid w:val="002F2DA5"/>
    <w:rsid w:val="002F3053"/>
    <w:rsid w:val="002F3162"/>
    <w:rsid w:val="002F3445"/>
    <w:rsid w:val="002F3488"/>
    <w:rsid w:val="002F37C9"/>
    <w:rsid w:val="002F3993"/>
    <w:rsid w:val="002F3FA3"/>
    <w:rsid w:val="002F418A"/>
    <w:rsid w:val="002F4BC8"/>
    <w:rsid w:val="002F507B"/>
    <w:rsid w:val="002F51D4"/>
    <w:rsid w:val="002F54C9"/>
    <w:rsid w:val="002F569D"/>
    <w:rsid w:val="002F5D82"/>
    <w:rsid w:val="002F5EB7"/>
    <w:rsid w:val="002F7036"/>
    <w:rsid w:val="00301125"/>
    <w:rsid w:val="003014A5"/>
    <w:rsid w:val="0030244E"/>
    <w:rsid w:val="003024EA"/>
    <w:rsid w:val="00303FF9"/>
    <w:rsid w:val="003041ED"/>
    <w:rsid w:val="00304BBF"/>
    <w:rsid w:val="00304DDF"/>
    <w:rsid w:val="0030642E"/>
    <w:rsid w:val="00306FFD"/>
    <w:rsid w:val="003071E3"/>
    <w:rsid w:val="00310412"/>
    <w:rsid w:val="00310859"/>
    <w:rsid w:val="00310C2B"/>
    <w:rsid w:val="00311605"/>
    <w:rsid w:val="00312285"/>
    <w:rsid w:val="003124E9"/>
    <w:rsid w:val="00312F2E"/>
    <w:rsid w:val="00313077"/>
    <w:rsid w:val="003142C8"/>
    <w:rsid w:val="00314DC2"/>
    <w:rsid w:val="003154C1"/>
    <w:rsid w:val="0031600C"/>
    <w:rsid w:val="00316292"/>
    <w:rsid w:val="003162CC"/>
    <w:rsid w:val="00316A98"/>
    <w:rsid w:val="00317D5C"/>
    <w:rsid w:val="00317EE7"/>
    <w:rsid w:val="0032015D"/>
    <w:rsid w:val="00320182"/>
    <w:rsid w:val="0032018F"/>
    <w:rsid w:val="00320FE4"/>
    <w:rsid w:val="00321129"/>
    <w:rsid w:val="0032113A"/>
    <w:rsid w:val="00321519"/>
    <w:rsid w:val="0032251E"/>
    <w:rsid w:val="00322689"/>
    <w:rsid w:val="00322EB9"/>
    <w:rsid w:val="00323102"/>
    <w:rsid w:val="00323104"/>
    <w:rsid w:val="003233CF"/>
    <w:rsid w:val="003243BD"/>
    <w:rsid w:val="003249D5"/>
    <w:rsid w:val="00324E04"/>
    <w:rsid w:val="00325EBC"/>
    <w:rsid w:val="003262A8"/>
    <w:rsid w:val="00326404"/>
    <w:rsid w:val="00327A5A"/>
    <w:rsid w:val="00327D09"/>
    <w:rsid w:val="00327D4A"/>
    <w:rsid w:val="00327D9F"/>
    <w:rsid w:val="003305D7"/>
    <w:rsid w:val="00330742"/>
    <w:rsid w:val="003309A2"/>
    <w:rsid w:val="00330D1A"/>
    <w:rsid w:val="003310B0"/>
    <w:rsid w:val="00331395"/>
    <w:rsid w:val="00331A4D"/>
    <w:rsid w:val="00332634"/>
    <w:rsid w:val="00332E97"/>
    <w:rsid w:val="00335270"/>
    <w:rsid w:val="003354CA"/>
    <w:rsid w:val="003359A0"/>
    <w:rsid w:val="00336621"/>
    <w:rsid w:val="00336AA6"/>
    <w:rsid w:val="00337220"/>
    <w:rsid w:val="0033741A"/>
    <w:rsid w:val="00337DAF"/>
    <w:rsid w:val="00340566"/>
    <w:rsid w:val="00340EE1"/>
    <w:rsid w:val="00340F52"/>
    <w:rsid w:val="00341795"/>
    <w:rsid w:val="00342691"/>
    <w:rsid w:val="00342DB9"/>
    <w:rsid w:val="00343617"/>
    <w:rsid w:val="003439D6"/>
    <w:rsid w:val="003441E7"/>
    <w:rsid w:val="0034465D"/>
    <w:rsid w:val="003448B3"/>
    <w:rsid w:val="003449F0"/>
    <w:rsid w:val="00344A04"/>
    <w:rsid w:val="00344E97"/>
    <w:rsid w:val="00345169"/>
    <w:rsid w:val="003451FF"/>
    <w:rsid w:val="0034567B"/>
    <w:rsid w:val="00346334"/>
    <w:rsid w:val="00346D91"/>
    <w:rsid w:val="00346F9F"/>
    <w:rsid w:val="003472A5"/>
    <w:rsid w:val="003473D5"/>
    <w:rsid w:val="00347642"/>
    <w:rsid w:val="00347A57"/>
    <w:rsid w:val="00350A0E"/>
    <w:rsid w:val="0035176E"/>
    <w:rsid w:val="00351ED4"/>
    <w:rsid w:val="003521CB"/>
    <w:rsid w:val="00352349"/>
    <w:rsid w:val="00352F6D"/>
    <w:rsid w:val="00353776"/>
    <w:rsid w:val="00353FCC"/>
    <w:rsid w:val="00355482"/>
    <w:rsid w:val="00355B7D"/>
    <w:rsid w:val="00356010"/>
    <w:rsid w:val="003569F0"/>
    <w:rsid w:val="00356B66"/>
    <w:rsid w:val="00356DEF"/>
    <w:rsid w:val="003572C8"/>
    <w:rsid w:val="00357435"/>
    <w:rsid w:val="0035779A"/>
    <w:rsid w:val="00360D76"/>
    <w:rsid w:val="003615FE"/>
    <w:rsid w:val="0036245D"/>
    <w:rsid w:val="00362A1A"/>
    <w:rsid w:val="00362B20"/>
    <w:rsid w:val="00362BA6"/>
    <w:rsid w:val="00362CB1"/>
    <w:rsid w:val="00362EEC"/>
    <w:rsid w:val="003636B8"/>
    <w:rsid w:val="0036372C"/>
    <w:rsid w:val="0036424D"/>
    <w:rsid w:val="00364410"/>
    <w:rsid w:val="00364FCE"/>
    <w:rsid w:val="00365356"/>
    <w:rsid w:val="00365389"/>
    <w:rsid w:val="0036546C"/>
    <w:rsid w:val="00366D46"/>
    <w:rsid w:val="00366D85"/>
    <w:rsid w:val="00370881"/>
    <w:rsid w:val="003712E1"/>
    <w:rsid w:val="00371FA0"/>
    <w:rsid w:val="00371FBD"/>
    <w:rsid w:val="00372A81"/>
    <w:rsid w:val="00373928"/>
    <w:rsid w:val="00373C2E"/>
    <w:rsid w:val="00373E18"/>
    <w:rsid w:val="0037444D"/>
    <w:rsid w:val="003745C7"/>
    <w:rsid w:val="00374BA7"/>
    <w:rsid w:val="00374DF0"/>
    <w:rsid w:val="00375AF1"/>
    <w:rsid w:val="00376F5C"/>
    <w:rsid w:val="003801A7"/>
    <w:rsid w:val="003803DE"/>
    <w:rsid w:val="00380F50"/>
    <w:rsid w:val="003811F0"/>
    <w:rsid w:val="0038123A"/>
    <w:rsid w:val="00381315"/>
    <w:rsid w:val="00381619"/>
    <w:rsid w:val="00381E16"/>
    <w:rsid w:val="00381EEB"/>
    <w:rsid w:val="003828C3"/>
    <w:rsid w:val="00382B4F"/>
    <w:rsid w:val="00382EA6"/>
    <w:rsid w:val="0038347C"/>
    <w:rsid w:val="003838A4"/>
    <w:rsid w:val="00383DD7"/>
    <w:rsid w:val="0038461B"/>
    <w:rsid w:val="00384992"/>
    <w:rsid w:val="00384D9E"/>
    <w:rsid w:val="00385562"/>
    <w:rsid w:val="003855B0"/>
    <w:rsid w:val="003858A0"/>
    <w:rsid w:val="00385A49"/>
    <w:rsid w:val="0038601E"/>
    <w:rsid w:val="00386285"/>
    <w:rsid w:val="003909BD"/>
    <w:rsid w:val="00390C41"/>
    <w:rsid w:val="003910EB"/>
    <w:rsid w:val="00391479"/>
    <w:rsid w:val="003915C4"/>
    <w:rsid w:val="003919E4"/>
    <w:rsid w:val="00392652"/>
    <w:rsid w:val="003937D9"/>
    <w:rsid w:val="0039439F"/>
    <w:rsid w:val="00394A07"/>
    <w:rsid w:val="00394DB5"/>
    <w:rsid w:val="00394E2A"/>
    <w:rsid w:val="0039550F"/>
    <w:rsid w:val="0039749A"/>
    <w:rsid w:val="00397541"/>
    <w:rsid w:val="003979FD"/>
    <w:rsid w:val="003A011D"/>
    <w:rsid w:val="003A03F7"/>
    <w:rsid w:val="003A0A26"/>
    <w:rsid w:val="003A226C"/>
    <w:rsid w:val="003A278A"/>
    <w:rsid w:val="003A312E"/>
    <w:rsid w:val="003A3270"/>
    <w:rsid w:val="003A342B"/>
    <w:rsid w:val="003A3803"/>
    <w:rsid w:val="003A39E1"/>
    <w:rsid w:val="003A417A"/>
    <w:rsid w:val="003A42DF"/>
    <w:rsid w:val="003A4711"/>
    <w:rsid w:val="003A483A"/>
    <w:rsid w:val="003A4EAF"/>
    <w:rsid w:val="003A6B16"/>
    <w:rsid w:val="003A6C3D"/>
    <w:rsid w:val="003A6CA9"/>
    <w:rsid w:val="003A7BA8"/>
    <w:rsid w:val="003B0449"/>
    <w:rsid w:val="003B0CC6"/>
    <w:rsid w:val="003B0E2F"/>
    <w:rsid w:val="003B1047"/>
    <w:rsid w:val="003B15F4"/>
    <w:rsid w:val="003B16E7"/>
    <w:rsid w:val="003B1897"/>
    <w:rsid w:val="003B1FE1"/>
    <w:rsid w:val="003B2572"/>
    <w:rsid w:val="003B2EA0"/>
    <w:rsid w:val="003B42D8"/>
    <w:rsid w:val="003B4420"/>
    <w:rsid w:val="003B4533"/>
    <w:rsid w:val="003B49C1"/>
    <w:rsid w:val="003B4D9C"/>
    <w:rsid w:val="003B50A9"/>
    <w:rsid w:val="003B5A75"/>
    <w:rsid w:val="003B5DC3"/>
    <w:rsid w:val="003B65F0"/>
    <w:rsid w:val="003B6CC2"/>
    <w:rsid w:val="003B6E8E"/>
    <w:rsid w:val="003B6EDD"/>
    <w:rsid w:val="003B7077"/>
    <w:rsid w:val="003B7132"/>
    <w:rsid w:val="003C001D"/>
    <w:rsid w:val="003C0395"/>
    <w:rsid w:val="003C072D"/>
    <w:rsid w:val="003C122A"/>
    <w:rsid w:val="003C1631"/>
    <w:rsid w:val="003C177C"/>
    <w:rsid w:val="003C18BB"/>
    <w:rsid w:val="003C1CC1"/>
    <w:rsid w:val="003C1FF5"/>
    <w:rsid w:val="003C20F5"/>
    <w:rsid w:val="003C2CEC"/>
    <w:rsid w:val="003C35DC"/>
    <w:rsid w:val="003C3FA1"/>
    <w:rsid w:val="003C43C0"/>
    <w:rsid w:val="003C504E"/>
    <w:rsid w:val="003C51E6"/>
    <w:rsid w:val="003C52CF"/>
    <w:rsid w:val="003C5472"/>
    <w:rsid w:val="003C5AA6"/>
    <w:rsid w:val="003C6388"/>
    <w:rsid w:val="003C6609"/>
    <w:rsid w:val="003C79CF"/>
    <w:rsid w:val="003D00E3"/>
    <w:rsid w:val="003D0629"/>
    <w:rsid w:val="003D0699"/>
    <w:rsid w:val="003D0895"/>
    <w:rsid w:val="003D186F"/>
    <w:rsid w:val="003D19CE"/>
    <w:rsid w:val="003D1C60"/>
    <w:rsid w:val="003D1FA7"/>
    <w:rsid w:val="003D21BA"/>
    <w:rsid w:val="003D2E62"/>
    <w:rsid w:val="003D3557"/>
    <w:rsid w:val="003D4466"/>
    <w:rsid w:val="003D4CDD"/>
    <w:rsid w:val="003D5B45"/>
    <w:rsid w:val="003D673F"/>
    <w:rsid w:val="003D6873"/>
    <w:rsid w:val="003D74A9"/>
    <w:rsid w:val="003D7C79"/>
    <w:rsid w:val="003E0107"/>
    <w:rsid w:val="003E0C45"/>
    <w:rsid w:val="003E24D3"/>
    <w:rsid w:val="003E2B33"/>
    <w:rsid w:val="003E2EE8"/>
    <w:rsid w:val="003E32DF"/>
    <w:rsid w:val="003E3F7C"/>
    <w:rsid w:val="003E4241"/>
    <w:rsid w:val="003E4699"/>
    <w:rsid w:val="003E5640"/>
    <w:rsid w:val="003E654C"/>
    <w:rsid w:val="003E780E"/>
    <w:rsid w:val="003E7929"/>
    <w:rsid w:val="003F0DA1"/>
    <w:rsid w:val="003F165B"/>
    <w:rsid w:val="003F262D"/>
    <w:rsid w:val="003F274D"/>
    <w:rsid w:val="003F2E04"/>
    <w:rsid w:val="003F2F47"/>
    <w:rsid w:val="003F2FE1"/>
    <w:rsid w:val="003F33FC"/>
    <w:rsid w:val="003F46E0"/>
    <w:rsid w:val="003F46FB"/>
    <w:rsid w:val="003F585E"/>
    <w:rsid w:val="003F596F"/>
    <w:rsid w:val="003F5A7F"/>
    <w:rsid w:val="003F5C28"/>
    <w:rsid w:val="003F62ED"/>
    <w:rsid w:val="003F6853"/>
    <w:rsid w:val="003F6A76"/>
    <w:rsid w:val="003F706F"/>
    <w:rsid w:val="003F76B1"/>
    <w:rsid w:val="003F785C"/>
    <w:rsid w:val="004005A1"/>
    <w:rsid w:val="00400937"/>
    <w:rsid w:val="00400985"/>
    <w:rsid w:val="0040146E"/>
    <w:rsid w:val="00402556"/>
    <w:rsid w:val="00402917"/>
    <w:rsid w:val="004031CE"/>
    <w:rsid w:val="00404220"/>
    <w:rsid w:val="004042F4"/>
    <w:rsid w:val="004044C5"/>
    <w:rsid w:val="0040452C"/>
    <w:rsid w:val="00404712"/>
    <w:rsid w:val="00404A4F"/>
    <w:rsid w:val="00404A61"/>
    <w:rsid w:val="00404D95"/>
    <w:rsid w:val="00404EB7"/>
    <w:rsid w:val="00405424"/>
    <w:rsid w:val="00406627"/>
    <w:rsid w:val="00406CFB"/>
    <w:rsid w:val="00407071"/>
    <w:rsid w:val="0040745A"/>
    <w:rsid w:val="00407E85"/>
    <w:rsid w:val="00410874"/>
    <w:rsid w:val="004111AA"/>
    <w:rsid w:val="00411285"/>
    <w:rsid w:val="0041212A"/>
    <w:rsid w:val="00412387"/>
    <w:rsid w:val="0041342E"/>
    <w:rsid w:val="004137FA"/>
    <w:rsid w:val="004138A4"/>
    <w:rsid w:val="00414726"/>
    <w:rsid w:val="004159E4"/>
    <w:rsid w:val="00415BD0"/>
    <w:rsid w:val="00415D5A"/>
    <w:rsid w:val="00415DC9"/>
    <w:rsid w:val="004161B3"/>
    <w:rsid w:val="00416B64"/>
    <w:rsid w:val="00417193"/>
    <w:rsid w:val="00420BDF"/>
    <w:rsid w:val="00420BF8"/>
    <w:rsid w:val="0042155C"/>
    <w:rsid w:val="004218D7"/>
    <w:rsid w:val="004220DD"/>
    <w:rsid w:val="004226FD"/>
    <w:rsid w:val="00422B99"/>
    <w:rsid w:val="00422DE6"/>
    <w:rsid w:val="00422E49"/>
    <w:rsid w:val="0042415F"/>
    <w:rsid w:val="00425060"/>
    <w:rsid w:val="004251FB"/>
    <w:rsid w:val="00425247"/>
    <w:rsid w:val="00425940"/>
    <w:rsid w:val="00425BE7"/>
    <w:rsid w:val="00426004"/>
    <w:rsid w:val="00426EED"/>
    <w:rsid w:val="00427256"/>
    <w:rsid w:val="0043020B"/>
    <w:rsid w:val="004302CE"/>
    <w:rsid w:val="004305EC"/>
    <w:rsid w:val="0043084A"/>
    <w:rsid w:val="004309A4"/>
    <w:rsid w:val="00431DFB"/>
    <w:rsid w:val="00432304"/>
    <w:rsid w:val="00433501"/>
    <w:rsid w:val="00433D28"/>
    <w:rsid w:val="004345BF"/>
    <w:rsid w:val="00434E73"/>
    <w:rsid w:val="0043504E"/>
    <w:rsid w:val="00436D51"/>
    <w:rsid w:val="00437917"/>
    <w:rsid w:val="00440965"/>
    <w:rsid w:val="00441023"/>
    <w:rsid w:val="004411F4"/>
    <w:rsid w:val="00441490"/>
    <w:rsid w:val="00441497"/>
    <w:rsid w:val="0044149A"/>
    <w:rsid w:val="00442AB8"/>
    <w:rsid w:val="00442F0E"/>
    <w:rsid w:val="0044343F"/>
    <w:rsid w:val="00443B54"/>
    <w:rsid w:val="0044418A"/>
    <w:rsid w:val="004445A3"/>
    <w:rsid w:val="00444646"/>
    <w:rsid w:val="00444D0A"/>
    <w:rsid w:val="00445729"/>
    <w:rsid w:val="00445A1F"/>
    <w:rsid w:val="00446F8E"/>
    <w:rsid w:val="00446FA6"/>
    <w:rsid w:val="004472FC"/>
    <w:rsid w:val="00447395"/>
    <w:rsid w:val="004476D2"/>
    <w:rsid w:val="00447893"/>
    <w:rsid w:val="00447C83"/>
    <w:rsid w:val="0045032A"/>
    <w:rsid w:val="00451569"/>
    <w:rsid w:val="004518AF"/>
    <w:rsid w:val="00452245"/>
    <w:rsid w:val="00452815"/>
    <w:rsid w:val="00452AFF"/>
    <w:rsid w:val="004530B2"/>
    <w:rsid w:val="004530C9"/>
    <w:rsid w:val="00453D6C"/>
    <w:rsid w:val="00454920"/>
    <w:rsid w:val="00454935"/>
    <w:rsid w:val="00454B45"/>
    <w:rsid w:val="00454D60"/>
    <w:rsid w:val="00454FD1"/>
    <w:rsid w:val="0045531B"/>
    <w:rsid w:val="00455890"/>
    <w:rsid w:val="004564F3"/>
    <w:rsid w:val="004568CC"/>
    <w:rsid w:val="00457C7B"/>
    <w:rsid w:val="00460334"/>
    <w:rsid w:val="004603EF"/>
    <w:rsid w:val="0046133F"/>
    <w:rsid w:val="0046156B"/>
    <w:rsid w:val="0046164A"/>
    <w:rsid w:val="00461753"/>
    <w:rsid w:val="00462310"/>
    <w:rsid w:val="0046240B"/>
    <w:rsid w:val="00462454"/>
    <w:rsid w:val="004625FD"/>
    <w:rsid w:val="004626AE"/>
    <w:rsid w:val="00462E32"/>
    <w:rsid w:val="00463068"/>
    <w:rsid w:val="0046328A"/>
    <w:rsid w:val="00463750"/>
    <w:rsid w:val="00463DAC"/>
    <w:rsid w:val="0046429B"/>
    <w:rsid w:val="004642AE"/>
    <w:rsid w:val="00464F8C"/>
    <w:rsid w:val="0046507E"/>
    <w:rsid w:val="004663E3"/>
    <w:rsid w:val="00466CCC"/>
    <w:rsid w:val="00466D67"/>
    <w:rsid w:val="004670A5"/>
    <w:rsid w:val="00467227"/>
    <w:rsid w:val="0046796C"/>
    <w:rsid w:val="00467CB1"/>
    <w:rsid w:val="00467DD4"/>
    <w:rsid w:val="0047062E"/>
    <w:rsid w:val="0047065D"/>
    <w:rsid w:val="00470841"/>
    <w:rsid w:val="0047127E"/>
    <w:rsid w:val="004716E1"/>
    <w:rsid w:val="00471754"/>
    <w:rsid w:val="0047177B"/>
    <w:rsid w:val="00471CB3"/>
    <w:rsid w:val="00472BE8"/>
    <w:rsid w:val="00473F4D"/>
    <w:rsid w:val="004746BA"/>
    <w:rsid w:val="00475BD0"/>
    <w:rsid w:val="00475F12"/>
    <w:rsid w:val="0047641D"/>
    <w:rsid w:val="0047668D"/>
    <w:rsid w:val="0047675C"/>
    <w:rsid w:val="0047692B"/>
    <w:rsid w:val="00476C46"/>
    <w:rsid w:val="00476F02"/>
    <w:rsid w:val="00476FC0"/>
    <w:rsid w:val="0047746D"/>
    <w:rsid w:val="00477759"/>
    <w:rsid w:val="00477950"/>
    <w:rsid w:val="004808D5"/>
    <w:rsid w:val="00481860"/>
    <w:rsid w:val="00481E33"/>
    <w:rsid w:val="00482903"/>
    <w:rsid w:val="004835E7"/>
    <w:rsid w:val="00483837"/>
    <w:rsid w:val="00484A5D"/>
    <w:rsid w:val="00484CE6"/>
    <w:rsid w:val="00484F5B"/>
    <w:rsid w:val="00485177"/>
    <w:rsid w:val="00485A2E"/>
    <w:rsid w:val="00486465"/>
    <w:rsid w:val="00486DEC"/>
    <w:rsid w:val="0048775D"/>
    <w:rsid w:val="00487980"/>
    <w:rsid w:val="00487E9F"/>
    <w:rsid w:val="00490104"/>
    <w:rsid w:val="00490F34"/>
    <w:rsid w:val="004911E9"/>
    <w:rsid w:val="00491C2B"/>
    <w:rsid w:val="00491CB1"/>
    <w:rsid w:val="0049237D"/>
    <w:rsid w:val="0049239D"/>
    <w:rsid w:val="00493BB7"/>
    <w:rsid w:val="00493E1C"/>
    <w:rsid w:val="004946FF"/>
    <w:rsid w:val="00494B62"/>
    <w:rsid w:val="00494E16"/>
    <w:rsid w:val="00494FDD"/>
    <w:rsid w:val="004956CD"/>
    <w:rsid w:val="004959C6"/>
    <w:rsid w:val="00495E26"/>
    <w:rsid w:val="00495E86"/>
    <w:rsid w:val="00496181"/>
    <w:rsid w:val="004964B4"/>
    <w:rsid w:val="00496726"/>
    <w:rsid w:val="00496D95"/>
    <w:rsid w:val="00497A9E"/>
    <w:rsid w:val="00497C9B"/>
    <w:rsid w:val="004A08EA"/>
    <w:rsid w:val="004A17BA"/>
    <w:rsid w:val="004A1A02"/>
    <w:rsid w:val="004A22B0"/>
    <w:rsid w:val="004A2ABC"/>
    <w:rsid w:val="004A30FE"/>
    <w:rsid w:val="004A3E60"/>
    <w:rsid w:val="004A446C"/>
    <w:rsid w:val="004A4612"/>
    <w:rsid w:val="004A4A8B"/>
    <w:rsid w:val="004A4F47"/>
    <w:rsid w:val="004A5596"/>
    <w:rsid w:val="004A5BDC"/>
    <w:rsid w:val="004A5F8C"/>
    <w:rsid w:val="004A6C9F"/>
    <w:rsid w:val="004A6E79"/>
    <w:rsid w:val="004A7006"/>
    <w:rsid w:val="004A71C0"/>
    <w:rsid w:val="004A76C6"/>
    <w:rsid w:val="004A7B88"/>
    <w:rsid w:val="004B0DAC"/>
    <w:rsid w:val="004B1FFF"/>
    <w:rsid w:val="004B252A"/>
    <w:rsid w:val="004B3976"/>
    <w:rsid w:val="004B3B5E"/>
    <w:rsid w:val="004B3EB7"/>
    <w:rsid w:val="004B4246"/>
    <w:rsid w:val="004B5379"/>
    <w:rsid w:val="004B598E"/>
    <w:rsid w:val="004B61F9"/>
    <w:rsid w:val="004B6232"/>
    <w:rsid w:val="004B6A89"/>
    <w:rsid w:val="004B71DC"/>
    <w:rsid w:val="004B7361"/>
    <w:rsid w:val="004B7D82"/>
    <w:rsid w:val="004C0016"/>
    <w:rsid w:val="004C0218"/>
    <w:rsid w:val="004C02BD"/>
    <w:rsid w:val="004C0596"/>
    <w:rsid w:val="004C108C"/>
    <w:rsid w:val="004C111A"/>
    <w:rsid w:val="004C11FD"/>
    <w:rsid w:val="004C14C3"/>
    <w:rsid w:val="004C152D"/>
    <w:rsid w:val="004C1754"/>
    <w:rsid w:val="004C1FD0"/>
    <w:rsid w:val="004C2568"/>
    <w:rsid w:val="004C34DA"/>
    <w:rsid w:val="004C3689"/>
    <w:rsid w:val="004C3BB2"/>
    <w:rsid w:val="004C3C4A"/>
    <w:rsid w:val="004C47C8"/>
    <w:rsid w:val="004C4F75"/>
    <w:rsid w:val="004C51B8"/>
    <w:rsid w:val="004C5DED"/>
    <w:rsid w:val="004C5DF3"/>
    <w:rsid w:val="004C6A4D"/>
    <w:rsid w:val="004D0475"/>
    <w:rsid w:val="004D0636"/>
    <w:rsid w:val="004D0AFB"/>
    <w:rsid w:val="004D18CF"/>
    <w:rsid w:val="004D246F"/>
    <w:rsid w:val="004D2650"/>
    <w:rsid w:val="004D2B5F"/>
    <w:rsid w:val="004D2DB0"/>
    <w:rsid w:val="004D39BD"/>
    <w:rsid w:val="004D3F2A"/>
    <w:rsid w:val="004D5200"/>
    <w:rsid w:val="004D56C4"/>
    <w:rsid w:val="004D5CB2"/>
    <w:rsid w:val="004D6FD0"/>
    <w:rsid w:val="004E0E32"/>
    <w:rsid w:val="004E14AC"/>
    <w:rsid w:val="004E23D0"/>
    <w:rsid w:val="004E2BF9"/>
    <w:rsid w:val="004E3591"/>
    <w:rsid w:val="004E35F8"/>
    <w:rsid w:val="004E3FD7"/>
    <w:rsid w:val="004E411B"/>
    <w:rsid w:val="004E46C4"/>
    <w:rsid w:val="004E47B0"/>
    <w:rsid w:val="004E48EE"/>
    <w:rsid w:val="004E583A"/>
    <w:rsid w:val="004E603D"/>
    <w:rsid w:val="004E62B5"/>
    <w:rsid w:val="004E6AC1"/>
    <w:rsid w:val="004E6B7A"/>
    <w:rsid w:val="004E740F"/>
    <w:rsid w:val="004E7ADD"/>
    <w:rsid w:val="004F08BA"/>
    <w:rsid w:val="004F1AAC"/>
    <w:rsid w:val="004F2408"/>
    <w:rsid w:val="004F27D7"/>
    <w:rsid w:val="004F2E6E"/>
    <w:rsid w:val="004F33CF"/>
    <w:rsid w:val="004F39A5"/>
    <w:rsid w:val="004F3ECE"/>
    <w:rsid w:val="004F3FE0"/>
    <w:rsid w:val="004F4554"/>
    <w:rsid w:val="004F4D92"/>
    <w:rsid w:val="004F55F8"/>
    <w:rsid w:val="004F5777"/>
    <w:rsid w:val="004F57C4"/>
    <w:rsid w:val="004F5B45"/>
    <w:rsid w:val="004F5E0A"/>
    <w:rsid w:val="004F61A8"/>
    <w:rsid w:val="004F72CD"/>
    <w:rsid w:val="004F7BAA"/>
    <w:rsid w:val="004F7E69"/>
    <w:rsid w:val="0050006E"/>
    <w:rsid w:val="0050094A"/>
    <w:rsid w:val="00500DAD"/>
    <w:rsid w:val="00500FF2"/>
    <w:rsid w:val="00501010"/>
    <w:rsid w:val="0050185C"/>
    <w:rsid w:val="0050223D"/>
    <w:rsid w:val="0050248C"/>
    <w:rsid w:val="005024F8"/>
    <w:rsid w:val="00503151"/>
    <w:rsid w:val="00504190"/>
    <w:rsid w:val="00504ED0"/>
    <w:rsid w:val="00504FCA"/>
    <w:rsid w:val="005059A3"/>
    <w:rsid w:val="00506C91"/>
    <w:rsid w:val="0051093C"/>
    <w:rsid w:val="00510BE1"/>
    <w:rsid w:val="00510E0E"/>
    <w:rsid w:val="00511515"/>
    <w:rsid w:val="00511568"/>
    <w:rsid w:val="00511866"/>
    <w:rsid w:val="005119BB"/>
    <w:rsid w:val="00511BDD"/>
    <w:rsid w:val="005121C6"/>
    <w:rsid w:val="00512413"/>
    <w:rsid w:val="005129D1"/>
    <w:rsid w:val="00513476"/>
    <w:rsid w:val="00513FA4"/>
    <w:rsid w:val="00514F23"/>
    <w:rsid w:val="00515358"/>
    <w:rsid w:val="0051540E"/>
    <w:rsid w:val="005164EE"/>
    <w:rsid w:val="005165FB"/>
    <w:rsid w:val="00517916"/>
    <w:rsid w:val="00517D31"/>
    <w:rsid w:val="00517D75"/>
    <w:rsid w:val="005205C4"/>
    <w:rsid w:val="005207B0"/>
    <w:rsid w:val="0052126C"/>
    <w:rsid w:val="0052172F"/>
    <w:rsid w:val="00521B1C"/>
    <w:rsid w:val="00521B8A"/>
    <w:rsid w:val="005224C6"/>
    <w:rsid w:val="00522D1E"/>
    <w:rsid w:val="005231F9"/>
    <w:rsid w:val="005232F5"/>
    <w:rsid w:val="005234C0"/>
    <w:rsid w:val="0052354D"/>
    <w:rsid w:val="00523A29"/>
    <w:rsid w:val="00523AC0"/>
    <w:rsid w:val="00523F4A"/>
    <w:rsid w:val="00524208"/>
    <w:rsid w:val="00524E09"/>
    <w:rsid w:val="0052536E"/>
    <w:rsid w:val="005260A0"/>
    <w:rsid w:val="005262AD"/>
    <w:rsid w:val="0052655C"/>
    <w:rsid w:val="00526624"/>
    <w:rsid w:val="00526F6E"/>
    <w:rsid w:val="0052727C"/>
    <w:rsid w:val="00527D28"/>
    <w:rsid w:val="005303CD"/>
    <w:rsid w:val="00530589"/>
    <w:rsid w:val="005316A1"/>
    <w:rsid w:val="005323E5"/>
    <w:rsid w:val="005324B4"/>
    <w:rsid w:val="00532780"/>
    <w:rsid w:val="00532C09"/>
    <w:rsid w:val="00532C1E"/>
    <w:rsid w:val="00533752"/>
    <w:rsid w:val="00533AD1"/>
    <w:rsid w:val="00534895"/>
    <w:rsid w:val="005350E1"/>
    <w:rsid w:val="0053613A"/>
    <w:rsid w:val="005364F3"/>
    <w:rsid w:val="00536547"/>
    <w:rsid w:val="00536C55"/>
    <w:rsid w:val="00536FB4"/>
    <w:rsid w:val="005376C2"/>
    <w:rsid w:val="00537B25"/>
    <w:rsid w:val="00540578"/>
    <w:rsid w:val="00540B02"/>
    <w:rsid w:val="00540BE6"/>
    <w:rsid w:val="005416FB"/>
    <w:rsid w:val="00541913"/>
    <w:rsid w:val="00541970"/>
    <w:rsid w:val="00541ACF"/>
    <w:rsid w:val="00542AB4"/>
    <w:rsid w:val="005431DC"/>
    <w:rsid w:val="0054377A"/>
    <w:rsid w:val="0054468C"/>
    <w:rsid w:val="00545117"/>
    <w:rsid w:val="005459B2"/>
    <w:rsid w:val="00546634"/>
    <w:rsid w:val="00546960"/>
    <w:rsid w:val="00547145"/>
    <w:rsid w:val="00547609"/>
    <w:rsid w:val="0055038A"/>
    <w:rsid w:val="00550569"/>
    <w:rsid w:val="0055077B"/>
    <w:rsid w:val="00551039"/>
    <w:rsid w:val="00551AF9"/>
    <w:rsid w:val="00551EE6"/>
    <w:rsid w:val="00551FC8"/>
    <w:rsid w:val="00552335"/>
    <w:rsid w:val="005526AF"/>
    <w:rsid w:val="005533E9"/>
    <w:rsid w:val="00553419"/>
    <w:rsid w:val="00553A66"/>
    <w:rsid w:val="00554A3A"/>
    <w:rsid w:val="00555907"/>
    <w:rsid w:val="00555D20"/>
    <w:rsid w:val="00555F62"/>
    <w:rsid w:val="0055665E"/>
    <w:rsid w:val="0055721A"/>
    <w:rsid w:val="005579EC"/>
    <w:rsid w:val="00557E14"/>
    <w:rsid w:val="00557F61"/>
    <w:rsid w:val="00560F09"/>
    <w:rsid w:val="0056118E"/>
    <w:rsid w:val="005611F4"/>
    <w:rsid w:val="0056129D"/>
    <w:rsid w:val="0056189C"/>
    <w:rsid w:val="0056195A"/>
    <w:rsid w:val="00561DD0"/>
    <w:rsid w:val="00562968"/>
    <w:rsid w:val="00562E07"/>
    <w:rsid w:val="0056362B"/>
    <w:rsid w:val="00563A3D"/>
    <w:rsid w:val="00563B0D"/>
    <w:rsid w:val="00563EDF"/>
    <w:rsid w:val="0056420C"/>
    <w:rsid w:val="0056423D"/>
    <w:rsid w:val="005642CA"/>
    <w:rsid w:val="005647CC"/>
    <w:rsid w:val="0056490F"/>
    <w:rsid w:val="00564930"/>
    <w:rsid w:val="00564FE9"/>
    <w:rsid w:val="0056618A"/>
    <w:rsid w:val="005662E7"/>
    <w:rsid w:val="005666CE"/>
    <w:rsid w:val="00566E43"/>
    <w:rsid w:val="00567157"/>
    <w:rsid w:val="00567409"/>
    <w:rsid w:val="00567F25"/>
    <w:rsid w:val="005718F2"/>
    <w:rsid w:val="0057193A"/>
    <w:rsid w:val="00571D48"/>
    <w:rsid w:val="0057200C"/>
    <w:rsid w:val="005725B3"/>
    <w:rsid w:val="00572895"/>
    <w:rsid w:val="00572B7C"/>
    <w:rsid w:val="00574337"/>
    <w:rsid w:val="00574C37"/>
    <w:rsid w:val="00575535"/>
    <w:rsid w:val="00576726"/>
    <w:rsid w:val="00576758"/>
    <w:rsid w:val="00576EC8"/>
    <w:rsid w:val="00576FBC"/>
    <w:rsid w:val="005772DF"/>
    <w:rsid w:val="005775F3"/>
    <w:rsid w:val="00577DB2"/>
    <w:rsid w:val="00577F20"/>
    <w:rsid w:val="00580766"/>
    <w:rsid w:val="00580917"/>
    <w:rsid w:val="00580D20"/>
    <w:rsid w:val="00580D58"/>
    <w:rsid w:val="00580FB7"/>
    <w:rsid w:val="005812F7"/>
    <w:rsid w:val="0058171F"/>
    <w:rsid w:val="00581894"/>
    <w:rsid w:val="00582F94"/>
    <w:rsid w:val="005837BE"/>
    <w:rsid w:val="005844AA"/>
    <w:rsid w:val="0058467D"/>
    <w:rsid w:val="00584C55"/>
    <w:rsid w:val="00585CE6"/>
    <w:rsid w:val="00585E6E"/>
    <w:rsid w:val="005866C4"/>
    <w:rsid w:val="00586A1A"/>
    <w:rsid w:val="00586B31"/>
    <w:rsid w:val="00586CC9"/>
    <w:rsid w:val="005871F1"/>
    <w:rsid w:val="005877D5"/>
    <w:rsid w:val="005878D3"/>
    <w:rsid w:val="00587BC2"/>
    <w:rsid w:val="00590AC5"/>
    <w:rsid w:val="00590B7C"/>
    <w:rsid w:val="00590F57"/>
    <w:rsid w:val="005910A1"/>
    <w:rsid w:val="00591898"/>
    <w:rsid w:val="00591A31"/>
    <w:rsid w:val="00591E53"/>
    <w:rsid w:val="0059229D"/>
    <w:rsid w:val="00592642"/>
    <w:rsid w:val="005929F8"/>
    <w:rsid w:val="00592E61"/>
    <w:rsid w:val="00593120"/>
    <w:rsid w:val="00593149"/>
    <w:rsid w:val="00593D2E"/>
    <w:rsid w:val="00594183"/>
    <w:rsid w:val="005947EB"/>
    <w:rsid w:val="005948F9"/>
    <w:rsid w:val="00594D01"/>
    <w:rsid w:val="00594E82"/>
    <w:rsid w:val="0059572B"/>
    <w:rsid w:val="00595972"/>
    <w:rsid w:val="00595F2D"/>
    <w:rsid w:val="0059610B"/>
    <w:rsid w:val="00596588"/>
    <w:rsid w:val="00596801"/>
    <w:rsid w:val="00596E2A"/>
    <w:rsid w:val="00596E60"/>
    <w:rsid w:val="005977E7"/>
    <w:rsid w:val="00597954"/>
    <w:rsid w:val="0059796C"/>
    <w:rsid w:val="005A00B0"/>
    <w:rsid w:val="005A106E"/>
    <w:rsid w:val="005A1134"/>
    <w:rsid w:val="005A2623"/>
    <w:rsid w:val="005A2BA4"/>
    <w:rsid w:val="005A3113"/>
    <w:rsid w:val="005A342B"/>
    <w:rsid w:val="005A375B"/>
    <w:rsid w:val="005A395D"/>
    <w:rsid w:val="005A5161"/>
    <w:rsid w:val="005A55C8"/>
    <w:rsid w:val="005A5DA9"/>
    <w:rsid w:val="005A62A6"/>
    <w:rsid w:val="005A66D9"/>
    <w:rsid w:val="005A6AE1"/>
    <w:rsid w:val="005A6D5C"/>
    <w:rsid w:val="005A739D"/>
    <w:rsid w:val="005A7769"/>
    <w:rsid w:val="005A7A0F"/>
    <w:rsid w:val="005A7C2F"/>
    <w:rsid w:val="005A7CAA"/>
    <w:rsid w:val="005B03E9"/>
    <w:rsid w:val="005B1FE2"/>
    <w:rsid w:val="005B21FE"/>
    <w:rsid w:val="005B272E"/>
    <w:rsid w:val="005B292D"/>
    <w:rsid w:val="005B32D0"/>
    <w:rsid w:val="005B39B4"/>
    <w:rsid w:val="005B408E"/>
    <w:rsid w:val="005B412A"/>
    <w:rsid w:val="005B4287"/>
    <w:rsid w:val="005B43EA"/>
    <w:rsid w:val="005B4E6E"/>
    <w:rsid w:val="005B5002"/>
    <w:rsid w:val="005B64C9"/>
    <w:rsid w:val="005B7025"/>
    <w:rsid w:val="005B734C"/>
    <w:rsid w:val="005B7A99"/>
    <w:rsid w:val="005C2B1C"/>
    <w:rsid w:val="005C376A"/>
    <w:rsid w:val="005C3D88"/>
    <w:rsid w:val="005C4184"/>
    <w:rsid w:val="005C4A02"/>
    <w:rsid w:val="005C4B33"/>
    <w:rsid w:val="005C5503"/>
    <w:rsid w:val="005C620F"/>
    <w:rsid w:val="005C6250"/>
    <w:rsid w:val="005C63A8"/>
    <w:rsid w:val="005C6F1C"/>
    <w:rsid w:val="005C7328"/>
    <w:rsid w:val="005C7B9D"/>
    <w:rsid w:val="005D045A"/>
    <w:rsid w:val="005D052E"/>
    <w:rsid w:val="005D072D"/>
    <w:rsid w:val="005D07C1"/>
    <w:rsid w:val="005D0E71"/>
    <w:rsid w:val="005D1E4F"/>
    <w:rsid w:val="005D2D25"/>
    <w:rsid w:val="005D35EF"/>
    <w:rsid w:val="005D39AB"/>
    <w:rsid w:val="005D3BC4"/>
    <w:rsid w:val="005D409D"/>
    <w:rsid w:val="005D47EF"/>
    <w:rsid w:val="005D48A6"/>
    <w:rsid w:val="005D4C37"/>
    <w:rsid w:val="005D5685"/>
    <w:rsid w:val="005D5AB9"/>
    <w:rsid w:val="005D5EBA"/>
    <w:rsid w:val="005D627C"/>
    <w:rsid w:val="005D663C"/>
    <w:rsid w:val="005D674D"/>
    <w:rsid w:val="005D6E74"/>
    <w:rsid w:val="005D7536"/>
    <w:rsid w:val="005E02DE"/>
    <w:rsid w:val="005E052D"/>
    <w:rsid w:val="005E07D4"/>
    <w:rsid w:val="005E11F5"/>
    <w:rsid w:val="005E1604"/>
    <w:rsid w:val="005E16D7"/>
    <w:rsid w:val="005E18A3"/>
    <w:rsid w:val="005E281D"/>
    <w:rsid w:val="005E2989"/>
    <w:rsid w:val="005E30E5"/>
    <w:rsid w:val="005E33CD"/>
    <w:rsid w:val="005E4258"/>
    <w:rsid w:val="005E49B0"/>
    <w:rsid w:val="005E4F71"/>
    <w:rsid w:val="005E5AA1"/>
    <w:rsid w:val="005E5EF5"/>
    <w:rsid w:val="005E62E1"/>
    <w:rsid w:val="005E6387"/>
    <w:rsid w:val="005E6649"/>
    <w:rsid w:val="005E72E5"/>
    <w:rsid w:val="005E7ED3"/>
    <w:rsid w:val="005E7FC7"/>
    <w:rsid w:val="005F021E"/>
    <w:rsid w:val="005F0BFB"/>
    <w:rsid w:val="005F0DEC"/>
    <w:rsid w:val="005F12A1"/>
    <w:rsid w:val="005F1955"/>
    <w:rsid w:val="005F1C53"/>
    <w:rsid w:val="005F1E30"/>
    <w:rsid w:val="005F28CF"/>
    <w:rsid w:val="005F2EE4"/>
    <w:rsid w:val="005F36CD"/>
    <w:rsid w:val="005F38BB"/>
    <w:rsid w:val="005F4394"/>
    <w:rsid w:val="005F46E6"/>
    <w:rsid w:val="005F52E2"/>
    <w:rsid w:val="005F58DC"/>
    <w:rsid w:val="005F5B0D"/>
    <w:rsid w:val="005F5B3A"/>
    <w:rsid w:val="005F5D1F"/>
    <w:rsid w:val="005F5F32"/>
    <w:rsid w:val="005F6E4A"/>
    <w:rsid w:val="005F6E8F"/>
    <w:rsid w:val="005F700C"/>
    <w:rsid w:val="005F7187"/>
    <w:rsid w:val="005F7761"/>
    <w:rsid w:val="005F794D"/>
    <w:rsid w:val="005F7F8A"/>
    <w:rsid w:val="006005AE"/>
    <w:rsid w:val="00600A06"/>
    <w:rsid w:val="00600DEA"/>
    <w:rsid w:val="006013C3"/>
    <w:rsid w:val="00602498"/>
    <w:rsid w:val="00602CB4"/>
    <w:rsid w:val="00603F21"/>
    <w:rsid w:val="00604CC1"/>
    <w:rsid w:val="00605D9D"/>
    <w:rsid w:val="00605E33"/>
    <w:rsid w:val="006063CC"/>
    <w:rsid w:val="00606AB5"/>
    <w:rsid w:val="00606EED"/>
    <w:rsid w:val="00607045"/>
    <w:rsid w:val="006079E2"/>
    <w:rsid w:val="006109D7"/>
    <w:rsid w:val="00610D0B"/>
    <w:rsid w:val="006112B8"/>
    <w:rsid w:val="00611C90"/>
    <w:rsid w:val="006121D3"/>
    <w:rsid w:val="00612A1A"/>
    <w:rsid w:val="00612DA5"/>
    <w:rsid w:val="006134DD"/>
    <w:rsid w:val="0061365C"/>
    <w:rsid w:val="006142CC"/>
    <w:rsid w:val="00614869"/>
    <w:rsid w:val="00615C9F"/>
    <w:rsid w:val="00616508"/>
    <w:rsid w:val="00616521"/>
    <w:rsid w:val="006170DA"/>
    <w:rsid w:val="00617987"/>
    <w:rsid w:val="006200C2"/>
    <w:rsid w:val="00620898"/>
    <w:rsid w:val="0062134B"/>
    <w:rsid w:val="006214C9"/>
    <w:rsid w:val="00622BB7"/>
    <w:rsid w:val="00623066"/>
    <w:rsid w:val="006230BF"/>
    <w:rsid w:val="006230F4"/>
    <w:rsid w:val="00623EE2"/>
    <w:rsid w:val="006250D4"/>
    <w:rsid w:val="0062517E"/>
    <w:rsid w:val="006252DA"/>
    <w:rsid w:val="00625630"/>
    <w:rsid w:val="00625BF5"/>
    <w:rsid w:val="006263FE"/>
    <w:rsid w:val="00626903"/>
    <w:rsid w:val="00626A9A"/>
    <w:rsid w:val="00626C84"/>
    <w:rsid w:val="00627171"/>
    <w:rsid w:val="006277BC"/>
    <w:rsid w:val="00627F26"/>
    <w:rsid w:val="006303F1"/>
    <w:rsid w:val="00630E4D"/>
    <w:rsid w:val="00631067"/>
    <w:rsid w:val="00631E33"/>
    <w:rsid w:val="00631EF3"/>
    <w:rsid w:val="006327D0"/>
    <w:rsid w:val="006335D4"/>
    <w:rsid w:val="00634F5F"/>
    <w:rsid w:val="00635491"/>
    <w:rsid w:val="00636689"/>
    <w:rsid w:val="00636962"/>
    <w:rsid w:val="00636DA3"/>
    <w:rsid w:val="00636F91"/>
    <w:rsid w:val="00637321"/>
    <w:rsid w:val="00637426"/>
    <w:rsid w:val="0064077D"/>
    <w:rsid w:val="00640A38"/>
    <w:rsid w:val="00640BDF"/>
    <w:rsid w:val="00641B77"/>
    <w:rsid w:val="006421B8"/>
    <w:rsid w:val="00642665"/>
    <w:rsid w:val="00642B0D"/>
    <w:rsid w:val="00642B67"/>
    <w:rsid w:val="00642D88"/>
    <w:rsid w:val="00642F30"/>
    <w:rsid w:val="00643741"/>
    <w:rsid w:val="006439E8"/>
    <w:rsid w:val="00644031"/>
    <w:rsid w:val="00644290"/>
    <w:rsid w:val="006449C9"/>
    <w:rsid w:val="00646952"/>
    <w:rsid w:val="00646BAE"/>
    <w:rsid w:val="00646D44"/>
    <w:rsid w:val="00646F21"/>
    <w:rsid w:val="00647467"/>
    <w:rsid w:val="00647524"/>
    <w:rsid w:val="00650DA4"/>
    <w:rsid w:val="0065119D"/>
    <w:rsid w:val="0065153C"/>
    <w:rsid w:val="006519BA"/>
    <w:rsid w:val="00651A25"/>
    <w:rsid w:val="006520ED"/>
    <w:rsid w:val="00652CC0"/>
    <w:rsid w:val="00653594"/>
    <w:rsid w:val="006535C2"/>
    <w:rsid w:val="006536A2"/>
    <w:rsid w:val="006539E9"/>
    <w:rsid w:val="00653C8E"/>
    <w:rsid w:val="00653D03"/>
    <w:rsid w:val="0065403C"/>
    <w:rsid w:val="006542A5"/>
    <w:rsid w:val="00654392"/>
    <w:rsid w:val="00654436"/>
    <w:rsid w:val="00654510"/>
    <w:rsid w:val="006546BF"/>
    <w:rsid w:val="006548DE"/>
    <w:rsid w:val="00654A5B"/>
    <w:rsid w:val="006550A2"/>
    <w:rsid w:val="006554F1"/>
    <w:rsid w:val="00655844"/>
    <w:rsid w:val="006569FA"/>
    <w:rsid w:val="00656C2C"/>
    <w:rsid w:val="0066090B"/>
    <w:rsid w:val="00660DF6"/>
    <w:rsid w:val="00661CD4"/>
    <w:rsid w:val="00662268"/>
    <w:rsid w:val="00662B4B"/>
    <w:rsid w:val="006630A2"/>
    <w:rsid w:val="00663C8D"/>
    <w:rsid w:val="00665531"/>
    <w:rsid w:val="006663D9"/>
    <w:rsid w:val="0066681C"/>
    <w:rsid w:val="006669EB"/>
    <w:rsid w:val="00666D90"/>
    <w:rsid w:val="00667049"/>
    <w:rsid w:val="00667172"/>
    <w:rsid w:val="00667A47"/>
    <w:rsid w:val="00670167"/>
    <w:rsid w:val="00670594"/>
    <w:rsid w:val="00670C3F"/>
    <w:rsid w:val="00670CEA"/>
    <w:rsid w:val="00670EE4"/>
    <w:rsid w:val="00670F1F"/>
    <w:rsid w:val="00671409"/>
    <w:rsid w:val="00671477"/>
    <w:rsid w:val="00671776"/>
    <w:rsid w:val="00671E12"/>
    <w:rsid w:val="00671F07"/>
    <w:rsid w:val="006725EF"/>
    <w:rsid w:val="006728BC"/>
    <w:rsid w:val="006734F3"/>
    <w:rsid w:val="00673B84"/>
    <w:rsid w:val="00674C73"/>
    <w:rsid w:val="006751E0"/>
    <w:rsid w:val="006759DD"/>
    <w:rsid w:val="00675CFB"/>
    <w:rsid w:val="00676A25"/>
    <w:rsid w:val="006772D4"/>
    <w:rsid w:val="006773BF"/>
    <w:rsid w:val="0067797E"/>
    <w:rsid w:val="00677A37"/>
    <w:rsid w:val="006805B3"/>
    <w:rsid w:val="0068082B"/>
    <w:rsid w:val="00680A5E"/>
    <w:rsid w:val="006814BE"/>
    <w:rsid w:val="00682276"/>
    <w:rsid w:val="006823B9"/>
    <w:rsid w:val="0068245A"/>
    <w:rsid w:val="006825C1"/>
    <w:rsid w:val="0068290E"/>
    <w:rsid w:val="00683CA8"/>
    <w:rsid w:val="00683D70"/>
    <w:rsid w:val="0068462B"/>
    <w:rsid w:val="0068468C"/>
    <w:rsid w:val="0068474A"/>
    <w:rsid w:val="00684D28"/>
    <w:rsid w:val="00685197"/>
    <w:rsid w:val="006852FA"/>
    <w:rsid w:val="00685DEB"/>
    <w:rsid w:val="00685F14"/>
    <w:rsid w:val="006862E6"/>
    <w:rsid w:val="00686761"/>
    <w:rsid w:val="006877FC"/>
    <w:rsid w:val="00687F5E"/>
    <w:rsid w:val="00690A0A"/>
    <w:rsid w:val="00690BFF"/>
    <w:rsid w:val="0069129F"/>
    <w:rsid w:val="00691B1C"/>
    <w:rsid w:val="00691FD7"/>
    <w:rsid w:val="00692938"/>
    <w:rsid w:val="00692B72"/>
    <w:rsid w:val="00693281"/>
    <w:rsid w:val="00693295"/>
    <w:rsid w:val="00693336"/>
    <w:rsid w:val="0069339B"/>
    <w:rsid w:val="0069360D"/>
    <w:rsid w:val="00694DE9"/>
    <w:rsid w:val="006951F2"/>
    <w:rsid w:val="006957BD"/>
    <w:rsid w:val="00695AEE"/>
    <w:rsid w:val="00695CB6"/>
    <w:rsid w:val="00695FD2"/>
    <w:rsid w:val="0069628C"/>
    <w:rsid w:val="00696926"/>
    <w:rsid w:val="00696A5F"/>
    <w:rsid w:val="00696D67"/>
    <w:rsid w:val="0069706B"/>
    <w:rsid w:val="00697241"/>
    <w:rsid w:val="0069740F"/>
    <w:rsid w:val="00697745"/>
    <w:rsid w:val="00697B84"/>
    <w:rsid w:val="00697DA8"/>
    <w:rsid w:val="006A004D"/>
    <w:rsid w:val="006A07A5"/>
    <w:rsid w:val="006A09D0"/>
    <w:rsid w:val="006A114A"/>
    <w:rsid w:val="006A1825"/>
    <w:rsid w:val="006A1E2A"/>
    <w:rsid w:val="006A1EAD"/>
    <w:rsid w:val="006A2EBE"/>
    <w:rsid w:val="006A3111"/>
    <w:rsid w:val="006A33DD"/>
    <w:rsid w:val="006A3A5C"/>
    <w:rsid w:val="006A3DA6"/>
    <w:rsid w:val="006A3F33"/>
    <w:rsid w:val="006A4005"/>
    <w:rsid w:val="006A4988"/>
    <w:rsid w:val="006A5724"/>
    <w:rsid w:val="006A5CF3"/>
    <w:rsid w:val="006A6BF9"/>
    <w:rsid w:val="006A6F42"/>
    <w:rsid w:val="006A71EB"/>
    <w:rsid w:val="006A78C4"/>
    <w:rsid w:val="006A7B4B"/>
    <w:rsid w:val="006A7F20"/>
    <w:rsid w:val="006B0279"/>
    <w:rsid w:val="006B0470"/>
    <w:rsid w:val="006B0D9F"/>
    <w:rsid w:val="006B12E8"/>
    <w:rsid w:val="006B19E3"/>
    <w:rsid w:val="006B1F71"/>
    <w:rsid w:val="006B22E7"/>
    <w:rsid w:val="006B295C"/>
    <w:rsid w:val="006B2F4F"/>
    <w:rsid w:val="006B3AAA"/>
    <w:rsid w:val="006B3E11"/>
    <w:rsid w:val="006B416A"/>
    <w:rsid w:val="006B4341"/>
    <w:rsid w:val="006B436E"/>
    <w:rsid w:val="006B49BE"/>
    <w:rsid w:val="006B51A4"/>
    <w:rsid w:val="006B5422"/>
    <w:rsid w:val="006B556C"/>
    <w:rsid w:val="006B689B"/>
    <w:rsid w:val="006B742F"/>
    <w:rsid w:val="006C028B"/>
    <w:rsid w:val="006C0B8D"/>
    <w:rsid w:val="006C0F45"/>
    <w:rsid w:val="006C1C6B"/>
    <w:rsid w:val="006C1D34"/>
    <w:rsid w:val="006C2C46"/>
    <w:rsid w:val="006C42C1"/>
    <w:rsid w:val="006C4C7F"/>
    <w:rsid w:val="006C4D64"/>
    <w:rsid w:val="006C552E"/>
    <w:rsid w:val="006C56E9"/>
    <w:rsid w:val="006C5A62"/>
    <w:rsid w:val="006C5B06"/>
    <w:rsid w:val="006C5F20"/>
    <w:rsid w:val="006C7A4E"/>
    <w:rsid w:val="006D1A98"/>
    <w:rsid w:val="006D28CF"/>
    <w:rsid w:val="006D29A4"/>
    <w:rsid w:val="006D2AAF"/>
    <w:rsid w:val="006D2D92"/>
    <w:rsid w:val="006D357F"/>
    <w:rsid w:val="006D3866"/>
    <w:rsid w:val="006D5012"/>
    <w:rsid w:val="006D57DC"/>
    <w:rsid w:val="006D5A70"/>
    <w:rsid w:val="006D6580"/>
    <w:rsid w:val="006D6C8C"/>
    <w:rsid w:val="006D781B"/>
    <w:rsid w:val="006D7C6E"/>
    <w:rsid w:val="006D7CF7"/>
    <w:rsid w:val="006E0F7C"/>
    <w:rsid w:val="006E15D6"/>
    <w:rsid w:val="006E2C6C"/>
    <w:rsid w:val="006E4475"/>
    <w:rsid w:val="006E4CD4"/>
    <w:rsid w:val="006E5C42"/>
    <w:rsid w:val="006E6AD6"/>
    <w:rsid w:val="006E6D6A"/>
    <w:rsid w:val="006E70A0"/>
    <w:rsid w:val="006E7245"/>
    <w:rsid w:val="006E7318"/>
    <w:rsid w:val="006E7ED5"/>
    <w:rsid w:val="006E7FE0"/>
    <w:rsid w:val="006F0165"/>
    <w:rsid w:val="006F072E"/>
    <w:rsid w:val="006F09A3"/>
    <w:rsid w:val="006F0B25"/>
    <w:rsid w:val="006F22B4"/>
    <w:rsid w:val="006F31F5"/>
    <w:rsid w:val="006F343C"/>
    <w:rsid w:val="006F409F"/>
    <w:rsid w:val="006F423E"/>
    <w:rsid w:val="006F4274"/>
    <w:rsid w:val="006F51C9"/>
    <w:rsid w:val="006F55D4"/>
    <w:rsid w:val="006F579F"/>
    <w:rsid w:val="006F5AF5"/>
    <w:rsid w:val="006F5B53"/>
    <w:rsid w:val="006F5BAA"/>
    <w:rsid w:val="006F629F"/>
    <w:rsid w:val="006F65FA"/>
    <w:rsid w:val="006F705D"/>
    <w:rsid w:val="006F7930"/>
    <w:rsid w:val="006F7CBA"/>
    <w:rsid w:val="006F7D17"/>
    <w:rsid w:val="006F7E73"/>
    <w:rsid w:val="0070012B"/>
    <w:rsid w:val="007003C8"/>
    <w:rsid w:val="00701774"/>
    <w:rsid w:val="00701DC4"/>
    <w:rsid w:val="007028BC"/>
    <w:rsid w:val="00702999"/>
    <w:rsid w:val="0070321F"/>
    <w:rsid w:val="00704666"/>
    <w:rsid w:val="007050C5"/>
    <w:rsid w:val="00705221"/>
    <w:rsid w:val="0070581A"/>
    <w:rsid w:val="00705BED"/>
    <w:rsid w:val="007065DF"/>
    <w:rsid w:val="0070669D"/>
    <w:rsid w:val="00706D43"/>
    <w:rsid w:val="00706E96"/>
    <w:rsid w:val="007072A8"/>
    <w:rsid w:val="00707449"/>
    <w:rsid w:val="00710197"/>
    <w:rsid w:val="00710800"/>
    <w:rsid w:val="007109C5"/>
    <w:rsid w:val="00710D1D"/>
    <w:rsid w:val="0071125A"/>
    <w:rsid w:val="00711AA5"/>
    <w:rsid w:val="00712105"/>
    <w:rsid w:val="00712306"/>
    <w:rsid w:val="0071274D"/>
    <w:rsid w:val="00712B4C"/>
    <w:rsid w:val="007132F0"/>
    <w:rsid w:val="00713C03"/>
    <w:rsid w:val="007140BA"/>
    <w:rsid w:val="00714819"/>
    <w:rsid w:val="00714C34"/>
    <w:rsid w:val="00714FF6"/>
    <w:rsid w:val="0071514B"/>
    <w:rsid w:val="00715D96"/>
    <w:rsid w:val="00716764"/>
    <w:rsid w:val="00717F0E"/>
    <w:rsid w:val="007201C3"/>
    <w:rsid w:val="007201D6"/>
    <w:rsid w:val="0072033A"/>
    <w:rsid w:val="0072069F"/>
    <w:rsid w:val="007208C9"/>
    <w:rsid w:val="00720B7D"/>
    <w:rsid w:val="00720D0B"/>
    <w:rsid w:val="00721EB3"/>
    <w:rsid w:val="00722950"/>
    <w:rsid w:val="00722A84"/>
    <w:rsid w:val="00722A8A"/>
    <w:rsid w:val="00722F6C"/>
    <w:rsid w:val="00723E2C"/>
    <w:rsid w:val="00726449"/>
    <w:rsid w:val="00726793"/>
    <w:rsid w:val="00726F8C"/>
    <w:rsid w:val="00726FCA"/>
    <w:rsid w:val="007272BD"/>
    <w:rsid w:val="00727746"/>
    <w:rsid w:val="00727CF2"/>
    <w:rsid w:val="00730269"/>
    <w:rsid w:val="00730451"/>
    <w:rsid w:val="00731777"/>
    <w:rsid w:val="00731A88"/>
    <w:rsid w:val="007329E8"/>
    <w:rsid w:val="00732D92"/>
    <w:rsid w:val="007334E5"/>
    <w:rsid w:val="00733EA4"/>
    <w:rsid w:val="00734308"/>
    <w:rsid w:val="007343CA"/>
    <w:rsid w:val="0073449C"/>
    <w:rsid w:val="007346B2"/>
    <w:rsid w:val="00735251"/>
    <w:rsid w:val="007352E8"/>
    <w:rsid w:val="00735333"/>
    <w:rsid w:val="00735561"/>
    <w:rsid w:val="0073643C"/>
    <w:rsid w:val="00736DAB"/>
    <w:rsid w:val="0074014C"/>
    <w:rsid w:val="00740BDA"/>
    <w:rsid w:val="00740FA4"/>
    <w:rsid w:val="007410C6"/>
    <w:rsid w:val="00742C06"/>
    <w:rsid w:val="00742E55"/>
    <w:rsid w:val="0074363B"/>
    <w:rsid w:val="0074394F"/>
    <w:rsid w:val="00743EFA"/>
    <w:rsid w:val="00743F1B"/>
    <w:rsid w:val="0074441C"/>
    <w:rsid w:val="00744853"/>
    <w:rsid w:val="00745336"/>
    <w:rsid w:val="00745E2A"/>
    <w:rsid w:val="00746203"/>
    <w:rsid w:val="00746C2E"/>
    <w:rsid w:val="00747444"/>
    <w:rsid w:val="00747721"/>
    <w:rsid w:val="00747A67"/>
    <w:rsid w:val="00747D1C"/>
    <w:rsid w:val="00750230"/>
    <w:rsid w:val="00750470"/>
    <w:rsid w:val="00751014"/>
    <w:rsid w:val="007522C0"/>
    <w:rsid w:val="0075256F"/>
    <w:rsid w:val="0075361B"/>
    <w:rsid w:val="0075363C"/>
    <w:rsid w:val="00753FB7"/>
    <w:rsid w:val="00754E1E"/>
    <w:rsid w:val="00754F8B"/>
    <w:rsid w:val="0075555B"/>
    <w:rsid w:val="0075571C"/>
    <w:rsid w:val="00755B73"/>
    <w:rsid w:val="00756F2C"/>
    <w:rsid w:val="0075733A"/>
    <w:rsid w:val="007577D2"/>
    <w:rsid w:val="00757B13"/>
    <w:rsid w:val="00757E8A"/>
    <w:rsid w:val="007602C4"/>
    <w:rsid w:val="007610A4"/>
    <w:rsid w:val="0076128D"/>
    <w:rsid w:val="0076201C"/>
    <w:rsid w:val="007626D0"/>
    <w:rsid w:val="00763125"/>
    <w:rsid w:val="007634C2"/>
    <w:rsid w:val="007638FE"/>
    <w:rsid w:val="00763F6D"/>
    <w:rsid w:val="00764348"/>
    <w:rsid w:val="007648D5"/>
    <w:rsid w:val="00765328"/>
    <w:rsid w:val="007654C7"/>
    <w:rsid w:val="00765919"/>
    <w:rsid w:val="00765F8C"/>
    <w:rsid w:val="00766744"/>
    <w:rsid w:val="00767055"/>
    <w:rsid w:val="00767599"/>
    <w:rsid w:val="00770127"/>
    <w:rsid w:val="00770382"/>
    <w:rsid w:val="00770893"/>
    <w:rsid w:val="00771DD1"/>
    <w:rsid w:val="00771F12"/>
    <w:rsid w:val="0077208B"/>
    <w:rsid w:val="0077247E"/>
    <w:rsid w:val="00772ACA"/>
    <w:rsid w:val="00772E04"/>
    <w:rsid w:val="007738EA"/>
    <w:rsid w:val="0077396D"/>
    <w:rsid w:val="00773ABE"/>
    <w:rsid w:val="00775035"/>
    <w:rsid w:val="00775CCE"/>
    <w:rsid w:val="00775F7A"/>
    <w:rsid w:val="00775F7F"/>
    <w:rsid w:val="007762AC"/>
    <w:rsid w:val="0077661F"/>
    <w:rsid w:val="00776CAF"/>
    <w:rsid w:val="007770B5"/>
    <w:rsid w:val="00777C42"/>
    <w:rsid w:val="0078056B"/>
    <w:rsid w:val="00780DFA"/>
    <w:rsid w:val="00782574"/>
    <w:rsid w:val="00782C47"/>
    <w:rsid w:val="00782CF4"/>
    <w:rsid w:val="0078318F"/>
    <w:rsid w:val="00783283"/>
    <w:rsid w:val="00783523"/>
    <w:rsid w:val="007837AD"/>
    <w:rsid w:val="00783963"/>
    <w:rsid w:val="0078415A"/>
    <w:rsid w:val="00784629"/>
    <w:rsid w:val="007855B8"/>
    <w:rsid w:val="00785F82"/>
    <w:rsid w:val="007863DD"/>
    <w:rsid w:val="00786B81"/>
    <w:rsid w:val="0078750B"/>
    <w:rsid w:val="00787821"/>
    <w:rsid w:val="00787B80"/>
    <w:rsid w:val="00787F64"/>
    <w:rsid w:val="00790641"/>
    <w:rsid w:val="007907DC"/>
    <w:rsid w:val="00790F07"/>
    <w:rsid w:val="007910C8"/>
    <w:rsid w:val="0079124F"/>
    <w:rsid w:val="007917EC"/>
    <w:rsid w:val="00792707"/>
    <w:rsid w:val="00792BD6"/>
    <w:rsid w:val="00792C1B"/>
    <w:rsid w:val="007939CB"/>
    <w:rsid w:val="00793CC0"/>
    <w:rsid w:val="007942CE"/>
    <w:rsid w:val="007946FA"/>
    <w:rsid w:val="0079476E"/>
    <w:rsid w:val="007947BB"/>
    <w:rsid w:val="007958DC"/>
    <w:rsid w:val="00795C91"/>
    <w:rsid w:val="0079608B"/>
    <w:rsid w:val="007960A5"/>
    <w:rsid w:val="007960BB"/>
    <w:rsid w:val="007968FE"/>
    <w:rsid w:val="007969AE"/>
    <w:rsid w:val="00797A8C"/>
    <w:rsid w:val="00797DD7"/>
    <w:rsid w:val="007A0040"/>
    <w:rsid w:val="007A0268"/>
    <w:rsid w:val="007A0AC5"/>
    <w:rsid w:val="007A12E9"/>
    <w:rsid w:val="007A1BB9"/>
    <w:rsid w:val="007A2DD0"/>
    <w:rsid w:val="007A2DF5"/>
    <w:rsid w:val="007A31CB"/>
    <w:rsid w:val="007A326B"/>
    <w:rsid w:val="007A335A"/>
    <w:rsid w:val="007A4402"/>
    <w:rsid w:val="007A45D7"/>
    <w:rsid w:val="007A4878"/>
    <w:rsid w:val="007A4C60"/>
    <w:rsid w:val="007A6545"/>
    <w:rsid w:val="007A7176"/>
    <w:rsid w:val="007A7506"/>
    <w:rsid w:val="007A7510"/>
    <w:rsid w:val="007B0318"/>
    <w:rsid w:val="007B0504"/>
    <w:rsid w:val="007B084E"/>
    <w:rsid w:val="007B1510"/>
    <w:rsid w:val="007B15B4"/>
    <w:rsid w:val="007B15BA"/>
    <w:rsid w:val="007B171F"/>
    <w:rsid w:val="007B1ADE"/>
    <w:rsid w:val="007B2114"/>
    <w:rsid w:val="007B34E8"/>
    <w:rsid w:val="007B3A8F"/>
    <w:rsid w:val="007B4EEC"/>
    <w:rsid w:val="007B66C3"/>
    <w:rsid w:val="007B67EB"/>
    <w:rsid w:val="007B688E"/>
    <w:rsid w:val="007B6C9E"/>
    <w:rsid w:val="007B738F"/>
    <w:rsid w:val="007B74E7"/>
    <w:rsid w:val="007B752A"/>
    <w:rsid w:val="007B78BB"/>
    <w:rsid w:val="007C077D"/>
    <w:rsid w:val="007C0D8D"/>
    <w:rsid w:val="007C0FE6"/>
    <w:rsid w:val="007C10CD"/>
    <w:rsid w:val="007C15DA"/>
    <w:rsid w:val="007C1C2E"/>
    <w:rsid w:val="007C5434"/>
    <w:rsid w:val="007C59C0"/>
    <w:rsid w:val="007C5B15"/>
    <w:rsid w:val="007C61BE"/>
    <w:rsid w:val="007C71D7"/>
    <w:rsid w:val="007C73CA"/>
    <w:rsid w:val="007C7810"/>
    <w:rsid w:val="007C78A2"/>
    <w:rsid w:val="007C7B0B"/>
    <w:rsid w:val="007D01C5"/>
    <w:rsid w:val="007D0ED7"/>
    <w:rsid w:val="007D1401"/>
    <w:rsid w:val="007D199A"/>
    <w:rsid w:val="007D20AA"/>
    <w:rsid w:val="007D2735"/>
    <w:rsid w:val="007D2901"/>
    <w:rsid w:val="007D2C79"/>
    <w:rsid w:val="007D2F9C"/>
    <w:rsid w:val="007D350E"/>
    <w:rsid w:val="007D41CA"/>
    <w:rsid w:val="007D42AC"/>
    <w:rsid w:val="007D4FE6"/>
    <w:rsid w:val="007D6625"/>
    <w:rsid w:val="007D694D"/>
    <w:rsid w:val="007D6B45"/>
    <w:rsid w:val="007D6C4F"/>
    <w:rsid w:val="007D6E07"/>
    <w:rsid w:val="007D7D96"/>
    <w:rsid w:val="007D7DA3"/>
    <w:rsid w:val="007E03FC"/>
    <w:rsid w:val="007E06D2"/>
    <w:rsid w:val="007E093B"/>
    <w:rsid w:val="007E1585"/>
    <w:rsid w:val="007E183C"/>
    <w:rsid w:val="007E1F57"/>
    <w:rsid w:val="007E2084"/>
    <w:rsid w:val="007E2118"/>
    <w:rsid w:val="007E21FD"/>
    <w:rsid w:val="007E25D4"/>
    <w:rsid w:val="007E2766"/>
    <w:rsid w:val="007E324E"/>
    <w:rsid w:val="007E396A"/>
    <w:rsid w:val="007E3994"/>
    <w:rsid w:val="007E3D45"/>
    <w:rsid w:val="007E44A6"/>
    <w:rsid w:val="007E4E98"/>
    <w:rsid w:val="007E5399"/>
    <w:rsid w:val="007E5699"/>
    <w:rsid w:val="007E6E31"/>
    <w:rsid w:val="007F0683"/>
    <w:rsid w:val="007F0849"/>
    <w:rsid w:val="007F1DDF"/>
    <w:rsid w:val="007F29E1"/>
    <w:rsid w:val="007F2A74"/>
    <w:rsid w:val="007F2C11"/>
    <w:rsid w:val="007F2C3A"/>
    <w:rsid w:val="007F30D9"/>
    <w:rsid w:val="007F3102"/>
    <w:rsid w:val="007F3A2B"/>
    <w:rsid w:val="007F4716"/>
    <w:rsid w:val="007F582F"/>
    <w:rsid w:val="007F5A6A"/>
    <w:rsid w:val="007F5C1B"/>
    <w:rsid w:val="007F6649"/>
    <w:rsid w:val="007F6C6C"/>
    <w:rsid w:val="007F71F5"/>
    <w:rsid w:val="007F769B"/>
    <w:rsid w:val="007F76AD"/>
    <w:rsid w:val="007F7968"/>
    <w:rsid w:val="007F7F78"/>
    <w:rsid w:val="0080092E"/>
    <w:rsid w:val="00800DC2"/>
    <w:rsid w:val="00801342"/>
    <w:rsid w:val="0080181D"/>
    <w:rsid w:val="00801C87"/>
    <w:rsid w:val="00801FC7"/>
    <w:rsid w:val="00802354"/>
    <w:rsid w:val="00802508"/>
    <w:rsid w:val="00802E79"/>
    <w:rsid w:val="008032F5"/>
    <w:rsid w:val="008035F8"/>
    <w:rsid w:val="0080397C"/>
    <w:rsid w:val="00804330"/>
    <w:rsid w:val="008044BD"/>
    <w:rsid w:val="00804BFA"/>
    <w:rsid w:val="00806E85"/>
    <w:rsid w:val="00810C0B"/>
    <w:rsid w:val="0081121A"/>
    <w:rsid w:val="00811392"/>
    <w:rsid w:val="0081144F"/>
    <w:rsid w:val="008117DC"/>
    <w:rsid w:val="008119DA"/>
    <w:rsid w:val="00811A62"/>
    <w:rsid w:val="00811D2B"/>
    <w:rsid w:val="00812133"/>
    <w:rsid w:val="00812756"/>
    <w:rsid w:val="00812B05"/>
    <w:rsid w:val="00812D2F"/>
    <w:rsid w:val="00813208"/>
    <w:rsid w:val="0081452B"/>
    <w:rsid w:val="00814AAD"/>
    <w:rsid w:val="00814FD9"/>
    <w:rsid w:val="008152EC"/>
    <w:rsid w:val="0081678E"/>
    <w:rsid w:val="00816C2B"/>
    <w:rsid w:val="00816C83"/>
    <w:rsid w:val="00817478"/>
    <w:rsid w:val="00817755"/>
    <w:rsid w:val="008207DA"/>
    <w:rsid w:val="0082196A"/>
    <w:rsid w:val="00821A21"/>
    <w:rsid w:val="008222BB"/>
    <w:rsid w:val="00822D24"/>
    <w:rsid w:val="008236E2"/>
    <w:rsid w:val="00823AFB"/>
    <w:rsid w:val="00824525"/>
    <w:rsid w:val="00825199"/>
    <w:rsid w:val="0082584A"/>
    <w:rsid w:val="008263E6"/>
    <w:rsid w:val="00826C37"/>
    <w:rsid w:val="00826DD1"/>
    <w:rsid w:val="008275D1"/>
    <w:rsid w:val="0082769C"/>
    <w:rsid w:val="00830EC9"/>
    <w:rsid w:val="008313FA"/>
    <w:rsid w:val="0083178D"/>
    <w:rsid w:val="00831848"/>
    <w:rsid w:val="00831C48"/>
    <w:rsid w:val="00831F5F"/>
    <w:rsid w:val="00833D49"/>
    <w:rsid w:val="00833D8D"/>
    <w:rsid w:val="00833DB5"/>
    <w:rsid w:val="00834CE0"/>
    <w:rsid w:val="00834E2A"/>
    <w:rsid w:val="0083623D"/>
    <w:rsid w:val="00836BF8"/>
    <w:rsid w:val="00836D51"/>
    <w:rsid w:val="0084052D"/>
    <w:rsid w:val="008409B9"/>
    <w:rsid w:val="00840B42"/>
    <w:rsid w:val="00841483"/>
    <w:rsid w:val="00841809"/>
    <w:rsid w:val="008418C7"/>
    <w:rsid w:val="00842435"/>
    <w:rsid w:val="0084264F"/>
    <w:rsid w:val="00843667"/>
    <w:rsid w:val="00843747"/>
    <w:rsid w:val="0084418D"/>
    <w:rsid w:val="0084571F"/>
    <w:rsid w:val="00845A91"/>
    <w:rsid w:val="00845F7A"/>
    <w:rsid w:val="00846F76"/>
    <w:rsid w:val="00847552"/>
    <w:rsid w:val="00847B09"/>
    <w:rsid w:val="00847B89"/>
    <w:rsid w:val="008505A7"/>
    <w:rsid w:val="00850A32"/>
    <w:rsid w:val="00850B49"/>
    <w:rsid w:val="00850D9B"/>
    <w:rsid w:val="00850F58"/>
    <w:rsid w:val="0085136F"/>
    <w:rsid w:val="008515D2"/>
    <w:rsid w:val="00851FBC"/>
    <w:rsid w:val="008520D1"/>
    <w:rsid w:val="0085238B"/>
    <w:rsid w:val="008525D7"/>
    <w:rsid w:val="00852AE1"/>
    <w:rsid w:val="00852E90"/>
    <w:rsid w:val="00853138"/>
    <w:rsid w:val="00853322"/>
    <w:rsid w:val="008541E4"/>
    <w:rsid w:val="00854912"/>
    <w:rsid w:val="00854C3B"/>
    <w:rsid w:val="00855292"/>
    <w:rsid w:val="008559CA"/>
    <w:rsid w:val="00855E79"/>
    <w:rsid w:val="0086004A"/>
    <w:rsid w:val="00860121"/>
    <w:rsid w:val="00861194"/>
    <w:rsid w:val="00861301"/>
    <w:rsid w:val="00861548"/>
    <w:rsid w:val="00861C89"/>
    <w:rsid w:val="00861CCE"/>
    <w:rsid w:val="00861D0A"/>
    <w:rsid w:val="00861D0B"/>
    <w:rsid w:val="008623FA"/>
    <w:rsid w:val="00862ACA"/>
    <w:rsid w:val="00862E4F"/>
    <w:rsid w:val="00863398"/>
    <w:rsid w:val="008638CC"/>
    <w:rsid w:val="00863965"/>
    <w:rsid w:val="00863D02"/>
    <w:rsid w:val="0086426D"/>
    <w:rsid w:val="00864C80"/>
    <w:rsid w:val="00866076"/>
    <w:rsid w:val="0086646F"/>
    <w:rsid w:val="00866EA0"/>
    <w:rsid w:val="00867158"/>
    <w:rsid w:val="008671E0"/>
    <w:rsid w:val="00867364"/>
    <w:rsid w:val="00867DCD"/>
    <w:rsid w:val="00871B75"/>
    <w:rsid w:val="008724F6"/>
    <w:rsid w:val="00872BFF"/>
    <w:rsid w:val="00873236"/>
    <w:rsid w:val="0087338B"/>
    <w:rsid w:val="00873464"/>
    <w:rsid w:val="00873B7A"/>
    <w:rsid w:val="0087546E"/>
    <w:rsid w:val="00875FC7"/>
    <w:rsid w:val="00876445"/>
    <w:rsid w:val="00876E90"/>
    <w:rsid w:val="0087704A"/>
    <w:rsid w:val="008777D3"/>
    <w:rsid w:val="00877F7C"/>
    <w:rsid w:val="00880859"/>
    <w:rsid w:val="00881CB9"/>
    <w:rsid w:val="00881E4B"/>
    <w:rsid w:val="00881F44"/>
    <w:rsid w:val="00882C40"/>
    <w:rsid w:val="00882D79"/>
    <w:rsid w:val="00883010"/>
    <w:rsid w:val="0088378D"/>
    <w:rsid w:val="0088402C"/>
    <w:rsid w:val="008846AA"/>
    <w:rsid w:val="0088534B"/>
    <w:rsid w:val="00885405"/>
    <w:rsid w:val="008857CA"/>
    <w:rsid w:val="00885904"/>
    <w:rsid w:val="00885ECB"/>
    <w:rsid w:val="008862F3"/>
    <w:rsid w:val="00886FAC"/>
    <w:rsid w:val="00887497"/>
    <w:rsid w:val="00887817"/>
    <w:rsid w:val="0088785E"/>
    <w:rsid w:val="00887998"/>
    <w:rsid w:val="008879B2"/>
    <w:rsid w:val="0089035E"/>
    <w:rsid w:val="008903F0"/>
    <w:rsid w:val="00890566"/>
    <w:rsid w:val="00890A28"/>
    <w:rsid w:val="00890F8D"/>
    <w:rsid w:val="008918C1"/>
    <w:rsid w:val="008920C2"/>
    <w:rsid w:val="008930D7"/>
    <w:rsid w:val="0089332A"/>
    <w:rsid w:val="00893A19"/>
    <w:rsid w:val="00894A0D"/>
    <w:rsid w:val="00894D1E"/>
    <w:rsid w:val="00894FB1"/>
    <w:rsid w:val="00895D91"/>
    <w:rsid w:val="008965B0"/>
    <w:rsid w:val="0089660D"/>
    <w:rsid w:val="00896834"/>
    <w:rsid w:val="00896B2C"/>
    <w:rsid w:val="00896E0C"/>
    <w:rsid w:val="008976A4"/>
    <w:rsid w:val="008A08C3"/>
    <w:rsid w:val="008A0D84"/>
    <w:rsid w:val="008A0F91"/>
    <w:rsid w:val="008A1142"/>
    <w:rsid w:val="008A1445"/>
    <w:rsid w:val="008A1A09"/>
    <w:rsid w:val="008A1AF8"/>
    <w:rsid w:val="008A2558"/>
    <w:rsid w:val="008A25EC"/>
    <w:rsid w:val="008A2837"/>
    <w:rsid w:val="008A3123"/>
    <w:rsid w:val="008A32BC"/>
    <w:rsid w:val="008A3661"/>
    <w:rsid w:val="008A3DE7"/>
    <w:rsid w:val="008A3F96"/>
    <w:rsid w:val="008A492B"/>
    <w:rsid w:val="008A4BD1"/>
    <w:rsid w:val="008A4D0D"/>
    <w:rsid w:val="008A4DF4"/>
    <w:rsid w:val="008A6A7D"/>
    <w:rsid w:val="008A7557"/>
    <w:rsid w:val="008A7D30"/>
    <w:rsid w:val="008B01ED"/>
    <w:rsid w:val="008B1390"/>
    <w:rsid w:val="008B18E2"/>
    <w:rsid w:val="008B1D92"/>
    <w:rsid w:val="008B2692"/>
    <w:rsid w:val="008B3094"/>
    <w:rsid w:val="008B3503"/>
    <w:rsid w:val="008B3946"/>
    <w:rsid w:val="008B3BBC"/>
    <w:rsid w:val="008B3FA0"/>
    <w:rsid w:val="008B480E"/>
    <w:rsid w:val="008B4A1F"/>
    <w:rsid w:val="008B55A3"/>
    <w:rsid w:val="008B6E3F"/>
    <w:rsid w:val="008B746C"/>
    <w:rsid w:val="008B75F2"/>
    <w:rsid w:val="008B768D"/>
    <w:rsid w:val="008B7D99"/>
    <w:rsid w:val="008C05BE"/>
    <w:rsid w:val="008C06E1"/>
    <w:rsid w:val="008C0B83"/>
    <w:rsid w:val="008C0BEF"/>
    <w:rsid w:val="008C0C24"/>
    <w:rsid w:val="008C1FF7"/>
    <w:rsid w:val="008C3008"/>
    <w:rsid w:val="008C33BA"/>
    <w:rsid w:val="008C3A1A"/>
    <w:rsid w:val="008C4AAF"/>
    <w:rsid w:val="008C4DCC"/>
    <w:rsid w:val="008C54B9"/>
    <w:rsid w:val="008C57C6"/>
    <w:rsid w:val="008C59BA"/>
    <w:rsid w:val="008C6169"/>
    <w:rsid w:val="008C6880"/>
    <w:rsid w:val="008C6D2F"/>
    <w:rsid w:val="008C6E50"/>
    <w:rsid w:val="008C75E8"/>
    <w:rsid w:val="008D0BD8"/>
    <w:rsid w:val="008D0C54"/>
    <w:rsid w:val="008D15A3"/>
    <w:rsid w:val="008D160F"/>
    <w:rsid w:val="008D1710"/>
    <w:rsid w:val="008D1FED"/>
    <w:rsid w:val="008D3551"/>
    <w:rsid w:val="008D3FB4"/>
    <w:rsid w:val="008D485A"/>
    <w:rsid w:val="008D4903"/>
    <w:rsid w:val="008D4C5E"/>
    <w:rsid w:val="008D4D56"/>
    <w:rsid w:val="008D4DE9"/>
    <w:rsid w:val="008D58EC"/>
    <w:rsid w:val="008D60FF"/>
    <w:rsid w:val="008D63B5"/>
    <w:rsid w:val="008D66F5"/>
    <w:rsid w:val="008D7A25"/>
    <w:rsid w:val="008D7BEA"/>
    <w:rsid w:val="008D7D47"/>
    <w:rsid w:val="008D7E9A"/>
    <w:rsid w:val="008E0655"/>
    <w:rsid w:val="008E0953"/>
    <w:rsid w:val="008E0F30"/>
    <w:rsid w:val="008E1AA8"/>
    <w:rsid w:val="008E1ACB"/>
    <w:rsid w:val="008E1B77"/>
    <w:rsid w:val="008E1F2A"/>
    <w:rsid w:val="008E23AB"/>
    <w:rsid w:val="008E3E13"/>
    <w:rsid w:val="008E4B7A"/>
    <w:rsid w:val="008E5DF5"/>
    <w:rsid w:val="008E6224"/>
    <w:rsid w:val="008E64F6"/>
    <w:rsid w:val="008E692E"/>
    <w:rsid w:val="008E70F0"/>
    <w:rsid w:val="008E729A"/>
    <w:rsid w:val="008E72A8"/>
    <w:rsid w:val="008E7CAA"/>
    <w:rsid w:val="008F0115"/>
    <w:rsid w:val="008F0818"/>
    <w:rsid w:val="008F0E4C"/>
    <w:rsid w:val="008F1ADC"/>
    <w:rsid w:val="008F1BFD"/>
    <w:rsid w:val="008F243F"/>
    <w:rsid w:val="008F3928"/>
    <w:rsid w:val="008F3CE8"/>
    <w:rsid w:val="008F456F"/>
    <w:rsid w:val="008F4690"/>
    <w:rsid w:val="008F5B3B"/>
    <w:rsid w:val="008F5DC2"/>
    <w:rsid w:val="008F63BB"/>
    <w:rsid w:val="008F669F"/>
    <w:rsid w:val="008F670A"/>
    <w:rsid w:val="008F6B71"/>
    <w:rsid w:val="008F6C0C"/>
    <w:rsid w:val="008F783A"/>
    <w:rsid w:val="00900873"/>
    <w:rsid w:val="009009C1"/>
    <w:rsid w:val="00901421"/>
    <w:rsid w:val="009015A1"/>
    <w:rsid w:val="00901A22"/>
    <w:rsid w:val="00901DEB"/>
    <w:rsid w:val="0090262A"/>
    <w:rsid w:val="009029C1"/>
    <w:rsid w:val="0090363A"/>
    <w:rsid w:val="00903738"/>
    <w:rsid w:val="00904082"/>
    <w:rsid w:val="00904232"/>
    <w:rsid w:val="00904707"/>
    <w:rsid w:val="00904840"/>
    <w:rsid w:val="0090499F"/>
    <w:rsid w:val="00904B00"/>
    <w:rsid w:val="00905243"/>
    <w:rsid w:val="009053CF"/>
    <w:rsid w:val="00905CCF"/>
    <w:rsid w:val="009060A2"/>
    <w:rsid w:val="00906123"/>
    <w:rsid w:val="009062B6"/>
    <w:rsid w:val="009062BF"/>
    <w:rsid w:val="00906B7F"/>
    <w:rsid w:val="00906F27"/>
    <w:rsid w:val="0090701E"/>
    <w:rsid w:val="00907DC3"/>
    <w:rsid w:val="00910EC3"/>
    <w:rsid w:val="009117EA"/>
    <w:rsid w:val="009118E6"/>
    <w:rsid w:val="00911AB4"/>
    <w:rsid w:val="00912D04"/>
    <w:rsid w:val="00912E25"/>
    <w:rsid w:val="00913B58"/>
    <w:rsid w:val="00913C82"/>
    <w:rsid w:val="00913FB0"/>
    <w:rsid w:val="00913FDD"/>
    <w:rsid w:val="00914283"/>
    <w:rsid w:val="00915A9F"/>
    <w:rsid w:val="00915C31"/>
    <w:rsid w:val="00916172"/>
    <w:rsid w:val="00916891"/>
    <w:rsid w:val="009172D1"/>
    <w:rsid w:val="00917B88"/>
    <w:rsid w:val="00917D26"/>
    <w:rsid w:val="00920065"/>
    <w:rsid w:val="009202AB"/>
    <w:rsid w:val="009202F5"/>
    <w:rsid w:val="00920660"/>
    <w:rsid w:val="00920692"/>
    <w:rsid w:val="00920848"/>
    <w:rsid w:val="00920F1F"/>
    <w:rsid w:val="00922B52"/>
    <w:rsid w:val="00922C1E"/>
    <w:rsid w:val="00922D17"/>
    <w:rsid w:val="00923379"/>
    <w:rsid w:val="00924746"/>
    <w:rsid w:val="009247AD"/>
    <w:rsid w:val="00925FFE"/>
    <w:rsid w:val="0092670D"/>
    <w:rsid w:val="00926767"/>
    <w:rsid w:val="00926898"/>
    <w:rsid w:val="00926AC5"/>
    <w:rsid w:val="00926C1C"/>
    <w:rsid w:val="0092722F"/>
    <w:rsid w:val="00927940"/>
    <w:rsid w:val="00927B4E"/>
    <w:rsid w:val="00927D0E"/>
    <w:rsid w:val="00930574"/>
    <w:rsid w:val="00930620"/>
    <w:rsid w:val="00930806"/>
    <w:rsid w:val="009315CF"/>
    <w:rsid w:val="00931D54"/>
    <w:rsid w:val="00932927"/>
    <w:rsid w:val="00932FDC"/>
    <w:rsid w:val="009332D7"/>
    <w:rsid w:val="00933F3A"/>
    <w:rsid w:val="00934663"/>
    <w:rsid w:val="00934DC4"/>
    <w:rsid w:val="00934F3D"/>
    <w:rsid w:val="00935150"/>
    <w:rsid w:val="009351E1"/>
    <w:rsid w:val="009365B4"/>
    <w:rsid w:val="009365C2"/>
    <w:rsid w:val="00936877"/>
    <w:rsid w:val="00936AA2"/>
    <w:rsid w:val="00936BF5"/>
    <w:rsid w:val="00936CD0"/>
    <w:rsid w:val="00936F75"/>
    <w:rsid w:val="009370D9"/>
    <w:rsid w:val="00937588"/>
    <w:rsid w:val="0093759B"/>
    <w:rsid w:val="00937733"/>
    <w:rsid w:val="00937AC8"/>
    <w:rsid w:val="00940D2D"/>
    <w:rsid w:val="00941317"/>
    <w:rsid w:val="00941763"/>
    <w:rsid w:val="009418B9"/>
    <w:rsid w:val="00942270"/>
    <w:rsid w:val="00942696"/>
    <w:rsid w:val="00942A83"/>
    <w:rsid w:val="00942B32"/>
    <w:rsid w:val="00942B9F"/>
    <w:rsid w:val="00942FEB"/>
    <w:rsid w:val="00943AC8"/>
    <w:rsid w:val="0094461D"/>
    <w:rsid w:val="00944D64"/>
    <w:rsid w:val="00944EC4"/>
    <w:rsid w:val="00945F47"/>
    <w:rsid w:val="00946757"/>
    <w:rsid w:val="009469CF"/>
    <w:rsid w:val="00947A5D"/>
    <w:rsid w:val="00947C96"/>
    <w:rsid w:val="0095022F"/>
    <w:rsid w:val="00950759"/>
    <w:rsid w:val="009511E4"/>
    <w:rsid w:val="009512F0"/>
    <w:rsid w:val="009513EF"/>
    <w:rsid w:val="00951EBC"/>
    <w:rsid w:val="00952996"/>
    <w:rsid w:val="00953EC3"/>
    <w:rsid w:val="009540D1"/>
    <w:rsid w:val="0095431C"/>
    <w:rsid w:val="009544FD"/>
    <w:rsid w:val="00954D35"/>
    <w:rsid w:val="00954F93"/>
    <w:rsid w:val="00955987"/>
    <w:rsid w:val="009563CD"/>
    <w:rsid w:val="00956DB3"/>
    <w:rsid w:val="00956E34"/>
    <w:rsid w:val="009576A4"/>
    <w:rsid w:val="009576C2"/>
    <w:rsid w:val="009576EC"/>
    <w:rsid w:val="00957BEC"/>
    <w:rsid w:val="00957DC6"/>
    <w:rsid w:val="0096037F"/>
    <w:rsid w:val="009607F5"/>
    <w:rsid w:val="009608DA"/>
    <w:rsid w:val="0096093D"/>
    <w:rsid w:val="00960AB9"/>
    <w:rsid w:val="009611D5"/>
    <w:rsid w:val="00961831"/>
    <w:rsid w:val="00961B00"/>
    <w:rsid w:val="00961FA0"/>
    <w:rsid w:val="009621ED"/>
    <w:rsid w:val="009627A3"/>
    <w:rsid w:val="00963188"/>
    <w:rsid w:val="009638F5"/>
    <w:rsid w:val="00963E45"/>
    <w:rsid w:val="0096439C"/>
    <w:rsid w:val="009648BA"/>
    <w:rsid w:val="00964A71"/>
    <w:rsid w:val="00964DE2"/>
    <w:rsid w:val="0096550F"/>
    <w:rsid w:val="009659B5"/>
    <w:rsid w:val="00965DF7"/>
    <w:rsid w:val="00966181"/>
    <w:rsid w:val="009665AB"/>
    <w:rsid w:val="0096665E"/>
    <w:rsid w:val="00966A1B"/>
    <w:rsid w:val="009704BE"/>
    <w:rsid w:val="0097107D"/>
    <w:rsid w:val="009718A1"/>
    <w:rsid w:val="00972DA1"/>
    <w:rsid w:val="00973B81"/>
    <w:rsid w:val="00973BB8"/>
    <w:rsid w:val="00973BFA"/>
    <w:rsid w:val="00973FB9"/>
    <w:rsid w:val="009754DA"/>
    <w:rsid w:val="00975B74"/>
    <w:rsid w:val="00976410"/>
    <w:rsid w:val="00976F1C"/>
    <w:rsid w:val="0097738A"/>
    <w:rsid w:val="0097768B"/>
    <w:rsid w:val="009777CA"/>
    <w:rsid w:val="0098045F"/>
    <w:rsid w:val="0098065A"/>
    <w:rsid w:val="00980726"/>
    <w:rsid w:val="00980AAF"/>
    <w:rsid w:val="00982971"/>
    <w:rsid w:val="009833E4"/>
    <w:rsid w:val="009835B8"/>
    <w:rsid w:val="00983826"/>
    <w:rsid w:val="0098419F"/>
    <w:rsid w:val="009842BE"/>
    <w:rsid w:val="009843FD"/>
    <w:rsid w:val="00984933"/>
    <w:rsid w:val="00985471"/>
    <w:rsid w:val="00986A5F"/>
    <w:rsid w:val="00986AE0"/>
    <w:rsid w:val="00986D4F"/>
    <w:rsid w:val="00987319"/>
    <w:rsid w:val="0098743D"/>
    <w:rsid w:val="00987E2F"/>
    <w:rsid w:val="0099015F"/>
    <w:rsid w:val="00990351"/>
    <w:rsid w:val="0099047F"/>
    <w:rsid w:val="009905DE"/>
    <w:rsid w:val="00990824"/>
    <w:rsid w:val="00990D83"/>
    <w:rsid w:val="00991B91"/>
    <w:rsid w:val="00991E0C"/>
    <w:rsid w:val="0099221F"/>
    <w:rsid w:val="00992281"/>
    <w:rsid w:val="00992E55"/>
    <w:rsid w:val="00992E5A"/>
    <w:rsid w:val="0099301A"/>
    <w:rsid w:val="00993561"/>
    <w:rsid w:val="009938AC"/>
    <w:rsid w:val="00994723"/>
    <w:rsid w:val="009950ED"/>
    <w:rsid w:val="0099533A"/>
    <w:rsid w:val="00995383"/>
    <w:rsid w:val="00995D07"/>
    <w:rsid w:val="00996135"/>
    <w:rsid w:val="0099745A"/>
    <w:rsid w:val="00997C1A"/>
    <w:rsid w:val="009A06B5"/>
    <w:rsid w:val="009A102F"/>
    <w:rsid w:val="009A13A4"/>
    <w:rsid w:val="009A13D7"/>
    <w:rsid w:val="009A186F"/>
    <w:rsid w:val="009A2603"/>
    <w:rsid w:val="009A2688"/>
    <w:rsid w:val="009A26E9"/>
    <w:rsid w:val="009A2F91"/>
    <w:rsid w:val="009A3159"/>
    <w:rsid w:val="009A4478"/>
    <w:rsid w:val="009A4764"/>
    <w:rsid w:val="009A4B5C"/>
    <w:rsid w:val="009A5318"/>
    <w:rsid w:val="009A584B"/>
    <w:rsid w:val="009A5C28"/>
    <w:rsid w:val="009A5D5B"/>
    <w:rsid w:val="009A65BA"/>
    <w:rsid w:val="009A6FFB"/>
    <w:rsid w:val="009A78B3"/>
    <w:rsid w:val="009A7D51"/>
    <w:rsid w:val="009B0123"/>
    <w:rsid w:val="009B0369"/>
    <w:rsid w:val="009B03DE"/>
    <w:rsid w:val="009B1BD5"/>
    <w:rsid w:val="009B2145"/>
    <w:rsid w:val="009B2179"/>
    <w:rsid w:val="009B222D"/>
    <w:rsid w:val="009B26D0"/>
    <w:rsid w:val="009B2FE1"/>
    <w:rsid w:val="009B31E5"/>
    <w:rsid w:val="009B35A2"/>
    <w:rsid w:val="009B3928"/>
    <w:rsid w:val="009B3D56"/>
    <w:rsid w:val="009B400A"/>
    <w:rsid w:val="009B47E7"/>
    <w:rsid w:val="009B55D4"/>
    <w:rsid w:val="009B58BD"/>
    <w:rsid w:val="009B5C14"/>
    <w:rsid w:val="009B651A"/>
    <w:rsid w:val="009B678F"/>
    <w:rsid w:val="009B68F0"/>
    <w:rsid w:val="009B71D5"/>
    <w:rsid w:val="009B7F2E"/>
    <w:rsid w:val="009C034C"/>
    <w:rsid w:val="009C0543"/>
    <w:rsid w:val="009C0968"/>
    <w:rsid w:val="009C1C93"/>
    <w:rsid w:val="009C2218"/>
    <w:rsid w:val="009C2A0D"/>
    <w:rsid w:val="009C2D7F"/>
    <w:rsid w:val="009C3024"/>
    <w:rsid w:val="009C38E1"/>
    <w:rsid w:val="009C3DBA"/>
    <w:rsid w:val="009C3F3F"/>
    <w:rsid w:val="009C4600"/>
    <w:rsid w:val="009C4C39"/>
    <w:rsid w:val="009C5577"/>
    <w:rsid w:val="009C5998"/>
    <w:rsid w:val="009C59E6"/>
    <w:rsid w:val="009C67EA"/>
    <w:rsid w:val="009C793E"/>
    <w:rsid w:val="009C7DA7"/>
    <w:rsid w:val="009D04C6"/>
    <w:rsid w:val="009D1617"/>
    <w:rsid w:val="009D192B"/>
    <w:rsid w:val="009D1AB6"/>
    <w:rsid w:val="009D1CC8"/>
    <w:rsid w:val="009D2332"/>
    <w:rsid w:val="009D2481"/>
    <w:rsid w:val="009D2B13"/>
    <w:rsid w:val="009D30D3"/>
    <w:rsid w:val="009D3C61"/>
    <w:rsid w:val="009D3E13"/>
    <w:rsid w:val="009D4197"/>
    <w:rsid w:val="009D4F56"/>
    <w:rsid w:val="009D5B2D"/>
    <w:rsid w:val="009D5C32"/>
    <w:rsid w:val="009D63F5"/>
    <w:rsid w:val="009D74F7"/>
    <w:rsid w:val="009D7F62"/>
    <w:rsid w:val="009D7F6C"/>
    <w:rsid w:val="009E06DB"/>
    <w:rsid w:val="009E0797"/>
    <w:rsid w:val="009E1E19"/>
    <w:rsid w:val="009E1F10"/>
    <w:rsid w:val="009E339A"/>
    <w:rsid w:val="009E39F7"/>
    <w:rsid w:val="009E405E"/>
    <w:rsid w:val="009E482F"/>
    <w:rsid w:val="009E77B1"/>
    <w:rsid w:val="009E781B"/>
    <w:rsid w:val="009E7866"/>
    <w:rsid w:val="009E7A9E"/>
    <w:rsid w:val="009E7C9F"/>
    <w:rsid w:val="009F0114"/>
    <w:rsid w:val="009F025C"/>
    <w:rsid w:val="009F0518"/>
    <w:rsid w:val="009F1822"/>
    <w:rsid w:val="009F2424"/>
    <w:rsid w:val="009F29EA"/>
    <w:rsid w:val="009F4885"/>
    <w:rsid w:val="009F4994"/>
    <w:rsid w:val="009F4A13"/>
    <w:rsid w:val="009F5835"/>
    <w:rsid w:val="009F61B2"/>
    <w:rsid w:val="009F6446"/>
    <w:rsid w:val="009F71A0"/>
    <w:rsid w:val="009F761E"/>
    <w:rsid w:val="009F783B"/>
    <w:rsid w:val="00A00297"/>
    <w:rsid w:val="00A00B2C"/>
    <w:rsid w:val="00A00F94"/>
    <w:rsid w:val="00A00FFD"/>
    <w:rsid w:val="00A013CE"/>
    <w:rsid w:val="00A0179D"/>
    <w:rsid w:val="00A01900"/>
    <w:rsid w:val="00A01BDB"/>
    <w:rsid w:val="00A01EE0"/>
    <w:rsid w:val="00A0241C"/>
    <w:rsid w:val="00A0249C"/>
    <w:rsid w:val="00A032EA"/>
    <w:rsid w:val="00A03A13"/>
    <w:rsid w:val="00A042C9"/>
    <w:rsid w:val="00A045BE"/>
    <w:rsid w:val="00A04B82"/>
    <w:rsid w:val="00A05632"/>
    <w:rsid w:val="00A05966"/>
    <w:rsid w:val="00A05B88"/>
    <w:rsid w:val="00A05E8B"/>
    <w:rsid w:val="00A062A8"/>
    <w:rsid w:val="00A06BE8"/>
    <w:rsid w:val="00A06CE7"/>
    <w:rsid w:val="00A070B9"/>
    <w:rsid w:val="00A07AC9"/>
    <w:rsid w:val="00A07B01"/>
    <w:rsid w:val="00A07BAC"/>
    <w:rsid w:val="00A07BD6"/>
    <w:rsid w:val="00A1067A"/>
    <w:rsid w:val="00A10F83"/>
    <w:rsid w:val="00A11658"/>
    <w:rsid w:val="00A121D1"/>
    <w:rsid w:val="00A123E0"/>
    <w:rsid w:val="00A1290F"/>
    <w:rsid w:val="00A12B27"/>
    <w:rsid w:val="00A133AC"/>
    <w:rsid w:val="00A135F6"/>
    <w:rsid w:val="00A1402D"/>
    <w:rsid w:val="00A144C2"/>
    <w:rsid w:val="00A14C51"/>
    <w:rsid w:val="00A1552E"/>
    <w:rsid w:val="00A15760"/>
    <w:rsid w:val="00A1629A"/>
    <w:rsid w:val="00A162DC"/>
    <w:rsid w:val="00A16DF8"/>
    <w:rsid w:val="00A16E91"/>
    <w:rsid w:val="00A179C2"/>
    <w:rsid w:val="00A17F3E"/>
    <w:rsid w:val="00A2004C"/>
    <w:rsid w:val="00A203A4"/>
    <w:rsid w:val="00A20463"/>
    <w:rsid w:val="00A20BC6"/>
    <w:rsid w:val="00A213AE"/>
    <w:rsid w:val="00A21432"/>
    <w:rsid w:val="00A220D4"/>
    <w:rsid w:val="00A22106"/>
    <w:rsid w:val="00A227AA"/>
    <w:rsid w:val="00A22EAC"/>
    <w:rsid w:val="00A231B4"/>
    <w:rsid w:val="00A2374F"/>
    <w:rsid w:val="00A23E07"/>
    <w:rsid w:val="00A23E9B"/>
    <w:rsid w:val="00A24419"/>
    <w:rsid w:val="00A24960"/>
    <w:rsid w:val="00A249DE"/>
    <w:rsid w:val="00A24C53"/>
    <w:rsid w:val="00A24D09"/>
    <w:rsid w:val="00A24D56"/>
    <w:rsid w:val="00A24E92"/>
    <w:rsid w:val="00A24F8E"/>
    <w:rsid w:val="00A25196"/>
    <w:rsid w:val="00A253AA"/>
    <w:rsid w:val="00A25DBE"/>
    <w:rsid w:val="00A2656B"/>
    <w:rsid w:val="00A267B8"/>
    <w:rsid w:val="00A26E96"/>
    <w:rsid w:val="00A30396"/>
    <w:rsid w:val="00A30546"/>
    <w:rsid w:val="00A30A5C"/>
    <w:rsid w:val="00A30D15"/>
    <w:rsid w:val="00A30F25"/>
    <w:rsid w:val="00A31A4C"/>
    <w:rsid w:val="00A3238C"/>
    <w:rsid w:val="00A330DB"/>
    <w:rsid w:val="00A331C3"/>
    <w:rsid w:val="00A333B6"/>
    <w:rsid w:val="00A33B59"/>
    <w:rsid w:val="00A33E27"/>
    <w:rsid w:val="00A33F1A"/>
    <w:rsid w:val="00A33F26"/>
    <w:rsid w:val="00A3417D"/>
    <w:rsid w:val="00A34CC7"/>
    <w:rsid w:val="00A3529E"/>
    <w:rsid w:val="00A35486"/>
    <w:rsid w:val="00A360AF"/>
    <w:rsid w:val="00A36A54"/>
    <w:rsid w:val="00A36F5B"/>
    <w:rsid w:val="00A37F87"/>
    <w:rsid w:val="00A40501"/>
    <w:rsid w:val="00A406C3"/>
    <w:rsid w:val="00A41262"/>
    <w:rsid w:val="00A41A52"/>
    <w:rsid w:val="00A41FFA"/>
    <w:rsid w:val="00A42488"/>
    <w:rsid w:val="00A42546"/>
    <w:rsid w:val="00A431A2"/>
    <w:rsid w:val="00A43287"/>
    <w:rsid w:val="00A440B4"/>
    <w:rsid w:val="00A44EEA"/>
    <w:rsid w:val="00A45294"/>
    <w:rsid w:val="00A45417"/>
    <w:rsid w:val="00A457BA"/>
    <w:rsid w:val="00A45C6B"/>
    <w:rsid w:val="00A466FE"/>
    <w:rsid w:val="00A46BF7"/>
    <w:rsid w:val="00A46ECF"/>
    <w:rsid w:val="00A470A3"/>
    <w:rsid w:val="00A474BF"/>
    <w:rsid w:val="00A50775"/>
    <w:rsid w:val="00A50D5A"/>
    <w:rsid w:val="00A51FF0"/>
    <w:rsid w:val="00A5219C"/>
    <w:rsid w:val="00A525F4"/>
    <w:rsid w:val="00A52836"/>
    <w:rsid w:val="00A52C2C"/>
    <w:rsid w:val="00A52D43"/>
    <w:rsid w:val="00A5365B"/>
    <w:rsid w:val="00A53674"/>
    <w:rsid w:val="00A537EA"/>
    <w:rsid w:val="00A54441"/>
    <w:rsid w:val="00A5444A"/>
    <w:rsid w:val="00A54A71"/>
    <w:rsid w:val="00A54F4B"/>
    <w:rsid w:val="00A55BB5"/>
    <w:rsid w:val="00A55BD5"/>
    <w:rsid w:val="00A55C96"/>
    <w:rsid w:val="00A55CA5"/>
    <w:rsid w:val="00A55E44"/>
    <w:rsid w:val="00A56523"/>
    <w:rsid w:val="00A567D2"/>
    <w:rsid w:val="00A5688E"/>
    <w:rsid w:val="00A568B1"/>
    <w:rsid w:val="00A56AE9"/>
    <w:rsid w:val="00A56BB0"/>
    <w:rsid w:val="00A57129"/>
    <w:rsid w:val="00A57181"/>
    <w:rsid w:val="00A576C2"/>
    <w:rsid w:val="00A57A5E"/>
    <w:rsid w:val="00A57C57"/>
    <w:rsid w:val="00A6003E"/>
    <w:rsid w:val="00A603A0"/>
    <w:rsid w:val="00A611E4"/>
    <w:rsid w:val="00A613ED"/>
    <w:rsid w:val="00A6167D"/>
    <w:rsid w:val="00A61CF7"/>
    <w:rsid w:val="00A62534"/>
    <w:rsid w:val="00A63955"/>
    <w:rsid w:val="00A63D6A"/>
    <w:rsid w:val="00A63DB2"/>
    <w:rsid w:val="00A63E48"/>
    <w:rsid w:val="00A64001"/>
    <w:rsid w:val="00A640A4"/>
    <w:rsid w:val="00A643E2"/>
    <w:rsid w:val="00A64744"/>
    <w:rsid w:val="00A64A07"/>
    <w:rsid w:val="00A655C9"/>
    <w:rsid w:val="00A65951"/>
    <w:rsid w:val="00A65BF4"/>
    <w:rsid w:val="00A66612"/>
    <w:rsid w:val="00A66EC3"/>
    <w:rsid w:val="00A6727C"/>
    <w:rsid w:val="00A67EBD"/>
    <w:rsid w:val="00A70E7C"/>
    <w:rsid w:val="00A71700"/>
    <w:rsid w:val="00A728A4"/>
    <w:rsid w:val="00A7330B"/>
    <w:rsid w:val="00A73790"/>
    <w:rsid w:val="00A73A2B"/>
    <w:rsid w:val="00A73A41"/>
    <w:rsid w:val="00A7418D"/>
    <w:rsid w:val="00A7467C"/>
    <w:rsid w:val="00A751F9"/>
    <w:rsid w:val="00A75B26"/>
    <w:rsid w:val="00A75DEC"/>
    <w:rsid w:val="00A75ECC"/>
    <w:rsid w:val="00A76359"/>
    <w:rsid w:val="00A764B6"/>
    <w:rsid w:val="00A76E24"/>
    <w:rsid w:val="00A76F52"/>
    <w:rsid w:val="00A77C7F"/>
    <w:rsid w:val="00A77DDB"/>
    <w:rsid w:val="00A80230"/>
    <w:rsid w:val="00A80DC0"/>
    <w:rsid w:val="00A81F72"/>
    <w:rsid w:val="00A820EE"/>
    <w:rsid w:val="00A82252"/>
    <w:rsid w:val="00A82414"/>
    <w:rsid w:val="00A82606"/>
    <w:rsid w:val="00A82DB3"/>
    <w:rsid w:val="00A82FCE"/>
    <w:rsid w:val="00A832F9"/>
    <w:rsid w:val="00A84D67"/>
    <w:rsid w:val="00A8512C"/>
    <w:rsid w:val="00A851DB"/>
    <w:rsid w:val="00A852FA"/>
    <w:rsid w:val="00A853D5"/>
    <w:rsid w:val="00A866E1"/>
    <w:rsid w:val="00A86B0F"/>
    <w:rsid w:val="00A86F89"/>
    <w:rsid w:val="00A87879"/>
    <w:rsid w:val="00A87A53"/>
    <w:rsid w:val="00A87CC1"/>
    <w:rsid w:val="00A904D9"/>
    <w:rsid w:val="00A9096A"/>
    <w:rsid w:val="00A90C40"/>
    <w:rsid w:val="00A91307"/>
    <w:rsid w:val="00A921E3"/>
    <w:rsid w:val="00A92486"/>
    <w:rsid w:val="00A92651"/>
    <w:rsid w:val="00A92D76"/>
    <w:rsid w:val="00A93122"/>
    <w:rsid w:val="00A9326F"/>
    <w:rsid w:val="00A9383D"/>
    <w:rsid w:val="00A9399B"/>
    <w:rsid w:val="00A93D82"/>
    <w:rsid w:val="00A94268"/>
    <w:rsid w:val="00A942D9"/>
    <w:rsid w:val="00A9450E"/>
    <w:rsid w:val="00A94E2A"/>
    <w:rsid w:val="00A959EC"/>
    <w:rsid w:val="00A95ADA"/>
    <w:rsid w:val="00A96D3F"/>
    <w:rsid w:val="00A96DFB"/>
    <w:rsid w:val="00A97BA9"/>
    <w:rsid w:val="00AA01A7"/>
    <w:rsid w:val="00AA0CB2"/>
    <w:rsid w:val="00AA203B"/>
    <w:rsid w:val="00AA20EC"/>
    <w:rsid w:val="00AA2E23"/>
    <w:rsid w:val="00AA2E8A"/>
    <w:rsid w:val="00AA32B3"/>
    <w:rsid w:val="00AA3D49"/>
    <w:rsid w:val="00AA3F8E"/>
    <w:rsid w:val="00AA43FE"/>
    <w:rsid w:val="00AA4FF3"/>
    <w:rsid w:val="00AA5062"/>
    <w:rsid w:val="00AA602E"/>
    <w:rsid w:val="00AA62FD"/>
    <w:rsid w:val="00AA6672"/>
    <w:rsid w:val="00AA703A"/>
    <w:rsid w:val="00AA76C5"/>
    <w:rsid w:val="00AB0310"/>
    <w:rsid w:val="00AB04D4"/>
    <w:rsid w:val="00AB07DB"/>
    <w:rsid w:val="00AB0876"/>
    <w:rsid w:val="00AB0920"/>
    <w:rsid w:val="00AB12C4"/>
    <w:rsid w:val="00AB241A"/>
    <w:rsid w:val="00AB2498"/>
    <w:rsid w:val="00AB294B"/>
    <w:rsid w:val="00AB2BB5"/>
    <w:rsid w:val="00AB3CE0"/>
    <w:rsid w:val="00AB439E"/>
    <w:rsid w:val="00AB4F64"/>
    <w:rsid w:val="00AB53F5"/>
    <w:rsid w:val="00AB68D3"/>
    <w:rsid w:val="00AB6B1B"/>
    <w:rsid w:val="00AB6E66"/>
    <w:rsid w:val="00AB6E67"/>
    <w:rsid w:val="00AB70C5"/>
    <w:rsid w:val="00AB7770"/>
    <w:rsid w:val="00AB7A92"/>
    <w:rsid w:val="00AC011C"/>
    <w:rsid w:val="00AC01F7"/>
    <w:rsid w:val="00AC0270"/>
    <w:rsid w:val="00AC035F"/>
    <w:rsid w:val="00AC0971"/>
    <w:rsid w:val="00AC190B"/>
    <w:rsid w:val="00AC2218"/>
    <w:rsid w:val="00AC23CF"/>
    <w:rsid w:val="00AC2FAC"/>
    <w:rsid w:val="00AC4281"/>
    <w:rsid w:val="00AC5251"/>
    <w:rsid w:val="00AC5464"/>
    <w:rsid w:val="00AC5773"/>
    <w:rsid w:val="00AC59AA"/>
    <w:rsid w:val="00AC6585"/>
    <w:rsid w:val="00AC65AC"/>
    <w:rsid w:val="00AC736D"/>
    <w:rsid w:val="00AC781F"/>
    <w:rsid w:val="00AD00E6"/>
    <w:rsid w:val="00AD0A53"/>
    <w:rsid w:val="00AD101C"/>
    <w:rsid w:val="00AD1EB5"/>
    <w:rsid w:val="00AD20CB"/>
    <w:rsid w:val="00AD270C"/>
    <w:rsid w:val="00AD28C1"/>
    <w:rsid w:val="00AD2F5D"/>
    <w:rsid w:val="00AD4471"/>
    <w:rsid w:val="00AD47E0"/>
    <w:rsid w:val="00AD4802"/>
    <w:rsid w:val="00AD4B45"/>
    <w:rsid w:val="00AD586A"/>
    <w:rsid w:val="00AD6FEC"/>
    <w:rsid w:val="00AD7325"/>
    <w:rsid w:val="00AE0243"/>
    <w:rsid w:val="00AE13E4"/>
    <w:rsid w:val="00AE16F8"/>
    <w:rsid w:val="00AE1826"/>
    <w:rsid w:val="00AE1AC3"/>
    <w:rsid w:val="00AE20AC"/>
    <w:rsid w:val="00AE2E39"/>
    <w:rsid w:val="00AE3FE9"/>
    <w:rsid w:val="00AE469F"/>
    <w:rsid w:val="00AE4811"/>
    <w:rsid w:val="00AE52E8"/>
    <w:rsid w:val="00AE55E2"/>
    <w:rsid w:val="00AE60E1"/>
    <w:rsid w:val="00AE6905"/>
    <w:rsid w:val="00AE6AF4"/>
    <w:rsid w:val="00AE7268"/>
    <w:rsid w:val="00AE78C2"/>
    <w:rsid w:val="00AE7CBE"/>
    <w:rsid w:val="00AE7DAB"/>
    <w:rsid w:val="00AE7F29"/>
    <w:rsid w:val="00AF0599"/>
    <w:rsid w:val="00AF122B"/>
    <w:rsid w:val="00AF12CF"/>
    <w:rsid w:val="00AF12F7"/>
    <w:rsid w:val="00AF1374"/>
    <w:rsid w:val="00AF1D15"/>
    <w:rsid w:val="00AF2FC6"/>
    <w:rsid w:val="00AF3421"/>
    <w:rsid w:val="00AF3559"/>
    <w:rsid w:val="00AF4322"/>
    <w:rsid w:val="00AF5623"/>
    <w:rsid w:val="00AF638A"/>
    <w:rsid w:val="00AF63D3"/>
    <w:rsid w:val="00AF63F5"/>
    <w:rsid w:val="00AF6461"/>
    <w:rsid w:val="00AF68BC"/>
    <w:rsid w:val="00AF68C7"/>
    <w:rsid w:val="00AF75CF"/>
    <w:rsid w:val="00AF78DC"/>
    <w:rsid w:val="00AF7F1B"/>
    <w:rsid w:val="00B01489"/>
    <w:rsid w:val="00B01893"/>
    <w:rsid w:val="00B02311"/>
    <w:rsid w:val="00B02892"/>
    <w:rsid w:val="00B03074"/>
    <w:rsid w:val="00B03D04"/>
    <w:rsid w:val="00B0547E"/>
    <w:rsid w:val="00B05817"/>
    <w:rsid w:val="00B05FAB"/>
    <w:rsid w:val="00B0602D"/>
    <w:rsid w:val="00B06FD1"/>
    <w:rsid w:val="00B07C04"/>
    <w:rsid w:val="00B10328"/>
    <w:rsid w:val="00B106A0"/>
    <w:rsid w:val="00B10BE9"/>
    <w:rsid w:val="00B119CE"/>
    <w:rsid w:val="00B11BD3"/>
    <w:rsid w:val="00B12182"/>
    <w:rsid w:val="00B12217"/>
    <w:rsid w:val="00B12415"/>
    <w:rsid w:val="00B12851"/>
    <w:rsid w:val="00B129CE"/>
    <w:rsid w:val="00B138F4"/>
    <w:rsid w:val="00B139DC"/>
    <w:rsid w:val="00B14069"/>
    <w:rsid w:val="00B14BB3"/>
    <w:rsid w:val="00B15001"/>
    <w:rsid w:val="00B1510C"/>
    <w:rsid w:val="00B1517F"/>
    <w:rsid w:val="00B15302"/>
    <w:rsid w:val="00B15E3B"/>
    <w:rsid w:val="00B1602F"/>
    <w:rsid w:val="00B16490"/>
    <w:rsid w:val="00B16B34"/>
    <w:rsid w:val="00B17285"/>
    <w:rsid w:val="00B17DDF"/>
    <w:rsid w:val="00B20246"/>
    <w:rsid w:val="00B20487"/>
    <w:rsid w:val="00B208A9"/>
    <w:rsid w:val="00B20BBF"/>
    <w:rsid w:val="00B20DE1"/>
    <w:rsid w:val="00B21572"/>
    <w:rsid w:val="00B21E82"/>
    <w:rsid w:val="00B229BF"/>
    <w:rsid w:val="00B230C1"/>
    <w:rsid w:val="00B23229"/>
    <w:rsid w:val="00B244B7"/>
    <w:rsid w:val="00B24788"/>
    <w:rsid w:val="00B24B69"/>
    <w:rsid w:val="00B24EB9"/>
    <w:rsid w:val="00B256E7"/>
    <w:rsid w:val="00B25F4E"/>
    <w:rsid w:val="00B26313"/>
    <w:rsid w:val="00B26458"/>
    <w:rsid w:val="00B26820"/>
    <w:rsid w:val="00B27ABD"/>
    <w:rsid w:val="00B301BE"/>
    <w:rsid w:val="00B30602"/>
    <w:rsid w:val="00B30ED7"/>
    <w:rsid w:val="00B3138E"/>
    <w:rsid w:val="00B31570"/>
    <w:rsid w:val="00B33500"/>
    <w:rsid w:val="00B33A9A"/>
    <w:rsid w:val="00B33DC8"/>
    <w:rsid w:val="00B3412E"/>
    <w:rsid w:val="00B343CC"/>
    <w:rsid w:val="00B34655"/>
    <w:rsid w:val="00B3520E"/>
    <w:rsid w:val="00B35591"/>
    <w:rsid w:val="00B355A4"/>
    <w:rsid w:val="00B359BB"/>
    <w:rsid w:val="00B362F1"/>
    <w:rsid w:val="00B36788"/>
    <w:rsid w:val="00B367AB"/>
    <w:rsid w:val="00B36D69"/>
    <w:rsid w:val="00B3788C"/>
    <w:rsid w:val="00B37A7F"/>
    <w:rsid w:val="00B37D40"/>
    <w:rsid w:val="00B37DFE"/>
    <w:rsid w:val="00B37E7D"/>
    <w:rsid w:val="00B40314"/>
    <w:rsid w:val="00B405EC"/>
    <w:rsid w:val="00B40AF7"/>
    <w:rsid w:val="00B40C55"/>
    <w:rsid w:val="00B40EB8"/>
    <w:rsid w:val="00B4162D"/>
    <w:rsid w:val="00B41F8C"/>
    <w:rsid w:val="00B42578"/>
    <w:rsid w:val="00B42581"/>
    <w:rsid w:val="00B42E22"/>
    <w:rsid w:val="00B430F5"/>
    <w:rsid w:val="00B44324"/>
    <w:rsid w:val="00B446C3"/>
    <w:rsid w:val="00B4485D"/>
    <w:rsid w:val="00B44B82"/>
    <w:rsid w:val="00B4547A"/>
    <w:rsid w:val="00B458B8"/>
    <w:rsid w:val="00B46075"/>
    <w:rsid w:val="00B4643F"/>
    <w:rsid w:val="00B4718A"/>
    <w:rsid w:val="00B47330"/>
    <w:rsid w:val="00B4774D"/>
    <w:rsid w:val="00B47983"/>
    <w:rsid w:val="00B47E34"/>
    <w:rsid w:val="00B50E41"/>
    <w:rsid w:val="00B5163D"/>
    <w:rsid w:val="00B51D5C"/>
    <w:rsid w:val="00B52E9A"/>
    <w:rsid w:val="00B53ACE"/>
    <w:rsid w:val="00B53F67"/>
    <w:rsid w:val="00B547A6"/>
    <w:rsid w:val="00B548C3"/>
    <w:rsid w:val="00B54FF2"/>
    <w:rsid w:val="00B55328"/>
    <w:rsid w:val="00B55F16"/>
    <w:rsid w:val="00B55F74"/>
    <w:rsid w:val="00B55FE9"/>
    <w:rsid w:val="00B5644B"/>
    <w:rsid w:val="00B6034B"/>
    <w:rsid w:val="00B6043B"/>
    <w:rsid w:val="00B60F93"/>
    <w:rsid w:val="00B6156D"/>
    <w:rsid w:val="00B61ECD"/>
    <w:rsid w:val="00B628A4"/>
    <w:rsid w:val="00B628BA"/>
    <w:rsid w:val="00B62C83"/>
    <w:rsid w:val="00B63070"/>
    <w:rsid w:val="00B6401E"/>
    <w:rsid w:val="00B64052"/>
    <w:rsid w:val="00B64080"/>
    <w:rsid w:val="00B649FD"/>
    <w:rsid w:val="00B64D22"/>
    <w:rsid w:val="00B65C8B"/>
    <w:rsid w:val="00B65CDE"/>
    <w:rsid w:val="00B65DCB"/>
    <w:rsid w:val="00B666D9"/>
    <w:rsid w:val="00B6696A"/>
    <w:rsid w:val="00B669C0"/>
    <w:rsid w:val="00B66BF6"/>
    <w:rsid w:val="00B6700C"/>
    <w:rsid w:val="00B67031"/>
    <w:rsid w:val="00B67655"/>
    <w:rsid w:val="00B67B0F"/>
    <w:rsid w:val="00B67B99"/>
    <w:rsid w:val="00B714D5"/>
    <w:rsid w:val="00B715B1"/>
    <w:rsid w:val="00B71633"/>
    <w:rsid w:val="00B72369"/>
    <w:rsid w:val="00B72E60"/>
    <w:rsid w:val="00B7336F"/>
    <w:rsid w:val="00B73A3E"/>
    <w:rsid w:val="00B73B36"/>
    <w:rsid w:val="00B74170"/>
    <w:rsid w:val="00B74A3E"/>
    <w:rsid w:val="00B750AD"/>
    <w:rsid w:val="00B7620C"/>
    <w:rsid w:val="00B762CA"/>
    <w:rsid w:val="00B76640"/>
    <w:rsid w:val="00B76813"/>
    <w:rsid w:val="00B76BF4"/>
    <w:rsid w:val="00B77976"/>
    <w:rsid w:val="00B80152"/>
    <w:rsid w:val="00B80502"/>
    <w:rsid w:val="00B81A47"/>
    <w:rsid w:val="00B82F15"/>
    <w:rsid w:val="00B830B1"/>
    <w:rsid w:val="00B83613"/>
    <w:rsid w:val="00B83CAD"/>
    <w:rsid w:val="00B83F8E"/>
    <w:rsid w:val="00B85250"/>
    <w:rsid w:val="00B85872"/>
    <w:rsid w:val="00B858DF"/>
    <w:rsid w:val="00B85BEB"/>
    <w:rsid w:val="00B85E1E"/>
    <w:rsid w:val="00B861CB"/>
    <w:rsid w:val="00B86F23"/>
    <w:rsid w:val="00B87133"/>
    <w:rsid w:val="00B8754A"/>
    <w:rsid w:val="00B879A3"/>
    <w:rsid w:val="00B87D6A"/>
    <w:rsid w:val="00B87DA0"/>
    <w:rsid w:val="00B87E94"/>
    <w:rsid w:val="00B900ED"/>
    <w:rsid w:val="00B927D0"/>
    <w:rsid w:val="00B928B0"/>
    <w:rsid w:val="00B92E96"/>
    <w:rsid w:val="00B92FB2"/>
    <w:rsid w:val="00B93067"/>
    <w:rsid w:val="00B933F6"/>
    <w:rsid w:val="00B940A0"/>
    <w:rsid w:val="00B948CA"/>
    <w:rsid w:val="00B9524A"/>
    <w:rsid w:val="00B9528B"/>
    <w:rsid w:val="00B96B9D"/>
    <w:rsid w:val="00B96EAE"/>
    <w:rsid w:val="00B96FD7"/>
    <w:rsid w:val="00B97A28"/>
    <w:rsid w:val="00BA04B3"/>
    <w:rsid w:val="00BA19A1"/>
    <w:rsid w:val="00BA1A87"/>
    <w:rsid w:val="00BA1D53"/>
    <w:rsid w:val="00BA2183"/>
    <w:rsid w:val="00BA239E"/>
    <w:rsid w:val="00BA2573"/>
    <w:rsid w:val="00BA36CD"/>
    <w:rsid w:val="00BA393E"/>
    <w:rsid w:val="00BA41C1"/>
    <w:rsid w:val="00BA4E79"/>
    <w:rsid w:val="00BA53ED"/>
    <w:rsid w:val="00BA58BF"/>
    <w:rsid w:val="00BA5FF0"/>
    <w:rsid w:val="00BA650E"/>
    <w:rsid w:val="00BA6689"/>
    <w:rsid w:val="00BA71D9"/>
    <w:rsid w:val="00BA74BB"/>
    <w:rsid w:val="00BA7C67"/>
    <w:rsid w:val="00BB03EF"/>
    <w:rsid w:val="00BB08F8"/>
    <w:rsid w:val="00BB0976"/>
    <w:rsid w:val="00BB0A42"/>
    <w:rsid w:val="00BB0A69"/>
    <w:rsid w:val="00BB0D54"/>
    <w:rsid w:val="00BB1005"/>
    <w:rsid w:val="00BB1C1D"/>
    <w:rsid w:val="00BB252B"/>
    <w:rsid w:val="00BB30A4"/>
    <w:rsid w:val="00BB36BC"/>
    <w:rsid w:val="00BB3AC0"/>
    <w:rsid w:val="00BB3EF4"/>
    <w:rsid w:val="00BB3FEB"/>
    <w:rsid w:val="00BB4343"/>
    <w:rsid w:val="00BB4697"/>
    <w:rsid w:val="00BB4953"/>
    <w:rsid w:val="00BB4F41"/>
    <w:rsid w:val="00BB57E2"/>
    <w:rsid w:val="00BB5DEA"/>
    <w:rsid w:val="00BB61AB"/>
    <w:rsid w:val="00BB6326"/>
    <w:rsid w:val="00BB63BA"/>
    <w:rsid w:val="00BB6483"/>
    <w:rsid w:val="00BB775A"/>
    <w:rsid w:val="00BB7815"/>
    <w:rsid w:val="00BB79F9"/>
    <w:rsid w:val="00BB7DDA"/>
    <w:rsid w:val="00BC09D1"/>
    <w:rsid w:val="00BC0E5D"/>
    <w:rsid w:val="00BC13A3"/>
    <w:rsid w:val="00BC1800"/>
    <w:rsid w:val="00BC193B"/>
    <w:rsid w:val="00BC23AA"/>
    <w:rsid w:val="00BC39DF"/>
    <w:rsid w:val="00BC3F0D"/>
    <w:rsid w:val="00BC4EC9"/>
    <w:rsid w:val="00BC658E"/>
    <w:rsid w:val="00BC6671"/>
    <w:rsid w:val="00BC6711"/>
    <w:rsid w:val="00BC7397"/>
    <w:rsid w:val="00BC74EA"/>
    <w:rsid w:val="00BC7F50"/>
    <w:rsid w:val="00BD0643"/>
    <w:rsid w:val="00BD0B32"/>
    <w:rsid w:val="00BD0C0F"/>
    <w:rsid w:val="00BD182C"/>
    <w:rsid w:val="00BD1F55"/>
    <w:rsid w:val="00BD212E"/>
    <w:rsid w:val="00BD245D"/>
    <w:rsid w:val="00BD2B13"/>
    <w:rsid w:val="00BD4475"/>
    <w:rsid w:val="00BD4C03"/>
    <w:rsid w:val="00BD4C9A"/>
    <w:rsid w:val="00BD4DE1"/>
    <w:rsid w:val="00BD51F0"/>
    <w:rsid w:val="00BD6479"/>
    <w:rsid w:val="00BD6BAE"/>
    <w:rsid w:val="00BD7136"/>
    <w:rsid w:val="00BE0203"/>
    <w:rsid w:val="00BE07EE"/>
    <w:rsid w:val="00BE0955"/>
    <w:rsid w:val="00BE0963"/>
    <w:rsid w:val="00BE0D2E"/>
    <w:rsid w:val="00BE10C1"/>
    <w:rsid w:val="00BE2384"/>
    <w:rsid w:val="00BE28AF"/>
    <w:rsid w:val="00BE2E38"/>
    <w:rsid w:val="00BE2E9B"/>
    <w:rsid w:val="00BE2ED4"/>
    <w:rsid w:val="00BE316D"/>
    <w:rsid w:val="00BE34CC"/>
    <w:rsid w:val="00BE3981"/>
    <w:rsid w:val="00BE3AF3"/>
    <w:rsid w:val="00BE3F8A"/>
    <w:rsid w:val="00BE4E54"/>
    <w:rsid w:val="00BE512B"/>
    <w:rsid w:val="00BE51D8"/>
    <w:rsid w:val="00BE6DE2"/>
    <w:rsid w:val="00BE748F"/>
    <w:rsid w:val="00BE74D2"/>
    <w:rsid w:val="00BE7A5E"/>
    <w:rsid w:val="00BE7B69"/>
    <w:rsid w:val="00BE7DA1"/>
    <w:rsid w:val="00BF067A"/>
    <w:rsid w:val="00BF0D9E"/>
    <w:rsid w:val="00BF1074"/>
    <w:rsid w:val="00BF1C50"/>
    <w:rsid w:val="00BF209A"/>
    <w:rsid w:val="00BF22D4"/>
    <w:rsid w:val="00BF29A9"/>
    <w:rsid w:val="00BF2A58"/>
    <w:rsid w:val="00BF2B6F"/>
    <w:rsid w:val="00BF2F78"/>
    <w:rsid w:val="00BF310C"/>
    <w:rsid w:val="00BF359C"/>
    <w:rsid w:val="00BF41B9"/>
    <w:rsid w:val="00BF439A"/>
    <w:rsid w:val="00BF4857"/>
    <w:rsid w:val="00BF4F13"/>
    <w:rsid w:val="00BF4F76"/>
    <w:rsid w:val="00BF5077"/>
    <w:rsid w:val="00BF53AF"/>
    <w:rsid w:val="00BF53F6"/>
    <w:rsid w:val="00BF69E5"/>
    <w:rsid w:val="00BF6F57"/>
    <w:rsid w:val="00BF6FBF"/>
    <w:rsid w:val="00BF7AA1"/>
    <w:rsid w:val="00C00676"/>
    <w:rsid w:val="00C0125C"/>
    <w:rsid w:val="00C01994"/>
    <w:rsid w:val="00C028FE"/>
    <w:rsid w:val="00C02E02"/>
    <w:rsid w:val="00C03CB5"/>
    <w:rsid w:val="00C04B85"/>
    <w:rsid w:val="00C05814"/>
    <w:rsid w:val="00C05E0E"/>
    <w:rsid w:val="00C06ABD"/>
    <w:rsid w:val="00C0740D"/>
    <w:rsid w:val="00C11066"/>
    <w:rsid w:val="00C11346"/>
    <w:rsid w:val="00C11531"/>
    <w:rsid w:val="00C11A2E"/>
    <w:rsid w:val="00C11BC3"/>
    <w:rsid w:val="00C11C7E"/>
    <w:rsid w:val="00C11ECF"/>
    <w:rsid w:val="00C12D2D"/>
    <w:rsid w:val="00C13342"/>
    <w:rsid w:val="00C13389"/>
    <w:rsid w:val="00C145B8"/>
    <w:rsid w:val="00C147AA"/>
    <w:rsid w:val="00C14A8E"/>
    <w:rsid w:val="00C15080"/>
    <w:rsid w:val="00C152E6"/>
    <w:rsid w:val="00C163DB"/>
    <w:rsid w:val="00C163FE"/>
    <w:rsid w:val="00C17289"/>
    <w:rsid w:val="00C17598"/>
    <w:rsid w:val="00C202B1"/>
    <w:rsid w:val="00C20829"/>
    <w:rsid w:val="00C20E9B"/>
    <w:rsid w:val="00C21118"/>
    <w:rsid w:val="00C212B0"/>
    <w:rsid w:val="00C2136B"/>
    <w:rsid w:val="00C21A79"/>
    <w:rsid w:val="00C22AE9"/>
    <w:rsid w:val="00C22D32"/>
    <w:rsid w:val="00C235F9"/>
    <w:rsid w:val="00C23F2F"/>
    <w:rsid w:val="00C242D6"/>
    <w:rsid w:val="00C25FD5"/>
    <w:rsid w:val="00C260C3"/>
    <w:rsid w:val="00C26319"/>
    <w:rsid w:val="00C26876"/>
    <w:rsid w:val="00C2695B"/>
    <w:rsid w:val="00C274B0"/>
    <w:rsid w:val="00C27B51"/>
    <w:rsid w:val="00C27B7C"/>
    <w:rsid w:val="00C27B84"/>
    <w:rsid w:val="00C30019"/>
    <w:rsid w:val="00C318BC"/>
    <w:rsid w:val="00C320B5"/>
    <w:rsid w:val="00C3242C"/>
    <w:rsid w:val="00C3470B"/>
    <w:rsid w:val="00C34818"/>
    <w:rsid w:val="00C3481F"/>
    <w:rsid w:val="00C348A1"/>
    <w:rsid w:val="00C34D5A"/>
    <w:rsid w:val="00C34EB6"/>
    <w:rsid w:val="00C34FC4"/>
    <w:rsid w:val="00C3506E"/>
    <w:rsid w:val="00C35199"/>
    <w:rsid w:val="00C35E59"/>
    <w:rsid w:val="00C3614A"/>
    <w:rsid w:val="00C36E86"/>
    <w:rsid w:val="00C37136"/>
    <w:rsid w:val="00C37892"/>
    <w:rsid w:val="00C410A9"/>
    <w:rsid w:val="00C41542"/>
    <w:rsid w:val="00C41792"/>
    <w:rsid w:val="00C41DBA"/>
    <w:rsid w:val="00C4216D"/>
    <w:rsid w:val="00C425DB"/>
    <w:rsid w:val="00C42DC2"/>
    <w:rsid w:val="00C43326"/>
    <w:rsid w:val="00C43CF7"/>
    <w:rsid w:val="00C43D30"/>
    <w:rsid w:val="00C44362"/>
    <w:rsid w:val="00C445DA"/>
    <w:rsid w:val="00C44845"/>
    <w:rsid w:val="00C44B58"/>
    <w:rsid w:val="00C44C66"/>
    <w:rsid w:val="00C44E05"/>
    <w:rsid w:val="00C45216"/>
    <w:rsid w:val="00C45306"/>
    <w:rsid w:val="00C453A0"/>
    <w:rsid w:val="00C45E1B"/>
    <w:rsid w:val="00C46808"/>
    <w:rsid w:val="00C46A5B"/>
    <w:rsid w:val="00C471FF"/>
    <w:rsid w:val="00C47D80"/>
    <w:rsid w:val="00C506A0"/>
    <w:rsid w:val="00C50714"/>
    <w:rsid w:val="00C50741"/>
    <w:rsid w:val="00C50828"/>
    <w:rsid w:val="00C508BF"/>
    <w:rsid w:val="00C50B02"/>
    <w:rsid w:val="00C51929"/>
    <w:rsid w:val="00C52677"/>
    <w:rsid w:val="00C528B9"/>
    <w:rsid w:val="00C52951"/>
    <w:rsid w:val="00C52A71"/>
    <w:rsid w:val="00C5320E"/>
    <w:rsid w:val="00C5414E"/>
    <w:rsid w:val="00C54ABF"/>
    <w:rsid w:val="00C54BF9"/>
    <w:rsid w:val="00C55251"/>
    <w:rsid w:val="00C55DCD"/>
    <w:rsid w:val="00C55E9D"/>
    <w:rsid w:val="00C562E8"/>
    <w:rsid w:val="00C56756"/>
    <w:rsid w:val="00C574EE"/>
    <w:rsid w:val="00C5755D"/>
    <w:rsid w:val="00C577D8"/>
    <w:rsid w:val="00C601DE"/>
    <w:rsid w:val="00C604B4"/>
    <w:rsid w:val="00C6083A"/>
    <w:rsid w:val="00C610BE"/>
    <w:rsid w:val="00C63470"/>
    <w:rsid w:val="00C63575"/>
    <w:rsid w:val="00C6516E"/>
    <w:rsid w:val="00C651D7"/>
    <w:rsid w:val="00C656D2"/>
    <w:rsid w:val="00C65757"/>
    <w:rsid w:val="00C657D1"/>
    <w:rsid w:val="00C6588F"/>
    <w:rsid w:val="00C6608D"/>
    <w:rsid w:val="00C66931"/>
    <w:rsid w:val="00C67A15"/>
    <w:rsid w:val="00C67D27"/>
    <w:rsid w:val="00C67E24"/>
    <w:rsid w:val="00C67EE4"/>
    <w:rsid w:val="00C67FE3"/>
    <w:rsid w:val="00C7001A"/>
    <w:rsid w:val="00C70502"/>
    <w:rsid w:val="00C73124"/>
    <w:rsid w:val="00C74695"/>
    <w:rsid w:val="00C74773"/>
    <w:rsid w:val="00C75297"/>
    <w:rsid w:val="00C75B32"/>
    <w:rsid w:val="00C75F43"/>
    <w:rsid w:val="00C76065"/>
    <w:rsid w:val="00C76319"/>
    <w:rsid w:val="00C764FC"/>
    <w:rsid w:val="00C769CC"/>
    <w:rsid w:val="00C771F6"/>
    <w:rsid w:val="00C77961"/>
    <w:rsid w:val="00C77C8C"/>
    <w:rsid w:val="00C77D75"/>
    <w:rsid w:val="00C77ECB"/>
    <w:rsid w:val="00C80214"/>
    <w:rsid w:val="00C80AFE"/>
    <w:rsid w:val="00C80BEB"/>
    <w:rsid w:val="00C80D5C"/>
    <w:rsid w:val="00C810BE"/>
    <w:rsid w:val="00C8148C"/>
    <w:rsid w:val="00C814A9"/>
    <w:rsid w:val="00C820F9"/>
    <w:rsid w:val="00C8236A"/>
    <w:rsid w:val="00C82E21"/>
    <w:rsid w:val="00C833C2"/>
    <w:rsid w:val="00C839C9"/>
    <w:rsid w:val="00C843DE"/>
    <w:rsid w:val="00C84578"/>
    <w:rsid w:val="00C84D8A"/>
    <w:rsid w:val="00C84E65"/>
    <w:rsid w:val="00C84F33"/>
    <w:rsid w:val="00C85E91"/>
    <w:rsid w:val="00C86692"/>
    <w:rsid w:val="00C86730"/>
    <w:rsid w:val="00C87049"/>
    <w:rsid w:val="00C87DBF"/>
    <w:rsid w:val="00C9157E"/>
    <w:rsid w:val="00C917E7"/>
    <w:rsid w:val="00C91A0C"/>
    <w:rsid w:val="00C91DDF"/>
    <w:rsid w:val="00C92545"/>
    <w:rsid w:val="00C925BB"/>
    <w:rsid w:val="00C92892"/>
    <w:rsid w:val="00C92906"/>
    <w:rsid w:val="00C92DBD"/>
    <w:rsid w:val="00C9368E"/>
    <w:rsid w:val="00C94F48"/>
    <w:rsid w:val="00C95117"/>
    <w:rsid w:val="00C956C0"/>
    <w:rsid w:val="00C95DA2"/>
    <w:rsid w:val="00C962C1"/>
    <w:rsid w:val="00C968A1"/>
    <w:rsid w:val="00C9734A"/>
    <w:rsid w:val="00C973E9"/>
    <w:rsid w:val="00C97594"/>
    <w:rsid w:val="00C975A9"/>
    <w:rsid w:val="00C97E9A"/>
    <w:rsid w:val="00CA012A"/>
    <w:rsid w:val="00CA062D"/>
    <w:rsid w:val="00CA0766"/>
    <w:rsid w:val="00CA0951"/>
    <w:rsid w:val="00CA14A7"/>
    <w:rsid w:val="00CA2D3B"/>
    <w:rsid w:val="00CA3820"/>
    <w:rsid w:val="00CA3D7C"/>
    <w:rsid w:val="00CA41F6"/>
    <w:rsid w:val="00CA4612"/>
    <w:rsid w:val="00CA5156"/>
    <w:rsid w:val="00CA55A8"/>
    <w:rsid w:val="00CA6500"/>
    <w:rsid w:val="00CA75C8"/>
    <w:rsid w:val="00CA7E56"/>
    <w:rsid w:val="00CA7E7C"/>
    <w:rsid w:val="00CB0305"/>
    <w:rsid w:val="00CB196B"/>
    <w:rsid w:val="00CB1BC7"/>
    <w:rsid w:val="00CB1F67"/>
    <w:rsid w:val="00CB226C"/>
    <w:rsid w:val="00CB2629"/>
    <w:rsid w:val="00CB2B0E"/>
    <w:rsid w:val="00CB2F28"/>
    <w:rsid w:val="00CB33D2"/>
    <w:rsid w:val="00CB37DC"/>
    <w:rsid w:val="00CB3AB9"/>
    <w:rsid w:val="00CB436C"/>
    <w:rsid w:val="00CB4BE5"/>
    <w:rsid w:val="00CB5E32"/>
    <w:rsid w:val="00CB5F08"/>
    <w:rsid w:val="00CB6CA4"/>
    <w:rsid w:val="00CB6D4A"/>
    <w:rsid w:val="00CB72E7"/>
    <w:rsid w:val="00CB76D9"/>
    <w:rsid w:val="00CB791B"/>
    <w:rsid w:val="00CB79BB"/>
    <w:rsid w:val="00CB7D28"/>
    <w:rsid w:val="00CB7DFE"/>
    <w:rsid w:val="00CC033F"/>
    <w:rsid w:val="00CC08F2"/>
    <w:rsid w:val="00CC0A94"/>
    <w:rsid w:val="00CC0E09"/>
    <w:rsid w:val="00CC1BE5"/>
    <w:rsid w:val="00CC2BFB"/>
    <w:rsid w:val="00CC3DB5"/>
    <w:rsid w:val="00CC4268"/>
    <w:rsid w:val="00CC44B4"/>
    <w:rsid w:val="00CC46A7"/>
    <w:rsid w:val="00CC495B"/>
    <w:rsid w:val="00CC4D96"/>
    <w:rsid w:val="00CC503D"/>
    <w:rsid w:val="00CC537E"/>
    <w:rsid w:val="00CC5508"/>
    <w:rsid w:val="00CC5F67"/>
    <w:rsid w:val="00CC7380"/>
    <w:rsid w:val="00CC79F5"/>
    <w:rsid w:val="00CC7C33"/>
    <w:rsid w:val="00CD049A"/>
    <w:rsid w:val="00CD0ED4"/>
    <w:rsid w:val="00CD13B1"/>
    <w:rsid w:val="00CD1E8E"/>
    <w:rsid w:val="00CD2405"/>
    <w:rsid w:val="00CD24B3"/>
    <w:rsid w:val="00CD24DB"/>
    <w:rsid w:val="00CD3E33"/>
    <w:rsid w:val="00CD3EBE"/>
    <w:rsid w:val="00CD43B8"/>
    <w:rsid w:val="00CD493C"/>
    <w:rsid w:val="00CD4A18"/>
    <w:rsid w:val="00CD4A66"/>
    <w:rsid w:val="00CD546C"/>
    <w:rsid w:val="00CD5623"/>
    <w:rsid w:val="00CD5BE9"/>
    <w:rsid w:val="00CD5D98"/>
    <w:rsid w:val="00CD5EA8"/>
    <w:rsid w:val="00CD62EF"/>
    <w:rsid w:val="00CD67CB"/>
    <w:rsid w:val="00CD6C97"/>
    <w:rsid w:val="00CE0745"/>
    <w:rsid w:val="00CE0FFC"/>
    <w:rsid w:val="00CE1225"/>
    <w:rsid w:val="00CE19B6"/>
    <w:rsid w:val="00CE1CEA"/>
    <w:rsid w:val="00CE289F"/>
    <w:rsid w:val="00CE2B3D"/>
    <w:rsid w:val="00CE3D72"/>
    <w:rsid w:val="00CE5EDC"/>
    <w:rsid w:val="00CE6CBC"/>
    <w:rsid w:val="00CE7471"/>
    <w:rsid w:val="00CF026B"/>
    <w:rsid w:val="00CF042F"/>
    <w:rsid w:val="00CF07A4"/>
    <w:rsid w:val="00CF0A4A"/>
    <w:rsid w:val="00CF1248"/>
    <w:rsid w:val="00CF1E0A"/>
    <w:rsid w:val="00CF21E5"/>
    <w:rsid w:val="00CF2B96"/>
    <w:rsid w:val="00CF2FF5"/>
    <w:rsid w:val="00CF32DA"/>
    <w:rsid w:val="00CF38DE"/>
    <w:rsid w:val="00CF3CEC"/>
    <w:rsid w:val="00CF3DB1"/>
    <w:rsid w:val="00CF4221"/>
    <w:rsid w:val="00CF4A7E"/>
    <w:rsid w:val="00CF5370"/>
    <w:rsid w:val="00CF58E7"/>
    <w:rsid w:val="00CF6083"/>
    <w:rsid w:val="00CF6116"/>
    <w:rsid w:val="00CF655B"/>
    <w:rsid w:val="00CF6BFE"/>
    <w:rsid w:val="00CF724F"/>
    <w:rsid w:val="00CF76E7"/>
    <w:rsid w:val="00CF7977"/>
    <w:rsid w:val="00D016C6"/>
    <w:rsid w:val="00D01A6D"/>
    <w:rsid w:val="00D02008"/>
    <w:rsid w:val="00D026A4"/>
    <w:rsid w:val="00D026B9"/>
    <w:rsid w:val="00D028FA"/>
    <w:rsid w:val="00D02BF0"/>
    <w:rsid w:val="00D02F24"/>
    <w:rsid w:val="00D035DA"/>
    <w:rsid w:val="00D038BF"/>
    <w:rsid w:val="00D03DA9"/>
    <w:rsid w:val="00D041B8"/>
    <w:rsid w:val="00D048CA"/>
    <w:rsid w:val="00D04A74"/>
    <w:rsid w:val="00D04BD9"/>
    <w:rsid w:val="00D053C0"/>
    <w:rsid w:val="00D05EA4"/>
    <w:rsid w:val="00D06713"/>
    <w:rsid w:val="00D0694C"/>
    <w:rsid w:val="00D06E23"/>
    <w:rsid w:val="00D06FE3"/>
    <w:rsid w:val="00D0723D"/>
    <w:rsid w:val="00D0725C"/>
    <w:rsid w:val="00D07521"/>
    <w:rsid w:val="00D07DAC"/>
    <w:rsid w:val="00D10350"/>
    <w:rsid w:val="00D10B94"/>
    <w:rsid w:val="00D11B0B"/>
    <w:rsid w:val="00D122E5"/>
    <w:rsid w:val="00D12EC7"/>
    <w:rsid w:val="00D1344D"/>
    <w:rsid w:val="00D13498"/>
    <w:rsid w:val="00D137B6"/>
    <w:rsid w:val="00D13837"/>
    <w:rsid w:val="00D146D8"/>
    <w:rsid w:val="00D1490B"/>
    <w:rsid w:val="00D14C22"/>
    <w:rsid w:val="00D15067"/>
    <w:rsid w:val="00D15D2F"/>
    <w:rsid w:val="00D15EE2"/>
    <w:rsid w:val="00D16206"/>
    <w:rsid w:val="00D162C7"/>
    <w:rsid w:val="00D16BF0"/>
    <w:rsid w:val="00D171F6"/>
    <w:rsid w:val="00D17F6D"/>
    <w:rsid w:val="00D20014"/>
    <w:rsid w:val="00D202D7"/>
    <w:rsid w:val="00D209E2"/>
    <w:rsid w:val="00D20D5F"/>
    <w:rsid w:val="00D21082"/>
    <w:rsid w:val="00D2163C"/>
    <w:rsid w:val="00D21BF8"/>
    <w:rsid w:val="00D2220C"/>
    <w:rsid w:val="00D2399E"/>
    <w:rsid w:val="00D24D48"/>
    <w:rsid w:val="00D25287"/>
    <w:rsid w:val="00D25402"/>
    <w:rsid w:val="00D25489"/>
    <w:rsid w:val="00D25C91"/>
    <w:rsid w:val="00D25D91"/>
    <w:rsid w:val="00D26646"/>
    <w:rsid w:val="00D26A9E"/>
    <w:rsid w:val="00D30156"/>
    <w:rsid w:val="00D3016C"/>
    <w:rsid w:val="00D30554"/>
    <w:rsid w:val="00D305CA"/>
    <w:rsid w:val="00D30616"/>
    <w:rsid w:val="00D30A65"/>
    <w:rsid w:val="00D310BA"/>
    <w:rsid w:val="00D32D23"/>
    <w:rsid w:val="00D32DFC"/>
    <w:rsid w:val="00D339CD"/>
    <w:rsid w:val="00D33B83"/>
    <w:rsid w:val="00D343D0"/>
    <w:rsid w:val="00D34F69"/>
    <w:rsid w:val="00D3529E"/>
    <w:rsid w:val="00D35723"/>
    <w:rsid w:val="00D362A6"/>
    <w:rsid w:val="00D362B9"/>
    <w:rsid w:val="00D369EA"/>
    <w:rsid w:val="00D3739C"/>
    <w:rsid w:val="00D37444"/>
    <w:rsid w:val="00D40579"/>
    <w:rsid w:val="00D406E8"/>
    <w:rsid w:val="00D407BD"/>
    <w:rsid w:val="00D40839"/>
    <w:rsid w:val="00D40A20"/>
    <w:rsid w:val="00D40A9C"/>
    <w:rsid w:val="00D415A4"/>
    <w:rsid w:val="00D4167C"/>
    <w:rsid w:val="00D419C2"/>
    <w:rsid w:val="00D41AEB"/>
    <w:rsid w:val="00D42025"/>
    <w:rsid w:val="00D42D7F"/>
    <w:rsid w:val="00D439AA"/>
    <w:rsid w:val="00D43C25"/>
    <w:rsid w:val="00D43E47"/>
    <w:rsid w:val="00D44CD7"/>
    <w:rsid w:val="00D458D8"/>
    <w:rsid w:val="00D45B82"/>
    <w:rsid w:val="00D45BB3"/>
    <w:rsid w:val="00D45FC7"/>
    <w:rsid w:val="00D46B63"/>
    <w:rsid w:val="00D47078"/>
    <w:rsid w:val="00D47416"/>
    <w:rsid w:val="00D47EAD"/>
    <w:rsid w:val="00D500EC"/>
    <w:rsid w:val="00D50782"/>
    <w:rsid w:val="00D50FE4"/>
    <w:rsid w:val="00D513AA"/>
    <w:rsid w:val="00D514FA"/>
    <w:rsid w:val="00D51777"/>
    <w:rsid w:val="00D51EF9"/>
    <w:rsid w:val="00D52419"/>
    <w:rsid w:val="00D537A9"/>
    <w:rsid w:val="00D54345"/>
    <w:rsid w:val="00D54BF4"/>
    <w:rsid w:val="00D55275"/>
    <w:rsid w:val="00D557B8"/>
    <w:rsid w:val="00D559F2"/>
    <w:rsid w:val="00D55FC2"/>
    <w:rsid w:val="00D56F87"/>
    <w:rsid w:val="00D573A6"/>
    <w:rsid w:val="00D60ED1"/>
    <w:rsid w:val="00D61355"/>
    <w:rsid w:val="00D61380"/>
    <w:rsid w:val="00D6154A"/>
    <w:rsid w:val="00D62239"/>
    <w:rsid w:val="00D62A0E"/>
    <w:rsid w:val="00D636D9"/>
    <w:rsid w:val="00D63ADD"/>
    <w:rsid w:val="00D63CF2"/>
    <w:rsid w:val="00D65704"/>
    <w:rsid w:val="00D65CE7"/>
    <w:rsid w:val="00D65FC2"/>
    <w:rsid w:val="00D66994"/>
    <w:rsid w:val="00D6725D"/>
    <w:rsid w:val="00D674C3"/>
    <w:rsid w:val="00D67DA5"/>
    <w:rsid w:val="00D70A5A"/>
    <w:rsid w:val="00D70D0E"/>
    <w:rsid w:val="00D710DB"/>
    <w:rsid w:val="00D713ED"/>
    <w:rsid w:val="00D71826"/>
    <w:rsid w:val="00D71B8E"/>
    <w:rsid w:val="00D71CBF"/>
    <w:rsid w:val="00D733B2"/>
    <w:rsid w:val="00D73449"/>
    <w:rsid w:val="00D73513"/>
    <w:rsid w:val="00D740DE"/>
    <w:rsid w:val="00D7470B"/>
    <w:rsid w:val="00D74BAA"/>
    <w:rsid w:val="00D76D0E"/>
    <w:rsid w:val="00D76D8B"/>
    <w:rsid w:val="00D80241"/>
    <w:rsid w:val="00D805BD"/>
    <w:rsid w:val="00D80CA3"/>
    <w:rsid w:val="00D82763"/>
    <w:rsid w:val="00D83BFE"/>
    <w:rsid w:val="00D83C94"/>
    <w:rsid w:val="00D85FD5"/>
    <w:rsid w:val="00D86018"/>
    <w:rsid w:val="00D8681C"/>
    <w:rsid w:val="00D86827"/>
    <w:rsid w:val="00D86D63"/>
    <w:rsid w:val="00D86DE0"/>
    <w:rsid w:val="00D879C6"/>
    <w:rsid w:val="00D90F58"/>
    <w:rsid w:val="00D917C6"/>
    <w:rsid w:val="00D91FCD"/>
    <w:rsid w:val="00D92AF7"/>
    <w:rsid w:val="00D92DF1"/>
    <w:rsid w:val="00D92F19"/>
    <w:rsid w:val="00D9337B"/>
    <w:rsid w:val="00D93A8B"/>
    <w:rsid w:val="00D94A8D"/>
    <w:rsid w:val="00D94B43"/>
    <w:rsid w:val="00D94D78"/>
    <w:rsid w:val="00D94F86"/>
    <w:rsid w:val="00D950DF"/>
    <w:rsid w:val="00D95FA3"/>
    <w:rsid w:val="00D96502"/>
    <w:rsid w:val="00D966C9"/>
    <w:rsid w:val="00D974E6"/>
    <w:rsid w:val="00DA0B6D"/>
    <w:rsid w:val="00DA0FA6"/>
    <w:rsid w:val="00DA11ED"/>
    <w:rsid w:val="00DA121C"/>
    <w:rsid w:val="00DA22F3"/>
    <w:rsid w:val="00DA342B"/>
    <w:rsid w:val="00DA3A0E"/>
    <w:rsid w:val="00DA3B02"/>
    <w:rsid w:val="00DA4DBF"/>
    <w:rsid w:val="00DB01BD"/>
    <w:rsid w:val="00DB0405"/>
    <w:rsid w:val="00DB075E"/>
    <w:rsid w:val="00DB10DA"/>
    <w:rsid w:val="00DB1373"/>
    <w:rsid w:val="00DB1537"/>
    <w:rsid w:val="00DB158D"/>
    <w:rsid w:val="00DB18C1"/>
    <w:rsid w:val="00DB1BB2"/>
    <w:rsid w:val="00DB1D3E"/>
    <w:rsid w:val="00DB1EB2"/>
    <w:rsid w:val="00DB23A9"/>
    <w:rsid w:val="00DB3141"/>
    <w:rsid w:val="00DB3321"/>
    <w:rsid w:val="00DB3C90"/>
    <w:rsid w:val="00DB5251"/>
    <w:rsid w:val="00DB5689"/>
    <w:rsid w:val="00DB6015"/>
    <w:rsid w:val="00DB6B1E"/>
    <w:rsid w:val="00DB6EC8"/>
    <w:rsid w:val="00DC0086"/>
    <w:rsid w:val="00DC072B"/>
    <w:rsid w:val="00DC0977"/>
    <w:rsid w:val="00DC0EF9"/>
    <w:rsid w:val="00DC0FA0"/>
    <w:rsid w:val="00DC1099"/>
    <w:rsid w:val="00DC18F9"/>
    <w:rsid w:val="00DC1CCB"/>
    <w:rsid w:val="00DC1E1B"/>
    <w:rsid w:val="00DC26A4"/>
    <w:rsid w:val="00DC4525"/>
    <w:rsid w:val="00DC47C2"/>
    <w:rsid w:val="00DC4E44"/>
    <w:rsid w:val="00DC54F0"/>
    <w:rsid w:val="00DC569C"/>
    <w:rsid w:val="00DC577F"/>
    <w:rsid w:val="00DC6F7C"/>
    <w:rsid w:val="00DC712A"/>
    <w:rsid w:val="00DC75CC"/>
    <w:rsid w:val="00DD0035"/>
    <w:rsid w:val="00DD0830"/>
    <w:rsid w:val="00DD0F84"/>
    <w:rsid w:val="00DD1B6D"/>
    <w:rsid w:val="00DD1E3A"/>
    <w:rsid w:val="00DD27C7"/>
    <w:rsid w:val="00DD2A51"/>
    <w:rsid w:val="00DD2B10"/>
    <w:rsid w:val="00DD3286"/>
    <w:rsid w:val="00DD35B8"/>
    <w:rsid w:val="00DD3A11"/>
    <w:rsid w:val="00DD3CE1"/>
    <w:rsid w:val="00DD3D9F"/>
    <w:rsid w:val="00DD4D01"/>
    <w:rsid w:val="00DD5319"/>
    <w:rsid w:val="00DD6679"/>
    <w:rsid w:val="00DD7019"/>
    <w:rsid w:val="00DE094E"/>
    <w:rsid w:val="00DE0CDD"/>
    <w:rsid w:val="00DE0D30"/>
    <w:rsid w:val="00DE1E3B"/>
    <w:rsid w:val="00DE29AF"/>
    <w:rsid w:val="00DE31A3"/>
    <w:rsid w:val="00DE3533"/>
    <w:rsid w:val="00DE38A6"/>
    <w:rsid w:val="00DE40EA"/>
    <w:rsid w:val="00DE49BE"/>
    <w:rsid w:val="00DE4DF6"/>
    <w:rsid w:val="00DE53C6"/>
    <w:rsid w:val="00DE55EA"/>
    <w:rsid w:val="00DE6417"/>
    <w:rsid w:val="00DE645B"/>
    <w:rsid w:val="00DE68D0"/>
    <w:rsid w:val="00DE6B4E"/>
    <w:rsid w:val="00DE6FEC"/>
    <w:rsid w:val="00DE7100"/>
    <w:rsid w:val="00DE78BE"/>
    <w:rsid w:val="00DE7954"/>
    <w:rsid w:val="00DE7B4B"/>
    <w:rsid w:val="00DF0217"/>
    <w:rsid w:val="00DF04C9"/>
    <w:rsid w:val="00DF11FA"/>
    <w:rsid w:val="00DF1351"/>
    <w:rsid w:val="00DF1EBD"/>
    <w:rsid w:val="00DF41B9"/>
    <w:rsid w:val="00DF5148"/>
    <w:rsid w:val="00DF51C9"/>
    <w:rsid w:val="00DF5342"/>
    <w:rsid w:val="00DF54F3"/>
    <w:rsid w:val="00DF5652"/>
    <w:rsid w:val="00DF66C7"/>
    <w:rsid w:val="00DF6F91"/>
    <w:rsid w:val="00DF71D4"/>
    <w:rsid w:val="00DF7641"/>
    <w:rsid w:val="00DF7D0B"/>
    <w:rsid w:val="00DF7E6C"/>
    <w:rsid w:val="00DF7E99"/>
    <w:rsid w:val="00E00CC4"/>
    <w:rsid w:val="00E01A4D"/>
    <w:rsid w:val="00E01D04"/>
    <w:rsid w:val="00E020EF"/>
    <w:rsid w:val="00E0223E"/>
    <w:rsid w:val="00E02D85"/>
    <w:rsid w:val="00E02E53"/>
    <w:rsid w:val="00E02F12"/>
    <w:rsid w:val="00E03374"/>
    <w:rsid w:val="00E03377"/>
    <w:rsid w:val="00E03683"/>
    <w:rsid w:val="00E03CEC"/>
    <w:rsid w:val="00E052B6"/>
    <w:rsid w:val="00E05AC9"/>
    <w:rsid w:val="00E06563"/>
    <w:rsid w:val="00E06752"/>
    <w:rsid w:val="00E06AD8"/>
    <w:rsid w:val="00E06E72"/>
    <w:rsid w:val="00E07436"/>
    <w:rsid w:val="00E07AAB"/>
    <w:rsid w:val="00E07E0F"/>
    <w:rsid w:val="00E1097B"/>
    <w:rsid w:val="00E10C43"/>
    <w:rsid w:val="00E1154A"/>
    <w:rsid w:val="00E115E0"/>
    <w:rsid w:val="00E116E6"/>
    <w:rsid w:val="00E11964"/>
    <w:rsid w:val="00E119C2"/>
    <w:rsid w:val="00E12059"/>
    <w:rsid w:val="00E120D1"/>
    <w:rsid w:val="00E12F21"/>
    <w:rsid w:val="00E130D1"/>
    <w:rsid w:val="00E13C4F"/>
    <w:rsid w:val="00E1414F"/>
    <w:rsid w:val="00E14169"/>
    <w:rsid w:val="00E14203"/>
    <w:rsid w:val="00E1451B"/>
    <w:rsid w:val="00E1459D"/>
    <w:rsid w:val="00E14FD7"/>
    <w:rsid w:val="00E15E5E"/>
    <w:rsid w:val="00E167B2"/>
    <w:rsid w:val="00E167BF"/>
    <w:rsid w:val="00E17070"/>
    <w:rsid w:val="00E17819"/>
    <w:rsid w:val="00E20871"/>
    <w:rsid w:val="00E20E86"/>
    <w:rsid w:val="00E21C4A"/>
    <w:rsid w:val="00E22250"/>
    <w:rsid w:val="00E22809"/>
    <w:rsid w:val="00E239E0"/>
    <w:rsid w:val="00E2403C"/>
    <w:rsid w:val="00E24B15"/>
    <w:rsid w:val="00E252F5"/>
    <w:rsid w:val="00E25C07"/>
    <w:rsid w:val="00E26357"/>
    <w:rsid w:val="00E26A01"/>
    <w:rsid w:val="00E26D1B"/>
    <w:rsid w:val="00E27359"/>
    <w:rsid w:val="00E27AD2"/>
    <w:rsid w:val="00E305A7"/>
    <w:rsid w:val="00E3093E"/>
    <w:rsid w:val="00E30E89"/>
    <w:rsid w:val="00E311B4"/>
    <w:rsid w:val="00E32444"/>
    <w:rsid w:val="00E33190"/>
    <w:rsid w:val="00E333B9"/>
    <w:rsid w:val="00E333CE"/>
    <w:rsid w:val="00E33E42"/>
    <w:rsid w:val="00E345BC"/>
    <w:rsid w:val="00E34A15"/>
    <w:rsid w:val="00E34E46"/>
    <w:rsid w:val="00E34E75"/>
    <w:rsid w:val="00E34FED"/>
    <w:rsid w:val="00E352BE"/>
    <w:rsid w:val="00E35BD3"/>
    <w:rsid w:val="00E36725"/>
    <w:rsid w:val="00E36788"/>
    <w:rsid w:val="00E36866"/>
    <w:rsid w:val="00E369F3"/>
    <w:rsid w:val="00E36F76"/>
    <w:rsid w:val="00E371FD"/>
    <w:rsid w:val="00E374E2"/>
    <w:rsid w:val="00E377A7"/>
    <w:rsid w:val="00E377D7"/>
    <w:rsid w:val="00E40387"/>
    <w:rsid w:val="00E40E1C"/>
    <w:rsid w:val="00E40F9A"/>
    <w:rsid w:val="00E41597"/>
    <w:rsid w:val="00E41794"/>
    <w:rsid w:val="00E419C0"/>
    <w:rsid w:val="00E43751"/>
    <w:rsid w:val="00E43AB3"/>
    <w:rsid w:val="00E44BD6"/>
    <w:rsid w:val="00E45257"/>
    <w:rsid w:val="00E45FB2"/>
    <w:rsid w:val="00E4611F"/>
    <w:rsid w:val="00E476F2"/>
    <w:rsid w:val="00E479F0"/>
    <w:rsid w:val="00E47AF4"/>
    <w:rsid w:val="00E504F1"/>
    <w:rsid w:val="00E50A20"/>
    <w:rsid w:val="00E510EF"/>
    <w:rsid w:val="00E5110B"/>
    <w:rsid w:val="00E5222F"/>
    <w:rsid w:val="00E523AE"/>
    <w:rsid w:val="00E52842"/>
    <w:rsid w:val="00E5364F"/>
    <w:rsid w:val="00E53CB8"/>
    <w:rsid w:val="00E53D53"/>
    <w:rsid w:val="00E53E79"/>
    <w:rsid w:val="00E542E4"/>
    <w:rsid w:val="00E54603"/>
    <w:rsid w:val="00E54A55"/>
    <w:rsid w:val="00E54E7E"/>
    <w:rsid w:val="00E54F8B"/>
    <w:rsid w:val="00E5571B"/>
    <w:rsid w:val="00E55AB3"/>
    <w:rsid w:val="00E55EC3"/>
    <w:rsid w:val="00E55F2E"/>
    <w:rsid w:val="00E563C1"/>
    <w:rsid w:val="00E5728D"/>
    <w:rsid w:val="00E57482"/>
    <w:rsid w:val="00E57729"/>
    <w:rsid w:val="00E60158"/>
    <w:rsid w:val="00E612DD"/>
    <w:rsid w:val="00E6146E"/>
    <w:rsid w:val="00E62345"/>
    <w:rsid w:val="00E62D71"/>
    <w:rsid w:val="00E63DD8"/>
    <w:rsid w:val="00E63ECA"/>
    <w:rsid w:val="00E6472F"/>
    <w:rsid w:val="00E64C48"/>
    <w:rsid w:val="00E64D92"/>
    <w:rsid w:val="00E652D6"/>
    <w:rsid w:val="00E6644E"/>
    <w:rsid w:val="00E67BE2"/>
    <w:rsid w:val="00E67CFD"/>
    <w:rsid w:val="00E70059"/>
    <w:rsid w:val="00E7067B"/>
    <w:rsid w:val="00E7079A"/>
    <w:rsid w:val="00E70A2F"/>
    <w:rsid w:val="00E70F2C"/>
    <w:rsid w:val="00E7123D"/>
    <w:rsid w:val="00E71E3C"/>
    <w:rsid w:val="00E73161"/>
    <w:rsid w:val="00E7455E"/>
    <w:rsid w:val="00E74BAC"/>
    <w:rsid w:val="00E75B05"/>
    <w:rsid w:val="00E75FF0"/>
    <w:rsid w:val="00E76699"/>
    <w:rsid w:val="00E77CD1"/>
    <w:rsid w:val="00E800A5"/>
    <w:rsid w:val="00E8083E"/>
    <w:rsid w:val="00E81580"/>
    <w:rsid w:val="00E82020"/>
    <w:rsid w:val="00E82058"/>
    <w:rsid w:val="00E8230F"/>
    <w:rsid w:val="00E8270B"/>
    <w:rsid w:val="00E82A22"/>
    <w:rsid w:val="00E82D8E"/>
    <w:rsid w:val="00E836EE"/>
    <w:rsid w:val="00E83880"/>
    <w:rsid w:val="00E841DB"/>
    <w:rsid w:val="00E8501B"/>
    <w:rsid w:val="00E85209"/>
    <w:rsid w:val="00E85A9D"/>
    <w:rsid w:val="00E85DF3"/>
    <w:rsid w:val="00E85FD3"/>
    <w:rsid w:val="00E862F6"/>
    <w:rsid w:val="00E865D9"/>
    <w:rsid w:val="00E8663E"/>
    <w:rsid w:val="00E868AA"/>
    <w:rsid w:val="00E8759D"/>
    <w:rsid w:val="00E876A8"/>
    <w:rsid w:val="00E87D95"/>
    <w:rsid w:val="00E902CD"/>
    <w:rsid w:val="00E9086B"/>
    <w:rsid w:val="00E9087A"/>
    <w:rsid w:val="00E913C0"/>
    <w:rsid w:val="00E91470"/>
    <w:rsid w:val="00E91DA6"/>
    <w:rsid w:val="00E9427B"/>
    <w:rsid w:val="00E948C4"/>
    <w:rsid w:val="00E948FC"/>
    <w:rsid w:val="00E94C96"/>
    <w:rsid w:val="00E94D09"/>
    <w:rsid w:val="00E94FEA"/>
    <w:rsid w:val="00E958B8"/>
    <w:rsid w:val="00E958DC"/>
    <w:rsid w:val="00E958E8"/>
    <w:rsid w:val="00E95B35"/>
    <w:rsid w:val="00E95D87"/>
    <w:rsid w:val="00E96830"/>
    <w:rsid w:val="00E973EC"/>
    <w:rsid w:val="00E97DAC"/>
    <w:rsid w:val="00E97FAD"/>
    <w:rsid w:val="00EA089C"/>
    <w:rsid w:val="00EA0907"/>
    <w:rsid w:val="00EA1385"/>
    <w:rsid w:val="00EA23DD"/>
    <w:rsid w:val="00EA2ACF"/>
    <w:rsid w:val="00EA3B01"/>
    <w:rsid w:val="00EA3B1D"/>
    <w:rsid w:val="00EA3C99"/>
    <w:rsid w:val="00EA43CB"/>
    <w:rsid w:val="00EA45A5"/>
    <w:rsid w:val="00EA59BE"/>
    <w:rsid w:val="00EA5BAF"/>
    <w:rsid w:val="00EA5DA2"/>
    <w:rsid w:val="00EA6BF0"/>
    <w:rsid w:val="00EA72B7"/>
    <w:rsid w:val="00EB057A"/>
    <w:rsid w:val="00EB0E60"/>
    <w:rsid w:val="00EB146A"/>
    <w:rsid w:val="00EB1AA2"/>
    <w:rsid w:val="00EB204D"/>
    <w:rsid w:val="00EB292C"/>
    <w:rsid w:val="00EB3B6E"/>
    <w:rsid w:val="00EB3BB5"/>
    <w:rsid w:val="00EB3CDE"/>
    <w:rsid w:val="00EB4502"/>
    <w:rsid w:val="00EB51DC"/>
    <w:rsid w:val="00EB52AF"/>
    <w:rsid w:val="00EB56FA"/>
    <w:rsid w:val="00EB57A7"/>
    <w:rsid w:val="00EB5ED0"/>
    <w:rsid w:val="00EB5F81"/>
    <w:rsid w:val="00EB6AF6"/>
    <w:rsid w:val="00EB71E9"/>
    <w:rsid w:val="00EB76C9"/>
    <w:rsid w:val="00EB7BAA"/>
    <w:rsid w:val="00EB7D91"/>
    <w:rsid w:val="00EB7E46"/>
    <w:rsid w:val="00EB7EC6"/>
    <w:rsid w:val="00EC066E"/>
    <w:rsid w:val="00EC0D53"/>
    <w:rsid w:val="00EC2230"/>
    <w:rsid w:val="00EC2614"/>
    <w:rsid w:val="00EC32D0"/>
    <w:rsid w:val="00EC3D3D"/>
    <w:rsid w:val="00EC3DC1"/>
    <w:rsid w:val="00EC3EB9"/>
    <w:rsid w:val="00EC414A"/>
    <w:rsid w:val="00EC4771"/>
    <w:rsid w:val="00EC4870"/>
    <w:rsid w:val="00EC625A"/>
    <w:rsid w:val="00EC6CF8"/>
    <w:rsid w:val="00EC74DA"/>
    <w:rsid w:val="00EC798B"/>
    <w:rsid w:val="00EC79FA"/>
    <w:rsid w:val="00EC7F5A"/>
    <w:rsid w:val="00EC7FEF"/>
    <w:rsid w:val="00ED09CE"/>
    <w:rsid w:val="00ED0E39"/>
    <w:rsid w:val="00ED1010"/>
    <w:rsid w:val="00ED1145"/>
    <w:rsid w:val="00ED1231"/>
    <w:rsid w:val="00ED13CC"/>
    <w:rsid w:val="00ED17F1"/>
    <w:rsid w:val="00ED2D29"/>
    <w:rsid w:val="00ED31E5"/>
    <w:rsid w:val="00ED34A4"/>
    <w:rsid w:val="00ED3A84"/>
    <w:rsid w:val="00ED3CA0"/>
    <w:rsid w:val="00ED69CF"/>
    <w:rsid w:val="00ED6A0D"/>
    <w:rsid w:val="00ED7382"/>
    <w:rsid w:val="00ED7D6C"/>
    <w:rsid w:val="00ED7DE1"/>
    <w:rsid w:val="00ED7ED0"/>
    <w:rsid w:val="00EE0300"/>
    <w:rsid w:val="00EE07B7"/>
    <w:rsid w:val="00EE08ED"/>
    <w:rsid w:val="00EE0988"/>
    <w:rsid w:val="00EE0C78"/>
    <w:rsid w:val="00EE1036"/>
    <w:rsid w:val="00EE1AD8"/>
    <w:rsid w:val="00EE2586"/>
    <w:rsid w:val="00EE2BCD"/>
    <w:rsid w:val="00EE34E7"/>
    <w:rsid w:val="00EE3839"/>
    <w:rsid w:val="00EE430E"/>
    <w:rsid w:val="00EE5021"/>
    <w:rsid w:val="00EE5474"/>
    <w:rsid w:val="00EE643B"/>
    <w:rsid w:val="00EE7282"/>
    <w:rsid w:val="00EE7398"/>
    <w:rsid w:val="00EE742D"/>
    <w:rsid w:val="00EE7FB2"/>
    <w:rsid w:val="00EF0FC4"/>
    <w:rsid w:val="00EF119B"/>
    <w:rsid w:val="00EF164A"/>
    <w:rsid w:val="00EF1CA1"/>
    <w:rsid w:val="00EF1E0C"/>
    <w:rsid w:val="00EF23E5"/>
    <w:rsid w:val="00EF2C5C"/>
    <w:rsid w:val="00EF3FDF"/>
    <w:rsid w:val="00EF4627"/>
    <w:rsid w:val="00EF4965"/>
    <w:rsid w:val="00EF59E3"/>
    <w:rsid w:val="00EF5FBE"/>
    <w:rsid w:val="00EF6A12"/>
    <w:rsid w:val="00EF7292"/>
    <w:rsid w:val="00EF7547"/>
    <w:rsid w:val="00F013BD"/>
    <w:rsid w:val="00F01B83"/>
    <w:rsid w:val="00F02553"/>
    <w:rsid w:val="00F025FB"/>
    <w:rsid w:val="00F0266C"/>
    <w:rsid w:val="00F02CB4"/>
    <w:rsid w:val="00F03CA4"/>
    <w:rsid w:val="00F04A28"/>
    <w:rsid w:val="00F05C41"/>
    <w:rsid w:val="00F05D96"/>
    <w:rsid w:val="00F06756"/>
    <w:rsid w:val="00F06FB6"/>
    <w:rsid w:val="00F077F5"/>
    <w:rsid w:val="00F07B0F"/>
    <w:rsid w:val="00F07D9E"/>
    <w:rsid w:val="00F10120"/>
    <w:rsid w:val="00F10143"/>
    <w:rsid w:val="00F110E9"/>
    <w:rsid w:val="00F12661"/>
    <w:rsid w:val="00F12F5B"/>
    <w:rsid w:val="00F12FAB"/>
    <w:rsid w:val="00F1306B"/>
    <w:rsid w:val="00F13548"/>
    <w:rsid w:val="00F14420"/>
    <w:rsid w:val="00F14847"/>
    <w:rsid w:val="00F14A8A"/>
    <w:rsid w:val="00F14E7E"/>
    <w:rsid w:val="00F15951"/>
    <w:rsid w:val="00F15972"/>
    <w:rsid w:val="00F15D6E"/>
    <w:rsid w:val="00F165E6"/>
    <w:rsid w:val="00F1694C"/>
    <w:rsid w:val="00F169B1"/>
    <w:rsid w:val="00F171DD"/>
    <w:rsid w:val="00F173DB"/>
    <w:rsid w:val="00F173F9"/>
    <w:rsid w:val="00F174D0"/>
    <w:rsid w:val="00F178F3"/>
    <w:rsid w:val="00F17B06"/>
    <w:rsid w:val="00F17C8C"/>
    <w:rsid w:val="00F204F7"/>
    <w:rsid w:val="00F2052F"/>
    <w:rsid w:val="00F20999"/>
    <w:rsid w:val="00F20A0A"/>
    <w:rsid w:val="00F20DFA"/>
    <w:rsid w:val="00F20F60"/>
    <w:rsid w:val="00F21657"/>
    <w:rsid w:val="00F222A4"/>
    <w:rsid w:val="00F22763"/>
    <w:rsid w:val="00F23758"/>
    <w:rsid w:val="00F23A72"/>
    <w:rsid w:val="00F241ED"/>
    <w:rsid w:val="00F248B6"/>
    <w:rsid w:val="00F25FB0"/>
    <w:rsid w:val="00F27230"/>
    <w:rsid w:val="00F276EB"/>
    <w:rsid w:val="00F27739"/>
    <w:rsid w:val="00F27E87"/>
    <w:rsid w:val="00F30CFE"/>
    <w:rsid w:val="00F313C2"/>
    <w:rsid w:val="00F31F07"/>
    <w:rsid w:val="00F32042"/>
    <w:rsid w:val="00F321A4"/>
    <w:rsid w:val="00F32739"/>
    <w:rsid w:val="00F35565"/>
    <w:rsid w:val="00F35938"/>
    <w:rsid w:val="00F35B78"/>
    <w:rsid w:val="00F35E67"/>
    <w:rsid w:val="00F364E3"/>
    <w:rsid w:val="00F3696F"/>
    <w:rsid w:val="00F37388"/>
    <w:rsid w:val="00F37D0B"/>
    <w:rsid w:val="00F4033F"/>
    <w:rsid w:val="00F40F45"/>
    <w:rsid w:val="00F41397"/>
    <w:rsid w:val="00F419A7"/>
    <w:rsid w:val="00F41EF3"/>
    <w:rsid w:val="00F4218C"/>
    <w:rsid w:val="00F42A22"/>
    <w:rsid w:val="00F432B6"/>
    <w:rsid w:val="00F43E01"/>
    <w:rsid w:val="00F4441E"/>
    <w:rsid w:val="00F444B2"/>
    <w:rsid w:val="00F446BE"/>
    <w:rsid w:val="00F4496A"/>
    <w:rsid w:val="00F44DEA"/>
    <w:rsid w:val="00F45127"/>
    <w:rsid w:val="00F45BDF"/>
    <w:rsid w:val="00F46438"/>
    <w:rsid w:val="00F46D44"/>
    <w:rsid w:val="00F47577"/>
    <w:rsid w:val="00F478B9"/>
    <w:rsid w:val="00F47C3A"/>
    <w:rsid w:val="00F502FE"/>
    <w:rsid w:val="00F50365"/>
    <w:rsid w:val="00F507A3"/>
    <w:rsid w:val="00F50D79"/>
    <w:rsid w:val="00F510A7"/>
    <w:rsid w:val="00F51C0C"/>
    <w:rsid w:val="00F521B7"/>
    <w:rsid w:val="00F52307"/>
    <w:rsid w:val="00F532D3"/>
    <w:rsid w:val="00F535AB"/>
    <w:rsid w:val="00F540DE"/>
    <w:rsid w:val="00F54244"/>
    <w:rsid w:val="00F5577B"/>
    <w:rsid w:val="00F5604F"/>
    <w:rsid w:val="00F563D8"/>
    <w:rsid w:val="00F56CB7"/>
    <w:rsid w:val="00F56EF8"/>
    <w:rsid w:val="00F57348"/>
    <w:rsid w:val="00F60070"/>
    <w:rsid w:val="00F601E8"/>
    <w:rsid w:val="00F60282"/>
    <w:rsid w:val="00F609FF"/>
    <w:rsid w:val="00F60B9F"/>
    <w:rsid w:val="00F60D5D"/>
    <w:rsid w:val="00F616F0"/>
    <w:rsid w:val="00F61A7E"/>
    <w:rsid w:val="00F62925"/>
    <w:rsid w:val="00F62BBB"/>
    <w:rsid w:val="00F62D54"/>
    <w:rsid w:val="00F62E53"/>
    <w:rsid w:val="00F632A1"/>
    <w:rsid w:val="00F632C8"/>
    <w:rsid w:val="00F648AA"/>
    <w:rsid w:val="00F65072"/>
    <w:rsid w:val="00F65C28"/>
    <w:rsid w:val="00F66B8F"/>
    <w:rsid w:val="00F67969"/>
    <w:rsid w:val="00F707DF"/>
    <w:rsid w:val="00F70825"/>
    <w:rsid w:val="00F709D8"/>
    <w:rsid w:val="00F711CA"/>
    <w:rsid w:val="00F7126A"/>
    <w:rsid w:val="00F71401"/>
    <w:rsid w:val="00F716CE"/>
    <w:rsid w:val="00F723D2"/>
    <w:rsid w:val="00F72A2E"/>
    <w:rsid w:val="00F731DE"/>
    <w:rsid w:val="00F7386F"/>
    <w:rsid w:val="00F73A5A"/>
    <w:rsid w:val="00F73EE2"/>
    <w:rsid w:val="00F741AC"/>
    <w:rsid w:val="00F7428E"/>
    <w:rsid w:val="00F74C99"/>
    <w:rsid w:val="00F74E55"/>
    <w:rsid w:val="00F74EC8"/>
    <w:rsid w:val="00F759E4"/>
    <w:rsid w:val="00F76368"/>
    <w:rsid w:val="00F765F0"/>
    <w:rsid w:val="00F76892"/>
    <w:rsid w:val="00F76D44"/>
    <w:rsid w:val="00F778D1"/>
    <w:rsid w:val="00F77FB9"/>
    <w:rsid w:val="00F80584"/>
    <w:rsid w:val="00F80979"/>
    <w:rsid w:val="00F80CC7"/>
    <w:rsid w:val="00F81719"/>
    <w:rsid w:val="00F819A6"/>
    <w:rsid w:val="00F81E3B"/>
    <w:rsid w:val="00F822C8"/>
    <w:rsid w:val="00F83093"/>
    <w:rsid w:val="00F837BD"/>
    <w:rsid w:val="00F838B8"/>
    <w:rsid w:val="00F83A86"/>
    <w:rsid w:val="00F8490C"/>
    <w:rsid w:val="00F84C0E"/>
    <w:rsid w:val="00F85526"/>
    <w:rsid w:val="00F85773"/>
    <w:rsid w:val="00F85799"/>
    <w:rsid w:val="00F864DF"/>
    <w:rsid w:val="00F86F64"/>
    <w:rsid w:val="00F87415"/>
    <w:rsid w:val="00F87E5F"/>
    <w:rsid w:val="00F906FA"/>
    <w:rsid w:val="00F91041"/>
    <w:rsid w:val="00F9157D"/>
    <w:rsid w:val="00F915DA"/>
    <w:rsid w:val="00F91672"/>
    <w:rsid w:val="00F9182E"/>
    <w:rsid w:val="00F92049"/>
    <w:rsid w:val="00F920E6"/>
    <w:rsid w:val="00F930DA"/>
    <w:rsid w:val="00F9310B"/>
    <w:rsid w:val="00F931E6"/>
    <w:rsid w:val="00F936BF"/>
    <w:rsid w:val="00F936FB"/>
    <w:rsid w:val="00F93BB0"/>
    <w:rsid w:val="00F947E3"/>
    <w:rsid w:val="00F95242"/>
    <w:rsid w:val="00F956DA"/>
    <w:rsid w:val="00F9571C"/>
    <w:rsid w:val="00F95E3E"/>
    <w:rsid w:val="00F9734F"/>
    <w:rsid w:val="00F97540"/>
    <w:rsid w:val="00F97AB5"/>
    <w:rsid w:val="00F97BB5"/>
    <w:rsid w:val="00FA04E2"/>
    <w:rsid w:val="00FA0695"/>
    <w:rsid w:val="00FA08B9"/>
    <w:rsid w:val="00FA0E03"/>
    <w:rsid w:val="00FA0F13"/>
    <w:rsid w:val="00FA0F97"/>
    <w:rsid w:val="00FA1F28"/>
    <w:rsid w:val="00FA20C8"/>
    <w:rsid w:val="00FA21D6"/>
    <w:rsid w:val="00FA30CA"/>
    <w:rsid w:val="00FA4003"/>
    <w:rsid w:val="00FA45A9"/>
    <w:rsid w:val="00FA4B03"/>
    <w:rsid w:val="00FA522B"/>
    <w:rsid w:val="00FA5613"/>
    <w:rsid w:val="00FA5F98"/>
    <w:rsid w:val="00FA60D9"/>
    <w:rsid w:val="00FA63E6"/>
    <w:rsid w:val="00FA66CB"/>
    <w:rsid w:val="00FA67FC"/>
    <w:rsid w:val="00FA68D4"/>
    <w:rsid w:val="00FA722F"/>
    <w:rsid w:val="00FA72CA"/>
    <w:rsid w:val="00FA7F8E"/>
    <w:rsid w:val="00FB0959"/>
    <w:rsid w:val="00FB0D86"/>
    <w:rsid w:val="00FB123E"/>
    <w:rsid w:val="00FB206F"/>
    <w:rsid w:val="00FB2330"/>
    <w:rsid w:val="00FB25F4"/>
    <w:rsid w:val="00FB26CA"/>
    <w:rsid w:val="00FB366E"/>
    <w:rsid w:val="00FB3857"/>
    <w:rsid w:val="00FB414B"/>
    <w:rsid w:val="00FB48A2"/>
    <w:rsid w:val="00FB4AD1"/>
    <w:rsid w:val="00FB5142"/>
    <w:rsid w:val="00FB5BBA"/>
    <w:rsid w:val="00FB5CD9"/>
    <w:rsid w:val="00FB5FE2"/>
    <w:rsid w:val="00FB61AA"/>
    <w:rsid w:val="00FB6398"/>
    <w:rsid w:val="00FB6CCE"/>
    <w:rsid w:val="00FB6D25"/>
    <w:rsid w:val="00FB6E14"/>
    <w:rsid w:val="00FC044B"/>
    <w:rsid w:val="00FC050B"/>
    <w:rsid w:val="00FC05F0"/>
    <w:rsid w:val="00FC0F80"/>
    <w:rsid w:val="00FC1FD6"/>
    <w:rsid w:val="00FC25FA"/>
    <w:rsid w:val="00FC2752"/>
    <w:rsid w:val="00FC29F0"/>
    <w:rsid w:val="00FC2C62"/>
    <w:rsid w:val="00FC2D34"/>
    <w:rsid w:val="00FC31ED"/>
    <w:rsid w:val="00FC3BE2"/>
    <w:rsid w:val="00FC40CF"/>
    <w:rsid w:val="00FC4139"/>
    <w:rsid w:val="00FC46EA"/>
    <w:rsid w:val="00FC4B07"/>
    <w:rsid w:val="00FC52A8"/>
    <w:rsid w:val="00FC53E1"/>
    <w:rsid w:val="00FC563B"/>
    <w:rsid w:val="00FC5FE0"/>
    <w:rsid w:val="00FC62CC"/>
    <w:rsid w:val="00FC6612"/>
    <w:rsid w:val="00FC6757"/>
    <w:rsid w:val="00FC6797"/>
    <w:rsid w:val="00FC6AAA"/>
    <w:rsid w:val="00FC6AD4"/>
    <w:rsid w:val="00FC6B62"/>
    <w:rsid w:val="00FD020E"/>
    <w:rsid w:val="00FD10CC"/>
    <w:rsid w:val="00FD130C"/>
    <w:rsid w:val="00FD1FB1"/>
    <w:rsid w:val="00FD2244"/>
    <w:rsid w:val="00FD2730"/>
    <w:rsid w:val="00FD2ABA"/>
    <w:rsid w:val="00FD2CEC"/>
    <w:rsid w:val="00FD4184"/>
    <w:rsid w:val="00FD4A26"/>
    <w:rsid w:val="00FD4D06"/>
    <w:rsid w:val="00FD4D2B"/>
    <w:rsid w:val="00FD4E5B"/>
    <w:rsid w:val="00FD534C"/>
    <w:rsid w:val="00FD63E1"/>
    <w:rsid w:val="00FD65A1"/>
    <w:rsid w:val="00FD7056"/>
    <w:rsid w:val="00FD761F"/>
    <w:rsid w:val="00FE035C"/>
    <w:rsid w:val="00FE0EFA"/>
    <w:rsid w:val="00FE1671"/>
    <w:rsid w:val="00FE295F"/>
    <w:rsid w:val="00FE2D9B"/>
    <w:rsid w:val="00FE2DA7"/>
    <w:rsid w:val="00FE2DBD"/>
    <w:rsid w:val="00FE3206"/>
    <w:rsid w:val="00FE36DD"/>
    <w:rsid w:val="00FE4378"/>
    <w:rsid w:val="00FE498A"/>
    <w:rsid w:val="00FE4C0A"/>
    <w:rsid w:val="00FE52F6"/>
    <w:rsid w:val="00FE6BE2"/>
    <w:rsid w:val="00FE74F1"/>
    <w:rsid w:val="00FF0228"/>
    <w:rsid w:val="00FF039C"/>
    <w:rsid w:val="00FF14C6"/>
    <w:rsid w:val="00FF16A8"/>
    <w:rsid w:val="00FF24A7"/>
    <w:rsid w:val="00FF3334"/>
    <w:rsid w:val="00FF36B6"/>
    <w:rsid w:val="00FF3C39"/>
    <w:rsid w:val="00FF45EC"/>
    <w:rsid w:val="00FF55F4"/>
    <w:rsid w:val="00FF5C81"/>
    <w:rsid w:val="00FF5CB9"/>
    <w:rsid w:val="00FF5CF2"/>
    <w:rsid w:val="00FF6001"/>
    <w:rsid w:val="00FF6218"/>
    <w:rsid w:val="00FF6404"/>
    <w:rsid w:val="00FF73B6"/>
    <w:rsid w:val="00FF74C4"/>
    <w:rsid w:val="00FF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E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88785E"/>
    <w:rPr>
      <w:sz w:val="20"/>
      <w:szCs w:val="20"/>
    </w:rPr>
  </w:style>
  <w:style w:type="character" w:styleId="FootnoteReference">
    <w:name w:val="footnote reference"/>
    <w:semiHidden/>
    <w:rsid w:val="0088785E"/>
    <w:rPr>
      <w:vertAlign w:val="superscript"/>
    </w:rPr>
  </w:style>
  <w:style w:type="table" w:styleId="TableGrid">
    <w:name w:val="Table Grid"/>
    <w:basedOn w:val="TableNormal"/>
    <w:rsid w:val="00D8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47B0B"/>
    <w:pPr>
      <w:spacing w:before="100" w:beforeAutospacing="1" w:after="100" w:afterAutospacing="1"/>
    </w:pPr>
  </w:style>
  <w:style w:type="character" w:customStyle="1" w:styleId="FootnoteTextChar">
    <w:name w:val="Footnote Text Char"/>
    <w:link w:val="FootnoteText"/>
    <w:locked/>
    <w:rsid w:val="00D362B9"/>
    <w:rPr>
      <w:lang w:val="en-US" w:eastAsia="en-US" w:bidi="ar-SA"/>
    </w:rPr>
  </w:style>
  <w:style w:type="paragraph" w:styleId="BalloonText">
    <w:name w:val="Balloon Text"/>
    <w:basedOn w:val="Normal"/>
    <w:semiHidden/>
    <w:rsid w:val="008846AA"/>
    <w:rPr>
      <w:rFonts w:ascii="Tahoma" w:hAnsi="Tahoma" w:cs="Tahoma"/>
      <w:sz w:val="16"/>
      <w:szCs w:val="16"/>
    </w:rPr>
  </w:style>
  <w:style w:type="paragraph" w:styleId="Footer">
    <w:name w:val="footer"/>
    <w:basedOn w:val="Normal"/>
    <w:rsid w:val="008B55A3"/>
    <w:pPr>
      <w:tabs>
        <w:tab w:val="center" w:pos="4320"/>
        <w:tab w:val="right" w:pos="8640"/>
      </w:tabs>
    </w:pPr>
  </w:style>
  <w:style w:type="character" w:styleId="PageNumber">
    <w:name w:val="page number"/>
    <w:basedOn w:val="DefaultParagraphFont"/>
    <w:rsid w:val="008B55A3"/>
  </w:style>
  <w:style w:type="character" w:styleId="CommentReference">
    <w:name w:val="annotation reference"/>
    <w:uiPriority w:val="99"/>
    <w:semiHidden/>
    <w:rsid w:val="000F082C"/>
    <w:rPr>
      <w:sz w:val="16"/>
      <w:szCs w:val="16"/>
    </w:rPr>
  </w:style>
  <w:style w:type="paragraph" w:styleId="CommentText">
    <w:name w:val="annotation text"/>
    <w:basedOn w:val="Normal"/>
    <w:link w:val="CommentTextChar"/>
    <w:semiHidden/>
    <w:rsid w:val="000F082C"/>
    <w:rPr>
      <w:sz w:val="20"/>
      <w:szCs w:val="20"/>
    </w:rPr>
  </w:style>
  <w:style w:type="paragraph" w:styleId="CommentSubject">
    <w:name w:val="annotation subject"/>
    <w:basedOn w:val="CommentText"/>
    <w:next w:val="CommentText"/>
    <w:semiHidden/>
    <w:rsid w:val="00654A5B"/>
    <w:rPr>
      <w:b/>
      <w:bCs/>
    </w:rPr>
  </w:style>
  <w:style w:type="character" w:styleId="Hyperlink">
    <w:name w:val="Hyperlink"/>
    <w:rsid w:val="0047641D"/>
    <w:rPr>
      <w:color w:val="0000FF"/>
      <w:u w:val="single"/>
    </w:rPr>
  </w:style>
  <w:style w:type="character" w:styleId="Emphasis">
    <w:name w:val="Emphasis"/>
    <w:qFormat/>
    <w:rsid w:val="0024273A"/>
    <w:rPr>
      <w:b/>
      <w:bCs/>
      <w:i w:val="0"/>
      <w:iCs w:val="0"/>
    </w:rPr>
  </w:style>
  <w:style w:type="paragraph" w:customStyle="1" w:styleId="Heading32">
    <w:name w:val="Heading 32"/>
    <w:basedOn w:val="Normal"/>
    <w:rsid w:val="0024273A"/>
    <w:pPr>
      <w:outlineLvl w:val="3"/>
    </w:pPr>
    <w:rPr>
      <w:sz w:val="27"/>
      <w:szCs w:val="27"/>
    </w:rPr>
  </w:style>
  <w:style w:type="paragraph" w:styleId="Header">
    <w:name w:val="header"/>
    <w:basedOn w:val="Normal"/>
    <w:rsid w:val="00433D28"/>
    <w:pPr>
      <w:tabs>
        <w:tab w:val="center" w:pos="4320"/>
        <w:tab w:val="right" w:pos="8640"/>
      </w:tabs>
    </w:pPr>
  </w:style>
  <w:style w:type="paragraph" w:styleId="DocumentMap">
    <w:name w:val="Document Map"/>
    <w:basedOn w:val="Normal"/>
    <w:semiHidden/>
    <w:rsid w:val="005D663C"/>
    <w:pPr>
      <w:shd w:val="clear" w:color="auto" w:fill="000080"/>
    </w:pPr>
    <w:rPr>
      <w:rFonts w:ascii="Tahoma" w:hAnsi="Tahoma" w:cs="Tahoma"/>
      <w:sz w:val="20"/>
      <w:szCs w:val="20"/>
    </w:rPr>
  </w:style>
  <w:style w:type="character" w:styleId="Strong">
    <w:name w:val="Strong"/>
    <w:qFormat/>
    <w:rsid w:val="006C56E9"/>
    <w:rPr>
      <w:b/>
      <w:bCs/>
    </w:rPr>
  </w:style>
  <w:style w:type="paragraph" w:styleId="EndnoteText">
    <w:name w:val="endnote text"/>
    <w:basedOn w:val="Normal"/>
    <w:semiHidden/>
    <w:rsid w:val="00B64D22"/>
    <w:rPr>
      <w:sz w:val="20"/>
      <w:szCs w:val="20"/>
    </w:rPr>
  </w:style>
  <w:style w:type="character" w:customStyle="1" w:styleId="CommentTextChar">
    <w:name w:val="Comment Text Char"/>
    <w:link w:val="CommentText"/>
    <w:rsid w:val="002D036A"/>
    <w:rPr>
      <w:lang w:val="en-US" w:eastAsia="en-US" w:bidi="ar-SA"/>
    </w:rPr>
  </w:style>
  <w:style w:type="paragraph" w:styleId="ListParagraph">
    <w:name w:val="List Paragraph"/>
    <w:basedOn w:val="Normal"/>
    <w:uiPriority w:val="34"/>
    <w:qFormat/>
    <w:rsid w:val="00027A94"/>
    <w:pPr>
      <w:ind w:left="720"/>
    </w:pPr>
  </w:style>
  <w:style w:type="character" w:customStyle="1" w:styleId="apple-converted-space">
    <w:name w:val="apple-converted-space"/>
    <w:rsid w:val="00AF6461"/>
  </w:style>
  <w:style w:type="character" w:styleId="EndnoteReference">
    <w:name w:val="endnote reference"/>
    <w:rsid w:val="002D5C84"/>
    <w:rPr>
      <w:vertAlign w:val="superscript"/>
    </w:rPr>
  </w:style>
  <w:style w:type="paragraph" w:customStyle="1" w:styleId="Default">
    <w:name w:val="Default"/>
    <w:rsid w:val="00F4496A"/>
    <w:pPr>
      <w:autoSpaceDE w:val="0"/>
      <w:autoSpaceDN w:val="0"/>
      <w:adjustRightInd w:val="0"/>
    </w:pPr>
    <w:rPr>
      <w:rFonts w:ascii="Calibri" w:hAnsi="Calibri" w:cs="Calibri"/>
      <w:color w:val="000000"/>
      <w:sz w:val="24"/>
      <w:szCs w:val="24"/>
    </w:rPr>
  </w:style>
  <w:style w:type="character" w:styleId="FollowedHyperlink">
    <w:name w:val="FollowedHyperlink"/>
    <w:rsid w:val="00BC1800"/>
    <w:rPr>
      <w:color w:val="800080"/>
      <w:u w:val="single"/>
    </w:rPr>
  </w:style>
  <w:style w:type="character" w:customStyle="1" w:styleId="UnresolvedMention">
    <w:name w:val="Unresolved Mention"/>
    <w:uiPriority w:val="99"/>
    <w:semiHidden/>
    <w:unhideWhenUsed/>
    <w:rsid w:val="004808D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E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88785E"/>
    <w:rPr>
      <w:sz w:val="20"/>
      <w:szCs w:val="20"/>
    </w:rPr>
  </w:style>
  <w:style w:type="character" w:styleId="FootnoteReference">
    <w:name w:val="footnote reference"/>
    <w:semiHidden/>
    <w:rsid w:val="0088785E"/>
    <w:rPr>
      <w:vertAlign w:val="superscript"/>
    </w:rPr>
  </w:style>
  <w:style w:type="table" w:styleId="TableGrid">
    <w:name w:val="Table Grid"/>
    <w:basedOn w:val="TableNormal"/>
    <w:rsid w:val="00D8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47B0B"/>
    <w:pPr>
      <w:spacing w:before="100" w:beforeAutospacing="1" w:after="100" w:afterAutospacing="1"/>
    </w:pPr>
  </w:style>
  <w:style w:type="character" w:customStyle="1" w:styleId="FootnoteTextChar">
    <w:name w:val="Footnote Text Char"/>
    <w:link w:val="FootnoteText"/>
    <w:locked/>
    <w:rsid w:val="00D362B9"/>
    <w:rPr>
      <w:lang w:val="en-US" w:eastAsia="en-US" w:bidi="ar-SA"/>
    </w:rPr>
  </w:style>
  <w:style w:type="paragraph" w:styleId="BalloonText">
    <w:name w:val="Balloon Text"/>
    <w:basedOn w:val="Normal"/>
    <w:semiHidden/>
    <w:rsid w:val="008846AA"/>
    <w:rPr>
      <w:rFonts w:ascii="Tahoma" w:hAnsi="Tahoma" w:cs="Tahoma"/>
      <w:sz w:val="16"/>
      <w:szCs w:val="16"/>
    </w:rPr>
  </w:style>
  <w:style w:type="paragraph" w:styleId="Footer">
    <w:name w:val="footer"/>
    <w:basedOn w:val="Normal"/>
    <w:rsid w:val="008B55A3"/>
    <w:pPr>
      <w:tabs>
        <w:tab w:val="center" w:pos="4320"/>
        <w:tab w:val="right" w:pos="8640"/>
      </w:tabs>
    </w:pPr>
  </w:style>
  <w:style w:type="character" w:styleId="PageNumber">
    <w:name w:val="page number"/>
    <w:basedOn w:val="DefaultParagraphFont"/>
    <w:rsid w:val="008B55A3"/>
  </w:style>
  <w:style w:type="character" w:styleId="CommentReference">
    <w:name w:val="annotation reference"/>
    <w:uiPriority w:val="99"/>
    <w:semiHidden/>
    <w:rsid w:val="000F082C"/>
    <w:rPr>
      <w:sz w:val="16"/>
      <w:szCs w:val="16"/>
    </w:rPr>
  </w:style>
  <w:style w:type="paragraph" w:styleId="CommentText">
    <w:name w:val="annotation text"/>
    <w:basedOn w:val="Normal"/>
    <w:link w:val="CommentTextChar"/>
    <w:semiHidden/>
    <w:rsid w:val="000F082C"/>
    <w:rPr>
      <w:sz w:val="20"/>
      <w:szCs w:val="20"/>
    </w:rPr>
  </w:style>
  <w:style w:type="paragraph" w:styleId="CommentSubject">
    <w:name w:val="annotation subject"/>
    <w:basedOn w:val="CommentText"/>
    <w:next w:val="CommentText"/>
    <w:semiHidden/>
    <w:rsid w:val="00654A5B"/>
    <w:rPr>
      <w:b/>
      <w:bCs/>
    </w:rPr>
  </w:style>
  <w:style w:type="character" w:styleId="Hyperlink">
    <w:name w:val="Hyperlink"/>
    <w:rsid w:val="0047641D"/>
    <w:rPr>
      <w:color w:val="0000FF"/>
      <w:u w:val="single"/>
    </w:rPr>
  </w:style>
  <w:style w:type="character" w:styleId="Emphasis">
    <w:name w:val="Emphasis"/>
    <w:qFormat/>
    <w:rsid w:val="0024273A"/>
    <w:rPr>
      <w:b/>
      <w:bCs/>
      <w:i w:val="0"/>
      <w:iCs w:val="0"/>
    </w:rPr>
  </w:style>
  <w:style w:type="paragraph" w:customStyle="1" w:styleId="Heading32">
    <w:name w:val="Heading 32"/>
    <w:basedOn w:val="Normal"/>
    <w:rsid w:val="0024273A"/>
    <w:pPr>
      <w:outlineLvl w:val="3"/>
    </w:pPr>
    <w:rPr>
      <w:sz w:val="27"/>
      <w:szCs w:val="27"/>
    </w:rPr>
  </w:style>
  <w:style w:type="paragraph" w:styleId="Header">
    <w:name w:val="header"/>
    <w:basedOn w:val="Normal"/>
    <w:rsid w:val="00433D28"/>
    <w:pPr>
      <w:tabs>
        <w:tab w:val="center" w:pos="4320"/>
        <w:tab w:val="right" w:pos="8640"/>
      </w:tabs>
    </w:pPr>
  </w:style>
  <w:style w:type="paragraph" w:styleId="DocumentMap">
    <w:name w:val="Document Map"/>
    <w:basedOn w:val="Normal"/>
    <w:semiHidden/>
    <w:rsid w:val="005D663C"/>
    <w:pPr>
      <w:shd w:val="clear" w:color="auto" w:fill="000080"/>
    </w:pPr>
    <w:rPr>
      <w:rFonts w:ascii="Tahoma" w:hAnsi="Tahoma" w:cs="Tahoma"/>
      <w:sz w:val="20"/>
      <w:szCs w:val="20"/>
    </w:rPr>
  </w:style>
  <w:style w:type="character" w:styleId="Strong">
    <w:name w:val="Strong"/>
    <w:qFormat/>
    <w:rsid w:val="006C56E9"/>
    <w:rPr>
      <w:b/>
      <w:bCs/>
    </w:rPr>
  </w:style>
  <w:style w:type="paragraph" w:styleId="EndnoteText">
    <w:name w:val="endnote text"/>
    <w:basedOn w:val="Normal"/>
    <w:semiHidden/>
    <w:rsid w:val="00B64D22"/>
    <w:rPr>
      <w:sz w:val="20"/>
      <w:szCs w:val="20"/>
    </w:rPr>
  </w:style>
  <w:style w:type="character" w:customStyle="1" w:styleId="CommentTextChar">
    <w:name w:val="Comment Text Char"/>
    <w:link w:val="CommentText"/>
    <w:rsid w:val="002D036A"/>
    <w:rPr>
      <w:lang w:val="en-US" w:eastAsia="en-US" w:bidi="ar-SA"/>
    </w:rPr>
  </w:style>
  <w:style w:type="paragraph" w:styleId="ListParagraph">
    <w:name w:val="List Paragraph"/>
    <w:basedOn w:val="Normal"/>
    <w:uiPriority w:val="34"/>
    <w:qFormat/>
    <w:rsid w:val="00027A94"/>
    <w:pPr>
      <w:ind w:left="720"/>
    </w:pPr>
  </w:style>
  <w:style w:type="character" w:customStyle="1" w:styleId="apple-converted-space">
    <w:name w:val="apple-converted-space"/>
    <w:rsid w:val="00AF6461"/>
  </w:style>
  <w:style w:type="character" w:styleId="EndnoteReference">
    <w:name w:val="endnote reference"/>
    <w:rsid w:val="002D5C84"/>
    <w:rPr>
      <w:vertAlign w:val="superscript"/>
    </w:rPr>
  </w:style>
  <w:style w:type="paragraph" w:customStyle="1" w:styleId="Default">
    <w:name w:val="Default"/>
    <w:rsid w:val="00F4496A"/>
    <w:pPr>
      <w:autoSpaceDE w:val="0"/>
      <w:autoSpaceDN w:val="0"/>
      <w:adjustRightInd w:val="0"/>
    </w:pPr>
    <w:rPr>
      <w:rFonts w:ascii="Calibri" w:hAnsi="Calibri" w:cs="Calibri"/>
      <w:color w:val="000000"/>
      <w:sz w:val="24"/>
      <w:szCs w:val="24"/>
    </w:rPr>
  </w:style>
  <w:style w:type="character" w:styleId="FollowedHyperlink">
    <w:name w:val="FollowedHyperlink"/>
    <w:rsid w:val="00BC1800"/>
    <w:rPr>
      <w:color w:val="800080"/>
      <w:u w:val="single"/>
    </w:rPr>
  </w:style>
  <w:style w:type="character" w:customStyle="1" w:styleId="UnresolvedMention">
    <w:name w:val="Unresolved Mention"/>
    <w:uiPriority w:val="99"/>
    <w:semiHidden/>
    <w:unhideWhenUsed/>
    <w:rsid w:val="004808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2415">
      <w:bodyDiv w:val="1"/>
      <w:marLeft w:val="120"/>
      <w:marRight w:val="120"/>
      <w:marTop w:val="45"/>
      <w:marBottom w:val="45"/>
      <w:divBdr>
        <w:top w:val="none" w:sz="0" w:space="0" w:color="auto"/>
        <w:left w:val="none" w:sz="0" w:space="0" w:color="auto"/>
        <w:bottom w:val="none" w:sz="0" w:space="0" w:color="auto"/>
        <w:right w:val="none" w:sz="0" w:space="0" w:color="auto"/>
      </w:divBdr>
      <w:divsChild>
        <w:div w:id="367149487">
          <w:marLeft w:val="0"/>
          <w:marRight w:val="0"/>
          <w:marTop w:val="0"/>
          <w:marBottom w:val="0"/>
          <w:divBdr>
            <w:top w:val="none" w:sz="0" w:space="0" w:color="auto"/>
            <w:left w:val="none" w:sz="0" w:space="0" w:color="auto"/>
            <w:bottom w:val="none" w:sz="0" w:space="0" w:color="auto"/>
            <w:right w:val="none" w:sz="0" w:space="0" w:color="auto"/>
          </w:divBdr>
          <w:divsChild>
            <w:div w:id="11537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5968">
      <w:bodyDiv w:val="1"/>
      <w:marLeft w:val="0"/>
      <w:marRight w:val="0"/>
      <w:marTop w:val="0"/>
      <w:marBottom w:val="0"/>
      <w:divBdr>
        <w:top w:val="none" w:sz="0" w:space="0" w:color="auto"/>
        <w:left w:val="none" w:sz="0" w:space="0" w:color="auto"/>
        <w:bottom w:val="none" w:sz="0" w:space="0" w:color="auto"/>
        <w:right w:val="none" w:sz="0" w:space="0" w:color="auto"/>
      </w:divBdr>
      <w:divsChild>
        <w:div w:id="339236844">
          <w:marLeft w:val="0"/>
          <w:marRight w:val="0"/>
          <w:marTop w:val="0"/>
          <w:marBottom w:val="0"/>
          <w:divBdr>
            <w:top w:val="none" w:sz="0" w:space="0" w:color="auto"/>
            <w:left w:val="none" w:sz="0" w:space="0" w:color="auto"/>
            <w:bottom w:val="none" w:sz="0" w:space="0" w:color="auto"/>
            <w:right w:val="none" w:sz="0" w:space="0" w:color="auto"/>
          </w:divBdr>
          <w:divsChild>
            <w:div w:id="80032848">
              <w:marLeft w:val="0"/>
              <w:marRight w:val="0"/>
              <w:marTop w:val="0"/>
              <w:marBottom w:val="0"/>
              <w:divBdr>
                <w:top w:val="none" w:sz="0" w:space="0" w:color="auto"/>
                <w:left w:val="none" w:sz="0" w:space="0" w:color="auto"/>
                <w:bottom w:val="none" w:sz="0" w:space="0" w:color="auto"/>
                <w:right w:val="none" w:sz="0" w:space="0" w:color="auto"/>
              </w:divBdr>
            </w:div>
            <w:div w:id="234441071">
              <w:marLeft w:val="0"/>
              <w:marRight w:val="0"/>
              <w:marTop w:val="0"/>
              <w:marBottom w:val="0"/>
              <w:divBdr>
                <w:top w:val="none" w:sz="0" w:space="0" w:color="auto"/>
                <w:left w:val="none" w:sz="0" w:space="0" w:color="auto"/>
                <w:bottom w:val="none" w:sz="0" w:space="0" w:color="auto"/>
                <w:right w:val="none" w:sz="0" w:space="0" w:color="auto"/>
              </w:divBdr>
            </w:div>
            <w:div w:id="305672365">
              <w:marLeft w:val="0"/>
              <w:marRight w:val="0"/>
              <w:marTop w:val="0"/>
              <w:marBottom w:val="0"/>
              <w:divBdr>
                <w:top w:val="none" w:sz="0" w:space="0" w:color="auto"/>
                <w:left w:val="none" w:sz="0" w:space="0" w:color="auto"/>
                <w:bottom w:val="none" w:sz="0" w:space="0" w:color="auto"/>
                <w:right w:val="none" w:sz="0" w:space="0" w:color="auto"/>
              </w:divBdr>
            </w:div>
            <w:div w:id="347408608">
              <w:marLeft w:val="0"/>
              <w:marRight w:val="0"/>
              <w:marTop w:val="0"/>
              <w:marBottom w:val="0"/>
              <w:divBdr>
                <w:top w:val="none" w:sz="0" w:space="0" w:color="auto"/>
                <w:left w:val="none" w:sz="0" w:space="0" w:color="auto"/>
                <w:bottom w:val="none" w:sz="0" w:space="0" w:color="auto"/>
                <w:right w:val="none" w:sz="0" w:space="0" w:color="auto"/>
              </w:divBdr>
            </w:div>
            <w:div w:id="725835006">
              <w:marLeft w:val="0"/>
              <w:marRight w:val="0"/>
              <w:marTop w:val="0"/>
              <w:marBottom w:val="0"/>
              <w:divBdr>
                <w:top w:val="none" w:sz="0" w:space="0" w:color="auto"/>
                <w:left w:val="none" w:sz="0" w:space="0" w:color="auto"/>
                <w:bottom w:val="none" w:sz="0" w:space="0" w:color="auto"/>
                <w:right w:val="none" w:sz="0" w:space="0" w:color="auto"/>
              </w:divBdr>
            </w:div>
            <w:div w:id="1196188633">
              <w:marLeft w:val="0"/>
              <w:marRight w:val="0"/>
              <w:marTop w:val="0"/>
              <w:marBottom w:val="0"/>
              <w:divBdr>
                <w:top w:val="none" w:sz="0" w:space="0" w:color="auto"/>
                <w:left w:val="none" w:sz="0" w:space="0" w:color="auto"/>
                <w:bottom w:val="none" w:sz="0" w:space="0" w:color="auto"/>
                <w:right w:val="none" w:sz="0" w:space="0" w:color="auto"/>
              </w:divBdr>
            </w:div>
            <w:div w:id="1602571059">
              <w:marLeft w:val="0"/>
              <w:marRight w:val="0"/>
              <w:marTop w:val="0"/>
              <w:marBottom w:val="0"/>
              <w:divBdr>
                <w:top w:val="none" w:sz="0" w:space="0" w:color="auto"/>
                <w:left w:val="none" w:sz="0" w:space="0" w:color="auto"/>
                <w:bottom w:val="none" w:sz="0" w:space="0" w:color="auto"/>
                <w:right w:val="none" w:sz="0" w:space="0" w:color="auto"/>
              </w:divBdr>
            </w:div>
            <w:div w:id="1877958886">
              <w:marLeft w:val="0"/>
              <w:marRight w:val="0"/>
              <w:marTop w:val="0"/>
              <w:marBottom w:val="0"/>
              <w:divBdr>
                <w:top w:val="none" w:sz="0" w:space="0" w:color="auto"/>
                <w:left w:val="none" w:sz="0" w:space="0" w:color="auto"/>
                <w:bottom w:val="none" w:sz="0" w:space="0" w:color="auto"/>
                <w:right w:val="none" w:sz="0" w:space="0" w:color="auto"/>
              </w:divBdr>
            </w:div>
            <w:div w:id="19126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0029">
      <w:bodyDiv w:val="1"/>
      <w:marLeft w:val="120"/>
      <w:marRight w:val="120"/>
      <w:marTop w:val="45"/>
      <w:marBottom w:val="45"/>
      <w:divBdr>
        <w:top w:val="none" w:sz="0" w:space="0" w:color="auto"/>
        <w:left w:val="none" w:sz="0" w:space="0" w:color="auto"/>
        <w:bottom w:val="none" w:sz="0" w:space="0" w:color="auto"/>
        <w:right w:val="none" w:sz="0" w:space="0" w:color="auto"/>
      </w:divBdr>
      <w:divsChild>
        <w:div w:id="79300409">
          <w:marLeft w:val="0"/>
          <w:marRight w:val="0"/>
          <w:marTop w:val="0"/>
          <w:marBottom w:val="0"/>
          <w:divBdr>
            <w:top w:val="none" w:sz="0" w:space="0" w:color="auto"/>
            <w:left w:val="none" w:sz="0" w:space="0" w:color="auto"/>
            <w:bottom w:val="none" w:sz="0" w:space="0" w:color="auto"/>
            <w:right w:val="none" w:sz="0" w:space="0" w:color="auto"/>
          </w:divBdr>
          <w:divsChild>
            <w:div w:id="19250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4254">
      <w:bodyDiv w:val="1"/>
      <w:marLeft w:val="0"/>
      <w:marRight w:val="0"/>
      <w:marTop w:val="0"/>
      <w:marBottom w:val="0"/>
      <w:divBdr>
        <w:top w:val="none" w:sz="0" w:space="0" w:color="auto"/>
        <w:left w:val="none" w:sz="0" w:space="0" w:color="auto"/>
        <w:bottom w:val="none" w:sz="0" w:space="0" w:color="auto"/>
        <w:right w:val="none" w:sz="0" w:space="0" w:color="auto"/>
      </w:divBdr>
      <w:divsChild>
        <w:div w:id="767508052">
          <w:marLeft w:val="720"/>
          <w:marRight w:val="0"/>
          <w:marTop w:val="120"/>
          <w:marBottom w:val="0"/>
          <w:divBdr>
            <w:top w:val="none" w:sz="0" w:space="0" w:color="auto"/>
            <w:left w:val="none" w:sz="0" w:space="0" w:color="auto"/>
            <w:bottom w:val="none" w:sz="0" w:space="0" w:color="auto"/>
            <w:right w:val="none" w:sz="0" w:space="0" w:color="auto"/>
          </w:divBdr>
        </w:div>
      </w:divsChild>
    </w:div>
    <w:div w:id="983462567">
      <w:bodyDiv w:val="1"/>
      <w:marLeft w:val="0"/>
      <w:marRight w:val="0"/>
      <w:marTop w:val="0"/>
      <w:marBottom w:val="0"/>
      <w:divBdr>
        <w:top w:val="none" w:sz="0" w:space="0" w:color="auto"/>
        <w:left w:val="none" w:sz="0" w:space="0" w:color="auto"/>
        <w:bottom w:val="none" w:sz="0" w:space="0" w:color="auto"/>
        <w:right w:val="none" w:sz="0" w:space="0" w:color="auto"/>
      </w:divBdr>
      <w:divsChild>
        <w:div w:id="1033463553">
          <w:marLeft w:val="0"/>
          <w:marRight w:val="0"/>
          <w:marTop w:val="0"/>
          <w:marBottom w:val="0"/>
          <w:divBdr>
            <w:top w:val="none" w:sz="0" w:space="0" w:color="auto"/>
            <w:left w:val="none" w:sz="0" w:space="0" w:color="auto"/>
            <w:bottom w:val="none" w:sz="0" w:space="0" w:color="auto"/>
            <w:right w:val="none" w:sz="0" w:space="0" w:color="auto"/>
          </w:divBdr>
          <w:divsChild>
            <w:div w:id="157768747">
              <w:marLeft w:val="0"/>
              <w:marRight w:val="0"/>
              <w:marTop w:val="0"/>
              <w:marBottom w:val="0"/>
              <w:divBdr>
                <w:top w:val="none" w:sz="0" w:space="0" w:color="auto"/>
                <w:left w:val="none" w:sz="0" w:space="0" w:color="auto"/>
                <w:bottom w:val="none" w:sz="0" w:space="0" w:color="auto"/>
                <w:right w:val="none" w:sz="0" w:space="0" w:color="auto"/>
              </w:divBdr>
            </w:div>
            <w:div w:id="314920589">
              <w:marLeft w:val="0"/>
              <w:marRight w:val="0"/>
              <w:marTop w:val="0"/>
              <w:marBottom w:val="0"/>
              <w:divBdr>
                <w:top w:val="none" w:sz="0" w:space="0" w:color="auto"/>
                <w:left w:val="none" w:sz="0" w:space="0" w:color="auto"/>
                <w:bottom w:val="none" w:sz="0" w:space="0" w:color="auto"/>
                <w:right w:val="none" w:sz="0" w:space="0" w:color="auto"/>
              </w:divBdr>
            </w:div>
            <w:div w:id="509025298">
              <w:marLeft w:val="0"/>
              <w:marRight w:val="0"/>
              <w:marTop w:val="0"/>
              <w:marBottom w:val="0"/>
              <w:divBdr>
                <w:top w:val="none" w:sz="0" w:space="0" w:color="auto"/>
                <w:left w:val="none" w:sz="0" w:space="0" w:color="auto"/>
                <w:bottom w:val="none" w:sz="0" w:space="0" w:color="auto"/>
                <w:right w:val="none" w:sz="0" w:space="0" w:color="auto"/>
              </w:divBdr>
            </w:div>
            <w:div w:id="591741801">
              <w:marLeft w:val="0"/>
              <w:marRight w:val="0"/>
              <w:marTop w:val="0"/>
              <w:marBottom w:val="0"/>
              <w:divBdr>
                <w:top w:val="none" w:sz="0" w:space="0" w:color="auto"/>
                <w:left w:val="none" w:sz="0" w:space="0" w:color="auto"/>
                <w:bottom w:val="none" w:sz="0" w:space="0" w:color="auto"/>
                <w:right w:val="none" w:sz="0" w:space="0" w:color="auto"/>
              </w:divBdr>
            </w:div>
            <w:div w:id="642121773">
              <w:marLeft w:val="0"/>
              <w:marRight w:val="0"/>
              <w:marTop w:val="0"/>
              <w:marBottom w:val="0"/>
              <w:divBdr>
                <w:top w:val="none" w:sz="0" w:space="0" w:color="auto"/>
                <w:left w:val="none" w:sz="0" w:space="0" w:color="auto"/>
                <w:bottom w:val="none" w:sz="0" w:space="0" w:color="auto"/>
                <w:right w:val="none" w:sz="0" w:space="0" w:color="auto"/>
              </w:divBdr>
            </w:div>
            <w:div w:id="666247523">
              <w:marLeft w:val="0"/>
              <w:marRight w:val="0"/>
              <w:marTop w:val="0"/>
              <w:marBottom w:val="0"/>
              <w:divBdr>
                <w:top w:val="none" w:sz="0" w:space="0" w:color="auto"/>
                <w:left w:val="none" w:sz="0" w:space="0" w:color="auto"/>
                <w:bottom w:val="none" w:sz="0" w:space="0" w:color="auto"/>
                <w:right w:val="none" w:sz="0" w:space="0" w:color="auto"/>
              </w:divBdr>
            </w:div>
            <w:div w:id="921373528">
              <w:marLeft w:val="0"/>
              <w:marRight w:val="0"/>
              <w:marTop w:val="0"/>
              <w:marBottom w:val="0"/>
              <w:divBdr>
                <w:top w:val="none" w:sz="0" w:space="0" w:color="auto"/>
                <w:left w:val="none" w:sz="0" w:space="0" w:color="auto"/>
                <w:bottom w:val="none" w:sz="0" w:space="0" w:color="auto"/>
                <w:right w:val="none" w:sz="0" w:space="0" w:color="auto"/>
              </w:divBdr>
            </w:div>
            <w:div w:id="1365591270">
              <w:marLeft w:val="0"/>
              <w:marRight w:val="0"/>
              <w:marTop w:val="0"/>
              <w:marBottom w:val="0"/>
              <w:divBdr>
                <w:top w:val="none" w:sz="0" w:space="0" w:color="auto"/>
                <w:left w:val="none" w:sz="0" w:space="0" w:color="auto"/>
                <w:bottom w:val="none" w:sz="0" w:space="0" w:color="auto"/>
                <w:right w:val="none" w:sz="0" w:space="0" w:color="auto"/>
              </w:divBdr>
            </w:div>
            <w:div w:id="1574046795">
              <w:marLeft w:val="0"/>
              <w:marRight w:val="0"/>
              <w:marTop w:val="0"/>
              <w:marBottom w:val="0"/>
              <w:divBdr>
                <w:top w:val="none" w:sz="0" w:space="0" w:color="auto"/>
                <w:left w:val="none" w:sz="0" w:space="0" w:color="auto"/>
                <w:bottom w:val="none" w:sz="0" w:space="0" w:color="auto"/>
                <w:right w:val="none" w:sz="0" w:space="0" w:color="auto"/>
              </w:divBdr>
            </w:div>
            <w:div w:id="1710497687">
              <w:marLeft w:val="0"/>
              <w:marRight w:val="0"/>
              <w:marTop w:val="0"/>
              <w:marBottom w:val="0"/>
              <w:divBdr>
                <w:top w:val="none" w:sz="0" w:space="0" w:color="auto"/>
                <w:left w:val="none" w:sz="0" w:space="0" w:color="auto"/>
                <w:bottom w:val="none" w:sz="0" w:space="0" w:color="auto"/>
                <w:right w:val="none" w:sz="0" w:space="0" w:color="auto"/>
              </w:divBdr>
            </w:div>
            <w:div w:id="1844273811">
              <w:marLeft w:val="0"/>
              <w:marRight w:val="0"/>
              <w:marTop w:val="0"/>
              <w:marBottom w:val="0"/>
              <w:divBdr>
                <w:top w:val="none" w:sz="0" w:space="0" w:color="auto"/>
                <w:left w:val="none" w:sz="0" w:space="0" w:color="auto"/>
                <w:bottom w:val="none" w:sz="0" w:space="0" w:color="auto"/>
                <w:right w:val="none" w:sz="0" w:space="0" w:color="auto"/>
              </w:divBdr>
            </w:div>
            <w:div w:id="21221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6008">
      <w:bodyDiv w:val="1"/>
      <w:marLeft w:val="0"/>
      <w:marRight w:val="0"/>
      <w:marTop w:val="0"/>
      <w:marBottom w:val="0"/>
      <w:divBdr>
        <w:top w:val="none" w:sz="0" w:space="0" w:color="auto"/>
        <w:left w:val="none" w:sz="0" w:space="0" w:color="auto"/>
        <w:bottom w:val="none" w:sz="0" w:space="0" w:color="auto"/>
        <w:right w:val="none" w:sz="0" w:space="0" w:color="auto"/>
      </w:divBdr>
      <w:divsChild>
        <w:div w:id="489835857">
          <w:marLeft w:val="0"/>
          <w:marRight w:val="0"/>
          <w:marTop w:val="0"/>
          <w:marBottom w:val="0"/>
          <w:divBdr>
            <w:top w:val="none" w:sz="0" w:space="0" w:color="auto"/>
            <w:left w:val="none" w:sz="0" w:space="0" w:color="auto"/>
            <w:bottom w:val="none" w:sz="0" w:space="0" w:color="auto"/>
            <w:right w:val="none" w:sz="0" w:space="0" w:color="auto"/>
          </w:divBdr>
          <w:divsChild>
            <w:div w:id="39089484">
              <w:marLeft w:val="0"/>
              <w:marRight w:val="0"/>
              <w:marTop w:val="0"/>
              <w:marBottom w:val="0"/>
              <w:divBdr>
                <w:top w:val="none" w:sz="0" w:space="0" w:color="auto"/>
                <w:left w:val="none" w:sz="0" w:space="0" w:color="auto"/>
                <w:bottom w:val="none" w:sz="0" w:space="0" w:color="auto"/>
                <w:right w:val="none" w:sz="0" w:space="0" w:color="auto"/>
              </w:divBdr>
            </w:div>
            <w:div w:id="514924027">
              <w:marLeft w:val="0"/>
              <w:marRight w:val="0"/>
              <w:marTop w:val="0"/>
              <w:marBottom w:val="0"/>
              <w:divBdr>
                <w:top w:val="none" w:sz="0" w:space="0" w:color="auto"/>
                <w:left w:val="none" w:sz="0" w:space="0" w:color="auto"/>
                <w:bottom w:val="none" w:sz="0" w:space="0" w:color="auto"/>
                <w:right w:val="none" w:sz="0" w:space="0" w:color="auto"/>
              </w:divBdr>
            </w:div>
            <w:div w:id="632323012">
              <w:marLeft w:val="0"/>
              <w:marRight w:val="0"/>
              <w:marTop w:val="0"/>
              <w:marBottom w:val="0"/>
              <w:divBdr>
                <w:top w:val="none" w:sz="0" w:space="0" w:color="auto"/>
                <w:left w:val="none" w:sz="0" w:space="0" w:color="auto"/>
                <w:bottom w:val="none" w:sz="0" w:space="0" w:color="auto"/>
                <w:right w:val="none" w:sz="0" w:space="0" w:color="auto"/>
              </w:divBdr>
            </w:div>
            <w:div w:id="869489555">
              <w:marLeft w:val="0"/>
              <w:marRight w:val="0"/>
              <w:marTop w:val="0"/>
              <w:marBottom w:val="0"/>
              <w:divBdr>
                <w:top w:val="none" w:sz="0" w:space="0" w:color="auto"/>
                <w:left w:val="none" w:sz="0" w:space="0" w:color="auto"/>
                <w:bottom w:val="none" w:sz="0" w:space="0" w:color="auto"/>
                <w:right w:val="none" w:sz="0" w:space="0" w:color="auto"/>
              </w:divBdr>
            </w:div>
            <w:div w:id="891842146">
              <w:marLeft w:val="0"/>
              <w:marRight w:val="0"/>
              <w:marTop w:val="0"/>
              <w:marBottom w:val="0"/>
              <w:divBdr>
                <w:top w:val="none" w:sz="0" w:space="0" w:color="auto"/>
                <w:left w:val="none" w:sz="0" w:space="0" w:color="auto"/>
                <w:bottom w:val="none" w:sz="0" w:space="0" w:color="auto"/>
                <w:right w:val="none" w:sz="0" w:space="0" w:color="auto"/>
              </w:divBdr>
            </w:div>
            <w:div w:id="915482852">
              <w:marLeft w:val="0"/>
              <w:marRight w:val="0"/>
              <w:marTop w:val="0"/>
              <w:marBottom w:val="0"/>
              <w:divBdr>
                <w:top w:val="none" w:sz="0" w:space="0" w:color="auto"/>
                <w:left w:val="none" w:sz="0" w:space="0" w:color="auto"/>
                <w:bottom w:val="none" w:sz="0" w:space="0" w:color="auto"/>
                <w:right w:val="none" w:sz="0" w:space="0" w:color="auto"/>
              </w:divBdr>
            </w:div>
            <w:div w:id="1011883041">
              <w:marLeft w:val="0"/>
              <w:marRight w:val="0"/>
              <w:marTop w:val="0"/>
              <w:marBottom w:val="0"/>
              <w:divBdr>
                <w:top w:val="none" w:sz="0" w:space="0" w:color="auto"/>
                <w:left w:val="none" w:sz="0" w:space="0" w:color="auto"/>
                <w:bottom w:val="none" w:sz="0" w:space="0" w:color="auto"/>
                <w:right w:val="none" w:sz="0" w:space="0" w:color="auto"/>
              </w:divBdr>
            </w:div>
            <w:div w:id="1290287244">
              <w:marLeft w:val="0"/>
              <w:marRight w:val="0"/>
              <w:marTop w:val="0"/>
              <w:marBottom w:val="0"/>
              <w:divBdr>
                <w:top w:val="none" w:sz="0" w:space="0" w:color="auto"/>
                <w:left w:val="none" w:sz="0" w:space="0" w:color="auto"/>
                <w:bottom w:val="none" w:sz="0" w:space="0" w:color="auto"/>
                <w:right w:val="none" w:sz="0" w:space="0" w:color="auto"/>
              </w:divBdr>
            </w:div>
            <w:div w:id="1398630721">
              <w:marLeft w:val="0"/>
              <w:marRight w:val="0"/>
              <w:marTop w:val="0"/>
              <w:marBottom w:val="0"/>
              <w:divBdr>
                <w:top w:val="none" w:sz="0" w:space="0" w:color="auto"/>
                <w:left w:val="none" w:sz="0" w:space="0" w:color="auto"/>
                <w:bottom w:val="none" w:sz="0" w:space="0" w:color="auto"/>
                <w:right w:val="none" w:sz="0" w:space="0" w:color="auto"/>
              </w:divBdr>
            </w:div>
            <w:div w:id="1400859042">
              <w:marLeft w:val="0"/>
              <w:marRight w:val="0"/>
              <w:marTop w:val="0"/>
              <w:marBottom w:val="0"/>
              <w:divBdr>
                <w:top w:val="none" w:sz="0" w:space="0" w:color="auto"/>
                <w:left w:val="none" w:sz="0" w:space="0" w:color="auto"/>
                <w:bottom w:val="none" w:sz="0" w:space="0" w:color="auto"/>
                <w:right w:val="none" w:sz="0" w:space="0" w:color="auto"/>
              </w:divBdr>
            </w:div>
            <w:div w:id="1615672498">
              <w:marLeft w:val="0"/>
              <w:marRight w:val="0"/>
              <w:marTop w:val="0"/>
              <w:marBottom w:val="0"/>
              <w:divBdr>
                <w:top w:val="none" w:sz="0" w:space="0" w:color="auto"/>
                <w:left w:val="none" w:sz="0" w:space="0" w:color="auto"/>
                <w:bottom w:val="none" w:sz="0" w:space="0" w:color="auto"/>
                <w:right w:val="none" w:sz="0" w:space="0" w:color="auto"/>
              </w:divBdr>
            </w:div>
            <w:div w:id="2066097555">
              <w:marLeft w:val="0"/>
              <w:marRight w:val="0"/>
              <w:marTop w:val="0"/>
              <w:marBottom w:val="0"/>
              <w:divBdr>
                <w:top w:val="none" w:sz="0" w:space="0" w:color="auto"/>
                <w:left w:val="none" w:sz="0" w:space="0" w:color="auto"/>
                <w:bottom w:val="none" w:sz="0" w:space="0" w:color="auto"/>
                <w:right w:val="none" w:sz="0" w:space="0" w:color="auto"/>
              </w:divBdr>
            </w:div>
            <w:div w:id="21021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37262">
      <w:bodyDiv w:val="1"/>
      <w:marLeft w:val="0"/>
      <w:marRight w:val="0"/>
      <w:marTop w:val="0"/>
      <w:marBottom w:val="0"/>
      <w:divBdr>
        <w:top w:val="none" w:sz="0" w:space="0" w:color="auto"/>
        <w:left w:val="none" w:sz="0" w:space="0" w:color="auto"/>
        <w:bottom w:val="none" w:sz="0" w:space="0" w:color="auto"/>
        <w:right w:val="none" w:sz="0" w:space="0" w:color="auto"/>
      </w:divBdr>
      <w:divsChild>
        <w:div w:id="1810591016">
          <w:marLeft w:val="0"/>
          <w:marRight w:val="0"/>
          <w:marTop w:val="0"/>
          <w:marBottom w:val="0"/>
          <w:divBdr>
            <w:top w:val="none" w:sz="0" w:space="0" w:color="auto"/>
            <w:left w:val="none" w:sz="0" w:space="0" w:color="auto"/>
            <w:bottom w:val="none" w:sz="0" w:space="0" w:color="auto"/>
            <w:right w:val="none" w:sz="0" w:space="0" w:color="auto"/>
          </w:divBdr>
          <w:divsChild>
            <w:div w:id="814907354">
              <w:marLeft w:val="0"/>
              <w:marRight w:val="0"/>
              <w:marTop w:val="0"/>
              <w:marBottom w:val="0"/>
              <w:divBdr>
                <w:top w:val="none" w:sz="0" w:space="0" w:color="auto"/>
                <w:left w:val="none" w:sz="0" w:space="0" w:color="auto"/>
                <w:bottom w:val="none" w:sz="0" w:space="0" w:color="auto"/>
                <w:right w:val="none" w:sz="0" w:space="0" w:color="auto"/>
              </w:divBdr>
              <w:divsChild>
                <w:div w:id="1191839672">
                  <w:marLeft w:val="0"/>
                  <w:marRight w:val="0"/>
                  <w:marTop w:val="0"/>
                  <w:marBottom w:val="0"/>
                  <w:divBdr>
                    <w:top w:val="none" w:sz="0" w:space="0" w:color="auto"/>
                    <w:left w:val="none" w:sz="0" w:space="0" w:color="auto"/>
                    <w:bottom w:val="none" w:sz="0" w:space="0" w:color="auto"/>
                    <w:right w:val="none" w:sz="0" w:space="0" w:color="auto"/>
                  </w:divBdr>
                  <w:divsChild>
                    <w:div w:id="25835119">
                      <w:marLeft w:val="0"/>
                      <w:marRight w:val="0"/>
                      <w:marTop w:val="0"/>
                      <w:marBottom w:val="0"/>
                      <w:divBdr>
                        <w:top w:val="none" w:sz="0" w:space="0" w:color="auto"/>
                        <w:left w:val="none" w:sz="0" w:space="0" w:color="auto"/>
                        <w:bottom w:val="none" w:sz="0" w:space="0" w:color="auto"/>
                        <w:right w:val="none" w:sz="0" w:space="0" w:color="auto"/>
                      </w:divBdr>
                      <w:divsChild>
                        <w:div w:id="12335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216188">
      <w:bodyDiv w:val="1"/>
      <w:marLeft w:val="0"/>
      <w:marRight w:val="0"/>
      <w:marTop w:val="0"/>
      <w:marBottom w:val="0"/>
      <w:divBdr>
        <w:top w:val="none" w:sz="0" w:space="0" w:color="auto"/>
        <w:left w:val="none" w:sz="0" w:space="0" w:color="auto"/>
        <w:bottom w:val="none" w:sz="0" w:space="0" w:color="auto"/>
        <w:right w:val="none" w:sz="0" w:space="0" w:color="auto"/>
      </w:divBdr>
      <w:divsChild>
        <w:div w:id="962082338">
          <w:marLeft w:val="0"/>
          <w:marRight w:val="0"/>
          <w:marTop w:val="0"/>
          <w:marBottom w:val="0"/>
          <w:divBdr>
            <w:top w:val="none" w:sz="0" w:space="0" w:color="auto"/>
            <w:left w:val="none" w:sz="0" w:space="0" w:color="auto"/>
            <w:bottom w:val="none" w:sz="0" w:space="0" w:color="auto"/>
            <w:right w:val="none" w:sz="0" w:space="0" w:color="auto"/>
          </w:divBdr>
        </w:div>
      </w:divsChild>
    </w:div>
    <w:div w:id="1441610773">
      <w:bodyDiv w:val="1"/>
      <w:marLeft w:val="0"/>
      <w:marRight w:val="0"/>
      <w:marTop w:val="0"/>
      <w:marBottom w:val="0"/>
      <w:divBdr>
        <w:top w:val="none" w:sz="0" w:space="0" w:color="auto"/>
        <w:left w:val="none" w:sz="0" w:space="0" w:color="auto"/>
        <w:bottom w:val="none" w:sz="0" w:space="0" w:color="auto"/>
        <w:right w:val="none" w:sz="0" w:space="0" w:color="auto"/>
      </w:divBdr>
      <w:divsChild>
        <w:div w:id="1240484304">
          <w:marLeft w:val="0"/>
          <w:marRight w:val="0"/>
          <w:marTop w:val="0"/>
          <w:marBottom w:val="0"/>
          <w:divBdr>
            <w:top w:val="none" w:sz="0" w:space="0" w:color="auto"/>
            <w:left w:val="none" w:sz="0" w:space="0" w:color="auto"/>
            <w:bottom w:val="none" w:sz="0" w:space="0" w:color="auto"/>
            <w:right w:val="none" w:sz="0" w:space="0" w:color="auto"/>
          </w:divBdr>
        </w:div>
      </w:divsChild>
    </w:div>
    <w:div w:id="1808274987">
      <w:bodyDiv w:val="1"/>
      <w:marLeft w:val="120"/>
      <w:marRight w:val="120"/>
      <w:marTop w:val="45"/>
      <w:marBottom w:val="45"/>
      <w:divBdr>
        <w:top w:val="none" w:sz="0" w:space="0" w:color="auto"/>
        <w:left w:val="none" w:sz="0" w:space="0" w:color="auto"/>
        <w:bottom w:val="none" w:sz="0" w:space="0" w:color="auto"/>
        <w:right w:val="none" w:sz="0" w:space="0" w:color="auto"/>
      </w:divBdr>
      <w:divsChild>
        <w:div w:id="2115249961">
          <w:marLeft w:val="0"/>
          <w:marRight w:val="0"/>
          <w:marTop w:val="0"/>
          <w:marBottom w:val="0"/>
          <w:divBdr>
            <w:top w:val="none" w:sz="0" w:space="0" w:color="auto"/>
            <w:left w:val="none" w:sz="0" w:space="0" w:color="auto"/>
            <w:bottom w:val="none" w:sz="0" w:space="0" w:color="auto"/>
            <w:right w:val="none" w:sz="0" w:space="0" w:color="auto"/>
          </w:divBdr>
          <w:divsChild>
            <w:div w:id="15454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9360">
      <w:bodyDiv w:val="1"/>
      <w:marLeft w:val="0"/>
      <w:marRight w:val="0"/>
      <w:marTop w:val="0"/>
      <w:marBottom w:val="0"/>
      <w:divBdr>
        <w:top w:val="none" w:sz="0" w:space="0" w:color="auto"/>
        <w:left w:val="none" w:sz="0" w:space="0" w:color="auto"/>
        <w:bottom w:val="none" w:sz="0" w:space="0" w:color="auto"/>
        <w:right w:val="none" w:sz="0" w:space="0" w:color="auto"/>
      </w:divBdr>
      <w:divsChild>
        <w:div w:id="13769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patientcarelink.org/Healthcare-Provider-Data/Hospital-Data/Statewide-Aggregate-Performance-Measures.aspx" TargetMode="External"/><Relationship Id="rId26" Type="http://schemas.openxmlformats.org/officeDocument/2006/relationships/image" Target="media/image1.wmf"/><Relationship Id="rId39" Type="http://schemas.openxmlformats.org/officeDocument/2006/relationships/hyperlink" Target="mailto:Karen.Boudreau@bmchp.org" TargetMode="External"/><Relationship Id="rId21" Type="http://schemas.openxmlformats.org/officeDocument/2006/relationships/hyperlink" Target="http://www.macoalition.org/evaluation-and-treatment-uti-in-elderly.shtml#webinars" TargetMode="External"/><Relationship Id="rId34" Type="http://schemas.openxmlformats.org/officeDocument/2006/relationships/header" Target="header1.xml"/><Relationship Id="rId42" Type="http://schemas.openxmlformats.org/officeDocument/2006/relationships/hyperlink" Target="mailto:Philip.Carling.MD@steward.org" TargetMode="External"/><Relationship Id="rId47" Type="http://schemas.openxmlformats.org/officeDocument/2006/relationships/hyperlink" Target="mailto:Lkenney@MITSS.org" TargetMode="External"/><Relationship Id="rId50" Type="http://schemas.openxmlformats.org/officeDocument/2006/relationships/hyperlink" Target="mailto:maryellen.scales@bhs.org"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cdc.gov/hai/prevent/tap.html" TargetMode="External"/><Relationship Id="rId25" Type="http://schemas.openxmlformats.org/officeDocument/2006/relationships/footer" Target="footer8.xml"/><Relationship Id="rId33" Type="http://schemas.openxmlformats.org/officeDocument/2006/relationships/oleObject" Target="embeddings/oleObject4.bin"/><Relationship Id="rId38" Type="http://schemas.openxmlformats.org/officeDocument/2006/relationships/hyperlink" Target="mailto:Alfred.demaria@state.ma.us" TargetMode="External"/><Relationship Id="rId46" Type="http://schemas.openxmlformats.org/officeDocument/2006/relationships/hyperlink" Target="mailto:Tom.Hutton@MassMail.State.MA.US" TargetMode="External"/><Relationship Id="rId2" Type="http://schemas.openxmlformats.org/officeDocument/2006/relationships/numbering" Target="numbering.xml"/><Relationship Id="rId16" Type="http://schemas.openxmlformats.org/officeDocument/2006/relationships/hyperlink" Target="http://www.mass.gov/eohhs/gov/departments/dph/programs/hcq/healthcare-quality/health-care-facilities/hospitals/healthcare-assoc-infections/healthcare-associated-infections-reports.html" TargetMode="External"/><Relationship Id="rId20" Type="http://schemas.openxmlformats.org/officeDocument/2006/relationships/hyperlink" Target="http://www.mass.gov/eohhs/docs/dph/health-planning/accreditation/state-health-improvement-plan.pdf" TargetMode="External"/><Relationship Id="rId29" Type="http://schemas.openxmlformats.org/officeDocument/2006/relationships/oleObject" Target="embeddings/oleObject2.bin"/><Relationship Id="rId41" Type="http://schemas.openxmlformats.org/officeDocument/2006/relationships/hyperlink" Target="mailto:wanda.carey@steward.org" TargetMode="Externa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esphealth.org/" TargetMode="External"/><Relationship Id="rId32" Type="http://schemas.openxmlformats.org/officeDocument/2006/relationships/image" Target="media/image4.wmf"/><Relationship Id="rId37" Type="http://schemas.openxmlformats.org/officeDocument/2006/relationships/header" Target="header2.xml"/><Relationship Id="rId40" Type="http://schemas.openxmlformats.org/officeDocument/2006/relationships/hyperlink" Target="mailto:mbunnell@partners.org" TargetMode="External"/><Relationship Id="rId45" Type="http://schemas.openxmlformats.org/officeDocument/2006/relationships/hyperlink" Target="mailto:dhooper@partners.org" TargetMode="External"/><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patientcarelink.org/Healthcare-Provider-Data/Hospital-Data/Statewide-Aggregate-Performance-Measures.aspx" TargetMode="External"/><Relationship Id="rId23" Type="http://schemas.openxmlformats.org/officeDocument/2006/relationships/footer" Target="footer7.xml"/><Relationship Id="rId28" Type="http://schemas.openxmlformats.org/officeDocument/2006/relationships/image" Target="media/image2.wmf"/><Relationship Id="rId36" Type="http://schemas.openxmlformats.org/officeDocument/2006/relationships/footer" Target="footer10.xml"/><Relationship Id="rId49" Type="http://schemas.openxmlformats.org/officeDocument/2006/relationships/hyperlink" Target="mailto:thomas.sandora@childrens.harvard.edu" TargetMode="External"/><Relationship Id="rId10" Type="http://schemas.openxmlformats.org/officeDocument/2006/relationships/hyperlink" Target="http://www.mass.gov/eohhs/gov/departments/dph/programs/hcq/healthcare-quality/" TargetMode="External"/><Relationship Id="rId19" Type="http://schemas.openxmlformats.org/officeDocument/2006/relationships/footer" Target="footer5.xml"/><Relationship Id="rId31" Type="http://schemas.openxmlformats.org/officeDocument/2006/relationships/oleObject" Target="embeddings/oleObject3.bin"/><Relationship Id="rId44" Type="http://schemas.openxmlformats.org/officeDocument/2006/relationships/hyperlink" Target="mailto:pgriswold@mhalink.org" TargetMode="External"/><Relationship Id="rId52" Type="http://schemas.openxmlformats.org/officeDocument/2006/relationships/hyperlink" Target="mailto:dyokoe@partners.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ass.gov/eohhs/gov/departments/dph/programs/hcq/healthcare-quality/health-care-facilities/hospitals/healthcare-assoc-infections/healthcare-associated-infections-reports.html" TargetMode="External"/><Relationship Id="rId22" Type="http://schemas.openxmlformats.org/officeDocument/2006/relationships/footer" Target="footer6.xm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footer" Target="footer9.xml"/><Relationship Id="rId43" Type="http://schemas.openxmlformats.org/officeDocument/2006/relationships/hyperlink" Target="mailto:ellisonr@ummhc.org" TargetMode="External"/><Relationship Id="rId48" Type="http://schemas.openxmlformats.org/officeDocument/2006/relationships/hyperlink" Target="mailto:tlemon@mah.harvard.ed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dsmith@mhalink.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8522A-59C9-48F6-A128-9D50EA5E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13498</Words>
  <Characters>88703</Characters>
  <Application>Microsoft Office Word</Application>
  <DocSecurity>0</DocSecurity>
  <Lines>739</Lines>
  <Paragraphs>203</Paragraphs>
  <ScaleCrop>false</ScaleCrop>
  <HeadingPairs>
    <vt:vector size="2" baseType="variant">
      <vt:variant>
        <vt:lpstr>Title</vt:lpstr>
      </vt:variant>
      <vt:variant>
        <vt:i4>1</vt:i4>
      </vt:variant>
    </vt:vector>
  </HeadingPairs>
  <TitlesOfParts>
    <vt:vector size="1" baseType="lpstr">
      <vt:lpstr>•</vt:lpstr>
    </vt:vector>
  </TitlesOfParts>
  <Company>ITSO</Company>
  <LinksUpToDate>false</LinksUpToDate>
  <CharactersWithSpaces>101998</CharactersWithSpaces>
  <SharedDoc>false</SharedDoc>
  <HLinks>
    <vt:vector size="144" baseType="variant">
      <vt:variant>
        <vt:i4>5046399</vt:i4>
      </vt:variant>
      <vt:variant>
        <vt:i4>373</vt:i4>
      </vt:variant>
      <vt:variant>
        <vt:i4>0</vt:i4>
      </vt:variant>
      <vt:variant>
        <vt:i4>5</vt:i4>
      </vt:variant>
      <vt:variant>
        <vt:lpwstr>mailto:dyokoe@partners.org</vt:lpwstr>
      </vt:variant>
      <vt:variant>
        <vt:lpwstr/>
      </vt:variant>
      <vt:variant>
        <vt:i4>6881369</vt:i4>
      </vt:variant>
      <vt:variant>
        <vt:i4>370</vt:i4>
      </vt:variant>
      <vt:variant>
        <vt:i4>0</vt:i4>
      </vt:variant>
      <vt:variant>
        <vt:i4>5</vt:i4>
      </vt:variant>
      <vt:variant>
        <vt:lpwstr>mailto:dsmith@mhalink.org</vt:lpwstr>
      </vt:variant>
      <vt:variant>
        <vt:lpwstr/>
      </vt:variant>
      <vt:variant>
        <vt:i4>1638519</vt:i4>
      </vt:variant>
      <vt:variant>
        <vt:i4>367</vt:i4>
      </vt:variant>
      <vt:variant>
        <vt:i4>0</vt:i4>
      </vt:variant>
      <vt:variant>
        <vt:i4>5</vt:i4>
      </vt:variant>
      <vt:variant>
        <vt:lpwstr>mailto:maryellen.scales@bhs.org</vt:lpwstr>
      </vt:variant>
      <vt:variant>
        <vt:lpwstr/>
      </vt:variant>
      <vt:variant>
        <vt:i4>1572909</vt:i4>
      </vt:variant>
      <vt:variant>
        <vt:i4>364</vt:i4>
      </vt:variant>
      <vt:variant>
        <vt:i4>0</vt:i4>
      </vt:variant>
      <vt:variant>
        <vt:i4>5</vt:i4>
      </vt:variant>
      <vt:variant>
        <vt:lpwstr>mailto:thomas.sandora@childrens.harvard.edu</vt:lpwstr>
      </vt:variant>
      <vt:variant>
        <vt:lpwstr/>
      </vt:variant>
      <vt:variant>
        <vt:i4>3932250</vt:i4>
      </vt:variant>
      <vt:variant>
        <vt:i4>361</vt:i4>
      </vt:variant>
      <vt:variant>
        <vt:i4>0</vt:i4>
      </vt:variant>
      <vt:variant>
        <vt:i4>5</vt:i4>
      </vt:variant>
      <vt:variant>
        <vt:lpwstr>mailto:tlemon@mah.harvard.edu</vt:lpwstr>
      </vt:variant>
      <vt:variant>
        <vt:lpwstr/>
      </vt:variant>
      <vt:variant>
        <vt:i4>1966124</vt:i4>
      </vt:variant>
      <vt:variant>
        <vt:i4>358</vt:i4>
      </vt:variant>
      <vt:variant>
        <vt:i4>0</vt:i4>
      </vt:variant>
      <vt:variant>
        <vt:i4>5</vt:i4>
      </vt:variant>
      <vt:variant>
        <vt:lpwstr>mailto:Lkenney@MITSS.org</vt:lpwstr>
      </vt:variant>
      <vt:variant>
        <vt:lpwstr/>
      </vt:variant>
      <vt:variant>
        <vt:i4>1048682</vt:i4>
      </vt:variant>
      <vt:variant>
        <vt:i4>355</vt:i4>
      </vt:variant>
      <vt:variant>
        <vt:i4>0</vt:i4>
      </vt:variant>
      <vt:variant>
        <vt:i4>5</vt:i4>
      </vt:variant>
      <vt:variant>
        <vt:lpwstr>mailto:Tom.Hutton@MassMail.State.MA.US</vt:lpwstr>
      </vt:variant>
      <vt:variant>
        <vt:lpwstr/>
      </vt:variant>
      <vt:variant>
        <vt:i4>2686980</vt:i4>
      </vt:variant>
      <vt:variant>
        <vt:i4>352</vt:i4>
      </vt:variant>
      <vt:variant>
        <vt:i4>0</vt:i4>
      </vt:variant>
      <vt:variant>
        <vt:i4>5</vt:i4>
      </vt:variant>
      <vt:variant>
        <vt:lpwstr>mailto:dhooper@partners.org</vt:lpwstr>
      </vt:variant>
      <vt:variant>
        <vt:lpwstr/>
      </vt:variant>
      <vt:variant>
        <vt:i4>1966121</vt:i4>
      </vt:variant>
      <vt:variant>
        <vt:i4>349</vt:i4>
      </vt:variant>
      <vt:variant>
        <vt:i4>0</vt:i4>
      </vt:variant>
      <vt:variant>
        <vt:i4>5</vt:i4>
      </vt:variant>
      <vt:variant>
        <vt:lpwstr>mailto:pgriswold@mhalink.org</vt:lpwstr>
      </vt:variant>
      <vt:variant>
        <vt:lpwstr/>
      </vt:variant>
      <vt:variant>
        <vt:i4>7274566</vt:i4>
      </vt:variant>
      <vt:variant>
        <vt:i4>346</vt:i4>
      </vt:variant>
      <vt:variant>
        <vt:i4>0</vt:i4>
      </vt:variant>
      <vt:variant>
        <vt:i4>5</vt:i4>
      </vt:variant>
      <vt:variant>
        <vt:lpwstr>mailto:ellisonr@ummhc.org</vt:lpwstr>
      </vt:variant>
      <vt:variant>
        <vt:lpwstr/>
      </vt:variant>
      <vt:variant>
        <vt:i4>917537</vt:i4>
      </vt:variant>
      <vt:variant>
        <vt:i4>343</vt:i4>
      </vt:variant>
      <vt:variant>
        <vt:i4>0</vt:i4>
      </vt:variant>
      <vt:variant>
        <vt:i4>5</vt:i4>
      </vt:variant>
      <vt:variant>
        <vt:lpwstr>mailto:Philip.Carling.MD@steward.org</vt:lpwstr>
      </vt:variant>
      <vt:variant>
        <vt:lpwstr/>
      </vt:variant>
      <vt:variant>
        <vt:i4>6881288</vt:i4>
      </vt:variant>
      <vt:variant>
        <vt:i4>340</vt:i4>
      </vt:variant>
      <vt:variant>
        <vt:i4>0</vt:i4>
      </vt:variant>
      <vt:variant>
        <vt:i4>5</vt:i4>
      </vt:variant>
      <vt:variant>
        <vt:lpwstr>mailto:wanda.carey@steward.org</vt:lpwstr>
      </vt:variant>
      <vt:variant>
        <vt:lpwstr/>
      </vt:variant>
      <vt:variant>
        <vt:i4>3342349</vt:i4>
      </vt:variant>
      <vt:variant>
        <vt:i4>337</vt:i4>
      </vt:variant>
      <vt:variant>
        <vt:i4>0</vt:i4>
      </vt:variant>
      <vt:variant>
        <vt:i4>5</vt:i4>
      </vt:variant>
      <vt:variant>
        <vt:lpwstr>mailto:mbunnell@partners.org</vt:lpwstr>
      </vt:variant>
      <vt:variant>
        <vt:lpwstr/>
      </vt:variant>
      <vt:variant>
        <vt:i4>524389</vt:i4>
      </vt:variant>
      <vt:variant>
        <vt:i4>334</vt:i4>
      </vt:variant>
      <vt:variant>
        <vt:i4>0</vt:i4>
      </vt:variant>
      <vt:variant>
        <vt:i4>5</vt:i4>
      </vt:variant>
      <vt:variant>
        <vt:lpwstr>mailto:Karen.Boudreau@bmchp.org</vt:lpwstr>
      </vt:variant>
      <vt:variant>
        <vt:lpwstr/>
      </vt:variant>
      <vt:variant>
        <vt:i4>3735582</vt:i4>
      </vt:variant>
      <vt:variant>
        <vt:i4>331</vt:i4>
      </vt:variant>
      <vt:variant>
        <vt:i4>0</vt:i4>
      </vt:variant>
      <vt:variant>
        <vt:i4>5</vt:i4>
      </vt:variant>
      <vt:variant>
        <vt:lpwstr>mailto:Alfred.demaria@state.ma.us</vt:lpwstr>
      </vt:variant>
      <vt:variant>
        <vt:lpwstr/>
      </vt:variant>
      <vt:variant>
        <vt:i4>5701723</vt:i4>
      </vt:variant>
      <vt:variant>
        <vt:i4>316</vt:i4>
      </vt:variant>
      <vt:variant>
        <vt:i4>0</vt:i4>
      </vt:variant>
      <vt:variant>
        <vt:i4>5</vt:i4>
      </vt:variant>
      <vt:variant>
        <vt:lpwstr>http://esphealth.org/</vt:lpwstr>
      </vt:variant>
      <vt:variant>
        <vt:lpwstr/>
      </vt:variant>
      <vt:variant>
        <vt:i4>5439560</vt:i4>
      </vt:variant>
      <vt:variant>
        <vt:i4>225</vt:i4>
      </vt:variant>
      <vt:variant>
        <vt:i4>0</vt:i4>
      </vt:variant>
      <vt:variant>
        <vt:i4>5</vt:i4>
      </vt:variant>
      <vt:variant>
        <vt:lpwstr>http://www.macoalition.org/evaluation-and-treatment-uti-in-elderly.shtml</vt:lpwstr>
      </vt:variant>
      <vt:variant>
        <vt:lpwstr>webinars</vt:lpwstr>
      </vt:variant>
      <vt:variant>
        <vt:i4>2293797</vt:i4>
      </vt:variant>
      <vt:variant>
        <vt:i4>214</vt:i4>
      </vt:variant>
      <vt:variant>
        <vt:i4>0</vt:i4>
      </vt:variant>
      <vt:variant>
        <vt:i4>5</vt:i4>
      </vt:variant>
      <vt:variant>
        <vt:lpwstr>http://www.mass.gov/eohhs/docs/dph/health-planning/accreditation/state-health-improvement-plan.pdf</vt:lpwstr>
      </vt:variant>
      <vt:variant>
        <vt:lpwstr/>
      </vt:variant>
      <vt:variant>
        <vt:i4>2687077</vt:i4>
      </vt:variant>
      <vt:variant>
        <vt:i4>171</vt:i4>
      </vt:variant>
      <vt:variant>
        <vt:i4>0</vt:i4>
      </vt:variant>
      <vt:variant>
        <vt:i4>5</vt:i4>
      </vt:variant>
      <vt:variant>
        <vt:lpwstr>http://www.patientcarelink.org/Healthcare-Provider-Data/Hospital-Data/Statewide-Aggregate-Performance-Measures.aspx</vt:lpwstr>
      </vt:variant>
      <vt:variant>
        <vt:lpwstr/>
      </vt:variant>
      <vt:variant>
        <vt:i4>4063338</vt:i4>
      </vt:variant>
      <vt:variant>
        <vt:i4>168</vt:i4>
      </vt:variant>
      <vt:variant>
        <vt:i4>0</vt:i4>
      </vt:variant>
      <vt:variant>
        <vt:i4>5</vt:i4>
      </vt:variant>
      <vt:variant>
        <vt:lpwstr>http://www.cdc.gov/hai/prevent/tap.html</vt:lpwstr>
      </vt:variant>
      <vt:variant>
        <vt:lpwstr/>
      </vt:variant>
      <vt:variant>
        <vt:i4>4194307</vt:i4>
      </vt:variant>
      <vt:variant>
        <vt:i4>161</vt:i4>
      </vt:variant>
      <vt:variant>
        <vt:i4>0</vt:i4>
      </vt:variant>
      <vt:variant>
        <vt:i4>5</vt:i4>
      </vt:variant>
      <vt:variant>
        <vt:lpwstr>http://www.mass.gov/eohhs/gov/departments/dph/programs/hcq/healthcare-quality/health-care-facilities/hospitals/healthcare-assoc-infections/healthcare-associated-infections-reports.html</vt:lpwstr>
      </vt:variant>
      <vt:variant>
        <vt:lpwstr/>
      </vt:variant>
      <vt:variant>
        <vt:i4>2687077</vt:i4>
      </vt:variant>
      <vt:variant>
        <vt:i4>114</vt:i4>
      </vt:variant>
      <vt:variant>
        <vt:i4>0</vt:i4>
      </vt:variant>
      <vt:variant>
        <vt:i4>5</vt:i4>
      </vt:variant>
      <vt:variant>
        <vt:lpwstr>http://www.patientcarelink.org/Healthcare-Provider-Data/Hospital-Data/Statewide-Aggregate-Performance-Measures.aspx</vt:lpwstr>
      </vt:variant>
      <vt:variant>
        <vt:lpwstr/>
      </vt:variant>
      <vt:variant>
        <vt:i4>4194307</vt:i4>
      </vt:variant>
      <vt:variant>
        <vt:i4>95</vt:i4>
      </vt:variant>
      <vt:variant>
        <vt:i4>0</vt:i4>
      </vt:variant>
      <vt:variant>
        <vt:i4>5</vt:i4>
      </vt:variant>
      <vt:variant>
        <vt:lpwstr>http://www.mass.gov/eohhs/gov/departments/dph/programs/hcq/healthcare-quality/health-care-facilities/hospitals/healthcare-assoc-infections/healthcare-associated-infections-reports.html</vt:lpwstr>
      </vt:variant>
      <vt:variant>
        <vt:lpwstr/>
      </vt:variant>
      <vt:variant>
        <vt:i4>4128800</vt:i4>
      </vt:variant>
      <vt:variant>
        <vt:i4>20</vt:i4>
      </vt:variant>
      <vt:variant>
        <vt:i4>0</vt:i4>
      </vt:variant>
      <vt:variant>
        <vt:i4>5</vt:i4>
      </vt:variant>
      <vt:variant>
        <vt:lpwstr>http://www.mass.gov/eohhs/gov/departments/dph/programs/hcq/healthcare-quality/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HAI Plan 2016-2020</dc:title>
  <dc:subject/>
  <dc:creator>ews3</dc:creator>
  <cp:keywords/>
  <cp:lastModifiedBy>AutoBVT</cp:lastModifiedBy>
  <cp:revision>2</cp:revision>
  <cp:lastPrinted>2016-04-11T14:13:00Z</cp:lastPrinted>
  <dcterms:created xsi:type="dcterms:W3CDTF">2018-12-27T20:15:00Z</dcterms:created>
  <dcterms:modified xsi:type="dcterms:W3CDTF">2018-12-27T20:15:00Z</dcterms:modified>
</cp:coreProperties>
</file>