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59B71" w14:textId="77777777" w:rsidR="00BD2947" w:rsidRDefault="00BD2947" w:rsidP="00BD2947">
      <w:pPr>
        <w:tabs>
          <w:tab w:val="left" w:pos="6165"/>
        </w:tabs>
      </w:pPr>
    </w:p>
    <w:p w14:paraId="474920BE" w14:textId="77777777" w:rsidR="00BD2947" w:rsidRDefault="00BD2947" w:rsidP="00BD2947">
      <w:pPr>
        <w:tabs>
          <w:tab w:val="left" w:pos="6165"/>
        </w:tabs>
      </w:pPr>
    </w:p>
    <w:p w14:paraId="6E3C12EA" w14:textId="77777777" w:rsidR="00BD2947" w:rsidRDefault="00BD2947" w:rsidP="00BD2947">
      <w:pPr>
        <w:tabs>
          <w:tab w:val="left" w:pos="6165"/>
        </w:tabs>
      </w:pPr>
    </w:p>
    <w:p w14:paraId="70EA2AC8" w14:textId="77777777" w:rsidR="00BD2947" w:rsidRDefault="00BD2947" w:rsidP="00BD2947">
      <w:pPr>
        <w:tabs>
          <w:tab w:val="left" w:pos="6165"/>
        </w:tabs>
      </w:pPr>
    </w:p>
    <w:p w14:paraId="29A4F3DE" w14:textId="77777777" w:rsidR="00E2465D" w:rsidRDefault="00E2465D" w:rsidP="00285313">
      <w:pPr>
        <w:contextualSpacing/>
      </w:pPr>
    </w:p>
    <w:p w14:paraId="6DF0BA97" w14:textId="77777777" w:rsidR="00937D1C" w:rsidRPr="001224C5" w:rsidRDefault="00937D1C" w:rsidP="00937D1C">
      <w:pPr>
        <w:contextualSpacing/>
        <w:rPr>
          <w:sz w:val="24"/>
          <w:szCs w:val="24"/>
        </w:rPr>
      </w:pPr>
      <w:r w:rsidRPr="001224C5">
        <w:rPr>
          <w:sz w:val="24"/>
          <w:szCs w:val="24"/>
        </w:rPr>
        <w:t>BY ELECTRONIC MAIL</w:t>
      </w:r>
    </w:p>
    <w:p w14:paraId="47332F76" w14:textId="77777777" w:rsidR="00937D1C" w:rsidRPr="001224C5" w:rsidRDefault="00937D1C" w:rsidP="00937D1C">
      <w:pPr>
        <w:contextualSpacing/>
        <w:rPr>
          <w:sz w:val="24"/>
          <w:szCs w:val="24"/>
        </w:rPr>
      </w:pPr>
    </w:p>
    <w:p w14:paraId="11B09E68" w14:textId="77777777" w:rsidR="00937D1C" w:rsidRPr="001224C5" w:rsidRDefault="00937D1C" w:rsidP="00937D1C">
      <w:pPr>
        <w:contextualSpacing/>
        <w:rPr>
          <w:sz w:val="24"/>
          <w:szCs w:val="24"/>
        </w:rPr>
      </w:pPr>
      <w:r w:rsidRPr="001224C5">
        <w:rPr>
          <w:sz w:val="24"/>
          <w:szCs w:val="24"/>
        </w:rPr>
        <w:t>May 21, 2026</w:t>
      </w:r>
    </w:p>
    <w:p w14:paraId="3FB9BBC5" w14:textId="77777777" w:rsidR="00937D1C" w:rsidRPr="001224C5" w:rsidRDefault="00937D1C" w:rsidP="00937D1C">
      <w:pPr>
        <w:contextualSpacing/>
        <w:rPr>
          <w:sz w:val="24"/>
          <w:szCs w:val="24"/>
        </w:rPr>
      </w:pPr>
    </w:p>
    <w:p w14:paraId="5365530D" w14:textId="77777777" w:rsidR="00937D1C" w:rsidRPr="001224C5" w:rsidRDefault="00937D1C" w:rsidP="00937D1C">
      <w:pPr>
        <w:contextualSpacing/>
        <w:rPr>
          <w:sz w:val="24"/>
          <w:szCs w:val="24"/>
        </w:rPr>
      </w:pPr>
      <w:r w:rsidRPr="001224C5">
        <w:rPr>
          <w:sz w:val="24"/>
          <w:szCs w:val="24"/>
        </w:rPr>
        <w:t>William Anderson</w:t>
      </w:r>
    </w:p>
    <w:p w14:paraId="712FF56F" w14:textId="77777777" w:rsidR="00937D1C" w:rsidRPr="001224C5" w:rsidRDefault="00937D1C" w:rsidP="00937D1C">
      <w:pPr>
        <w:contextualSpacing/>
        <w:rPr>
          <w:sz w:val="24"/>
          <w:szCs w:val="24"/>
        </w:rPr>
      </w:pPr>
      <w:r w:rsidRPr="001224C5">
        <w:rPr>
          <w:sz w:val="24"/>
          <w:szCs w:val="24"/>
        </w:rPr>
        <w:t>Office of the General Counsel</w:t>
      </w:r>
    </w:p>
    <w:p w14:paraId="57E789C0" w14:textId="77777777" w:rsidR="00937D1C" w:rsidRPr="001224C5" w:rsidRDefault="00937D1C" w:rsidP="00937D1C">
      <w:pPr>
        <w:contextualSpacing/>
        <w:rPr>
          <w:sz w:val="24"/>
          <w:szCs w:val="24"/>
        </w:rPr>
      </w:pPr>
      <w:r w:rsidRPr="001224C5">
        <w:rPr>
          <w:sz w:val="24"/>
          <w:szCs w:val="24"/>
        </w:rPr>
        <w:t>Department of Public Health</w:t>
      </w:r>
    </w:p>
    <w:p w14:paraId="689C7047" w14:textId="77777777" w:rsidR="00937D1C" w:rsidRPr="001224C5" w:rsidRDefault="00937D1C" w:rsidP="00937D1C">
      <w:pPr>
        <w:contextualSpacing/>
        <w:rPr>
          <w:sz w:val="24"/>
          <w:szCs w:val="24"/>
        </w:rPr>
      </w:pPr>
      <w:r w:rsidRPr="001224C5">
        <w:rPr>
          <w:sz w:val="24"/>
          <w:szCs w:val="24"/>
        </w:rPr>
        <w:t>250 Washington Street</w:t>
      </w:r>
    </w:p>
    <w:p w14:paraId="548C325A" w14:textId="77777777" w:rsidR="00937D1C" w:rsidRPr="001224C5" w:rsidRDefault="00937D1C" w:rsidP="00937D1C">
      <w:pPr>
        <w:contextualSpacing/>
        <w:rPr>
          <w:sz w:val="24"/>
          <w:szCs w:val="24"/>
        </w:rPr>
      </w:pPr>
      <w:r w:rsidRPr="001224C5">
        <w:rPr>
          <w:sz w:val="24"/>
          <w:szCs w:val="24"/>
        </w:rPr>
        <w:t>Boston, MA 02108</w:t>
      </w:r>
    </w:p>
    <w:p w14:paraId="21748961" w14:textId="77777777" w:rsidR="00937D1C" w:rsidRPr="001224C5" w:rsidRDefault="00937D1C" w:rsidP="00937D1C">
      <w:pPr>
        <w:contextualSpacing/>
        <w:rPr>
          <w:b/>
          <w:bCs/>
          <w:sz w:val="24"/>
          <w:szCs w:val="24"/>
        </w:rPr>
      </w:pPr>
    </w:p>
    <w:p w14:paraId="0EC70A2F" w14:textId="77777777" w:rsidR="00937D1C" w:rsidRPr="001224C5" w:rsidRDefault="00937D1C" w:rsidP="00E64236">
      <w:pPr>
        <w:pStyle w:val="Heading3"/>
      </w:pPr>
      <w:r w:rsidRPr="001224C5">
        <w:rPr>
          <w:b/>
          <w:bCs/>
        </w:rPr>
        <w:t xml:space="preserve">Re: </w:t>
      </w:r>
      <w:r w:rsidRPr="001224C5">
        <w:t>105 CMR 272.000: Standards Regulating the Care of Infants Identified as Being Affected by Prenatal Substance Exposure</w:t>
      </w:r>
    </w:p>
    <w:p w14:paraId="04DE6C8B" w14:textId="77777777" w:rsidR="00937D1C" w:rsidRPr="001224C5" w:rsidRDefault="00937D1C" w:rsidP="00937D1C">
      <w:pPr>
        <w:contextualSpacing/>
        <w:rPr>
          <w:sz w:val="24"/>
          <w:szCs w:val="24"/>
        </w:rPr>
      </w:pPr>
    </w:p>
    <w:p w14:paraId="63F6BE33" w14:textId="77777777" w:rsidR="00937D1C" w:rsidRPr="001224C5" w:rsidRDefault="00937D1C" w:rsidP="00937D1C">
      <w:pPr>
        <w:contextualSpacing/>
        <w:rPr>
          <w:sz w:val="24"/>
          <w:szCs w:val="24"/>
        </w:rPr>
      </w:pPr>
      <w:r w:rsidRPr="001224C5">
        <w:rPr>
          <w:sz w:val="24"/>
          <w:szCs w:val="24"/>
        </w:rPr>
        <w:t xml:space="preserve">The Massachusetts Health &amp; Hospital Association (MHA), on behalf of its member hospitals, health systems, physician organizations, and allied healthcare providers, appreciates the opportunity to offer testimony on the Department of Public Health’s (Department’s) proposed regulations 105 CMR 272.000: </w:t>
      </w:r>
      <w:r w:rsidRPr="001224C5">
        <w:rPr>
          <w:i/>
          <w:iCs/>
          <w:sz w:val="24"/>
          <w:szCs w:val="24"/>
        </w:rPr>
        <w:t>Standards Regulating the Care of Infants Identified as Being Affected by Prenatal Substance Exposure.</w:t>
      </w:r>
      <w:r w:rsidRPr="001224C5">
        <w:rPr>
          <w:sz w:val="24"/>
          <w:szCs w:val="24"/>
        </w:rPr>
        <w:t xml:space="preserve"> MHA and its members applaud the collaboration between the Department, the Department of Children and Families, and the Office of the Child Advocate in drafting these regulations and ensuring the incorporation of stakeholder feedback. MHA is a strong supporter of the intent of these statutory, regulatory, and policy updates to destigmatize treatment for substance use disorder while ensuring safety and access to care. MHA is aligned with each agency’s intention to modernize care and reporting of birthing patients and infants with prenatal substance exposure; however, we are concerned that aspects of these regulations may adversely affect patient-centered care and impose an additional burden on the healthcare workforce. </w:t>
      </w:r>
    </w:p>
    <w:p w14:paraId="0BEBA317" w14:textId="77777777" w:rsidR="00937D1C" w:rsidRPr="001224C5" w:rsidRDefault="00937D1C" w:rsidP="00937D1C">
      <w:pPr>
        <w:contextualSpacing/>
        <w:rPr>
          <w:sz w:val="24"/>
          <w:szCs w:val="24"/>
        </w:rPr>
      </w:pPr>
    </w:p>
    <w:p w14:paraId="69DC66CB" w14:textId="77777777" w:rsidR="00937D1C" w:rsidRPr="001224C5" w:rsidRDefault="00937D1C" w:rsidP="00937D1C">
      <w:pPr>
        <w:contextualSpacing/>
        <w:rPr>
          <w:b/>
          <w:bCs/>
          <w:sz w:val="24"/>
          <w:szCs w:val="24"/>
        </w:rPr>
      </w:pPr>
      <w:r w:rsidRPr="001224C5">
        <w:rPr>
          <w:b/>
          <w:bCs/>
          <w:sz w:val="24"/>
          <w:szCs w:val="24"/>
        </w:rPr>
        <w:t>105 CMR 272.005: Definitions</w:t>
      </w:r>
    </w:p>
    <w:p w14:paraId="476077DA" w14:textId="77777777" w:rsidR="00937D1C" w:rsidRPr="001224C5" w:rsidRDefault="00937D1C" w:rsidP="00937D1C">
      <w:pPr>
        <w:rPr>
          <w:sz w:val="24"/>
          <w:szCs w:val="24"/>
        </w:rPr>
      </w:pPr>
    </w:p>
    <w:p w14:paraId="5AE2B492" w14:textId="77777777" w:rsidR="00937D1C" w:rsidRPr="001224C5" w:rsidRDefault="00937D1C" w:rsidP="00937D1C">
      <w:pPr>
        <w:rPr>
          <w:sz w:val="24"/>
          <w:szCs w:val="24"/>
        </w:rPr>
      </w:pPr>
      <w:r w:rsidRPr="001224C5">
        <w:rPr>
          <w:sz w:val="24"/>
          <w:szCs w:val="24"/>
        </w:rPr>
        <w:t>MHA is concerned that some of the proposed definitions are too broad and may capture birthing patients and families who do not have clinically significant substance use needs and therefore do not require the same level of intervention. Such broad definitions would both unnecessarily stigmatize patients in treatment and misuse limited resources. MHA and its members recommend refining several specific definitions to better align the regulations with current clinical practice.</w:t>
      </w:r>
    </w:p>
    <w:p w14:paraId="46361EBA" w14:textId="77777777" w:rsidR="00937D1C" w:rsidRPr="001224C5" w:rsidRDefault="00937D1C" w:rsidP="00937D1C">
      <w:pPr>
        <w:rPr>
          <w:sz w:val="24"/>
          <w:szCs w:val="24"/>
        </w:rPr>
      </w:pPr>
      <w:r w:rsidRPr="001224C5">
        <w:rPr>
          <w:sz w:val="24"/>
          <w:szCs w:val="24"/>
        </w:rPr>
        <w:t xml:space="preserve">First, the definition of “drug” should distinguish prescribed medications from non-prescribed substances so that medications used to treat opioid use disorder (MOUD) or pain are not inadvertently equated with ongoing substance misuse. As the current regulations are written, individuals who have been stable on MOUD or who take medication for pain as prescribed would be required to have a family care plan and be reported to the department, which was not the intention of M.G.L. c. 111, §§ 110D-110E. In fact, M.G.L. c. 111 §110D(i) and (ii) differentiate any prenatal substance exposure from a medication prescribed by a licensed </w:t>
      </w:r>
      <w:r w:rsidRPr="001224C5">
        <w:rPr>
          <w:sz w:val="24"/>
          <w:szCs w:val="24"/>
        </w:rPr>
        <w:lastRenderedPageBreak/>
        <w:t>healthcare provider, thereby creating a pathway for different regulatory requirements depending on the nature of exposure.</w:t>
      </w:r>
    </w:p>
    <w:p w14:paraId="2545AFAC" w14:textId="77777777" w:rsidR="00937D1C" w:rsidRPr="001224C5" w:rsidRDefault="00937D1C" w:rsidP="00937D1C">
      <w:pPr>
        <w:rPr>
          <w:sz w:val="24"/>
          <w:szCs w:val="24"/>
        </w:rPr>
      </w:pPr>
    </w:p>
    <w:p w14:paraId="7D7114C0" w14:textId="77777777" w:rsidR="00937D1C" w:rsidRPr="001224C5" w:rsidRDefault="00937D1C" w:rsidP="00937D1C">
      <w:pPr>
        <w:rPr>
          <w:sz w:val="24"/>
          <w:szCs w:val="24"/>
        </w:rPr>
      </w:pPr>
      <w:r w:rsidRPr="001224C5">
        <w:rPr>
          <w:sz w:val="24"/>
          <w:szCs w:val="24"/>
        </w:rPr>
        <w:t xml:space="preserve">Additionally, as written, the definitions of “prenatal alcohol exposure” and “prenatal substance exposure” set a very low threshold for identification, without distinguishing between isolated or pre-pregnancy awareness of early pregnancy recreational use and clinically meaningful problematic use or substance use disorder. The proposed definition that any positive screen or self-disclosure is “prenatal substance exposure” risks shifting the focus and limited resources away from those families who would most benefit from support, while inadvertently capturing families for whom no such intervention is warranted. Existing screening tools have a low threshold for a positive screen, and a positive screen does not necessarily indicate an exposure or a substance use disorder. Similarly, the definition’s inclusion of any self-disclosure of substance use would incorporate instances with minimal – or no – clinical implications. We therefore urge the Department to establish a clearer threshold for when a family care plan is required, such as limiting that requirement to cases involving clinically identified problematic substance use. </w:t>
      </w:r>
    </w:p>
    <w:p w14:paraId="7635FD96" w14:textId="77777777" w:rsidR="00937D1C" w:rsidRPr="001224C5" w:rsidRDefault="00937D1C" w:rsidP="00937D1C">
      <w:pPr>
        <w:rPr>
          <w:sz w:val="24"/>
          <w:szCs w:val="24"/>
        </w:rPr>
      </w:pPr>
    </w:p>
    <w:p w14:paraId="104E5CCE" w14:textId="77777777" w:rsidR="00937D1C" w:rsidRPr="001224C5" w:rsidRDefault="00937D1C" w:rsidP="00937D1C">
      <w:pPr>
        <w:rPr>
          <w:sz w:val="24"/>
          <w:szCs w:val="24"/>
        </w:rPr>
      </w:pPr>
      <w:r w:rsidRPr="001224C5">
        <w:rPr>
          <w:sz w:val="24"/>
          <w:szCs w:val="24"/>
        </w:rPr>
        <w:t xml:space="preserve">With respect to cannabis, MHA urges the Department not to include cannabis generally within the definition of “prenatal substance exposure” where there is no clear, medically accepted threshold for problematic prenatal use; instead, the regulations should refer to cannabis use disorder as diagnosed under DSM-5 criteria. Additionally, cannabis should be removed from clause (4) of the “prenatal substance exposure” definition because it cannot be prescribed. </w:t>
      </w:r>
    </w:p>
    <w:p w14:paraId="294B014F" w14:textId="77777777" w:rsidR="00937D1C" w:rsidRPr="001224C5" w:rsidRDefault="00937D1C" w:rsidP="00937D1C">
      <w:pPr>
        <w:rPr>
          <w:sz w:val="24"/>
          <w:szCs w:val="24"/>
        </w:rPr>
      </w:pPr>
    </w:p>
    <w:p w14:paraId="3D7E0F90" w14:textId="41FE0D36" w:rsidR="00937D1C" w:rsidRPr="001224C5" w:rsidRDefault="00937D1C" w:rsidP="00937D1C">
      <w:pPr>
        <w:rPr>
          <w:sz w:val="24"/>
          <w:szCs w:val="24"/>
        </w:rPr>
      </w:pPr>
      <w:r w:rsidRPr="001224C5">
        <w:rPr>
          <w:sz w:val="24"/>
          <w:szCs w:val="24"/>
        </w:rPr>
        <w:t xml:space="preserve">As currently written, Clause (4) of the definition of “prenatal substance exposure” could sweep in virtually any prescribed medication as it includes: i. use of a prescribed drug not as it was prescribed or ii. </w:t>
      </w:r>
      <w:r w:rsidR="000A632D">
        <w:rPr>
          <w:sz w:val="24"/>
          <w:szCs w:val="24"/>
        </w:rPr>
        <w:t>use of</w:t>
      </w:r>
      <w:r w:rsidRPr="001224C5">
        <w:rPr>
          <w:sz w:val="24"/>
          <w:szCs w:val="24"/>
        </w:rPr>
        <w:t xml:space="preserve"> a prescribed drug that was prescribed to someone else. These should be narrowed to avoid sweeping in any prescribed medications. </w:t>
      </w:r>
    </w:p>
    <w:p w14:paraId="2827D551" w14:textId="77777777" w:rsidR="00937D1C" w:rsidRPr="001224C5" w:rsidRDefault="00937D1C" w:rsidP="00937D1C">
      <w:pPr>
        <w:rPr>
          <w:sz w:val="24"/>
          <w:szCs w:val="24"/>
        </w:rPr>
      </w:pPr>
    </w:p>
    <w:p w14:paraId="1B2F3B47" w14:textId="77777777" w:rsidR="00937D1C" w:rsidRPr="001224C5" w:rsidRDefault="00937D1C" w:rsidP="00937D1C">
      <w:pPr>
        <w:rPr>
          <w:sz w:val="24"/>
          <w:szCs w:val="24"/>
        </w:rPr>
      </w:pPr>
      <w:r w:rsidRPr="001224C5">
        <w:rPr>
          <w:sz w:val="24"/>
          <w:szCs w:val="24"/>
        </w:rPr>
        <w:t>Finally, MHA recommends removing the proposed reference to positive alcohol biomarker testing at birth as a criterion for “prenatal alcohol exposure,” as such testing is rarely used in practice and is inconsistent with the regulation’s own statement that toxicology testing should be used only when it would change clinical management.</w:t>
      </w:r>
    </w:p>
    <w:p w14:paraId="7E01C4C4" w14:textId="77777777" w:rsidR="00937D1C" w:rsidRPr="001224C5" w:rsidRDefault="00937D1C" w:rsidP="00937D1C">
      <w:pPr>
        <w:contextualSpacing/>
        <w:rPr>
          <w:sz w:val="24"/>
          <w:szCs w:val="24"/>
        </w:rPr>
      </w:pPr>
    </w:p>
    <w:p w14:paraId="24E69954" w14:textId="77777777" w:rsidR="00937D1C" w:rsidRPr="001224C5" w:rsidRDefault="00937D1C" w:rsidP="00937D1C">
      <w:pPr>
        <w:contextualSpacing/>
        <w:rPr>
          <w:b/>
          <w:bCs/>
          <w:sz w:val="24"/>
          <w:szCs w:val="24"/>
        </w:rPr>
      </w:pPr>
      <w:r w:rsidRPr="001224C5">
        <w:rPr>
          <w:b/>
          <w:bCs/>
          <w:sz w:val="24"/>
          <w:szCs w:val="24"/>
        </w:rPr>
        <w:t>105 CMR 272.010: Required Screenings for Substance Use and Substance Use Disorder</w:t>
      </w:r>
    </w:p>
    <w:p w14:paraId="3D94E463" w14:textId="77777777" w:rsidR="00937D1C" w:rsidRPr="001224C5" w:rsidRDefault="00937D1C" w:rsidP="00937D1C">
      <w:pPr>
        <w:contextualSpacing/>
        <w:rPr>
          <w:b/>
          <w:bCs/>
          <w:sz w:val="24"/>
          <w:szCs w:val="24"/>
        </w:rPr>
      </w:pPr>
    </w:p>
    <w:p w14:paraId="140A7EA3" w14:textId="77777777" w:rsidR="00937D1C" w:rsidRPr="001224C5" w:rsidRDefault="00937D1C" w:rsidP="00937D1C">
      <w:pPr>
        <w:rPr>
          <w:sz w:val="24"/>
          <w:szCs w:val="24"/>
        </w:rPr>
      </w:pPr>
      <w:r w:rsidRPr="001224C5">
        <w:rPr>
          <w:sz w:val="24"/>
          <w:szCs w:val="24"/>
        </w:rPr>
        <w:t xml:space="preserve">MHA is also concerned about the unintended consequences that may result from the proposed screening requirements. MHA is concerned that, if these requirements are not more carefully tailored, they could inadvertently drive providers back toward less effective screening practices </w:t>
      </w:r>
      <w:proofErr w:type="gramStart"/>
      <w:r w:rsidRPr="001224C5">
        <w:rPr>
          <w:sz w:val="24"/>
          <w:szCs w:val="24"/>
        </w:rPr>
        <w:t>in an effort to</w:t>
      </w:r>
      <w:proofErr w:type="gramEnd"/>
      <w:r w:rsidRPr="001224C5">
        <w:rPr>
          <w:sz w:val="24"/>
          <w:szCs w:val="24"/>
        </w:rPr>
        <w:t xml:space="preserve"> avoid triggering unnecessary family </w:t>
      </w:r>
      <w:proofErr w:type="gramStart"/>
      <w:r w:rsidRPr="001224C5">
        <w:rPr>
          <w:sz w:val="24"/>
          <w:szCs w:val="24"/>
        </w:rPr>
        <w:t>care plan</w:t>
      </w:r>
      <w:proofErr w:type="gramEnd"/>
      <w:r w:rsidRPr="001224C5">
        <w:rPr>
          <w:sz w:val="24"/>
          <w:szCs w:val="24"/>
        </w:rPr>
        <w:t xml:space="preserve"> obligations. MHA also encourages the Department to include explicit language to clarify that if required screening occurred during the prenatal period, it does not need to be repeated during the birth event. Additionally, we encourage language that states that screening should happen in the prenatal outpatient space when possible. As the Department plans to issue sub-regulatory guidance related to screening tools that would not be subject to the public comment process, we urge the Department to take these considerations into account before issuing that guidance.</w:t>
      </w:r>
    </w:p>
    <w:p w14:paraId="71A8F06E" w14:textId="77777777" w:rsidR="00937D1C" w:rsidRDefault="00937D1C" w:rsidP="00937D1C">
      <w:pPr>
        <w:contextualSpacing/>
        <w:rPr>
          <w:sz w:val="24"/>
          <w:szCs w:val="24"/>
        </w:rPr>
      </w:pPr>
    </w:p>
    <w:p w14:paraId="2D72FF6B" w14:textId="77777777" w:rsidR="00326F0D" w:rsidRPr="001224C5" w:rsidRDefault="00326F0D" w:rsidP="00937D1C">
      <w:pPr>
        <w:contextualSpacing/>
        <w:rPr>
          <w:sz w:val="24"/>
          <w:szCs w:val="24"/>
        </w:rPr>
      </w:pPr>
    </w:p>
    <w:p w14:paraId="791C9528" w14:textId="77777777" w:rsidR="00937D1C" w:rsidRPr="001224C5" w:rsidRDefault="00937D1C" w:rsidP="00937D1C">
      <w:pPr>
        <w:tabs>
          <w:tab w:val="left" w:pos="2830"/>
        </w:tabs>
        <w:contextualSpacing/>
        <w:rPr>
          <w:b/>
          <w:bCs/>
          <w:sz w:val="24"/>
          <w:szCs w:val="24"/>
        </w:rPr>
      </w:pPr>
      <w:r w:rsidRPr="001224C5">
        <w:rPr>
          <w:b/>
          <w:bCs/>
          <w:sz w:val="24"/>
          <w:szCs w:val="24"/>
        </w:rPr>
        <w:lastRenderedPageBreak/>
        <w:t>105 CMR 272.015: Family Care Plan</w:t>
      </w:r>
    </w:p>
    <w:p w14:paraId="589320A2" w14:textId="77777777" w:rsidR="00937D1C" w:rsidRPr="001224C5" w:rsidRDefault="00937D1C" w:rsidP="00937D1C">
      <w:pPr>
        <w:tabs>
          <w:tab w:val="left" w:pos="2830"/>
        </w:tabs>
        <w:contextualSpacing/>
        <w:rPr>
          <w:b/>
          <w:bCs/>
          <w:sz w:val="24"/>
          <w:szCs w:val="24"/>
        </w:rPr>
      </w:pPr>
    </w:p>
    <w:p w14:paraId="1F57BF7E" w14:textId="77777777" w:rsidR="00937D1C" w:rsidRPr="001224C5" w:rsidRDefault="00937D1C" w:rsidP="00937D1C">
      <w:pPr>
        <w:tabs>
          <w:tab w:val="left" w:pos="2830"/>
        </w:tabs>
        <w:contextualSpacing/>
        <w:rPr>
          <w:sz w:val="24"/>
          <w:szCs w:val="24"/>
        </w:rPr>
      </w:pPr>
      <w:r w:rsidRPr="001224C5">
        <w:rPr>
          <w:sz w:val="24"/>
          <w:szCs w:val="24"/>
        </w:rPr>
        <w:t xml:space="preserve">MHA has concerns about the draft regulation’s broad language and the number of family care plans that would be required without regard to clinical risk or decision-making. The draft language stating that there is “an indication of prenatal substance exposure,” combined with the broad definitions of “prenatal alcohol exposure” and “prenatal substance exposure,” and that many screening tools will capture patients with low-risk, implies that family care plans will be required for patients for whom there is no indication of current or past problematic substance or alcohol use and for whom there is no or very little risk involved. This language also risks stigmatizing patients who are prescribed medication for opioid use disorder and who are using pain medication as prescribed. As we have </w:t>
      </w:r>
      <w:proofErr w:type="gramStart"/>
      <w:r w:rsidRPr="001224C5">
        <w:rPr>
          <w:sz w:val="24"/>
          <w:szCs w:val="24"/>
        </w:rPr>
        <w:t>commented</w:t>
      </w:r>
      <w:proofErr w:type="gramEnd"/>
      <w:r w:rsidRPr="001224C5">
        <w:rPr>
          <w:sz w:val="24"/>
          <w:szCs w:val="24"/>
        </w:rPr>
        <w:t xml:space="preserve"> elsewhere, the workforce and other resources needed to develop family care plans should focus on individuals with problematic substance use. </w:t>
      </w:r>
    </w:p>
    <w:p w14:paraId="045A1A0C" w14:textId="77777777" w:rsidR="00937D1C" w:rsidRPr="001224C5" w:rsidRDefault="00937D1C" w:rsidP="00937D1C">
      <w:pPr>
        <w:rPr>
          <w:sz w:val="24"/>
          <w:szCs w:val="24"/>
        </w:rPr>
      </w:pPr>
    </w:p>
    <w:p w14:paraId="0FA5E699" w14:textId="77777777" w:rsidR="00937D1C" w:rsidRPr="001224C5" w:rsidRDefault="00937D1C" w:rsidP="00937D1C">
      <w:pPr>
        <w:rPr>
          <w:sz w:val="24"/>
          <w:szCs w:val="24"/>
        </w:rPr>
      </w:pPr>
      <w:r w:rsidRPr="001224C5">
        <w:rPr>
          <w:sz w:val="24"/>
          <w:szCs w:val="24"/>
        </w:rPr>
        <w:t xml:space="preserve">MHA has concerns about the proposed family care plan requirements and the operational and legal questions they raise for providers. In 105 CMR 272.015(A), the regulations do not clearly define the scope of provider responsibility with respect to caregivers beyond the birthing patient, including whether hospitals and clinicians are expected to assess those individuals directly or make referrals on their behalf. </w:t>
      </w:r>
    </w:p>
    <w:p w14:paraId="6A8C43D0" w14:textId="77777777" w:rsidR="00937D1C" w:rsidRPr="001224C5" w:rsidRDefault="00937D1C" w:rsidP="00937D1C">
      <w:pPr>
        <w:rPr>
          <w:sz w:val="24"/>
          <w:szCs w:val="24"/>
        </w:rPr>
      </w:pPr>
    </w:p>
    <w:p w14:paraId="2212604D" w14:textId="77777777" w:rsidR="00937D1C" w:rsidRPr="001224C5" w:rsidRDefault="00937D1C" w:rsidP="00937D1C">
      <w:pPr>
        <w:rPr>
          <w:sz w:val="24"/>
          <w:szCs w:val="24"/>
        </w:rPr>
      </w:pPr>
      <w:r w:rsidRPr="001224C5">
        <w:rPr>
          <w:sz w:val="24"/>
          <w:szCs w:val="24"/>
        </w:rPr>
        <w:t>The timing of the family care plan requirement is also unclear. If prenatal substance use is identified only at the time of delivery, or if a birthing patient presents to a hospital where they did not receive prenatal care, the burden of completing assessment and care planning will fall on the delivery team at a particularly acute moment. For that reason, MHA urges the Department to clarify the use of the term “attending,” which is commonly used to describe inpatient hospital care. MHA specifically urges clarification as to whether the regulations are intended to address the full prenatal care journey or only the delivery encounter, and to align the timing of any care plan obligations accordingly.</w:t>
      </w:r>
    </w:p>
    <w:p w14:paraId="3605265E" w14:textId="77777777" w:rsidR="00937D1C" w:rsidRPr="001224C5" w:rsidRDefault="00937D1C" w:rsidP="00937D1C">
      <w:pPr>
        <w:rPr>
          <w:sz w:val="24"/>
          <w:szCs w:val="24"/>
        </w:rPr>
      </w:pPr>
    </w:p>
    <w:p w14:paraId="7E9DA70E" w14:textId="77777777" w:rsidR="00937D1C" w:rsidRPr="001224C5" w:rsidRDefault="00937D1C" w:rsidP="00937D1C">
      <w:pPr>
        <w:spacing w:after="160"/>
        <w:rPr>
          <w:sz w:val="24"/>
          <w:szCs w:val="24"/>
        </w:rPr>
      </w:pPr>
      <w:r w:rsidRPr="001224C5">
        <w:rPr>
          <w:sz w:val="24"/>
          <w:szCs w:val="24"/>
        </w:rPr>
        <w:t>MHA is further concerned by language in 105 CMR 272.015(2) that appears to require counseling and education to be provided not only to the birthing person but also to the infant’s other caregivers regarding the implications of substance use and treatment or recovery. Although engaging caregivers may in some circumstances can be clinically appropriate, the regulation as drafted could be read to compel disclosure of sensitive patient information to individuals who may not be aware of the birthing person’s history. The Department should revise this provision to ensure that providers can protect patient privacy and avoid compelled disclosures of personal health information except where legally appropriate and clinically necessary.</w:t>
      </w:r>
    </w:p>
    <w:p w14:paraId="011ECC29" w14:textId="77777777" w:rsidR="00937D1C" w:rsidRPr="001224C5" w:rsidRDefault="00937D1C" w:rsidP="00937D1C">
      <w:pPr>
        <w:contextualSpacing/>
        <w:rPr>
          <w:sz w:val="24"/>
          <w:szCs w:val="24"/>
        </w:rPr>
      </w:pPr>
    </w:p>
    <w:p w14:paraId="158AEEFA" w14:textId="77777777" w:rsidR="00937D1C" w:rsidRPr="001224C5" w:rsidRDefault="00937D1C" w:rsidP="00937D1C">
      <w:pPr>
        <w:contextualSpacing/>
        <w:rPr>
          <w:b/>
          <w:bCs/>
          <w:sz w:val="24"/>
          <w:szCs w:val="24"/>
        </w:rPr>
      </w:pPr>
      <w:r w:rsidRPr="001224C5">
        <w:rPr>
          <w:b/>
          <w:bCs/>
          <w:sz w:val="24"/>
          <w:szCs w:val="24"/>
        </w:rPr>
        <w:t>105 CMR 272.020 and 272.030: Data Collection &amp; Confidentiality of Data Provided to the Department</w:t>
      </w:r>
    </w:p>
    <w:p w14:paraId="0DFEBB80" w14:textId="77777777" w:rsidR="00937D1C" w:rsidRPr="001224C5" w:rsidRDefault="00937D1C" w:rsidP="00937D1C">
      <w:pPr>
        <w:contextualSpacing/>
        <w:rPr>
          <w:b/>
          <w:bCs/>
          <w:sz w:val="24"/>
          <w:szCs w:val="24"/>
        </w:rPr>
      </w:pPr>
    </w:p>
    <w:p w14:paraId="006BD1D7" w14:textId="77777777" w:rsidR="00937D1C" w:rsidRPr="001224C5" w:rsidRDefault="00937D1C" w:rsidP="00937D1C">
      <w:pPr>
        <w:rPr>
          <w:sz w:val="24"/>
          <w:szCs w:val="24"/>
        </w:rPr>
      </w:pPr>
      <w:r w:rsidRPr="001224C5">
        <w:rPr>
          <w:sz w:val="24"/>
          <w:szCs w:val="24"/>
        </w:rPr>
        <w:t xml:space="preserve">MHA has concerns regarding the proposed data collection requirements. As drafted, the regulations do not provide sufficient clarity about what information must be submitted, in what format, or on what platform, and those unanswered questions will significantly affect how providers assess the operational impact of compliance. In the anticipated sub-regulatory guidance detailing the type of information that must be reported to the Department, MHA urges the </w:t>
      </w:r>
      <w:r w:rsidRPr="001224C5">
        <w:rPr>
          <w:sz w:val="24"/>
          <w:szCs w:val="24"/>
        </w:rPr>
        <w:lastRenderedPageBreak/>
        <w:t>regulation to limit the data required to be reported to that appropriate for public health surveillance and Child Abuse Prevention and Treatment Act (CAPTA) compliance.</w:t>
      </w:r>
    </w:p>
    <w:p w14:paraId="435DE701" w14:textId="77777777" w:rsidR="00937D1C" w:rsidRPr="001224C5" w:rsidRDefault="00937D1C" w:rsidP="00937D1C">
      <w:pPr>
        <w:rPr>
          <w:sz w:val="24"/>
          <w:szCs w:val="24"/>
        </w:rPr>
      </w:pPr>
    </w:p>
    <w:p w14:paraId="0473F4E9" w14:textId="77777777" w:rsidR="00937D1C" w:rsidRPr="001224C5" w:rsidRDefault="00937D1C" w:rsidP="00937D1C">
      <w:pPr>
        <w:rPr>
          <w:sz w:val="24"/>
          <w:szCs w:val="24"/>
        </w:rPr>
      </w:pPr>
      <w:r w:rsidRPr="001224C5">
        <w:rPr>
          <w:sz w:val="24"/>
          <w:szCs w:val="24"/>
        </w:rPr>
        <w:t xml:space="preserve">Based on feedback provided after an initial pilot of a proposed data collection tool provided by the Department, there is concern about the volume of information that would need to be collected in circumstances where there may be little or no clinical risk. There is concern that the piloted tool could reintroduce mistrust into the patient-provider relationship and may leave families feeling that they are being policed rather than supported. </w:t>
      </w:r>
    </w:p>
    <w:p w14:paraId="6F874650" w14:textId="77777777" w:rsidR="00937D1C" w:rsidRPr="001224C5" w:rsidRDefault="00937D1C" w:rsidP="00937D1C">
      <w:pPr>
        <w:rPr>
          <w:sz w:val="24"/>
          <w:szCs w:val="24"/>
        </w:rPr>
      </w:pPr>
    </w:p>
    <w:p w14:paraId="33A169B1" w14:textId="77777777" w:rsidR="00937D1C" w:rsidRPr="001224C5" w:rsidRDefault="00937D1C" w:rsidP="00937D1C">
      <w:pPr>
        <w:rPr>
          <w:sz w:val="24"/>
          <w:szCs w:val="24"/>
        </w:rPr>
      </w:pPr>
      <w:r w:rsidRPr="001224C5">
        <w:rPr>
          <w:sz w:val="24"/>
          <w:szCs w:val="24"/>
        </w:rPr>
        <w:t xml:space="preserve">The draft regulation’s proposed submission timelines also appear too short to support efficient bulk uploading or coordinated workflow processes, which could create pressure to complete evaluations and data entry on an expedited basis at the bedside. In some cases, particularly where a birthing patient delivers </w:t>
      </w:r>
      <w:proofErr w:type="gramStart"/>
      <w:r w:rsidRPr="001224C5">
        <w:rPr>
          <w:sz w:val="24"/>
          <w:szCs w:val="24"/>
        </w:rPr>
        <w:t>at</w:t>
      </w:r>
      <w:proofErr w:type="gramEnd"/>
      <w:r w:rsidRPr="001224C5">
        <w:rPr>
          <w:sz w:val="24"/>
          <w:szCs w:val="24"/>
        </w:rPr>
        <w:t xml:space="preserve"> a hospital that does not have access to the patient’s prenatal history, these requirements could contribute to unnecessary delays and longer lengths of stay while information is gathered and documented. Specifically, the requirement in 272.020 (B) requires reporting prior to the birthing patient’s discharge. If the data collection is meant for surveillance purposes and compliance with CAPTA, and not interventional purposes, a longer reporting period is warranted and would substantially improve administrative burden. MHA recommends that bulk reporting occur monthly, but at a </w:t>
      </w:r>
      <w:r w:rsidRPr="001224C5">
        <w:rPr>
          <w:i/>
          <w:iCs/>
          <w:sz w:val="24"/>
          <w:szCs w:val="24"/>
        </w:rPr>
        <w:t>minimum</w:t>
      </w:r>
      <w:r w:rsidRPr="001224C5">
        <w:rPr>
          <w:sz w:val="24"/>
          <w:szCs w:val="24"/>
        </w:rPr>
        <w:t xml:space="preserve">, the reporting time frame should occur around the time of the </w:t>
      </w:r>
      <w:r w:rsidRPr="001224C5">
        <w:rPr>
          <w:i/>
          <w:sz w:val="24"/>
          <w:szCs w:val="24"/>
        </w:rPr>
        <w:t>newborn’s</w:t>
      </w:r>
      <w:r w:rsidRPr="001224C5">
        <w:rPr>
          <w:sz w:val="24"/>
          <w:szCs w:val="24"/>
        </w:rPr>
        <w:t xml:space="preserve"> discharge or transfer to another facility.</w:t>
      </w:r>
    </w:p>
    <w:p w14:paraId="5260843D" w14:textId="77777777" w:rsidR="00937D1C" w:rsidRPr="001224C5" w:rsidRDefault="00937D1C" w:rsidP="00937D1C">
      <w:pPr>
        <w:rPr>
          <w:sz w:val="24"/>
          <w:szCs w:val="24"/>
        </w:rPr>
      </w:pPr>
    </w:p>
    <w:p w14:paraId="5BBE094D" w14:textId="77777777" w:rsidR="00937D1C" w:rsidRPr="001224C5" w:rsidRDefault="00937D1C" w:rsidP="00937D1C">
      <w:pPr>
        <w:rPr>
          <w:sz w:val="24"/>
          <w:szCs w:val="24"/>
        </w:rPr>
      </w:pPr>
      <w:r w:rsidRPr="001224C5">
        <w:rPr>
          <w:sz w:val="24"/>
          <w:szCs w:val="24"/>
        </w:rPr>
        <w:t>MHA is equally concerned about the requirement to provide identified patient data to the Department. This appears to represent a significant change in practice around patient trust and provider responsibility. Additionally, there are concerns around compliance with applicable confidentiality protections, including 42 CFR Part 2. MHA is concerned with the Department requiring routine submission of identifiable data absent a compelling and clearly articulated need, and if the Department intends to require such information, providers will need explicit guidance regarding what data is considered identifiable, when patient consent is required, and how any disclosure obligations should be communicated. The rights and wellbeing of patients and the integrity of the patient-provider relationship should outweigh any interest in creating a more complete data set for administrative or research purposes.</w:t>
      </w:r>
    </w:p>
    <w:p w14:paraId="2477B374" w14:textId="77777777" w:rsidR="00937D1C" w:rsidRPr="001224C5" w:rsidRDefault="00937D1C" w:rsidP="00937D1C">
      <w:pPr>
        <w:contextualSpacing/>
        <w:rPr>
          <w:sz w:val="24"/>
          <w:szCs w:val="24"/>
        </w:rPr>
      </w:pPr>
    </w:p>
    <w:p w14:paraId="1F2C32DF" w14:textId="77777777" w:rsidR="00937D1C" w:rsidRPr="001224C5" w:rsidRDefault="00937D1C" w:rsidP="00937D1C">
      <w:pPr>
        <w:contextualSpacing/>
        <w:rPr>
          <w:b/>
          <w:bCs/>
          <w:sz w:val="24"/>
          <w:szCs w:val="24"/>
        </w:rPr>
      </w:pPr>
      <w:r w:rsidRPr="001224C5">
        <w:rPr>
          <w:b/>
          <w:bCs/>
          <w:sz w:val="24"/>
          <w:szCs w:val="24"/>
        </w:rPr>
        <w:t>105 CMR 272.025: Obligations of the Attending Clinician</w:t>
      </w:r>
    </w:p>
    <w:p w14:paraId="7DA864A8" w14:textId="77777777" w:rsidR="00937D1C" w:rsidRPr="001224C5" w:rsidRDefault="00937D1C" w:rsidP="00937D1C">
      <w:pPr>
        <w:contextualSpacing/>
        <w:rPr>
          <w:b/>
          <w:bCs/>
          <w:sz w:val="24"/>
          <w:szCs w:val="24"/>
        </w:rPr>
      </w:pPr>
    </w:p>
    <w:p w14:paraId="402A8475" w14:textId="77777777" w:rsidR="00937D1C" w:rsidRPr="001224C5" w:rsidRDefault="00937D1C" w:rsidP="00937D1C">
      <w:pPr>
        <w:rPr>
          <w:sz w:val="24"/>
          <w:szCs w:val="24"/>
        </w:rPr>
      </w:pPr>
      <w:r w:rsidRPr="001224C5">
        <w:rPr>
          <w:sz w:val="24"/>
          <w:szCs w:val="24"/>
        </w:rPr>
        <w:t xml:space="preserve">Finally, MHA is concerned about the breadth of new obligations that would fall on attending clinicians under the proposed regulations. Based on our understanding of the proposed regulations and forthcoming sub-regulatory guidance, the information to be collected and submitted would be considerably more detailed than what has historically been reportable, including information related to patients for whom there is no diagnosed substance use disorder or alcohol use disorder. Expanding clinician responsibility in this way will have meaningful workflow implications and may make timely submission difficult in already resource-constrained clinical settings. These concerns reinforce MHA’s broader view that the proposal, as drafted, would impose substantial operational burdens on the attending clinician and other members of the birthing team who often have limited interaction with birthing patients. MHA encourages that the regulation clarifies that “attending” in this context goes beyond attending physicians in inpatient hospital settings. MHA also urges that the Department’s sub-regulatory guidance </w:t>
      </w:r>
      <w:r w:rsidRPr="001224C5">
        <w:rPr>
          <w:sz w:val="24"/>
          <w:szCs w:val="24"/>
        </w:rPr>
        <w:lastRenderedPageBreak/>
        <w:t xml:space="preserve">recommends that most of the screening and assessment be done by providers in the patient’s perinatal care team who have a more longitudinal role and a better understanding of the patient’s history. </w:t>
      </w:r>
    </w:p>
    <w:p w14:paraId="3A28470F" w14:textId="77777777" w:rsidR="00937D1C" w:rsidRPr="001224C5" w:rsidRDefault="00937D1C" w:rsidP="00937D1C">
      <w:pPr>
        <w:contextualSpacing/>
        <w:rPr>
          <w:sz w:val="24"/>
          <w:szCs w:val="24"/>
        </w:rPr>
      </w:pPr>
    </w:p>
    <w:p w14:paraId="363ADA06" w14:textId="77777777" w:rsidR="00937D1C" w:rsidRPr="001224C5" w:rsidRDefault="00937D1C" w:rsidP="00937D1C">
      <w:pPr>
        <w:contextualSpacing/>
        <w:rPr>
          <w:sz w:val="24"/>
          <w:szCs w:val="24"/>
        </w:rPr>
      </w:pPr>
      <w:r w:rsidRPr="001224C5">
        <w:rPr>
          <w:sz w:val="24"/>
          <w:szCs w:val="24"/>
        </w:rPr>
        <w:t xml:space="preserve">MHA is concerned that the Department’s proposed regulations would further complicate the reporting process for infants with prenatal substance exposure, encouraging people to submit more 51As than intended. The screening and sensitive data collection requirements and broad applicability for family care plans could deteriorate trust between patients and providers, leading to less patient-centered care. MHA strongly urges the Department to consider these comments when drafting the final regulations and any sub-regulatory guidance for 105 CMR 272.000: </w:t>
      </w:r>
      <w:r w:rsidRPr="001224C5">
        <w:rPr>
          <w:i/>
          <w:iCs/>
          <w:sz w:val="24"/>
          <w:szCs w:val="24"/>
        </w:rPr>
        <w:t>Standards Regulating the Care of Infants Identified as Being Affected by Prenatal Substance Exposure</w:t>
      </w:r>
      <w:r w:rsidRPr="001224C5">
        <w:rPr>
          <w:sz w:val="24"/>
          <w:szCs w:val="24"/>
        </w:rPr>
        <w:t xml:space="preserve">. </w:t>
      </w:r>
    </w:p>
    <w:p w14:paraId="0ACAEE47" w14:textId="77777777" w:rsidR="00937D1C" w:rsidRPr="001224C5" w:rsidRDefault="00937D1C" w:rsidP="00937D1C">
      <w:pPr>
        <w:contextualSpacing/>
        <w:rPr>
          <w:sz w:val="24"/>
          <w:szCs w:val="24"/>
        </w:rPr>
      </w:pPr>
    </w:p>
    <w:p w14:paraId="2623C1F5" w14:textId="77777777" w:rsidR="00937D1C" w:rsidRPr="001224C5" w:rsidRDefault="00937D1C" w:rsidP="00937D1C">
      <w:pPr>
        <w:contextualSpacing/>
        <w:rPr>
          <w:sz w:val="24"/>
          <w:szCs w:val="24"/>
        </w:rPr>
      </w:pPr>
      <w:r w:rsidRPr="001224C5">
        <w:rPr>
          <w:sz w:val="24"/>
          <w:szCs w:val="24"/>
        </w:rPr>
        <w:t>MHA appreciates the collaboration that we have had with the Department leading up to these draft regulations and looks forward to continuing to work together to ensure this new reporting process effectively meets the needs of patients, providers, and the Department. We are available to meet with you to discuss our comments.</w:t>
      </w:r>
    </w:p>
    <w:p w14:paraId="44D49544" w14:textId="77777777" w:rsidR="00937D1C" w:rsidRPr="001224C5" w:rsidRDefault="00937D1C" w:rsidP="00937D1C">
      <w:pPr>
        <w:contextualSpacing/>
        <w:rPr>
          <w:sz w:val="24"/>
          <w:szCs w:val="24"/>
        </w:rPr>
      </w:pPr>
    </w:p>
    <w:p w14:paraId="2A6F3390" w14:textId="77777777" w:rsidR="00937D1C" w:rsidRPr="001224C5" w:rsidRDefault="00937D1C" w:rsidP="00937D1C">
      <w:pPr>
        <w:contextualSpacing/>
        <w:rPr>
          <w:sz w:val="24"/>
          <w:szCs w:val="24"/>
        </w:rPr>
      </w:pPr>
      <w:r w:rsidRPr="001224C5">
        <w:rPr>
          <w:sz w:val="24"/>
          <w:szCs w:val="24"/>
        </w:rPr>
        <w:t>Sincerely,</w:t>
      </w:r>
    </w:p>
    <w:p w14:paraId="0719D755" w14:textId="77777777" w:rsidR="00937D1C" w:rsidRPr="001224C5" w:rsidRDefault="00937D1C" w:rsidP="00937D1C">
      <w:pPr>
        <w:contextualSpacing/>
        <w:rPr>
          <w:sz w:val="24"/>
          <w:szCs w:val="24"/>
        </w:rPr>
      </w:pPr>
    </w:p>
    <w:p w14:paraId="05669E51" w14:textId="77777777" w:rsidR="00937D1C" w:rsidRPr="001224C5" w:rsidRDefault="00937D1C" w:rsidP="00937D1C">
      <w:pPr>
        <w:contextualSpacing/>
        <w:rPr>
          <w:sz w:val="24"/>
          <w:szCs w:val="24"/>
        </w:rPr>
      </w:pPr>
      <w:r w:rsidRPr="001224C5">
        <w:rPr>
          <w:noProof/>
          <w:color w:val="000000"/>
          <w:sz w:val="24"/>
          <w:szCs w:val="24"/>
        </w:rPr>
        <w:drawing>
          <wp:inline distT="0" distB="0" distL="0" distR="0" wp14:anchorId="0B8BEB95" wp14:editId="6D177D09">
            <wp:extent cx="1774337" cy="657225"/>
            <wp:effectExtent l="0" t="0" r="0" b="0"/>
            <wp:docPr id="568989482" name="Picture 1" descr="Signature - Leigh Si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989482" name="Picture 1" descr="Signature - Leigh Simons"/>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782339" cy="660189"/>
                    </a:xfrm>
                    <a:prstGeom prst="rect">
                      <a:avLst/>
                    </a:prstGeom>
                    <a:noFill/>
                    <a:ln>
                      <a:noFill/>
                    </a:ln>
                  </pic:spPr>
                </pic:pic>
              </a:graphicData>
            </a:graphic>
          </wp:inline>
        </w:drawing>
      </w:r>
    </w:p>
    <w:p w14:paraId="4CD43303" w14:textId="77777777" w:rsidR="00937D1C" w:rsidRPr="001224C5" w:rsidRDefault="00937D1C" w:rsidP="00937D1C">
      <w:pPr>
        <w:contextualSpacing/>
        <w:rPr>
          <w:sz w:val="24"/>
          <w:szCs w:val="24"/>
        </w:rPr>
      </w:pPr>
    </w:p>
    <w:p w14:paraId="03B5CCAA" w14:textId="77777777" w:rsidR="00937D1C" w:rsidRPr="001224C5" w:rsidRDefault="00937D1C" w:rsidP="00937D1C">
      <w:pPr>
        <w:contextualSpacing/>
        <w:rPr>
          <w:sz w:val="24"/>
          <w:szCs w:val="24"/>
        </w:rPr>
      </w:pPr>
      <w:r w:rsidRPr="001224C5">
        <w:rPr>
          <w:sz w:val="24"/>
          <w:szCs w:val="24"/>
        </w:rPr>
        <w:t>Leigh E. Simons, MPH</w:t>
      </w:r>
    </w:p>
    <w:p w14:paraId="70794FAD" w14:textId="77777777" w:rsidR="00937D1C" w:rsidRPr="001224C5" w:rsidRDefault="00937D1C" w:rsidP="00937D1C">
      <w:pPr>
        <w:contextualSpacing/>
        <w:rPr>
          <w:sz w:val="24"/>
          <w:szCs w:val="24"/>
        </w:rPr>
      </w:pPr>
      <w:r w:rsidRPr="001224C5">
        <w:rPr>
          <w:sz w:val="24"/>
          <w:szCs w:val="24"/>
        </w:rPr>
        <w:t>Vice President, Policy &amp; Regulatory Affairs</w:t>
      </w:r>
    </w:p>
    <w:p w14:paraId="78F28958" w14:textId="77777777" w:rsidR="00937D1C" w:rsidRPr="001224C5" w:rsidRDefault="00937D1C" w:rsidP="00937D1C">
      <w:pPr>
        <w:contextualSpacing/>
        <w:rPr>
          <w:sz w:val="24"/>
          <w:szCs w:val="24"/>
        </w:rPr>
      </w:pPr>
      <w:r w:rsidRPr="001224C5">
        <w:rPr>
          <w:sz w:val="24"/>
          <w:szCs w:val="24"/>
        </w:rPr>
        <w:t>Massachusetts Health &amp; Hospital Association</w:t>
      </w:r>
    </w:p>
    <w:p w14:paraId="47C753EC" w14:textId="44EB56A2" w:rsidR="00B05049" w:rsidRPr="001224C5" w:rsidRDefault="00B05049" w:rsidP="00BD2947">
      <w:pPr>
        <w:tabs>
          <w:tab w:val="left" w:pos="6165"/>
        </w:tabs>
        <w:rPr>
          <w:sz w:val="24"/>
          <w:szCs w:val="24"/>
        </w:rPr>
      </w:pPr>
    </w:p>
    <w:p w14:paraId="13674CC9" w14:textId="7CF97CE1" w:rsidR="00B05049" w:rsidRPr="001224C5" w:rsidRDefault="00B05049" w:rsidP="00BD2947">
      <w:pPr>
        <w:tabs>
          <w:tab w:val="left" w:pos="6165"/>
        </w:tabs>
        <w:rPr>
          <w:sz w:val="24"/>
          <w:szCs w:val="24"/>
        </w:rPr>
      </w:pPr>
    </w:p>
    <w:p w14:paraId="0A38B6FB" w14:textId="3CD07CBF" w:rsidR="00B05049" w:rsidRPr="001224C5" w:rsidRDefault="00B05049" w:rsidP="00BD2947">
      <w:pPr>
        <w:tabs>
          <w:tab w:val="left" w:pos="6165"/>
        </w:tabs>
        <w:rPr>
          <w:sz w:val="24"/>
          <w:szCs w:val="24"/>
        </w:rPr>
      </w:pPr>
    </w:p>
    <w:p w14:paraId="254E82C1" w14:textId="4FFAF802" w:rsidR="00B05049" w:rsidRPr="001224C5" w:rsidRDefault="00B05049" w:rsidP="00BD2947">
      <w:pPr>
        <w:tabs>
          <w:tab w:val="left" w:pos="6165"/>
        </w:tabs>
        <w:rPr>
          <w:sz w:val="24"/>
          <w:szCs w:val="24"/>
        </w:rPr>
      </w:pPr>
    </w:p>
    <w:p w14:paraId="6A095305" w14:textId="02C2CF0C" w:rsidR="00B05049" w:rsidRPr="001224C5" w:rsidRDefault="00B05049" w:rsidP="00BD2947">
      <w:pPr>
        <w:tabs>
          <w:tab w:val="left" w:pos="6165"/>
        </w:tabs>
        <w:rPr>
          <w:sz w:val="24"/>
          <w:szCs w:val="24"/>
        </w:rPr>
      </w:pPr>
    </w:p>
    <w:p w14:paraId="068DA5E0" w14:textId="032143CB" w:rsidR="00B05049" w:rsidRPr="001224C5" w:rsidRDefault="00B05049" w:rsidP="00BD2947">
      <w:pPr>
        <w:tabs>
          <w:tab w:val="left" w:pos="6165"/>
        </w:tabs>
        <w:rPr>
          <w:sz w:val="24"/>
          <w:szCs w:val="24"/>
        </w:rPr>
      </w:pPr>
    </w:p>
    <w:p w14:paraId="2E327CCF" w14:textId="61EAD304" w:rsidR="00B05049" w:rsidRPr="001224C5" w:rsidRDefault="00B05049" w:rsidP="00BD2947">
      <w:pPr>
        <w:tabs>
          <w:tab w:val="left" w:pos="6165"/>
        </w:tabs>
        <w:rPr>
          <w:sz w:val="24"/>
          <w:szCs w:val="24"/>
        </w:rPr>
      </w:pPr>
    </w:p>
    <w:p w14:paraId="08AE24C9" w14:textId="1BC5EED1" w:rsidR="00B05049" w:rsidRDefault="00B05049" w:rsidP="00BD2947">
      <w:pPr>
        <w:tabs>
          <w:tab w:val="left" w:pos="6165"/>
        </w:tabs>
        <w:rPr>
          <w:rFonts w:ascii="Open Sans" w:hAnsi="Open Sans" w:cs="Open Sans"/>
          <w:sz w:val="20"/>
        </w:rPr>
      </w:pPr>
    </w:p>
    <w:p w14:paraId="2845FF7F" w14:textId="206775FE" w:rsidR="00B05049" w:rsidRDefault="00B05049" w:rsidP="00BD2947">
      <w:pPr>
        <w:tabs>
          <w:tab w:val="left" w:pos="6165"/>
        </w:tabs>
        <w:rPr>
          <w:rFonts w:ascii="Open Sans" w:hAnsi="Open Sans" w:cs="Open Sans"/>
          <w:sz w:val="20"/>
        </w:rPr>
      </w:pPr>
    </w:p>
    <w:p w14:paraId="3C26565C" w14:textId="25CBCD08" w:rsidR="00B05049" w:rsidRDefault="00B05049" w:rsidP="00BD2947">
      <w:pPr>
        <w:tabs>
          <w:tab w:val="left" w:pos="6165"/>
        </w:tabs>
        <w:rPr>
          <w:rFonts w:ascii="Open Sans" w:hAnsi="Open Sans" w:cs="Open Sans"/>
          <w:sz w:val="20"/>
        </w:rPr>
      </w:pPr>
    </w:p>
    <w:p w14:paraId="16857BEF" w14:textId="19F03301" w:rsidR="00B05049" w:rsidRDefault="00B05049" w:rsidP="00BD2947">
      <w:pPr>
        <w:tabs>
          <w:tab w:val="left" w:pos="6165"/>
        </w:tabs>
        <w:rPr>
          <w:rFonts w:ascii="Open Sans" w:hAnsi="Open Sans" w:cs="Open Sans"/>
          <w:sz w:val="20"/>
        </w:rPr>
      </w:pPr>
    </w:p>
    <w:p w14:paraId="2EE1632A" w14:textId="17A605C5" w:rsidR="00B05049" w:rsidRDefault="00B05049" w:rsidP="00BD2947">
      <w:pPr>
        <w:tabs>
          <w:tab w:val="left" w:pos="6165"/>
        </w:tabs>
        <w:rPr>
          <w:rFonts w:ascii="Open Sans" w:hAnsi="Open Sans" w:cs="Open Sans"/>
          <w:sz w:val="20"/>
        </w:rPr>
      </w:pPr>
    </w:p>
    <w:p w14:paraId="5738234B" w14:textId="1FAECE16" w:rsidR="00B05049" w:rsidRDefault="00B05049" w:rsidP="00BD2947">
      <w:pPr>
        <w:tabs>
          <w:tab w:val="left" w:pos="6165"/>
        </w:tabs>
        <w:rPr>
          <w:rFonts w:ascii="Open Sans" w:hAnsi="Open Sans" w:cs="Open Sans"/>
          <w:sz w:val="20"/>
        </w:rPr>
      </w:pPr>
    </w:p>
    <w:p w14:paraId="1024F3AB" w14:textId="74A49A25" w:rsidR="00B05049" w:rsidRDefault="00B05049" w:rsidP="00BD2947">
      <w:pPr>
        <w:tabs>
          <w:tab w:val="left" w:pos="6165"/>
        </w:tabs>
        <w:rPr>
          <w:rFonts w:ascii="Open Sans" w:hAnsi="Open Sans" w:cs="Open Sans"/>
          <w:sz w:val="20"/>
        </w:rPr>
      </w:pPr>
    </w:p>
    <w:p w14:paraId="69BA7207" w14:textId="30B568A9" w:rsidR="00B05049" w:rsidRDefault="00B05049" w:rsidP="00BD2947">
      <w:pPr>
        <w:tabs>
          <w:tab w:val="left" w:pos="6165"/>
        </w:tabs>
        <w:rPr>
          <w:rFonts w:ascii="Open Sans" w:hAnsi="Open Sans" w:cs="Open Sans"/>
          <w:sz w:val="20"/>
        </w:rPr>
      </w:pPr>
    </w:p>
    <w:p w14:paraId="3A7CE75F" w14:textId="64C50864" w:rsidR="00B05049" w:rsidRDefault="00B05049" w:rsidP="00BD2947">
      <w:pPr>
        <w:tabs>
          <w:tab w:val="left" w:pos="6165"/>
        </w:tabs>
        <w:rPr>
          <w:rFonts w:ascii="Open Sans" w:hAnsi="Open Sans" w:cs="Open Sans"/>
          <w:sz w:val="20"/>
        </w:rPr>
      </w:pPr>
    </w:p>
    <w:p w14:paraId="75DFDF35" w14:textId="2882F043" w:rsidR="00B05049" w:rsidRDefault="00B05049" w:rsidP="00BD2947">
      <w:pPr>
        <w:tabs>
          <w:tab w:val="left" w:pos="6165"/>
        </w:tabs>
        <w:rPr>
          <w:rFonts w:ascii="Open Sans" w:hAnsi="Open Sans" w:cs="Open Sans"/>
          <w:sz w:val="20"/>
        </w:rPr>
      </w:pPr>
    </w:p>
    <w:p w14:paraId="1D454277" w14:textId="0513A241" w:rsidR="00B05049" w:rsidRDefault="00B05049" w:rsidP="00BD2947">
      <w:pPr>
        <w:tabs>
          <w:tab w:val="left" w:pos="6165"/>
        </w:tabs>
        <w:rPr>
          <w:rFonts w:ascii="Open Sans" w:hAnsi="Open Sans" w:cs="Open Sans"/>
          <w:sz w:val="20"/>
        </w:rPr>
      </w:pPr>
    </w:p>
    <w:p w14:paraId="10A162D6" w14:textId="77777777" w:rsidR="00B05049" w:rsidRPr="00BD2947" w:rsidRDefault="00B05049" w:rsidP="00BD2947">
      <w:pPr>
        <w:tabs>
          <w:tab w:val="left" w:pos="6165"/>
        </w:tabs>
        <w:rPr>
          <w:rFonts w:ascii="Open Sans" w:hAnsi="Open Sans" w:cs="Open Sans"/>
          <w:sz w:val="20"/>
        </w:rPr>
      </w:pPr>
    </w:p>
    <w:sectPr w:rsidR="00B05049" w:rsidRPr="00BD2947" w:rsidSect="00C63D45">
      <w:footerReference w:type="default" r:id="rId11"/>
      <w:headerReference w:type="first" r:id="rId12"/>
      <w:footerReference w:type="first" r:id="rId13"/>
      <w:pgSz w:w="12240" w:h="15840"/>
      <w:pgMar w:top="1440" w:right="1440" w:bottom="1440" w:left="1440" w:header="720" w:footer="720"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3C2FB" w14:textId="77777777" w:rsidR="005B1896" w:rsidRDefault="005B1896" w:rsidP="00BD2947">
      <w:r>
        <w:separator/>
      </w:r>
    </w:p>
  </w:endnote>
  <w:endnote w:type="continuationSeparator" w:id="0">
    <w:p w14:paraId="3BD87472" w14:textId="77777777" w:rsidR="005B1896" w:rsidRDefault="005B1896" w:rsidP="00BD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16539"/>
      <w:docPartObj>
        <w:docPartGallery w:val="Page Numbers (Bottom of Page)"/>
        <w:docPartUnique/>
      </w:docPartObj>
    </w:sdtPr>
    <w:sdtEndPr>
      <w:rPr>
        <w:noProof/>
        <w:sz w:val="18"/>
        <w:szCs w:val="18"/>
      </w:rPr>
    </w:sdtEndPr>
    <w:sdtContent>
      <w:p w14:paraId="6DDA646D" w14:textId="3DCBED6C" w:rsidR="00032995" w:rsidRPr="00032995" w:rsidRDefault="00032995">
        <w:pPr>
          <w:pStyle w:val="Footer"/>
          <w:jc w:val="right"/>
          <w:rPr>
            <w:sz w:val="18"/>
            <w:szCs w:val="18"/>
          </w:rPr>
        </w:pPr>
        <w:r>
          <w:rPr>
            <w:noProof/>
          </w:rPr>
          <w:drawing>
            <wp:anchor distT="0" distB="0" distL="114300" distR="114300" simplePos="0" relativeHeight="251663360" behindDoc="0" locked="0" layoutInCell="1" allowOverlap="1" wp14:anchorId="28EF2B64" wp14:editId="20B64B3C">
              <wp:simplePos x="0" y="0"/>
              <wp:positionH relativeFrom="column">
                <wp:posOffset>-336550</wp:posOffset>
              </wp:positionH>
              <wp:positionV relativeFrom="paragraph">
                <wp:posOffset>-2540</wp:posOffset>
              </wp:positionV>
              <wp:extent cx="1352550" cy="275590"/>
              <wp:effectExtent l="0" t="0" r="0" b="0"/>
              <wp:wrapNone/>
              <wp:docPr id="1" name="Picture 1" descr="Footer - Banner:  Massachusetts Health &amp; Hospitals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ooter - Banner:  Massachusetts Health &amp; Hospitals Assoc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275590"/>
                      </a:xfrm>
                      <a:prstGeom prst="rect">
                        <a:avLst/>
                      </a:prstGeom>
                      <a:noFill/>
                      <a:ln>
                        <a:noFill/>
                      </a:ln>
                    </pic:spPr>
                  </pic:pic>
                </a:graphicData>
              </a:graphic>
            </wp:anchor>
          </w:drawing>
        </w:r>
        <w:r w:rsidRPr="00032995">
          <w:rPr>
            <w:sz w:val="18"/>
            <w:szCs w:val="18"/>
          </w:rPr>
          <w:fldChar w:fldCharType="begin"/>
        </w:r>
        <w:r w:rsidRPr="00032995">
          <w:rPr>
            <w:sz w:val="18"/>
            <w:szCs w:val="18"/>
          </w:rPr>
          <w:instrText xml:space="preserve"> PAGE   \* MERGEFORMAT </w:instrText>
        </w:r>
        <w:r w:rsidRPr="00032995">
          <w:rPr>
            <w:sz w:val="18"/>
            <w:szCs w:val="18"/>
          </w:rPr>
          <w:fldChar w:fldCharType="separate"/>
        </w:r>
        <w:r w:rsidRPr="00032995">
          <w:rPr>
            <w:noProof/>
            <w:sz w:val="18"/>
            <w:szCs w:val="18"/>
          </w:rPr>
          <w:t>2</w:t>
        </w:r>
        <w:r w:rsidRPr="00032995">
          <w:rPr>
            <w:noProof/>
            <w:sz w:val="18"/>
            <w:szCs w:val="18"/>
          </w:rPr>
          <w:fldChar w:fldCharType="end"/>
        </w:r>
      </w:p>
    </w:sdtContent>
  </w:sdt>
  <w:p w14:paraId="372379A2" w14:textId="21DD31CB" w:rsidR="00C63D45" w:rsidRDefault="00C63D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DFEE" w14:textId="746FF0D6" w:rsidR="00BD2947" w:rsidRDefault="00BD2947">
    <w:pPr>
      <w:pStyle w:val="Footer"/>
      <w:jc w:val="center"/>
    </w:pPr>
  </w:p>
  <w:p w14:paraId="6C30C17E" w14:textId="5B45998D" w:rsidR="00BD2947" w:rsidRDefault="00BD2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7CCCC" w14:textId="77777777" w:rsidR="005B1896" w:rsidRDefault="005B1896" w:rsidP="00BD2947">
      <w:r>
        <w:separator/>
      </w:r>
    </w:p>
  </w:footnote>
  <w:footnote w:type="continuationSeparator" w:id="0">
    <w:p w14:paraId="69DAC362" w14:textId="77777777" w:rsidR="005B1896" w:rsidRDefault="005B1896" w:rsidP="00BD2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1BB4D" w14:textId="5E6C2018" w:rsidR="00BD2947" w:rsidRDefault="00BD2947">
    <w:pPr>
      <w:pStyle w:val="Header"/>
    </w:pPr>
    <w:r>
      <w:rPr>
        <w:noProof/>
      </w:rPr>
      <w:drawing>
        <wp:anchor distT="0" distB="0" distL="114300" distR="114300" simplePos="0" relativeHeight="251661312" behindDoc="1" locked="0" layoutInCell="1" allowOverlap="1" wp14:anchorId="751823DD" wp14:editId="1C6CD7AE">
          <wp:simplePos x="0" y="0"/>
          <wp:positionH relativeFrom="page">
            <wp:align>right</wp:align>
          </wp:positionH>
          <wp:positionV relativeFrom="paragraph">
            <wp:posOffset>-457200</wp:posOffset>
          </wp:positionV>
          <wp:extent cx="7769223" cy="10054288"/>
          <wp:effectExtent l="0" t="0" r="3810" b="4445"/>
          <wp:wrapNone/>
          <wp:docPr id="2" name="Picture 2" descr="Banner - Massachusetts Health &amp; Hospital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nner - Massachusetts Health &amp; Hospital Association"/>
                  <pic:cNvPicPr/>
                </pic:nvPicPr>
                <pic:blipFill>
                  <a:blip r:embed="rId1">
                    <a:extLst>
                      <a:ext uri="{28A0092B-C50C-407E-A947-70E740481C1C}">
                        <a14:useLocalDpi xmlns:a14="http://schemas.microsoft.com/office/drawing/2010/main" val="0"/>
                      </a:ext>
                    </a:extLst>
                  </a:blip>
                  <a:stretch>
                    <a:fillRect/>
                  </a:stretch>
                </pic:blipFill>
                <pic:spPr>
                  <a:xfrm>
                    <a:off x="0" y="0"/>
                    <a:ext cx="7769223" cy="1005428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947"/>
    <w:rsid w:val="000251D4"/>
    <w:rsid w:val="00032995"/>
    <w:rsid w:val="000A632D"/>
    <w:rsid w:val="000D2780"/>
    <w:rsid w:val="001224C5"/>
    <w:rsid w:val="0012451C"/>
    <w:rsid w:val="0015261B"/>
    <w:rsid w:val="00154A67"/>
    <w:rsid w:val="001B1E21"/>
    <w:rsid w:val="0022279D"/>
    <w:rsid w:val="00230F8D"/>
    <w:rsid w:val="00243212"/>
    <w:rsid w:val="002750EB"/>
    <w:rsid w:val="00285313"/>
    <w:rsid w:val="002D503C"/>
    <w:rsid w:val="002F3C41"/>
    <w:rsid w:val="00326F0D"/>
    <w:rsid w:val="00344EFB"/>
    <w:rsid w:val="0037658B"/>
    <w:rsid w:val="00394E2B"/>
    <w:rsid w:val="003B48F6"/>
    <w:rsid w:val="003F1F7E"/>
    <w:rsid w:val="0045307F"/>
    <w:rsid w:val="00476269"/>
    <w:rsid w:val="0051312A"/>
    <w:rsid w:val="005B1896"/>
    <w:rsid w:val="005E663E"/>
    <w:rsid w:val="00620CA2"/>
    <w:rsid w:val="00684831"/>
    <w:rsid w:val="006F481A"/>
    <w:rsid w:val="007955A1"/>
    <w:rsid w:val="007A0ED1"/>
    <w:rsid w:val="007B7436"/>
    <w:rsid w:val="007C43E6"/>
    <w:rsid w:val="007F0912"/>
    <w:rsid w:val="008257CF"/>
    <w:rsid w:val="00836E71"/>
    <w:rsid w:val="00863F31"/>
    <w:rsid w:val="00871946"/>
    <w:rsid w:val="00881E5B"/>
    <w:rsid w:val="00902A68"/>
    <w:rsid w:val="009100F4"/>
    <w:rsid w:val="00937D1C"/>
    <w:rsid w:val="0096042F"/>
    <w:rsid w:val="00970536"/>
    <w:rsid w:val="009C4652"/>
    <w:rsid w:val="00A02509"/>
    <w:rsid w:val="00A36C87"/>
    <w:rsid w:val="00A73803"/>
    <w:rsid w:val="00AF7391"/>
    <w:rsid w:val="00B05049"/>
    <w:rsid w:val="00BD2947"/>
    <w:rsid w:val="00BD3056"/>
    <w:rsid w:val="00BE393C"/>
    <w:rsid w:val="00C34108"/>
    <w:rsid w:val="00C63D45"/>
    <w:rsid w:val="00C83BD7"/>
    <w:rsid w:val="00C85815"/>
    <w:rsid w:val="00DA0838"/>
    <w:rsid w:val="00E2465D"/>
    <w:rsid w:val="00E64236"/>
    <w:rsid w:val="00E8269D"/>
    <w:rsid w:val="00E915A5"/>
    <w:rsid w:val="00EE2664"/>
    <w:rsid w:val="00F70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781C6"/>
  <w15:chartTrackingRefBased/>
  <w15:docId w15:val="{91037042-6F3D-4834-B8F8-7DE09593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236"/>
    <w:rPr>
      <w:sz w:val="23"/>
    </w:rPr>
  </w:style>
  <w:style w:type="paragraph" w:styleId="Heading3">
    <w:name w:val="heading 3"/>
    <w:basedOn w:val="Normal"/>
    <w:next w:val="Normal"/>
    <w:link w:val="Heading3Char"/>
    <w:uiPriority w:val="9"/>
    <w:unhideWhenUsed/>
    <w:qFormat/>
    <w:rsid w:val="00E6423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947"/>
    <w:pPr>
      <w:tabs>
        <w:tab w:val="center" w:pos="4680"/>
        <w:tab w:val="right" w:pos="9360"/>
      </w:tabs>
    </w:pPr>
  </w:style>
  <w:style w:type="character" w:customStyle="1" w:styleId="HeaderChar">
    <w:name w:val="Header Char"/>
    <w:basedOn w:val="DefaultParagraphFont"/>
    <w:link w:val="Header"/>
    <w:uiPriority w:val="99"/>
    <w:rsid w:val="00BD2947"/>
    <w:rPr>
      <w:sz w:val="23"/>
    </w:rPr>
  </w:style>
  <w:style w:type="paragraph" w:styleId="Footer">
    <w:name w:val="footer"/>
    <w:basedOn w:val="Normal"/>
    <w:link w:val="FooterChar"/>
    <w:uiPriority w:val="99"/>
    <w:unhideWhenUsed/>
    <w:rsid w:val="00BD2947"/>
    <w:pPr>
      <w:tabs>
        <w:tab w:val="center" w:pos="4680"/>
        <w:tab w:val="right" w:pos="9360"/>
      </w:tabs>
    </w:pPr>
  </w:style>
  <w:style w:type="character" w:customStyle="1" w:styleId="FooterChar">
    <w:name w:val="Footer Char"/>
    <w:basedOn w:val="DefaultParagraphFont"/>
    <w:link w:val="Footer"/>
    <w:uiPriority w:val="99"/>
    <w:rsid w:val="00BD2947"/>
    <w:rPr>
      <w:sz w:val="23"/>
    </w:rPr>
  </w:style>
  <w:style w:type="paragraph" w:styleId="Subtitle">
    <w:name w:val="Subtitle"/>
    <w:basedOn w:val="Normal"/>
    <w:next w:val="Normal"/>
    <w:link w:val="SubtitleChar"/>
    <w:uiPriority w:val="11"/>
    <w:qFormat/>
    <w:rsid w:val="00E6423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64236"/>
    <w:rPr>
      <w:rFonts w:asciiTheme="minorHAnsi" w:eastAsiaTheme="minorEastAsia" w:hAnsiTheme="minorHAnsi" w:cstheme="minorBidi"/>
      <w:color w:val="5A5A5A" w:themeColor="text1" w:themeTint="A5"/>
      <w:spacing w:val="15"/>
      <w:sz w:val="22"/>
      <w:szCs w:val="22"/>
    </w:rPr>
  </w:style>
  <w:style w:type="character" w:customStyle="1" w:styleId="Heading3Char">
    <w:name w:val="Heading 3 Char"/>
    <w:basedOn w:val="DefaultParagraphFont"/>
    <w:link w:val="Heading3"/>
    <w:uiPriority w:val="9"/>
    <w:rsid w:val="00E6423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cid:374bfe41-9c34-43a2-b7a5-e07a0aa04b6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10D3037756A4AA133834409DCDEF1" ma:contentTypeVersion="16" ma:contentTypeDescription="Create a new document." ma:contentTypeScope="" ma:versionID="500138f3feb3161a904d7252773451ac">
  <xsd:schema xmlns:xsd="http://www.w3.org/2001/XMLSchema" xmlns:xs="http://www.w3.org/2001/XMLSchema" xmlns:p="http://schemas.microsoft.com/office/2006/metadata/properties" xmlns:ns2="763c89ce-eeed-4130-a14d-2bfa30ca9f21" xmlns:ns3="9579eeb9-38f5-4290-87f8-ea6ebc63639c" targetNamespace="http://schemas.microsoft.com/office/2006/metadata/properties" ma:root="true" ma:fieldsID="25bc93a109db763f3dcb2e06747b289f" ns2:_="" ns3:_="">
    <xsd:import namespace="763c89ce-eeed-4130-a14d-2bfa30ca9f21"/>
    <xsd:import namespace="9579eeb9-38f5-4290-87f8-ea6ebc6363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c89ce-eeed-4130-a14d-2bfa30ca9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8bd11a-c142-42e3-96e4-874b59fa61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79eeb9-38f5-4290-87f8-ea6ebc6363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9b9064e-8ce1-4665-b37a-0b7e5d9969a6}" ma:internalName="TaxCatchAll" ma:showField="CatchAllData" ma:web="9579eeb9-38f5-4290-87f8-ea6ebc6363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579eeb9-38f5-4290-87f8-ea6ebc63639c" xsi:nil="true"/>
    <lcf76f155ced4ddcb4097134ff3c332f xmlns="763c89ce-eeed-4130-a14d-2bfa30ca9f2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F5B653-8B7A-423F-BC47-44F177B9F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3c89ce-eeed-4130-a14d-2bfa30ca9f21"/>
    <ds:schemaRef ds:uri="9579eeb9-38f5-4290-87f8-ea6ebc636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904F83-C45F-4D0E-9740-C5EF8200AB4E}">
  <ds:schemaRefs>
    <ds:schemaRef ds:uri="http://schemas.microsoft.com/office/2006/metadata/properties"/>
    <ds:schemaRef ds:uri="http://schemas.microsoft.com/office/infopath/2007/PartnerControls"/>
    <ds:schemaRef ds:uri="9579eeb9-38f5-4290-87f8-ea6ebc63639c"/>
    <ds:schemaRef ds:uri="763c89ce-eeed-4130-a14d-2bfa30ca9f21"/>
  </ds:schemaRefs>
</ds:datastoreItem>
</file>

<file path=customXml/itemProps3.xml><?xml version="1.0" encoding="utf-8"?>
<ds:datastoreItem xmlns:ds="http://schemas.openxmlformats.org/officeDocument/2006/customXml" ds:itemID="{855C750F-D811-4F86-9290-2CECEFCE15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2149</Words>
  <Characters>12253</Characters>
  <Application>Microsoft Office Word</Application>
  <DocSecurity>0</DocSecurity>
  <Lines>102</Lines>
  <Paragraphs>28</Paragraphs>
  <ScaleCrop>false</ScaleCrop>
  <Company/>
  <LinksUpToDate>false</LinksUpToDate>
  <CharactersWithSpaces>14374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Flynn</dc:creator>
  <cp:keywords/>
  <dc:description/>
  <cp:lastModifiedBy>Anderson, William (DPH)</cp:lastModifiedBy>
  <cp:revision>10</cp:revision>
  <dcterms:created xsi:type="dcterms:W3CDTF">2026-05-21T18:16:00Z</dcterms:created>
  <dcterms:modified xsi:type="dcterms:W3CDTF">2026-05-26T14:15:00Z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0x0101007C510D3037756A4AA133834409DCDEF1</vt:lpwstr>
  </property>
  <property fmtid="{D5CDD505-2E9C-101B-9397-08002B2CF9AE}" pid="3" name="MediaServiceImageTags">
    <vt:lpwstr/>
  </property>
  <property fmtid="{D5CDD505-2E9C-101B-9397-08002B2CF9AE}" pid="4" name="docLang">
    <vt:lpwstr>en</vt:lpwstr>
  </property>
</Properties>
</file>