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B539" w14:textId="77777777" w:rsidR="00513FD2" w:rsidRDefault="00513FD2" w:rsidP="00EF5885">
      <w:pPr>
        <w:spacing w:after="0" w:line="240" w:lineRule="auto"/>
      </w:pPr>
    </w:p>
    <w:p w14:paraId="070AF9BD" w14:textId="1B0EACAA" w:rsidR="00D566A8" w:rsidRDefault="00D15FDA" w:rsidP="00EF5885">
      <w:pPr>
        <w:spacing w:after="0" w:line="240" w:lineRule="auto"/>
      </w:pPr>
      <w:r>
        <w:t>June 10, 2024</w:t>
      </w:r>
    </w:p>
    <w:p w14:paraId="07F56D74" w14:textId="77777777" w:rsidR="00E10E3B" w:rsidRDefault="00E10E3B" w:rsidP="00EF5885">
      <w:pPr>
        <w:spacing w:after="0" w:line="240" w:lineRule="auto"/>
      </w:pPr>
    </w:p>
    <w:p w14:paraId="3ACF9970" w14:textId="4A84DD9A" w:rsidR="00F560F8" w:rsidRDefault="00A63EC6" w:rsidP="00EF5885">
      <w:pPr>
        <w:spacing w:after="0" w:line="240" w:lineRule="auto"/>
      </w:pPr>
      <w:r>
        <w:t>Robert Goldstein, MD, PhD</w:t>
      </w:r>
    </w:p>
    <w:p w14:paraId="4B567253" w14:textId="0744E849" w:rsidR="00BB0DE4" w:rsidRDefault="00A63EC6" w:rsidP="00EF5885">
      <w:pPr>
        <w:spacing w:after="0" w:line="240" w:lineRule="auto"/>
      </w:pPr>
      <w:r>
        <w:t>Commissioner</w:t>
      </w:r>
    </w:p>
    <w:p w14:paraId="50A25D2E" w14:textId="75163638" w:rsidR="00A63EC6" w:rsidRDefault="00A63EC6" w:rsidP="00EF5885">
      <w:pPr>
        <w:spacing w:after="0" w:line="240" w:lineRule="auto"/>
      </w:pPr>
      <w:r>
        <w:t>Department of Public Health</w:t>
      </w:r>
    </w:p>
    <w:p w14:paraId="3C051281" w14:textId="1BB8AC5A" w:rsidR="00A63EC6" w:rsidRDefault="00A63EC6" w:rsidP="00EF5885">
      <w:pPr>
        <w:spacing w:after="0" w:line="240" w:lineRule="auto"/>
      </w:pPr>
      <w:r>
        <w:t>250 Washington Street</w:t>
      </w:r>
    </w:p>
    <w:p w14:paraId="47F0CBCA" w14:textId="1C292D37" w:rsidR="00A63EC6" w:rsidRDefault="00A63EC6" w:rsidP="00EF5885">
      <w:pPr>
        <w:spacing w:after="0" w:line="240" w:lineRule="auto"/>
      </w:pPr>
      <w:r>
        <w:t>Boston, MA 02108-4619</w:t>
      </w:r>
    </w:p>
    <w:p w14:paraId="1F2440EB" w14:textId="6930A10E" w:rsidR="00BB0DE4" w:rsidRDefault="00BB0DE4" w:rsidP="00EF5885">
      <w:pPr>
        <w:spacing w:after="0" w:line="240" w:lineRule="auto"/>
      </w:pPr>
      <w:r>
        <w:t>ATTN: William Anderson, Office of the General Counsel</w:t>
      </w:r>
    </w:p>
    <w:p w14:paraId="33C219E0" w14:textId="77777777" w:rsidR="00F560F8" w:rsidRDefault="00F560F8" w:rsidP="00EF5885">
      <w:pPr>
        <w:spacing w:after="0" w:line="240" w:lineRule="auto"/>
      </w:pPr>
    </w:p>
    <w:p w14:paraId="6370C2E6" w14:textId="4928B148" w:rsidR="00B9643C" w:rsidRDefault="00B9643C" w:rsidP="00EF5885">
      <w:pPr>
        <w:spacing w:after="0" w:line="240" w:lineRule="auto"/>
      </w:pPr>
      <w:r>
        <w:t xml:space="preserve">RE:  </w:t>
      </w:r>
      <w:r w:rsidR="003518F6">
        <w:tab/>
      </w:r>
      <w:r>
        <w:t>Testimony on 105 CMR 130.000: Hospital Licensure</w:t>
      </w:r>
      <w:r w:rsidR="0047383B">
        <w:t xml:space="preserve"> – Data Reporting</w:t>
      </w:r>
    </w:p>
    <w:p w14:paraId="33881A4E" w14:textId="3F84D344" w:rsidR="003518F6" w:rsidRPr="003518F6" w:rsidRDefault="003518F6" w:rsidP="003518F6">
      <w:pPr>
        <w:spacing w:after="0" w:line="240" w:lineRule="auto"/>
        <w:ind w:firstLine="720"/>
        <w:rPr>
          <w:i/>
          <w:iCs/>
        </w:rPr>
      </w:pPr>
      <w:r w:rsidRPr="003518F6">
        <w:rPr>
          <w:i/>
          <w:iCs/>
        </w:rPr>
        <w:t>Delivered electronically via Reg.testimony@mass.gov</w:t>
      </w:r>
    </w:p>
    <w:p w14:paraId="1ADD41F3" w14:textId="77777777" w:rsidR="00B9643C" w:rsidRDefault="00B9643C" w:rsidP="00EF5885">
      <w:pPr>
        <w:spacing w:after="0" w:line="240" w:lineRule="auto"/>
      </w:pPr>
    </w:p>
    <w:p w14:paraId="225C87A7" w14:textId="21B4B166" w:rsidR="00D15FDA" w:rsidRDefault="00D15FDA" w:rsidP="00EF5885">
      <w:pPr>
        <w:spacing w:after="0" w:line="240" w:lineRule="auto"/>
      </w:pPr>
      <w:r>
        <w:t>Dear Commissioner Goldstein</w:t>
      </w:r>
      <w:r w:rsidR="001D14D2">
        <w:t xml:space="preserve"> and esteemed Members of the Public Health Council</w:t>
      </w:r>
      <w:r>
        <w:t>,</w:t>
      </w:r>
    </w:p>
    <w:p w14:paraId="615A6668" w14:textId="77777777" w:rsidR="005566BD" w:rsidRDefault="005566BD" w:rsidP="00EF5885">
      <w:pPr>
        <w:spacing w:after="0" w:line="240" w:lineRule="auto"/>
      </w:pPr>
    </w:p>
    <w:p w14:paraId="39BB167D" w14:textId="609DA289" w:rsidR="001D14D2" w:rsidRDefault="00DD7CF5" w:rsidP="00983C23">
      <w:pPr>
        <w:spacing w:after="0" w:line="240" w:lineRule="auto"/>
        <w:jc w:val="both"/>
      </w:pPr>
      <w:r>
        <w:t xml:space="preserve">On behalf of the </w:t>
      </w:r>
      <w:r w:rsidR="00036194">
        <w:t xml:space="preserve">Massachusetts Health </w:t>
      </w:r>
      <w:r w:rsidR="000954B8">
        <w:t xml:space="preserve">&amp; </w:t>
      </w:r>
      <w:r w:rsidR="00036194">
        <w:t xml:space="preserve">Hospital Association (MHA) and the </w:t>
      </w:r>
      <w:r>
        <w:t>Conference of Boston Teaching Hospitals</w:t>
      </w:r>
      <w:r w:rsidR="00036194">
        <w:t xml:space="preserve"> (COBTH)</w:t>
      </w:r>
      <w:r w:rsidR="00025EAD">
        <w:t>,</w:t>
      </w:r>
      <w:r w:rsidR="00055BBB">
        <w:rPr>
          <w:rStyle w:val="EndnoteReference"/>
        </w:rPr>
        <w:endnoteReference w:id="2"/>
      </w:r>
      <w:r>
        <w:t xml:space="preserve"> </w:t>
      </w:r>
      <w:r w:rsidR="00C71410">
        <w:t xml:space="preserve">we </w:t>
      </w:r>
      <w:r w:rsidR="00CC4585">
        <w:t xml:space="preserve">are </w:t>
      </w:r>
      <w:r w:rsidR="00036194">
        <w:t xml:space="preserve">grateful for the </w:t>
      </w:r>
      <w:r w:rsidR="00507727">
        <w:t>opportunity</w:t>
      </w:r>
      <w:r w:rsidR="00CC4585">
        <w:t xml:space="preserve"> to provide </w:t>
      </w:r>
      <w:r w:rsidR="00036194">
        <w:t xml:space="preserve">comments </w:t>
      </w:r>
      <w:r w:rsidR="00CC4585">
        <w:t xml:space="preserve">on </w:t>
      </w:r>
      <w:r w:rsidR="005566BD" w:rsidRPr="005566BD">
        <w:t xml:space="preserve">the </w:t>
      </w:r>
      <w:r w:rsidR="00CC4585">
        <w:t xml:space="preserve">important initiative </w:t>
      </w:r>
      <w:r w:rsidR="00507727">
        <w:t xml:space="preserve">underway </w:t>
      </w:r>
      <w:r w:rsidR="00CC4585">
        <w:t xml:space="preserve">to </w:t>
      </w:r>
      <w:r w:rsidR="0005151F">
        <w:t>improve the</w:t>
      </w:r>
      <w:r w:rsidR="00CC4585">
        <w:t xml:space="preserve"> </w:t>
      </w:r>
      <w:r w:rsidR="00507727">
        <w:t xml:space="preserve">data </w:t>
      </w:r>
      <w:r w:rsidR="0005151F">
        <w:t xml:space="preserve">available </w:t>
      </w:r>
      <w:r w:rsidR="00036194">
        <w:t xml:space="preserve">to </w:t>
      </w:r>
      <w:r w:rsidR="0005151F">
        <w:t>describe</w:t>
      </w:r>
      <w:r w:rsidR="00507727">
        <w:t xml:space="preserve"> healthcare system </w:t>
      </w:r>
      <w:r w:rsidR="00CC4585">
        <w:t>capacity</w:t>
      </w:r>
      <w:r w:rsidR="00036194">
        <w:t>, especially in light of</w:t>
      </w:r>
      <w:r w:rsidR="00CC4585">
        <w:t xml:space="preserve"> the unrelenting hospital capacity challenges that our </w:t>
      </w:r>
      <w:r w:rsidR="00036194">
        <w:t>hospital</w:t>
      </w:r>
      <w:r w:rsidR="00883A1C">
        <w:t>s</w:t>
      </w:r>
      <w:r w:rsidR="00036194">
        <w:t xml:space="preserve"> and healthcare delivery system </w:t>
      </w:r>
      <w:r w:rsidR="00CC4585">
        <w:t xml:space="preserve">continue to face.  </w:t>
      </w:r>
    </w:p>
    <w:p w14:paraId="513DA90D" w14:textId="77777777" w:rsidR="009514BE" w:rsidRDefault="009514BE" w:rsidP="00983C23">
      <w:pPr>
        <w:spacing w:after="0" w:line="240" w:lineRule="auto"/>
        <w:jc w:val="both"/>
      </w:pPr>
    </w:p>
    <w:p w14:paraId="2D878482" w14:textId="5B59663F" w:rsidR="00C152CF" w:rsidRDefault="00216B48" w:rsidP="00983C23">
      <w:pPr>
        <w:spacing w:after="0" w:line="240" w:lineRule="auto"/>
        <w:jc w:val="both"/>
      </w:pPr>
      <w:r>
        <w:t xml:space="preserve">It is important to note that </w:t>
      </w:r>
      <w:r w:rsidR="00036194">
        <w:t>efforts associated with c</w:t>
      </w:r>
      <w:r w:rsidR="002B6549">
        <w:t>apacity reporting</w:t>
      </w:r>
      <w:r w:rsidR="00C152CF">
        <w:t xml:space="preserve"> </w:t>
      </w:r>
      <w:r w:rsidR="00036194">
        <w:t>are</w:t>
      </w:r>
      <w:r w:rsidR="002B6549">
        <w:t xml:space="preserve"> a c</w:t>
      </w:r>
      <w:r w:rsidR="005566BD" w:rsidRPr="005566BD">
        <w:t xml:space="preserve">omponent of a much larger collaborative </w:t>
      </w:r>
      <w:r w:rsidR="002B6549">
        <w:t xml:space="preserve">undertaking </w:t>
      </w:r>
      <w:r w:rsidR="00E31CC4">
        <w:t>among</w:t>
      </w:r>
      <w:r w:rsidR="00E31CC4" w:rsidRPr="005566BD">
        <w:t xml:space="preserve"> </w:t>
      </w:r>
      <w:r w:rsidR="005566BD" w:rsidRPr="005566BD">
        <w:t xml:space="preserve">the </w:t>
      </w:r>
      <w:r w:rsidR="00E31CC4">
        <w:t xml:space="preserve">Massachusetts </w:t>
      </w:r>
      <w:r w:rsidR="005566BD" w:rsidRPr="005566BD">
        <w:t xml:space="preserve">Department </w:t>
      </w:r>
      <w:r w:rsidR="00025EAD">
        <w:t xml:space="preserve">of Public Health </w:t>
      </w:r>
      <w:r w:rsidR="00036194">
        <w:t xml:space="preserve">(DPH) </w:t>
      </w:r>
      <w:r w:rsidR="005566BD" w:rsidRPr="005566BD">
        <w:t xml:space="preserve">and acute care hospitals </w:t>
      </w:r>
      <w:r w:rsidR="00454968">
        <w:t xml:space="preserve">and health systems </w:t>
      </w:r>
      <w:r w:rsidR="00036194">
        <w:t>t</w:t>
      </w:r>
      <w:r w:rsidR="005566BD" w:rsidRPr="005566BD">
        <w:t>hroughout the Commonwealth.</w:t>
      </w:r>
      <w:r w:rsidR="002B6549">
        <w:t xml:space="preserve">  </w:t>
      </w:r>
      <w:r w:rsidR="009B426C">
        <w:t xml:space="preserve">It is within that context that we remain </w:t>
      </w:r>
      <w:r w:rsidR="00454968">
        <w:t>confident that o</w:t>
      </w:r>
      <w:r w:rsidR="00025EAD">
        <w:t xml:space="preserve">ptimizing the way we collect, synthesize, and </w:t>
      </w:r>
      <w:r w:rsidR="004F2A29">
        <w:t>utilize</w:t>
      </w:r>
      <w:r w:rsidR="00025EAD">
        <w:t xml:space="preserve"> key data elements</w:t>
      </w:r>
      <w:r w:rsidR="00E31CC4">
        <w:t xml:space="preserve"> </w:t>
      </w:r>
      <w:r w:rsidR="00036194">
        <w:t xml:space="preserve">to </w:t>
      </w:r>
      <w:r w:rsidR="00E31CC4">
        <w:t>describ</w:t>
      </w:r>
      <w:r w:rsidR="00036194">
        <w:t>e</w:t>
      </w:r>
      <w:r w:rsidR="00E31CC4">
        <w:t xml:space="preserve"> healthcare capacity strains</w:t>
      </w:r>
      <w:r w:rsidR="00025EAD">
        <w:t xml:space="preserve"> </w:t>
      </w:r>
      <w:r w:rsidR="006A6612">
        <w:t xml:space="preserve">will </w:t>
      </w:r>
      <w:r w:rsidR="00271338">
        <w:t xml:space="preserve">better enable us to </w:t>
      </w:r>
      <w:r w:rsidR="00036194">
        <w:t xml:space="preserve">respond to </w:t>
      </w:r>
      <w:r w:rsidR="00025EAD">
        <w:t>future</w:t>
      </w:r>
      <w:r w:rsidR="00F3047B">
        <w:t xml:space="preserve"> </w:t>
      </w:r>
      <w:r w:rsidR="00DB5F6F">
        <w:t>emergencies</w:t>
      </w:r>
      <w:r w:rsidR="00025EAD">
        <w:t xml:space="preserve">. </w:t>
      </w:r>
    </w:p>
    <w:p w14:paraId="41CD33E0" w14:textId="77777777" w:rsidR="00C152CF" w:rsidRDefault="00C152CF" w:rsidP="00983C23">
      <w:pPr>
        <w:spacing w:after="0" w:line="240" w:lineRule="auto"/>
        <w:jc w:val="both"/>
      </w:pPr>
    </w:p>
    <w:p w14:paraId="14B97333" w14:textId="366160DD" w:rsidR="00C152CF" w:rsidRDefault="00025EAD" w:rsidP="00983C23">
      <w:pPr>
        <w:spacing w:after="0" w:line="240" w:lineRule="auto"/>
        <w:jc w:val="both"/>
      </w:pPr>
      <w:r>
        <w:t xml:space="preserve">We are </w:t>
      </w:r>
      <w:r w:rsidR="009B426C">
        <w:t xml:space="preserve">enormously </w:t>
      </w:r>
      <w:r>
        <w:t xml:space="preserve">grateful to </w:t>
      </w:r>
      <w:r w:rsidR="00036194">
        <w:t xml:space="preserve">DPH </w:t>
      </w:r>
      <w:r>
        <w:t xml:space="preserve">for </w:t>
      </w:r>
      <w:r w:rsidR="00036194">
        <w:t>its</w:t>
      </w:r>
      <w:r>
        <w:t xml:space="preserve"> continued support </w:t>
      </w:r>
      <w:r w:rsidR="00C152CF">
        <w:t>of</w:t>
      </w:r>
      <w:r w:rsidR="00C152CF" w:rsidRPr="00C152CF">
        <w:t xml:space="preserve"> </w:t>
      </w:r>
      <w:r w:rsidR="00C152CF" w:rsidRPr="005566BD">
        <w:t>the hospital communit</w:t>
      </w:r>
      <w:r w:rsidR="006D5184">
        <w:t>y’s</w:t>
      </w:r>
      <w:r w:rsidR="00C152CF" w:rsidRPr="005566BD">
        <w:t xml:space="preserve"> efforts to manage capacity challenges </w:t>
      </w:r>
      <w:r w:rsidR="0005151F">
        <w:t xml:space="preserve">collectively </w:t>
      </w:r>
      <w:r w:rsidR="00C152CF" w:rsidRPr="005566BD">
        <w:t xml:space="preserve">through </w:t>
      </w:r>
      <w:r w:rsidR="0005151F">
        <w:t xml:space="preserve">the </w:t>
      </w:r>
      <w:r w:rsidR="00C152CF">
        <w:t xml:space="preserve">regional </w:t>
      </w:r>
      <w:r w:rsidR="00C152CF" w:rsidRPr="005566BD">
        <w:t xml:space="preserve">meetings </w:t>
      </w:r>
      <w:r w:rsidR="00C152CF">
        <w:t>and communication</w:t>
      </w:r>
      <w:r w:rsidR="0005151F">
        <w:t>s</w:t>
      </w:r>
      <w:r w:rsidR="00C152CF">
        <w:t xml:space="preserve"> </w:t>
      </w:r>
      <w:r w:rsidR="0005151F">
        <w:t xml:space="preserve">programs </w:t>
      </w:r>
      <w:r w:rsidR="00C152CF">
        <w:t xml:space="preserve">that continue </w:t>
      </w:r>
      <w:r w:rsidR="00036194">
        <w:t xml:space="preserve">through </w:t>
      </w:r>
      <w:r w:rsidR="00C152CF">
        <w:t>today. W</w:t>
      </w:r>
      <w:r w:rsidRPr="005566BD">
        <w:t xml:space="preserve">e </w:t>
      </w:r>
      <w:r w:rsidR="00036194">
        <w:t xml:space="preserve">also </w:t>
      </w:r>
      <w:r w:rsidRPr="005566BD">
        <w:t xml:space="preserve">recognize that </w:t>
      </w:r>
      <w:r w:rsidR="0005151F">
        <w:t xml:space="preserve">the </w:t>
      </w:r>
      <w:r w:rsidRPr="005566BD">
        <w:t xml:space="preserve">data </w:t>
      </w:r>
      <w:r w:rsidR="0005151F">
        <w:t xml:space="preserve">currently being collected </w:t>
      </w:r>
      <w:r w:rsidRPr="005566BD">
        <w:t>provides a</w:t>
      </w:r>
      <w:r w:rsidR="0005151F">
        <w:t xml:space="preserve">n important </w:t>
      </w:r>
      <w:r w:rsidR="00036194">
        <w:t xml:space="preserve">snapshot of </w:t>
      </w:r>
      <w:r>
        <w:t xml:space="preserve">overall </w:t>
      </w:r>
      <w:r w:rsidRPr="005566BD">
        <w:t>hospital capacity</w:t>
      </w:r>
      <w:r>
        <w:t xml:space="preserve"> across the Commonwealth</w:t>
      </w:r>
      <w:r w:rsidR="0005151F">
        <w:t xml:space="preserve">. </w:t>
      </w:r>
      <w:r w:rsidR="00036194">
        <w:t xml:space="preserve"> Last, we would note that there are </w:t>
      </w:r>
      <w:r w:rsidR="00B46A0B">
        <w:t xml:space="preserve">several critical areas </w:t>
      </w:r>
      <w:r w:rsidR="0005151F">
        <w:t>of opportunity for us to</w:t>
      </w:r>
      <w:r w:rsidR="00B46A0B">
        <w:t xml:space="preserve"> </w:t>
      </w:r>
      <w:r w:rsidR="00C152CF">
        <w:t xml:space="preserve">work together </w:t>
      </w:r>
      <w:r w:rsidR="0005151F">
        <w:t>to improve how data</w:t>
      </w:r>
      <w:r w:rsidR="006D5184">
        <w:t xml:space="preserve"> collection </w:t>
      </w:r>
      <w:r w:rsidR="0005151F">
        <w:t xml:space="preserve">can advance </w:t>
      </w:r>
      <w:r>
        <w:t>our shared goals</w:t>
      </w:r>
      <w:r w:rsidR="00C152CF">
        <w:t xml:space="preserve"> of </w:t>
      </w:r>
      <w:r w:rsidR="0005151F">
        <w:t>better monitoring capacity constraints, identifying key obstacles, and supporting effective and equitable mobilization of surge capacity</w:t>
      </w:r>
      <w:r w:rsidR="00C152CF">
        <w:t xml:space="preserve">.  </w:t>
      </w:r>
    </w:p>
    <w:p w14:paraId="7348500C" w14:textId="77777777" w:rsidR="00C152CF" w:rsidRDefault="00C152CF" w:rsidP="00025EAD">
      <w:pPr>
        <w:spacing w:after="0" w:line="240" w:lineRule="auto"/>
      </w:pPr>
    </w:p>
    <w:p w14:paraId="3CD497CC" w14:textId="4199F897" w:rsidR="006B55A8" w:rsidRDefault="00BD459B" w:rsidP="00883A1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Recommendation 1:  </w:t>
      </w:r>
      <w:r w:rsidR="008D7808" w:rsidRPr="00983C23">
        <w:rPr>
          <w:b/>
          <w:bCs/>
        </w:rPr>
        <w:t xml:space="preserve">Strengthen </w:t>
      </w:r>
      <w:r w:rsidR="00AB2926">
        <w:rPr>
          <w:b/>
          <w:bCs/>
        </w:rPr>
        <w:t xml:space="preserve">meaningful </w:t>
      </w:r>
      <w:r w:rsidR="008D7808" w:rsidRPr="00983C23">
        <w:rPr>
          <w:b/>
          <w:bCs/>
        </w:rPr>
        <w:t>partnership</w:t>
      </w:r>
      <w:r w:rsidR="00AB2926">
        <w:rPr>
          <w:b/>
          <w:bCs/>
        </w:rPr>
        <w:t>s</w:t>
      </w:r>
      <w:r w:rsidR="008D7808" w:rsidRPr="00983C23">
        <w:rPr>
          <w:b/>
          <w:bCs/>
        </w:rPr>
        <w:t xml:space="preserve"> with healthcare stakeholders</w:t>
      </w:r>
      <w:r w:rsidR="006B55A8">
        <w:rPr>
          <w:b/>
          <w:bCs/>
        </w:rPr>
        <w:t xml:space="preserve"> </w:t>
      </w:r>
      <w:r w:rsidR="008F07DD">
        <w:rPr>
          <w:b/>
          <w:bCs/>
        </w:rPr>
        <w:t xml:space="preserve">to develop </w:t>
      </w:r>
      <w:r w:rsidR="00336B4F">
        <w:rPr>
          <w:b/>
          <w:bCs/>
        </w:rPr>
        <w:t xml:space="preserve">new </w:t>
      </w:r>
      <w:r w:rsidR="008F07DD">
        <w:rPr>
          <w:b/>
          <w:bCs/>
        </w:rPr>
        <w:t>systems</w:t>
      </w:r>
    </w:p>
    <w:p w14:paraId="10335217" w14:textId="5EEC56B1" w:rsidR="006B55A8" w:rsidRDefault="006B55A8" w:rsidP="00883A1C">
      <w:pPr>
        <w:spacing w:after="0" w:line="240" w:lineRule="auto"/>
        <w:jc w:val="both"/>
      </w:pPr>
      <w:r>
        <w:t xml:space="preserve">The innovative partnerships and collaborations forged </w:t>
      </w:r>
      <w:r w:rsidR="0005151F">
        <w:t xml:space="preserve">among healthcare organizations and with </w:t>
      </w:r>
      <w:r w:rsidR="00036194">
        <w:t xml:space="preserve">DPH </w:t>
      </w:r>
      <w:r>
        <w:t xml:space="preserve">during </w:t>
      </w:r>
      <w:r w:rsidR="00036194">
        <w:t xml:space="preserve">the </w:t>
      </w:r>
      <w:r>
        <w:t xml:space="preserve">COVID-19 </w:t>
      </w:r>
      <w:r w:rsidR="00036194">
        <w:t xml:space="preserve">pandemic </w:t>
      </w:r>
      <w:r>
        <w:t xml:space="preserve">have grown into best practices that continue today. </w:t>
      </w:r>
      <w:r w:rsidR="00BD459B">
        <w:t xml:space="preserve"> </w:t>
      </w:r>
      <w:r w:rsidRPr="005566BD">
        <w:t xml:space="preserve">While </w:t>
      </w:r>
      <w:r w:rsidR="004951F8">
        <w:t>regional</w:t>
      </w:r>
      <w:r w:rsidRPr="005566BD">
        <w:t xml:space="preserve"> </w:t>
      </w:r>
      <w:r>
        <w:t xml:space="preserve">capacity </w:t>
      </w:r>
      <w:r w:rsidRPr="005566BD">
        <w:t>collaboration</w:t>
      </w:r>
      <w:r>
        <w:t xml:space="preserve"> meetings</w:t>
      </w:r>
      <w:r w:rsidRPr="005566BD">
        <w:t xml:space="preserve"> </w:t>
      </w:r>
      <w:r w:rsidR="00E115C9">
        <w:t xml:space="preserve">were initially convened </w:t>
      </w:r>
      <w:r w:rsidR="0005151F">
        <w:t xml:space="preserve">by healthcare organizations </w:t>
      </w:r>
      <w:r w:rsidRPr="005566BD">
        <w:t xml:space="preserve">to respond to capacity and load balancing challenges, </w:t>
      </w:r>
      <w:r w:rsidR="00CD189E">
        <w:t>they</w:t>
      </w:r>
      <w:r w:rsidRPr="005566BD">
        <w:t xml:space="preserve"> ha</w:t>
      </w:r>
      <w:r w:rsidR="00CD189E">
        <w:t xml:space="preserve">ve </w:t>
      </w:r>
      <w:r w:rsidR="0005151F">
        <w:t xml:space="preserve">now </w:t>
      </w:r>
      <w:r w:rsidR="00CD189E">
        <w:t xml:space="preserve">developed </w:t>
      </w:r>
      <w:r w:rsidRPr="005566BD">
        <w:t xml:space="preserve">into a “best practice” for ongoing </w:t>
      </w:r>
      <w:r w:rsidR="00336095" w:rsidRPr="005566BD">
        <w:t>partnership</w:t>
      </w:r>
      <w:r w:rsidRPr="005566BD">
        <w:t xml:space="preserve"> and communication</w:t>
      </w:r>
      <w:r>
        <w:t xml:space="preserve"> through challenging times</w:t>
      </w:r>
      <w:r w:rsidRPr="005566BD">
        <w:t xml:space="preserve"> and ha</w:t>
      </w:r>
      <w:r w:rsidR="00905526">
        <w:t>ve</w:t>
      </w:r>
      <w:r w:rsidRPr="005566BD">
        <w:t xml:space="preserve"> proven critical to our </w:t>
      </w:r>
      <w:r>
        <w:t xml:space="preserve">shared </w:t>
      </w:r>
      <w:r w:rsidRPr="005566BD">
        <w:t xml:space="preserve">success in ensuring that all patients receive access to timely and appropriate emergency and other </w:t>
      </w:r>
      <w:r>
        <w:t xml:space="preserve">needed </w:t>
      </w:r>
      <w:r w:rsidRPr="005566BD">
        <w:t>care.</w:t>
      </w:r>
      <w:r>
        <w:t xml:space="preserve"> </w:t>
      </w:r>
    </w:p>
    <w:p w14:paraId="1BE0F5AE" w14:textId="77777777" w:rsidR="006B55A8" w:rsidRDefault="006B55A8" w:rsidP="006B55A8">
      <w:pPr>
        <w:spacing w:after="0" w:line="240" w:lineRule="auto"/>
      </w:pPr>
    </w:p>
    <w:p w14:paraId="09B0DDBA" w14:textId="5E99B968" w:rsidR="00036194" w:rsidRPr="00DD292F" w:rsidRDefault="0005151F" w:rsidP="00036194">
      <w:pPr>
        <w:spacing w:after="0" w:line="240" w:lineRule="auto"/>
        <w:jc w:val="both"/>
        <w:rPr>
          <w:b/>
          <w:bCs/>
        </w:rPr>
      </w:pPr>
      <w:r w:rsidRPr="00CA3E98">
        <w:t xml:space="preserve">We </w:t>
      </w:r>
      <w:r w:rsidR="00036194" w:rsidRPr="00CA3E98">
        <w:t xml:space="preserve">recommend that the DPH </w:t>
      </w:r>
      <w:r w:rsidRPr="00CA3E98">
        <w:t>undertake a</w:t>
      </w:r>
      <w:r w:rsidR="006B55A8" w:rsidRPr="00CA3E98">
        <w:t xml:space="preserve"> similar approach </w:t>
      </w:r>
      <w:r w:rsidR="00AB2926" w:rsidRPr="00CA3E98">
        <w:t>of</w:t>
      </w:r>
      <w:r w:rsidR="00586D69" w:rsidRPr="00CA3E98">
        <w:t xml:space="preserve"> </w:t>
      </w:r>
      <w:r w:rsidRPr="00CA3E98">
        <w:t>meaningful</w:t>
      </w:r>
      <w:r w:rsidR="006B55A8" w:rsidRPr="00CA3E98">
        <w:t xml:space="preserve"> stakeholder engagement and partnership</w:t>
      </w:r>
      <w:r w:rsidR="008C21F2" w:rsidRPr="00CA3E98">
        <w:t xml:space="preserve"> </w:t>
      </w:r>
      <w:r w:rsidR="00AB2926" w:rsidRPr="00CA3E98">
        <w:t>among</w:t>
      </w:r>
      <w:r w:rsidR="008C21F2" w:rsidRPr="00CA3E98">
        <w:t xml:space="preserve"> public health and healthcare leaders</w:t>
      </w:r>
      <w:r w:rsidR="006B55A8" w:rsidRPr="00CA3E98">
        <w:t xml:space="preserve"> to </w:t>
      </w:r>
      <w:r w:rsidR="00D10C07" w:rsidRPr="00CA3E98">
        <w:t>define</w:t>
      </w:r>
      <w:r w:rsidR="006B55A8" w:rsidRPr="00CA3E98">
        <w:t xml:space="preserve"> the future of capacity data reporting</w:t>
      </w:r>
      <w:r w:rsidR="00346329" w:rsidRPr="00CA3E98">
        <w:t xml:space="preserve"> and </w:t>
      </w:r>
      <w:r w:rsidRPr="00CA3E98">
        <w:t xml:space="preserve">to develop </w:t>
      </w:r>
      <w:r w:rsidR="00346329" w:rsidRPr="00CA3E98">
        <w:t>an informed, data-driven approach for responding to future emergencies</w:t>
      </w:r>
      <w:r w:rsidR="00346329" w:rsidRPr="00DD292F">
        <w:rPr>
          <w:b/>
          <w:bCs/>
        </w:rPr>
        <w:t xml:space="preserve">. </w:t>
      </w:r>
    </w:p>
    <w:p w14:paraId="3B6B9FAB" w14:textId="77777777" w:rsidR="00036194" w:rsidRDefault="00036194" w:rsidP="00036194">
      <w:pPr>
        <w:spacing w:after="0" w:line="240" w:lineRule="auto"/>
        <w:jc w:val="both"/>
      </w:pPr>
    </w:p>
    <w:p w14:paraId="203DC5F7" w14:textId="0BEE87AD" w:rsidR="006B55A8" w:rsidRDefault="0005151F" w:rsidP="00883A1C">
      <w:pPr>
        <w:spacing w:after="0" w:line="240" w:lineRule="auto"/>
        <w:jc w:val="both"/>
      </w:pPr>
      <w:r>
        <w:t>The h</w:t>
      </w:r>
      <w:r w:rsidR="00D831C7">
        <w:t xml:space="preserve">ospital </w:t>
      </w:r>
      <w:r w:rsidR="00F222D2">
        <w:t xml:space="preserve">leaders </w:t>
      </w:r>
      <w:r w:rsidR="00AB2926">
        <w:t xml:space="preserve">in Massachusetts </w:t>
      </w:r>
      <w:r>
        <w:t xml:space="preserve">who are </w:t>
      </w:r>
      <w:r w:rsidR="00F222D2">
        <w:t xml:space="preserve">involved in </w:t>
      </w:r>
      <w:r>
        <w:t xml:space="preserve">managing </w:t>
      </w:r>
      <w:r w:rsidR="00F222D2">
        <w:t xml:space="preserve">operations </w:t>
      </w:r>
      <w:r>
        <w:t xml:space="preserve">and capacity utilization </w:t>
      </w:r>
      <w:r w:rsidR="00AB2926">
        <w:t xml:space="preserve">every day </w:t>
      </w:r>
      <w:r w:rsidR="00F222D2">
        <w:t xml:space="preserve">possess </w:t>
      </w:r>
      <w:r w:rsidR="006B55A8">
        <w:t>a unique</w:t>
      </w:r>
      <w:r>
        <w:t>, expert,</w:t>
      </w:r>
      <w:r w:rsidR="006B55A8">
        <w:t xml:space="preserve"> and vital perspective that </w:t>
      </w:r>
      <w:r>
        <w:t>is</w:t>
      </w:r>
      <w:r w:rsidR="006B55A8">
        <w:t xml:space="preserve"> </w:t>
      </w:r>
      <w:r w:rsidR="00AB2926">
        <w:t>essential</w:t>
      </w:r>
      <w:r w:rsidR="006B55A8">
        <w:t xml:space="preserve"> </w:t>
      </w:r>
      <w:r w:rsidR="00975CDD">
        <w:t xml:space="preserve">to </w:t>
      </w:r>
      <w:r w:rsidR="006B55A8">
        <w:t xml:space="preserve">the </w:t>
      </w:r>
      <w:r w:rsidR="00AB2926">
        <w:t>design</w:t>
      </w:r>
      <w:r w:rsidR="0086634B">
        <w:t xml:space="preserve"> and implementation </w:t>
      </w:r>
      <w:r w:rsidR="006B55A8">
        <w:t xml:space="preserve">of </w:t>
      </w:r>
      <w:r w:rsidR="00D448F9">
        <w:t xml:space="preserve">enhancements </w:t>
      </w:r>
      <w:r w:rsidR="006B55A8">
        <w:t xml:space="preserve">to </w:t>
      </w:r>
      <w:r w:rsidR="00AB2926">
        <w:t xml:space="preserve">capacity </w:t>
      </w:r>
      <w:r w:rsidR="006B55A8">
        <w:t xml:space="preserve">data </w:t>
      </w:r>
      <w:r w:rsidR="00E0023C">
        <w:t xml:space="preserve">reporting, </w:t>
      </w:r>
      <w:r w:rsidR="00AB2926">
        <w:t>governance</w:t>
      </w:r>
      <w:r w:rsidR="00E0023C">
        <w:t xml:space="preserve"> and operationalization</w:t>
      </w:r>
      <w:r w:rsidR="00AB2926">
        <w:t xml:space="preserve"> </w:t>
      </w:r>
      <w:r w:rsidR="006B55A8">
        <w:t>process</w:t>
      </w:r>
      <w:r w:rsidR="00615B63">
        <w:t>es</w:t>
      </w:r>
      <w:r w:rsidR="006B55A8">
        <w:t xml:space="preserve">. </w:t>
      </w:r>
      <w:r w:rsidR="00036194">
        <w:t xml:space="preserve"> </w:t>
      </w:r>
      <w:r w:rsidR="006B55A8">
        <w:t>We are</w:t>
      </w:r>
      <w:r w:rsidR="00615B63">
        <w:t xml:space="preserve"> eager to </w:t>
      </w:r>
      <w:r w:rsidR="00AB2926">
        <w:t>mobilize these experts</w:t>
      </w:r>
      <w:r w:rsidR="00615B63">
        <w:t xml:space="preserve"> to support and</w:t>
      </w:r>
      <w:r w:rsidR="006B55A8">
        <w:t xml:space="preserve"> strengthen partnerships</w:t>
      </w:r>
      <w:r w:rsidR="00615B63">
        <w:t xml:space="preserve"> between</w:t>
      </w:r>
      <w:r w:rsidR="00975CDD">
        <w:t xml:space="preserve"> </w:t>
      </w:r>
      <w:r w:rsidR="00036194">
        <w:t>our hospitals and DPH</w:t>
      </w:r>
      <w:r w:rsidR="00AB2926">
        <w:t>,</w:t>
      </w:r>
      <w:r w:rsidR="006B55A8">
        <w:t xml:space="preserve"> and </w:t>
      </w:r>
      <w:r w:rsidR="00AB2926">
        <w:t xml:space="preserve">we </w:t>
      </w:r>
      <w:r w:rsidR="006B55A8">
        <w:t xml:space="preserve">look forward to the opportunity to </w:t>
      </w:r>
      <w:r w:rsidR="007A7C87">
        <w:t>actively participate in t</w:t>
      </w:r>
      <w:r w:rsidR="006B55A8">
        <w:t xml:space="preserve">his </w:t>
      </w:r>
      <w:r w:rsidR="007A7C87">
        <w:t>crucial</w:t>
      </w:r>
      <w:r w:rsidR="006B55A8">
        <w:t xml:space="preserve"> </w:t>
      </w:r>
      <w:r w:rsidR="007A7C87">
        <w:t>work.</w:t>
      </w:r>
    </w:p>
    <w:p w14:paraId="5DDEBD4D" w14:textId="7CE05F95" w:rsidR="008D7808" w:rsidRPr="00983C23" w:rsidRDefault="008D7808" w:rsidP="00983C23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09E4B49A" w14:textId="25A2FEC4" w:rsidR="00C152CF" w:rsidRDefault="00975CDD" w:rsidP="00883A1C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Recommendation 2:  </w:t>
      </w:r>
      <w:r w:rsidR="00C152CF" w:rsidRPr="00983C23">
        <w:rPr>
          <w:b/>
          <w:bCs/>
        </w:rPr>
        <w:t>Optimiz</w:t>
      </w:r>
      <w:r>
        <w:rPr>
          <w:b/>
          <w:bCs/>
        </w:rPr>
        <w:t xml:space="preserve">e </w:t>
      </w:r>
      <w:r w:rsidR="00C152CF" w:rsidRPr="00983C23">
        <w:rPr>
          <w:b/>
          <w:bCs/>
        </w:rPr>
        <w:t>the value and integrity of the data</w:t>
      </w:r>
      <w:r w:rsidR="007436CE">
        <w:rPr>
          <w:b/>
          <w:bCs/>
        </w:rPr>
        <w:t xml:space="preserve"> </w:t>
      </w:r>
      <w:r w:rsidR="0026488B">
        <w:rPr>
          <w:b/>
          <w:bCs/>
        </w:rPr>
        <w:t>while</w:t>
      </w:r>
      <w:r w:rsidR="007436CE">
        <w:rPr>
          <w:b/>
          <w:bCs/>
        </w:rPr>
        <w:t xml:space="preserve"> identifying opportunities to </w:t>
      </w:r>
      <w:r w:rsidR="0026488B">
        <w:rPr>
          <w:b/>
          <w:bCs/>
        </w:rPr>
        <w:t>share</w:t>
      </w:r>
      <w:r w:rsidR="007436CE">
        <w:rPr>
          <w:b/>
          <w:bCs/>
        </w:rPr>
        <w:t xml:space="preserve"> the data in mutually beneficial ways</w:t>
      </w:r>
    </w:p>
    <w:p w14:paraId="21D9407D" w14:textId="77777777" w:rsidR="00975CDD" w:rsidRDefault="00975CDD" w:rsidP="00883A1C">
      <w:pPr>
        <w:pStyle w:val="ListBullet"/>
        <w:numPr>
          <w:ilvl w:val="0"/>
          <w:numId w:val="0"/>
        </w:numPr>
        <w:jc w:val="both"/>
      </w:pPr>
    </w:p>
    <w:p w14:paraId="0F3FDAB1" w14:textId="77777777" w:rsidR="00214288" w:rsidRDefault="007436CE" w:rsidP="00883A1C">
      <w:pPr>
        <w:pStyle w:val="ListBullet"/>
        <w:numPr>
          <w:ilvl w:val="0"/>
          <w:numId w:val="0"/>
        </w:numPr>
        <w:jc w:val="both"/>
      </w:pPr>
      <w:r>
        <w:t xml:space="preserve">During the </w:t>
      </w:r>
      <w:r w:rsidR="007A7C87">
        <w:t xml:space="preserve">acute phase </w:t>
      </w:r>
      <w:r>
        <w:t>of the COVID-19 pandemic</w:t>
      </w:r>
      <w:r w:rsidR="007A7C87">
        <w:t xml:space="preserve">, </w:t>
      </w:r>
      <w:r w:rsidR="0026488B">
        <w:t>data</w:t>
      </w:r>
      <w:r w:rsidR="007A7C87">
        <w:t xml:space="preserve"> </w:t>
      </w:r>
      <w:r w:rsidR="0026488B">
        <w:t xml:space="preserve">describing </w:t>
      </w:r>
      <w:r w:rsidR="007A7C87">
        <w:t xml:space="preserve">metrics such as </w:t>
      </w:r>
      <w:r w:rsidR="0026488B">
        <w:t xml:space="preserve">numbers of </w:t>
      </w:r>
      <w:r>
        <w:t>hospitalized COVID-19 patients</w:t>
      </w:r>
      <w:r w:rsidR="00507E25">
        <w:t>,</w:t>
      </w:r>
      <w:r w:rsidR="007A7C87">
        <w:t xml:space="preserve"> and </w:t>
      </w:r>
      <w:r w:rsidR="00214288">
        <w:t xml:space="preserve">supplies of </w:t>
      </w:r>
      <w:r>
        <w:t xml:space="preserve">critical </w:t>
      </w:r>
      <w:r w:rsidR="00214288">
        <w:t>resources</w:t>
      </w:r>
      <w:r w:rsidR="007A7C87">
        <w:t xml:space="preserve"> and </w:t>
      </w:r>
      <w:r>
        <w:t xml:space="preserve">pharmaceuticals provided rudimentary but </w:t>
      </w:r>
      <w:r w:rsidR="00E17E34">
        <w:t>critical</w:t>
      </w:r>
      <w:r>
        <w:t xml:space="preserve"> data elements </w:t>
      </w:r>
      <w:r w:rsidR="007A7C87">
        <w:t xml:space="preserve">to inform </w:t>
      </w:r>
      <w:r w:rsidR="0026488B">
        <w:t xml:space="preserve">real-time load balancing and operational response as well as </w:t>
      </w:r>
      <w:r w:rsidR="007A7C87">
        <w:t xml:space="preserve">long term planning. </w:t>
      </w:r>
    </w:p>
    <w:p w14:paraId="0F927058" w14:textId="77777777" w:rsidR="00214288" w:rsidRDefault="00214288" w:rsidP="00883A1C">
      <w:pPr>
        <w:pStyle w:val="ListBullet"/>
        <w:numPr>
          <w:ilvl w:val="0"/>
          <w:numId w:val="0"/>
        </w:numPr>
        <w:jc w:val="both"/>
      </w:pPr>
    </w:p>
    <w:p w14:paraId="0EEDE327" w14:textId="1FB57692" w:rsidR="00E17E34" w:rsidRPr="00CA3E98" w:rsidRDefault="0026488B" w:rsidP="00883A1C">
      <w:pPr>
        <w:pStyle w:val="ListBullet"/>
        <w:numPr>
          <w:ilvl w:val="0"/>
          <w:numId w:val="0"/>
        </w:numPr>
        <w:jc w:val="both"/>
      </w:pPr>
      <w:r w:rsidRPr="00CA3E98">
        <w:t>Building from those initial data sets, we believe we must refine our approach to collecting and sharing data to</w:t>
      </w:r>
      <w:r w:rsidR="007A7C87" w:rsidRPr="00CA3E98">
        <w:t xml:space="preserve"> establish an appropriate framework for the collection, analysis, and sharing of data elements</w:t>
      </w:r>
      <w:r w:rsidRPr="00CA3E98">
        <w:t xml:space="preserve"> to better detect and respond to future surge events and emergencies</w:t>
      </w:r>
      <w:r w:rsidR="007A7C87" w:rsidRPr="00CA3E98">
        <w:t xml:space="preserve">. </w:t>
      </w:r>
    </w:p>
    <w:p w14:paraId="3BE06714" w14:textId="77777777" w:rsidR="00E17E34" w:rsidRDefault="00E17E34" w:rsidP="00983C23">
      <w:pPr>
        <w:pStyle w:val="ListBullet"/>
        <w:numPr>
          <w:ilvl w:val="0"/>
          <w:numId w:val="0"/>
        </w:numPr>
        <w:ind w:left="720"/>
        <w:jc w:val="both"/>
      </w:pPr>
    </w:p>
    <w:p w14:paraId="6E4AE85D" w14:textId="7D843108" w:rsidR="00E17E34" w:rsidRDefault="00E17E34" w:rsidP="00883A1C">
      <w:pPr>
        <w:pStyle w:val="ListBullet"/>
        <w:numPr>
          <w:ilvl w:val="0"/>
          <w:numId w:val="0"/>
        </w:numPr>
        <w:jc w:val="both"/>
      </w:pPr>
      <w:r>
        <w:t>The future state of capacity</w:t>
      </w:r>
      <w:r w:rsidR="007A7C87">
        <w:t xml:space="preserve"> </w:t>
      </w:r>
      <w:r>
        <w:t>reporting require</w:t>
      </w:r>
      <w:r w:rsidR="0026488B">
        <w:t>s</w:t>
      </w:r>
      <w:r>
        <w:t xml:space="preserve"> clear</w:t>
      </w:r>
      <w:r w:rsidR="0026488B">
        <w:t xml:space="preserve"> and</w:t>
      </w:r>
      <w:r>
        <w:t xml:space="preserve"> mutually beneficial goals</w:t>
      </w:r>
      <w:r w:rsidR="007A7C87">
        <w:t xml:space="preserve"> and objectives around which our </w:t>
      </w:r>
      <w:r w:rsidR="0026488B">
        <w:t xml:space="preserve">data gathering </w:t>
      </w:r>
      <w:r w:rsidR="007A7C87">
        <w:t xml:space="preserve">platform and </w:t>
      </w:r>
      <w:r w:rsidR="0026488B">
        <w:t xml:space="preserve">data sharing </w:t>
      </w:r>
      <w:r w:rsidR="007A7C87">
        <w:t xml:space="preserve">processes must be developed. </w:t>
      </w:r>
      <w:r w:rsidR="0026488B">
        <w:t xml:space="preserve">Collecting continuous variables that can be used </w:t>
      </w:r>
      <w:r>
        <w:t xml:space="preserve">for monitoring and tracking </w:t>
      </w:r>
      <w:r w:rsidR="0026488B">
        <w:t xml:space="preserve">capacity </w:t>
      </w:r>
      <w:r>
        <w:t>trends across the</w:t>
      </w:r>
      <w:r w:rsidR="007A7C87">
        <w:t xml:space="preserve"> Commonwealth and its</w:t>
      </w:r>
      <w:r>
        <w:t xml:space="preserve"> regions </w:t>
      </w:r>
      <w:r w:rsidR="007A7C87">
        <w:t>will be</w:t>
      </w:r>
      <w:r>
        <w:t xml:space="preserve"> inherently different than the data required to support </w:t>
      </w:r>
      <w:r w:rsidR="007A7C87">
        <w:t xml:space="preserve">real-time </w:t>
      </w:r>
      <w:r w:rsidR="0026488B">
        <w:t>patient</w:t>
      </w:r>
      <w:r>
        <w:t xml:space="preserve"> placement decisions during emergencies. </w:t>
      </w:r>
      <w:r w:rsidR="007A7C87">
        <w:t xml:space="preserve">Trend and real-time data may also be appropriate for different audiences, and clear governance surrounding </w:t>
      </w:r>
      <w:r w:rsidR="0026488B">
        <w:t>a</w:t>
      </w:r>
      <w:r w:rsidR="007A7C87">
        <w:t>ccess to regional</w:t>
      </w:r>
      <w:r w:rsidR="0026488B">
        <w:t>ly</w:t>
      </w:r>
      <w:r w:rsidR="007A7C87">
        <w:t xml:space="preserve"> aggregate</w:t>
      </w:r>
      <w:r w:rsidR="0026488B">
        <w:t>d</w:t>
      </w:r>
      <w:r w:rsidR="007A7C87">
        <w:t xml:space="preserve"> data, as well as how </w:t>
      </w:r>
      <w:r w:rsidR="0026488B">
        <w:t>all</w:t>
      </w:r>
      <w:r w:rsidR="007A7C87">
        <w:t xml:space="preserve"> data will be utilized, should be </w:t>
      </w:r>
      <w:r w:rsidR="00507E25">
        <w:t>developed through collaboration with</w:t>
      </w:r>
      <w:r w:rsidR="00CA3E98">
        <w:t xml:space="preserve"> </w:t>
      </w:r>
      <w:r w:rsidR="00E47771">
        <w:t xml:space="preserve">all parties. </w:t>
      </w:r>
    </w:p>
    <w:p w14:paraId="27171FA3" w14:textId="77777777" w:rsidR="006B55A8" w:rsidRDefault="006B55A8" w:rsidP="00983C23">
      <w:pPr>
        <w:pStyle w:val="ListBullet"/>
        <w:numPr>
          <w:ilvl w:val="0"/>
          <w:numId w:val="0"/>
        </w:numPr>
      </w:pPr>
    </w:p>
    <w:p w14:paraId="52F73689" w14:textId="19431D93" w:rsidR="008D7808" w:rsidRPr="00983C23" w:rsidRDefault="00CA3E98" w:rsidP="00883A1C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 xml:space="preserve">Recommendation 3:  </w:t>
      </w:r>
      <w:r w:rsidR="008D7808" w:rsidRPr="00983C23">
        <w:rPr>
          <w:b/>
          <w:bCs/>
        </w:rPr>
        <w:t>Ensur</w:t>
      </w:r>
      <w:r>
        <w:rPr>
          <w:b/>
          <w:bCs/>
        </w:rPr>
        <w:t>e</w:t>
      </w:r>
      <w:r w:rsidR="008D7808" w:rsidRPr="00983C23">
        <w:rPr>
          <w:b/>
          <w:bCs/>
        </w:rPr>
        <w:t xml:space="preserve"> automation of data </w:t>
      </w:r>
      <w:r w:rsidR="004B1B25">
        <w:rPr>
          <w:b/>
          <w:bCs/>
        </w:rPr>
        <w:t>submission</w:t>
      </w:r>
      <w:r w:rsidR="008D7808" w:rsidRPr="00983C23">
        <w:rPr>
          <w:b/>
          <w:bCs/>
        </w:rPr>
        <w:t xml:space="preserve"> </w:t>
      </w:r>
      <w:r w:rsidR="00587857">
        <w:rPr>
          <w:b/>
          <w:bCs/>
        </w:rPr>
        <w:t>to trusted systems</w:t>
      </w:r>
    </w:p>
    <w:p w14:paraId="26853DC1" w14:textId="77777777" w:rsidR="00CA3E98" w:rsidRDefault="00CA3E98" w:rsidP="00883A1C">
      <w:pPr>
        <w:pStyle w:val="ListBullet"/>
        <w:numPr>
          <w:ilvl w:val="0"/>
          <w:numId w:val="0"/>
        </w:numPr>
        <w:jc w:val="both"/>
      </w:pPr>
    </w:p>
    <w:p w14:paraId="1E4712B0" w14:textId="37077851" w:rsidR="00DD501D" w:rsidRDefault="00193A79" w:rsidP="00883A1C">
      <w:pPr>
        <w:pStyle w:val="ListBullet"/>
        <w:numPr>
          <w:ilvl w:val="0"/>
          <w:numId w:val="0"/>
        </w:numPr>
        <w:jc w:val="both"/>
      </w:pPr>
      <w:r>
        <w:t xml:space="preserve">We know from </w:t>
      </w:r>
      <w:r w:rsidR="00DD501D">
        <w:t>the last four years</w:t>
      </w:r>
      <w:r>
        <w:t xml:space="preserve">’ experience that </w:t>
      </w:r>
      <w:r w:rsidR="00DD501D">
        <w:t>the process</w:t>
      </w:r>
      <w:r w:rsidR="00C020D9">
        <w:t>es</w:t>
      </w:r>
      <w:r w:rsidR="00DD501D">
        <w:t xml:space="preserve"> for collecting</w:t>
      </w:r>
      <w:r w:rsidR="004D42EF">
        <w:t xml:space="preserve"> and reporting </w:t>
      </w:r>
      <w:r w:rsidR="000223F5">
        <w:t xml:space="preserve">capacity </w:t>
      </w:r>
      <w:r w:rsidR="00DD501D">
        <w:t xml:space="preserve">information </w:t>
      </w:r>
      <w:r w:rsidR="000223F5">
        <w:t>can be</w:t>
      </w:r>
      <w:r w:rsidR="00DD501D">
        <w:t xml:space="preserve"> time</w:t>
      </w:r>
      <w:r w:rsidR="00E47771">
        <w:t xml:space="preserve"> and resource</w:t>
      </w:r>
      <w:r w:rsidR="00E17EC2">
        <w:t>-</w:t>
      </w:r>
      <w:r w:rsidR="00DD501D">
        <w:t>intensive</w:t>
      </w:r>
      <w:r w:rsidR="004D42EF">
        <w:t xml:space="preserve"> for our hospitals, often requiring the support of multiple personnel within several disciplines per institution. </w:t>
      </w:r>
      <w:r w:rsidR="00C020D9">
        <w:t>Additionally, the</w:t>
      </w:r>
      <w:r w:rsidR="004D42EF">
        <w:t xml:space="preserve"> Commonwealth’s hospitals</w:t>
      </w:r>
      <w:r w:rsidR="008A5161">
        <w:t xml:space="preserve"> collect different internal data and</w:t>
      </w:r>
      <w:r w:rsidR="004D42EF">
        <w:t xml:space="preserve"> utilize </w:t>
      </w:r>
      <w:r w:rsidR="00DD501D">
        <w:t xml:space="preserve">diverse technologies and systems </w:t>
      </w:r>
      <w:r w:rsidR="004D42EF">
        <w:t xml:space="preserve">in support of their daily operations, each </w:t>
      </w:r>
      <w:r w:rsidR="008A5161">
        <w:t>having</w:t>
      </w:r>
      <w:r w:rsidR="004D42EF">
        <w:t xml:space="preserve"> unique operating definitions and workflows that further complicate the ability to maintain a common operating picture.  </w:t>
      </w:r>
    </w:p>
    <w:p w14:paraId="3F5219E6" w14:textId="77777777" w:rsidR="004D42EF" w:rsidRDefault="004D42EF" w:rsidP="00983C23">
      <w:pPr>
        <w:pStyle w:val="ListBullet"/>
        <w:numPr>
          <w:ilvl w:val="0"/>
          <w:numId w:val="0"/>
        </w:numPr>
        <w:ind w:left="720"/>
        <w:jc w:val="both"/>
      </w:pPr>
    </w:p>
    <w:p w14:paraId="1C999132" w14:textId="77777777" w:rsidR="00507E25" w:rsidRDefault="00DD501D" w:rsidP="00507E25">
      <w:pPr>
        <w:pStyle w:val="ListBullet"/>
        <w:numPr>
          <w:ilvl w:val="0"/>
          <w:numId w:val="0"/>
        </w:numPr>
        <w:jc w:val="both"/>
      </w:pPr>
      <w:r>
        <w:t>Future data reporting processes should strive to</w:t>
      </w:r>
      <w:r w:rsidR="004D42EF">
        <w:t xml:space="preserve"> minimize unnecessary reporting and reporting of metrics</w:t>
      </w:r>
      <w:r w:rsidR="00290A0B">
        <w:t xml:space="preserve"> that require manual processes</w:t>
      </w:r>
      <w:r w:rsidR="004D42EF">
        <w:t xml:space="preserve"> (i.e., data points that cannot be pulled from a digital source)</w:t>
      </w:r>
      <w:r>
        <w:t xml:space="preserve">. </w:t>
      </w:r>
      <w:r w:rsidR="00290A0B">
        <w:t xml:space="preserve"> </w:t>
      </w:r>
    </w:p>
    <w:p w14:paraId="0ED9CBA0" w14:textId="77777777" w:rsidR="00E17EC2" w:rsidRDefault="00E17EC2" w:rsidP="00883A1C">
      <w:pPr>
        <w:pStyle w:val="ListBullet"/>
        <w:numPr>
          <w:ilvl w:val="0"/>
          <w:numId w:val="0"/>
        </w:numPr>
        <w:jc w:val="both"/>
      </w:pPr>
    </w:p>
    <w:p w14:paraId="4B3DCAB7" w14:textId="774A70D0" w:rsidR="00DD501D" w:rsidRDefault="00507E25" w:rsidP="00883A1C">
      <w:pPr>
        <w:pStyle w:val="ListBullet"/>
        <w:numPr>
          <w:ilvl w:val="0"/>
          <w:numId w:val="0"/>
        </w:numPr>
        <w:jc w:val="both"/>
      </w:pPr>
      <w:r>
        <w:t>W</w:t>
      </w:r>
      <w:r w:rsidR="00290A0B">
        <w:t>e strongly believe</w:t>
      </w:r>
      <w:r>
        <w:t>, however,</w:t>
      </w:r>
      <w:r w:rsidR="00290A0B">
        <w:t xml:space="preserve"> that </w:t>
      </w:r>
      <w:r w:rsidR="00DD501D">
        <w:t xml:space="preserve">automation </w:t>
      </w:r>
      <w:r w:rsidR="000A0268">
        <w:t xml:space="preserve">of data submission </w:t>
      </w:r>
      <w:r>
        <w:t xml:space="preserve">will be successful only if it is </w:t>
      </w:r>
      <w:r w:rsidR="0066072C">
        <w:t>part of a coordinated</w:t>
      </w:r>
      <w:r w:rsidR="000A0268">
        <w:t>, mutually developed,</w:t>
      </w:r>
      <w:r w:rsidR="0066072C">
        <w:t xml:space="preserve"> framework for information management</w:t>
      </w:r>
      <w:r w:rsidR="001E156B">
        <w:t xml:space="preserve"> built upon</w:t>
      </w:r>
      <w:r w:rsidR="0066072C">
        <w:t xml:space="preserve"> </w:t>
      </w:r>
      <w:r w:rsidR="00E0023C">
        <w:t xml:space="preserve">partnership with provider experts, and </w:t>
      </w:r>
      <w:r w:rsidR="0066072C">
        <w:t xml:space="preserve">trust and understanding surrounding the </w:t>
      </w:r>
      <w:r w:rsidR="004A47E0">
        <w:t xml:space="preserve">ownership, </w:t>
      </w:r>
      <w:r w:rsidR="0066072C">
        <w:t xml:space="preserve">validity and utilization of the reported data.  </w:t>
      </w:r>
    </w:p>
    <w:p w14:paraId="06F34D30" w14:textId="082E069B" w:rsidR="00507E25" w:rsidRDefault="00DD501D" w:rsidP="00983C23">
      <w:pPr>
        <w:jc w:val="both"/>
      </w:pPr>
      <w:r>
        <w:t xml:space="preserve">The above comments reflect the </w:t>
      </w:r>
      <w:r w:rsidR="0066072C">
        <w:t xml:space="preserve">ongoing commitment of </w:t>
      </w:r>
      <w:r w:rsidR="00507E25">
        <w:t>all Massachusetts</w:t>
      </w:r>
      <w:r w:rsidR="0066072C">
        <w:t xml:space="preserve"> hospitals to work towards a mutually beneficial system that will aid us all in responding to future challenges impacting our hospitals, our patients, and the Commonwealth. </w:t>
      </w:r>
    </w:p>
    <w:p w14:paraId="3F4109D1" w14:textId="2C10CA0A" w:rsidR="00577F02" w:rsidRDefault="00577F02" w:rsidP="00983C23">
      <w:pPr>
        <w:jc w:val="both"/>
      </w:pPr>
      <w:r>
        <w:t xml:space="preserve">We look forward to continued collaboration with </w:t>
      </w:r>
      <w:r w:rsidR="00507E25">
        <w:t xml:space="preserve">DPH </w:t>
      </w:r>
      <w:r>
        <w:t xml:space="preserve">and appreciate their continued leadership and partnership in </w:t>
      </w:r>
      <w:r w:rsidR="00002030">
        <w:t xml:space="preserve">ensuring quality, dignity and access to needed </w:t>
      </w:r>
      <w:r w:rsidR="00AF6BC3">
        <w:t xml:space="preserve">medical and behavioral health </w:t>
      </w:r>
      <w:r w:rsidR="00002030">
        <w:t xml:space="preserve">care in Boston and </w:t>
      </w:r>
      <w:r w:rsidR="00CD7812">
        <w:t>throughout the Commonwealth</w:t>
      </w:r>
      <w:r w:rsidR="00002030">
        <w:t xml:space="preserve">. </w:t>
      </w:r>
    </w:p>
    <w:p w14:paraId="6AAC4006" w14:textId="59925606" w:rsidR="004C307E" w:rsidRPr="005566BD" w:rsidRDefault="004C307E" w:rsidP="00983C23">
      <w:pPr>
        <w:jc w:val="both"/>
      </w:pPr>
      <w:r>
        <w:t xml:space="preserve">Please reach out to </w:t>
      </w:r>
      <w:r w:rsidR="00A63EC6">
        <w:t>Mike Sroczynski</w:t>
      </w:r>
      <w:r>
        <w:t xml:space="preserve"> at MHA </w:t>
      </w:r>
      <w:r w:rsidR="00A63EC6">
        <w:t xml:space="preserve">at </w:t>
      </w:r>
      <w:hyperlink r:id="rId8" w:history="1">
        <w:r w:rsidR="00A63EC6" w:rsidRPr="00E36CC4">
          <w:rPr>
            <w:rStyle w:val="Hyperlink"/>
          </w:rPr>
          <w:t>msroczynski@mhalink.org</w:t>
        </w:r>
      </w:hyperlink>
      <w:r w:rsidR="00A63EC6">
        <w:t xml:space="preserve"> </w:t>
      </w:r>
      <w:r>
        <w:t xml:space="preserve">or Patricia McMullin at </w:t>
      </w:r>
      <w:hyperlink r:id="rId9" w:history="1">
        <w:r w:rsidRPr="00BF15F5">
          <w:rPr>
            <w:rStyle w:val="Hyperlink"/>
          </w:rPr>
          <w:t>pmcmullin@cobth.org</w:t>
        </w:r>
      </w:hyperlink>
      <w:r>
        <w:t xml:space="preserve"> or 617-723-6100 with any questions or concerns regarding the foregoing.</w:t>
      </w:r>
    </w:p>
    <w:p w14:paraId="14D06459" w14:textId="77777777" w:rsidR="005566BD" w:rsidRPr="005566BD" w:rsidRDefault="005566BD" w:rsidP="005566BD">
      <w:pPr>
        <w:spacing w:after="0" w:line="240" w:lineRule="auto"/>
      </w:pPr>
    </w:p>
    <w:p w14:paraId="413D5591" w14:textId="35376B0E" w:rsidR="00D566A8" w:rsidRDefault="006371E6" w:rsidP="00EF5885">
      <w:pPr>
        <w:spacing w:after="0" w:line="240" w:lineRule="auto"/>
      </w:pPr>
      <w:r>
        <w:t>Very truly yours</w:t>
      </w:r>
      <w:r w:rsidR="00D566A8">
        <w:t xml:space="preserve">, </w:t>
      </w:r>
    </w:p>
    <w:p w14:paraId="08A91091" w14:textId="77777777" w:rsidR="00400BA6" w:rsidRDefault="00400BA6" w:rsidP="00EF5885">
      <w:pPr>
        <w:spacing w:after="0" w:line="240" w:lineRule="auto"/>
      </w:pPr>
    </w:p>
    <w:p w14:paraId="314E2836" w14:textId="1C1FF110" w:rsidR="00AF6BC3" w:rsidRDefault="00163BEC" w:rsidP="00EF5885">
      <w:pPr>
        <w:spacing w:after="0" w:line="240" w:lineRule="auto"/>
      </w:pPr>
      <w:r>
        <w:rPr>
          <w:noProof/>
        </w:rPr>
        <w:drawing>
          <wp:inline distT="0" distB="0" distL="0" distR="0" wp14:anchorId="106FB73A" wp14:editId="105CD8A4">
            <wp:extent cx="1714500" cy="356222"/>
            <wp:effectExtent l="0" t="0" r="0" b="6350"/>
            <wp:docPr id="1691782365" name="Picture 1" descr="A group of black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82365" name="Picture 1" descr="A group of black symbol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653" cy="35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7C1DA" w14:textId="16608862" w:rsidR="00ED77BF" w:rsidRDefault="00163BEC" w:rsidP="00EF5885">
      <w:pPr>
        <w:spacing w:after="0" w:line="240" w:lineRule="auto"/>
      </w:pPr>
      <w:r>
        <w:t>Michael Sroczynski</w:t>
      </w:r>
    </w:p>
    <w:p w14:paraId="3D658E7D" w14:textId="77777777" w:rsidR="00640E7D" w:rsidRPr="00640E7D" w:rsidRDefault="00640E7D" w:rsidP="00640E7D">
      <w:pPr>
        <w:spacing w:after="0" w:line="240" w:lineRule="auto"/>
      </w:pPr>
      <w:r w:rsidRPr="00640E7D">
        <w:t>Senior Vice President, Government Advocacy &amp; General Counsel</w:t>
      </w:r>
    </w:p>
    <w:p w14:paraId="472E94B3" w14:textId="669851A7" w:rsidR="002B216A" w:rsidRDefault="00163BEC" w:rsidP="00EF5885">
      <w:pPr>
        <w:spacing w:after="0" w:line="240" w:lineRule="auto"/>
      </w:pPr>
      <w:r>
        <w:t>Massachusetts Health &amp; Hospital Association</w:t>
      </w:r>
    </w:p>
    <w:p w14:paraId="01DFD014" w14:textId="63F053BE" w:rsidR="00F72D48" w:rsidRDefault="00F72D48" w:rsidP="00EF5885">
      <w:pPr>
        <w:spacing w:after="0" w:line="240" w:lineRule="auto"/>
      </w:pPr>
    </w:p>
    <w:p w14:paraId="128A814B" w14:textId="15C97BD0" w:rsidR="00A63EC6" w:rsidRPr="00A63EC6" w:rsidRDefault="00D03538" w:rsidP="00A63EC6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A252DF" wp14:editId="6D9FA198">
            <wp:simplePos x="0" y="0"/>
            <wp:positionH relativeFrom="column">
              <wp:posOffset>3086100</wp:posOffset>
            </wp:positionH>
            <wp:positionV relativeFrom="paragraph">
              <wp:posOffset>85090</wp:posOffset>
            </wp:positionV>
            <wp:extent cx="1306195" cy="856893"/>
            <wp:effectExtent l="0" t="0" r="8255" b="635"/>
            <wp:wrapNone/>
            <wp:docPr id="695446235" name="Picture 1" descr="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46235" name="Picture 1" descr="Close-up of a signatu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856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EE5FF" w14:textId="53668371" w:rsidR="00A63EC6" w:rsidRPr="00A63EC6" w:rsidRDefault="00A63EC6" w:rsidP="00A63EC6">
      <w:pPr>
        <w:spacing w:after="0" w:line="240" w:lineRule="auto"/>
      </w:pPr>
      <w:r w:rsidRPr="00A63EC6">
        <w:rPr>
          <w:noProof/>
        </w:rPr>
        <w:drawing>
          <wp:inline distT="0" distB="0" distL="0" distR="0" wp14:anchorId="7D7F2A66" wp14:editId="74B17813">
            <wp:extent cx="1695450" cy="352425"/>
            <wp:effectExtent l="0" t="0" r="0" b="9525"/>
            <wp:docPr id="1570926689" name="Picture 1" descr="A close up of a let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26689" name="Picture 1" descr="A close up of a letter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25AD" w14:textId="77777777" w:rsidR="002B216A" w:rsidRDefault="002B216A" w:rsidP="00EF5885">
      <w:pPr>
        <w:spacing w:after="0" w:line="240" w:lineRule="auto"/>
      </w:pPr>
    </w:p>
    <w:p w14:paraId="04B7904E" w14:textId="77777777" w:rsidR="00ED77BF" w:rsidRDefault="00ED77BF" w:rsidP="00EF5885">
      <w:pPr>
        <w:spacing w:after="0" w:line="240" w:lineRule="auto"/>
      </w:pPr>
    </w:p>
    <w:p w14:paraId="4843DA54" w14:textId="23F18CE9" w:rsidR="00D566A8" w:rsidRDefault="00D566A8" w:rsidP="00EF5885">
      <w:pPr>
        <w:spacing w:after="0" w:line="240" w:lineRule="auto"/>
      </w:pPr>
      <w:r>
        <w:t>Patricia McMullin, JD</w:t>
      </w:r>
      <w:r w:rsidR="00476A68">
        <w:tab/>
      </w:r>
      <w:r w:rsidR="00476A68">
        <w:tab/>
      </w:r>
      <w:r w:rsidR="00476A68">
        <w:tab/>
      </w:r>
      <w:r w:rsidR="00476A68">
        <w:tab/>
      </w:r>
      <w:r w:rsidR="00476A68">
        <w:tab/>
        <w:t>Patrick Kiley</w:t>
      </w:r>
    </w:p>
    <w:p w14:paraId="0E984837" w14:textId="3B90288C" w:rsidR="0002478E" w:rsidRDefault="0002478E" w:rsidP="00EF5885">
      <w:pPr>
        <w:spacing w:after="0" w:line="240" w:lineRule="auto"/>
      </w:pPr>
      <w:r>
        <w:t>Executive Director</w:t>
      </w:r>
      <w:r w:rsidR="00476A68">
        <w:tab/>
      </w:r>
      <w:r w:rsidR="00476A68">
        <w:tab/>
      </w:r>
      <w:r w:rsidR="00476A68">
        <w:tab/>
      </w:r>
      <w:r w:rsidR="00476A68">
        <w:tab/>
      </w:r>
      <w:r w:rsidR="00476A68">
        <w:tab/>
        <w:t>Director of Emergency Management</w:t>
      </w:r>
    </w:p>
    <w:p w14:paraId="7E06D0A4" w14:textId="048ECBD7" w:rsidR="00A63EC6" w:rsidRDefault="00A63EC6" w:rsidP="00EF5885">
      <w:pPr>
        <w:spacing w:after="0" w:line="240" w:lineRule="auto"/>
      </w:pPr>
      <w:r>
        <w:t>Conference of Boston Teaching Hospitals</w:t>
      </w:r>
      <w:r>
        <w:tab/>
      </w:r>
      <w:r>
        <w:tab/>
        <w:t>Conference of Boston Teaching Hospitals</w:t>
      </w:r>
    </w:p>
    <w:sectPr w:rsidR="00A63EC6" w:rsidSect="0099409C">
      <w:headerReference w:type="default" r:id="rId13"/>
      <w:footerReference w:type="default" r:id="rId14"/>
      <w:pgSz w:w="12240" w:h="15840"/>
      <w:pgMar w:top="216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41E78" w14:textId="77777777" w:rsidR="00B855DA" w:rsidRDefault="00B855DA" w:rsidP="00EF5885">
      <w:pPr>
        <w:spacing w:after="0" w:line="240" w:lineRule="auto"/>
      </w:pPr>
      <w:r>
        <w:separator/>
      </w:r>
    </w:p>
  </w:endnote>
  <w:endnote w:type="continuationSeparator" w:id="0">
    <w:p w14:paraId="39BA4C3C" w14:textId="77777777" w:rsidR="00B855DA" w:rsidRDefault="00B855DA" w:rsidP="00EF5885">
      <w:pPr>
        <w:spacing w:after="0" w:line="240" w:lineRule="auto"/>
      </w:pPr>
      <w:r>
        <w:continuationSeparator/>
      </w:r>
    </w:p>
  </w:endnote>
  <w:endnote w:type="continuationNotice" w:id="1">
    <w:p w14:paraId="41D8C075" w14:textId="77777777" w:rsidR="00B855DA" w:rsidRDefault="00B855DA">
      <w:pPr>
        <w:spacing w:after="0" w:line="240" w:lineRule="auto"/>
      </w:pPr>
    </w:p>
  </w:endnote>
  <w:endnote w:id="2">
    <w:p w14:paraId="49EBC531" w14:textId="01CA8E6E" w:rsidR="00055BBB" w:rsidRDefault="00055BB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55BBB">
        <w:t>By way of background, COBTH is a small non-profit organization that works to support collaboration among our twelve Boston-area teaching hospital members and our sister hospitals statewide, and to advance policies critical to the core mission of academic medical centers: providing high quality patient care to all, regardless of insurance status or ability to pay; training the next generation of physicians, nurses, and allied health professionals; advancing innovation and discovery through biomedical research; and improving the health of our surrounding neighborhoods and communities.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806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E444B" w14:textId="0EC5CD5B" w:rsidR="00E10E3B" w:rsidRDefault="00E10E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4E64F" w14:textId="0FCECA94" w:rsidR="00EF5885" w:rsidRPr="00EF5885" w:rsidRDefault="00EF5885" w:rsidP="00EF5885">
    <w:pPr>
      <w:pStyle w:val="Footer"/>
      <w:ind w:left="-1008" w:right="-1008"/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CBCBE" w14:textId="77777777" w:rsidR="00B855DA" w:rsidRDefault="00B855DA" w:rsidP="00EF5885">
      <w:pPr>
        <w:spacing w:after="0" w:line="240" w:lineRule="auto"/>
      </w:pPr>
      <w:r>
        <w:separator/>
      </w:r>
    </w:p>
  </w:footnote>
  <w:footnote w:type="continuationSeparator" w:id="0">
    <w:p w14:paraId="0FD9F075" w14:textId="77777777" w:rsidR="00B855DA" w:rsidRDefault="00B855DA" w:rsidP="00EF5885">
      <w:pPr>
        <w:spacing w:after="0" w:line="240" w:lineRule="auto"/>
      </w:pPr>
      <w:r>
        <w:continuationSeparator/>
      </w:r>
    </w:p>
  </w:footnote>
  <w:footnote w:type="continuationNotice" w:id="1">
    <w:p w14:paraId="594BD8B8" w14:textId="77777777" w:rsidR="00B855DA" w:rsidRDefault="00B855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FDC24" w14:textId="2E6C2212" w:rsidR="000954B8" w:rsidRDefault="00EF5885" w:rsidP="000954B8">
    <w:pPr>
      <w:pStyle w:val="NormalWeb"/>
      <w:ind w:left="144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259166" wp14:editId="13F80F35">
              <wp:simplePos x="0" y="0"/>
              <wp:positionH relativeFrom="column">
                <wp:posOffset>771525</wp:posOffset>
              </wp:positionH>
              <wp:positionV relativeFrom="paragraph">
                <wp:posOffset>-200025</wp:posOffset>
              </wp:positionV>
              <wp:extent cx="3780155" cy="1057275"/>
              <wp:effectExtent l="0" t="0" r="0" b="9525"/>
              <wp:wrapNone/>
              <wp:docPr id="2070193848" name="Text Box 20701938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0155" cy="105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3CBA8A" w14:textId="13901822" w:rsidR="000954B8" w:rsidRDefault="00EF5885" w:rsidP="000954B8">
                          <w:pPr>
                            <w:pStyle w:val="NormalWeb"/>
                            <w:ind w:left="810" w:right="-1215"/>
                          </w:pPr>
                          <w:r>
                            <w:t xml:space="preserve"> </w:t>
                          </w:r>
                          <w:r w:rsidR="000954B8">
                            <w:rPr>
                              <w:noProof/>
                            </w:rPr>
                            <w:drawing>
                              <wp:inline distT="0" distB="0" distL="0" distR="0" wp14:anchorId="05853486" wp14:editId="00DC03F2">
                                <wp:extent cx="2887345" cy="584835"/>
                                <wp:effectExtent l="0" t="0" r="8255" b="5715"/>
                                <wp:docPr id="1426378532" name="Picture 2" descr="A blue and white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6378532" name="Picture 2" descr="A blue and white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7345" cy="5848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65279C" w14:textId="4ECD335F" w:rsidR="00EF5885" w:rsidRDefault="00EF5885" w:rsidP="000954B8">
                          <w:pPr>
                            <w:spacing w:after="0"/>
                            <w:ind w:left="72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59166" id="_x0000_t202" coordsize="21600,21600" o:spt="202" path="m,l,21600r21600,l21600,xe">
              <v:stroke joinstyle="miter"/>
              <v:path gradientshapeok="t" o:connecttype="rect"/>
            </v:shapetype>
            <v:shape id="Text Box 2070193848" o:spid="_x0000_s1026" type="#_x0000_t202" style="position:absolute;left:0;text-align:left;margin-left:60.75pt;margin-top:-15.75pt;width:297.65pt;height:8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" fillcolor="white [3201]" stroked="f" strokeweight=".5pt">
              <v:textbox>
                <w:txbxContent>
                  <w:p w14:paraId="623CBA8A" w14:textId="13901822" w:rsidR="000954B8" w:rsidRDefault="00EF5885" w:rsidP="000954B8">
                    <w:pPr>
                      <w:pStyle w:val="NormalWeb"/>
                      <w:ind w:left="810" w:right="-1215"/>
                    </w:pPr>
                    <w:r>
                      <w:t xml:space="preserve"> </w:t>
                    </w:r>
                    <w:r w:rsidR="000954B8">
                      <w:rPr>
                        <w:noProof/>
                      </w:rPr>
                      <w:drawing>
                        <wp:inline distT="0" distB="0" distL="0" distR="0" wp14:anchorId="05853486" wp14:editId="00DC03F2">
                          <wp:extent cx="2887345" cy="584835"/>
                          <wp:effectExtent l="0" t="0" r="8255" b="5715"/>
                          <wp:docPr id="1426378532" name="Picture 2" descr="A blue and white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26378532" name="Picture 2" descr="A blue and white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87345" cy="584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65279C" w14:textId="4ECD335F" w:rsidR="00EF5885" w:rsidRDefault="00EF5885" w:rsidP="000954B8">
                    <w:pPr>
                      <w:spacing w:after="0"/>
                      <w:ind w:left="72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F6CB695" wp14:editId="136B61E3">
          <wp:simplePos x="0" y="0"/>
          <wp:positionH relativeFrom="column">
            <wp:posOffset>-266065</wp:posOffset>
          </wp:positionH>
          <wp:positionV relativeFrom="paragraph">
            <wp:posOffset>-203200</wp:posOffset>
          </wp:positionV>
          <wp:extent cx="1123950" cy="1040012"/>
          <wp:effectExtent l="0" t="0" r="0" b="8255"/>
          <wp:wrapNone/>
          <wp:docPr id="1690070788" name="Picture 169007078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786458" name="Picture 1" descr="A close-up of a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4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4B8">
      <w:tab/>
    </w:r>
    <w:r>
      <w:tab/>
    </w:r>
    <w:r w:rsidR="000954B8">
      <w:tab/>
    </w:r>
    <w:r w:rsidR="000954B8">
      <w:tab/>
    </w:r>
    <w:r w:rsidR="000954B8">
      <w:tab/>
    </w:r>
    <w:r w:rsidR="000954B8">
      <w:tab/>
    </w:r>
    <w:r w:rsidR="000954B8">
      <w:tab/>
    </w:r>
    <w:r w:rsidR="000954B8">
      <w:tab/>
    </w:r>
  </w:p>
  <w:p w14:paraId="20680140" w14:textId="1AAD339D" w:rsidR="00EF5885" w:rsidRDefault="00EF5885" w:rsidP="00EF5885">
    <w:pPr>
      <w:pStyle w:val="Header"/>
      <w:tabs>
        <w:tab w:val="clear" w:pos="4680"/>
        <w:tab w:val="clear" w:pos="9360"/>
        <w:tab w:val="left" w:pos="2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4DC6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811D80"/>
    <w:multiLevelType w:val="hybridMultilevel"/>
    <w:tmpl w:val="6F207A94"/>
    <w:lvl w:ilvl="0" w:tplc="5DA4E63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562744">
    <w:abstractNumId w:val="1"/>
  </w:num>
  <w:num w:numId="2" w16cid:durableId="61112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BD"/>
    <w:rsid w:val="00000106"/>
    <w:rsid w:val="00002030"/>
    <w:rsid w:val="0001374B"/>
    <w:rsid w:val="000223F5"/>
    <w:rsid w:val="0002478E"/>
    <w:rsid w:val="00025EAD"/>
    <w:rsid w:val="00034319"/>
    <w:rsid w:val="00036194"/>
    <w:rsid w:val="00043090"/>
    <w:rsid w:val="0005151F"/>
    <w:rsid w:val="00055BBB"/>
    <w:rsid w:val="00063DBC"/>
    <w:rsid w:val="00087AA8"/>
    <w:rsid w:val="00090373"/>
    <w:rsid w:val="00091657"/>
    <w:rsid w:val="000954B8"/>
    <w:rsid w:val="000A0268"/>
    <w:rsid w:val="000A6F99"/>
    <w:rsid w:val="000A75A1"/>
    <w:rsid w:val="000A7C44"/>
    <w:rsid w:val="000B258E"/>
    <w:rsid w:val="000C603A"/>
    <w:rsid w:val="000C7577"/>
    <w:rsid w:val="000D31FA"/>
    <w:rsid w:val="001164A7"/>
    <w:rsid w:val="00117C1D"/>
    <w:rsid w:val="00163BEC"/>
    <w:rsid w:val="0017337B"/>
    <w:rsid w:val="00184D0B"/>
    <w:rsid w:val="00193A79"/>
    <w:rsid w:val="001A1A22"/>
    <w:rsid w:val="001B466B"/>
    <w:rsid w:val="001D14D2"/>
    <w:rsid w:val="001E156B"/>
    <w:rsid w:val="001E4670"/>
    <w:rsid w:val="0020135A"/>
    <w:rsid w:val="00214288"/>
    <w:rsid w:val="00216B48"/>
    <w:rsid w:val="00236965"/>
    <w:rsid w:val="002428A0"/>
    <w:rsid w:val="002509EA"/>
    <w:rsid w:val="002536B5"/>
    <w:rsid w:val="00255ECE"/>
    <w:rsid w:val="0026488B"/>
    <w:rsid w:val="00271338"/>
    <w:rsid w:val="002771C9"/>
    <w:rsid w:val="002831FE"/>
    <w:rsid w:val="00286B8B"/>
    <w:rsid w:val="00290A0B"/>
    <w:rsid w:val="00291F02"/>
    <w:rsid w:val="002B216A"/>
    <w:rsid w:val="002B6549"/>
    <w:rsid w:val="002E0D12"/>
    <w:rsid w:val="002E7EF4"/>
    <w:rsid w:val="003007F0"/>
    <w:rsid w:val="00336095"/>
    <w:rsid w:val="00336B4F"/>
    <w:rsid w:val="00346329"/>
    <w:rsid w:val="003518F6"/>
    <w:rsid w:val="00391D44"/>
    <w:rsid w:val="003C6E6A"/>
    <w:rsid w:val="003D62C0"/>
    <w:rsid w:val="003D643A"/>
    <w:rsid w:val="00400B39"/>
    <w:rsid w:val="00400BA6"/>
    <w:rsid w:val="00420FB4"/>
    <w:rsid w:val="00454834"/>
    <w:rsid w:val="00454968"/>
    <w:rsid w:val="0047383B"/>
    <w:rsid w:val="00476A68"/>
    <w:rsid w:val="004834DB"/>
    <w:rsid w:val="00486A69"/>
    <w:rsid w:val="004951F8"/>
    <w:rsid w:val="004A47E0"/>
    <w:rsid w:val="004B1B25"/>
    <w:rsid w:val="004B27B9"/>
    <w:rsid w:val="004C307E"/>
    <w:rsid w:val="004D42EF"/>
    <w:rsid w:val="004F08CF"/>
    <w:rsid w:val="004F2A29"/>
    <w:rsid w:val="005036B6"/>
    <w:rsid w:val="00507727"/>
    <w:rsid w:val="00507E25"/>
    <w:rsid w:val="005127F9"/>
    <w:rsid w:val="00513FD2"/>
    <w:rsid w:val="00521CCC"/>
    <w:rsid w:val="00552C62"/>
    <w:rsid w:val="005566BD"/>
    <w:rsid w:val="00577F02"/>
    <w:rsid w:val="00586D69"/>
    <w:rsid w:val="00587857"/>
    <w:rsid w:val="00587B6A"/>
    <w:rsid w:val="005932B9"/>
    <w:rsid w:val="005C1C2D"/>
    <w:rsid w:val="005C27F2"/>
    <w:rsid w:val="005D6253"/>
    <w:rsid w:val="005F54FE"/>
    <w:rsid w:val="00615B63"/>
    <w:rsid w:val="00635215"/>
    <w:rsid w:val="0063619B"/>
    <w:rsid w:val="006371E6"/>
    <w:rsid w:val="00640E7D"/>
    <w:rsid w:val="00644507"/>
    <w:rsid w:val="0066072C"/>
    <w:rsid w:val="006756AA"/>
    <w:rsid w:val="006A6612"/>
    <w:rsid w:val="006B5195"/>
    <w:rsid w:val="006B55A8"/>
    <w:rsid w:val="006B6C0D"/>
    <w:rsid w:val="006D1A70"/>
    <w:rsid w:val="006D5184"/>
    <w:rsid w:val="006D75FF"/>
    <w:rsid w:val="006E4F97"/>
    <w:rsid w:val="007061E1"/>
    <w:rsid w:val="007065F4"/>
    <w:rsid w:val="00721893"/>
    <w:rsid w:val="007226B8"/>
    <w:rsid w:val="00726DE8"/>
    <w:rsid w:val="007436CE"/>
    <w:rsid w:val="0079111F"/>
    <w:rsid w:val="00795D92"/>
    <w:rsid w:val="007A1F20"/>
    <w:rsid w:val="007A7C87"/>
    <w:rsid w:val="007C0FC0"/>
    <w:rsid w:val="007C5A8B"/>
    <w:rsid w:val="00803AF6"/>
    <w:rsid w:val="00834A82"/>
    <w:rsid w:val="00844EC4"/>
    <w:rsid w:val="00845957"/>
    <w:rsid w:val="008513B3"/>
    <w:rsid w:val="0086634B"/>
    <w:rsid w:val="00875705"/>
    <w:rsid w:val="00881EB8"/>
    <w:rsid w:val="0088267E"/>
    <w:rsid w:val="00883A1C"/>
    <w:rsid w:val="0089214F"/>
    <w:rsid w:val="008932E5"/>
    <w:rsid w:val="008A5161"/>
    <w:rsid w:val="008B4726"/>
    <w:rsid w:val="008C21F2"/>
    <w:rsid w:val="008C4542"/>
    <w:rsid w:val="008D0412"/>
    <w:rsid w:val="008D4C6D"/>
    <w:rsid w:val="008D7808"/>
    <w:rsid w:val="008F07DD"/>
    <w:rsid w:val="00905526"/>
    <w:rsid w:val="00913A0E"/>
    <w:rsid w:val="00931025"/>
    <w:rsid w:val="00945837"/>
    <w:rsid w:val="009514BE"/>
    <w:rsid w:val="00975CDD"/>
    <w:rsid w:val="00983C23"/>
    <w:rsid w:val="00987189"/>
    <w:rsid w:val="0099409C"/>
    <w:rsid w:val="009B14D3"/>
    <w:rsid w:val="009B1743"/>
    <w:rsid w:val="009B426C"/>
    <w:rsid w:val="009E0EFF"/>
    <w:rsid w:val="009F1218"/>
    <w:rsid w:val="009F3292"/>
    <w:rsid w:val="00A05B82"/>
    <w:rsid w:val="00A2757A"/>
    <w:rsid w:val="00A37798"/>
    <w:rsid w:val="00A41619"/>
    <w:rsid w:val="00A57FBE"/>
    <w:rsid w:val="00A63EC6"/>
    <w:rsid w:val="00A65457"/>
    <w:rsid w:val="00A97226"/>
    <w:rsid w:val="00AB2926"/>
    <w:rsid w:val="00AC68B9"/>
    <w:rsid w:val="00AD3BCD"/>
    <w:rsid w:val="00AD59E8"/>
    <w:rsid w:val="00AE5FD4"/>
    <w:rsid w:val="00AF58CF"/>
    <w:rsid w:val="00AF6BC3"/>
    <w:rsid w:val="00B022D1"/>
    <w:rsid w:val="00B10678"/>
    <w:rsid w:val="00B27C4B"/>
    <w:rsid w:val="00B315D2"/>
    <w:rsid w:val="00B36B47"/>
    <w:rsid w:val="00B40337"/>
    <w:rsid w:val="00B46A0B"/>
    <w:rsid w:val="00B67AFA"/>
    <w:rsid w:val="00B710EB"/>
    <w:rsid w:val="00B855DA"/>
    <w:rsid w:val="00B9643C"/>
    <w:rsid w:val="00BB0DE4"/>
    <w:rsid w:val="00BD459B"/>
    <w:rsid w:val="00C020D9"/>
    <w:rsid w:val="00C152CF"/>
    <w:rsid w:val="00C40605"/>
    <w:rsid w:val="00C41513"/>
    <w:rsid w:val="00C7017B"/>
    <w:rsid w:val="00C71410"/>
    <w:rsid w:val="00C7242A"/>
    <w:rsid w:val="00CA3E98"/>
    <w:rsid w:val="00CB735C"/>
    <w:rsid w:val="00CC12C3"/>
    <w:rsid w:val="00CC4585"/>
    <w:rsid w:val="00CD189E"/>
    <w:rsid w:val="00CD1AE4"/>
    <w:rsid w:val="00CD7812"/>
    <w:rsid w:val="00D0098C"/>
    <w:rsid w:val="00D03538"/>
    <w:rsid w:val="00D10C07"/>
    <w:rsid w:val="00D15FDA"/>
    <w:rsid w:val="00D24D3E"/>
    <w:rsid w:val="00D31746"/>
    <w:rsid w:val="00D448F9"/>
    <w:rsid w:val="00D566A8"/>
    <w:rsid w:val="00D76711"/>
    <w:rsid w:val="00D831C7"/>
    <w:rsid w:val="00DB5F6F"/>
    <w:rsid w:val="00DC4CE8"/>
    <w:rsid w:val="00DD292F"/>
    <w:rsid w:val="00DD501D"/>
    <w:rsid w:val="00DD7CF5"/>
    <w:rsid w:val="00E0023C"/>
    <w:rsid w:val="00E048D5"/>
    <w:rsid w:val="00E07514"/>
    <w:rsid w:val="00E10E3B"/>
    <w:rsid w:val="00E115C9"/>
    <w:rsid w:val="00E17845"/>
    <w:rsid w:val="00E17E34"/>
    <w:rsid w:val="00E17EC2"/>
    <w:rsid w:val="00E31CC4"/>
    <w:rsid w:val="00E42B11"/>
    <w:rsid w:val="00E47771"/>
    <w:rsid w:val="00E47BEF"/>
    <w:rsid w:val="00E62BBD"/>
    <w:rsid w:val="00E66F8E"/>
    <w:rsid w:val="00E736BF"/>
    <w:rsid w:val="00E80E85"/>
    <w:rsid w:val="00EC07ED"/>
    <w:rsid w:val="00EC60B6"/>
    <w:rsid w:val="00ED77BF"/>
    <w:rsid w:val="00EF5885"/>
    <w:rsid w:val="00EF7B53"/>
    <w:rsid w:val="00F10DD1"/>
    <w:rsid w:val="00F222D2"/>
    <w:rsid w:val="00F3047B"/>
    <w:rsid w:val="00F560F8"/>
    <w:rsid w:val="00F72D48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1027F"/>
  <w15:chartTrackingRefBased/>
  <w15:docId w15:val="{216CD354-F29E-4C44-9DFC-AD2DDBBC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B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8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885"/>
  </w:style>
  <w:style w:type="paragraph" w:styleId="Footer">
    <w:name w:val="footer"/>
    <w:basedOn w:val="Normal"/>
    <w:link w:val="FooterChar"/>
    <w:uiPriority w:val="99"/>
    <w:unhideWhenUsed/>
    <w:rsid w:val="00EF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885"/>
  </w:style>
  <w:style w:type="paragraph" w:styleId="EndnoteText">
    <w:name w:val="endnote text"/>
    <w:basedOn w:val="Normal"/>
    <w:link w:val="EndnoteTextChar"/>
    <w:uiPriority w:val="99"/>
    <w:semiHidden/>
    <w:unhideWhenUsed/>
    <w:rsid w:val="00055B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5B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5BB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27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5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458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C152CF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09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roczynski@mhalink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mcmullin@cobth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344E-9BD3-4655-8AF0-3E1C88DF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Links>
    <vt:vector size="6" baseType="variant">
      <vt:variant>
        <vt:i4>6750280</vt:i4>
      </vt:variant>
      <vt:variant>
        <vt:i4>0</vt:i4>
      </vt:variant>
      <vt:variant>
        <vt:i4>0</vt:i4>
      </vt:variant>
      <vt:variant>
        <vt:i4>5</vt:i4>
      </vt:variant>
      <vt:variant>
        <vt:lpwstr>mailto:pmcmullin@cobth.org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Kiley</dc:creator>
  <cp:keywords/>
  <dc:description/>
  <cp:lastModifiedBy>Harrison, Deborah (EHS)</cp:lastModifiedBy>
  <cp:revision>2</cp:revision>
  <dcterms:created xsi:type="dcterms:W3CDTF">2024-06-12T11:06:00Z</dcterms:created>
  <dcterms:modified xsi:type="dcterms:W3CDTF">2024-06-12T11:06:00Z</dcterms:modified>
</cp:coreProperties>
</file>