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52DD5" w:rsidRDefault="00652DD5"/>
    <w:p w14:paraId="00000003" w14:textId="77777777" w:rsidR="00652DD5"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May 21, 2026</w:t>
      </w:r>
    </w:p>
    <w:p w14:paraId="00000004" w14:textId="77777777" w:rsidR="00652DD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William Anderson, Esq.</w:t>
      </w:r>
    </w:p>
    <w:p w14:paraId="00000005" w14:textId="77777777" w:rsidR="00652DD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General Counsel</w:t>
      </w:r>
    </w:p>
    <w:p w14:paraId="00000006" w14:textId="77777777" w:rsidR="00652DD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Public Health</w:t>
      </w:r>
    </w:p>
    <w:p w14:paraId="00000007" w14:textId="77777777" w:rsidR="00652DD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Street, Boston, MA 02108. </w:t>
      </w:r>
    </w:p>
    <w:p w14:paraId="00000008" w14:textId="77777777" w:rsidR="00652DD5"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VIA E-MAIL:  Reg.Testimony@mass.gov</w:t>
      </w:r>
    </w:p>
    <w:p w14:paraId="00000009" w14:textId="77777777" w:rsidR="00652DD5" w:rsidRDefault="00000000">
      <w:pPr>
        <w:spacing w:before="400"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RE: 105 CMR 272: Department of Public Health Care of Infants with Prenatal Substance Exposure</w:t>
      </w:r>
    </w:p>
    <w:p w14:paraId="0000000A" w14:textId="77777777" w:rsidR="00652DD5" w:rsidRDefault="00000000">
      <w:pPr>
        <w:spacing w:before="400"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Dear Attorney Anderson,</w:t>
      </w:r>
    </w:p>
    <w:p w14:paraId="0000000B"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the opportunity to submit comments on the proposed regulations of the Department of Public Health (Department) on the care of infants with prenatal substance exposure found at 105 CMR 272.000.</w:t>
      </w:r>
    </w:p>
    <w:p w14:paraId="0000000C"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submit these comments on behalf of the Northeast Legal Aid (NLA) Family Preservation Project, the Community Legal Aid (CLA) Family Preservation Project, the South Coastal Counties Legal Services (SSCLS) Family Preservation Project, and the Massachusetts Law Reform Institute (MLRI).</w:t>
      </w:r>
    </w:p>
    <w:p w14:paraId="0000000D" w14:textId="77777777" w:rsidR="00652DD5" w:rsidRDefault="00000000">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Preserving Chapter 285 within 105 CMR 272.000</w:t>
      </w:r>
    </w:p>
    <w:p w14:paraId="0000000E"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excited to see the Department take this key step toward implementation of Chapter 285 of the Acts of 2024 (Chapter 285) and Massachusetts’ transition from a system that required healthcare providers to automatically report a person to the Department of Children and Families (DCF) for suspected abuse or neglect whenever they give birth to an infant with prenatal substance exposure to a “dual track” reporting system.  The hallmark of this dual reporting system, as laid out in Chapter 285, is the modification to Massachusetts’ mandated reporting law to make clear that “an indication of prenatal substance exposure shall not solely meet the requirements of [a mandated report].”  </w:t>
      </w:r>
      <w:r>
        <w:rPr>
          <w:rFonts w:ascii="Times New Roman" w:eastAsia="Times New Roman" w:hAnsi="Times New Roman" w:cs="Times New Roman"/>
          <w:i/>
          <w:iCs/>
          <w:sz w:val="24"/>
          <w:szCs w:val="24"/>
        </w:rPr>
        <w:t>See</w:t>
      </w:r>
      <w:r>
        <w:rPr>
          <w:rFonts w:ascii="Times New Roman" w:eastAsia="Times New Roman" w:hAnsi="Times New Roman" w:cs="Times New Roman"/>
          <w:sz w:val="24"/>
          <w:szCs w:val="24"/>
        </w:rPr>
        <w:t xml:space="preserve"> Section 15 of Chapter 285.  In other words, mandated reporters – who include physicians, nurses, and hospital personnel responsible for a patient’s care or treatment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 are no longer required to make reports to DCF based solely on an indication of prenatal substance exposure.  Instead, DCF will only receive de-identified data (for inclusion in federal reports) for infants with prenatal substance exposure where providers have no separate concern of abuse or neglect.  </w:t>
      </w:r>
      <w:r>
        <w:rPr>
          <w:rFonts w:ascii="Times New Roman" w:eastAsia="Times New Roman" w:hAnsi="Times New Roman" w:cs="Times New Roman"/>
          <w:i/>
          <w:iCs/>
          <w:sz w:val="24"/>
          <w:szCs w:val="24"/>
        </w:rPr>
        <w:t>See</w:t>
      </w:r>
      <w:r>
        <w:rPr>
          <w:rFonts w:ascii="Times New Roman" w:eastAsia="Times New Roman" w:hAnsi="Times New Roman" w:cs="Times New Roman"/>
          <w:sz w:val="24"/>
          <w:szCs w:val="24"/>
        </w:rPr>
        <w:t xml:space="preserve"> Section 9 of Chapter 285.  </w:t>
      </w:r>
    </w:p>
    <w:p w14:paraId="0000000F" w14:textId="450DA72D" w:rsidR="00652DD5" w:rsidRDefault="00000000">
      <w:pPr>
        <w:spacing w:after="24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lastRenderedPageBreak/>
        <w:t>The importance of this change for Massachusetts families is immense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Research shows provider reports to DCF can undermine engagement between families and support systems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Fearing DCF involvement and possible family separation, birthing people may avoid honest conversations about substance use and healthcare needs. Some may even disengage from trea</w:t>
      </w:r>
      <w:r>
        <w:rPr>
          <w:rFonts w:ascii="Times New Roman" w:eastAsia="Times New Roman" w:hAnsi="Times New Roman" w:cs="Times New Roman"/>
          <w:sz w:val="24"/>
          <w:szCs w:val="24"/>
        </w:rPr>
        <w:t>tment.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As noted by the National Institute on Drug Abuse, a 2022 analysis found that birthing parents in states with punitive substance use policies during pregnancy had a lower likelihood of receiving timely or quality care before and after pregnancy.</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 analysis also noted higher rates of infants born with neonatal abstinence syndrome in these states.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Punitive policies negatively impact medical professionals’ ability to provide quality care to substance-using pregnant people. As highlighted in the Movement for Family Power’s report, “How </w:t>
      </w:r>
      <w:r w:rsidR="00A84F7D">
        <w:rPr>
          <w:rFonts w:ascii="Times New Roman" w:eastAsia="Times New Roman" w:hAnsi="Times New Roman" w:cs="Times New Roman"/>
          <w:sz w:val="24"/>
          <w:szCs w:val="24"/>
        </w:rPr>
        <w:t>t</w:t>
      </w:r>
      <w:r>
        <w:rPr>
          <w:rFonts w:ascii="Times New Roman" w:eastAsia="Times New Roman" w:hAnsi="Times New Roman" w:cs="Times New Roman"/>
          <w:sz w:val="24"/>
          <w:szCs w:val="24"/>
        </w:rPr>
        <w:t>he Foster System Has Become Ground Zero for The U.S. Drug War,” leading medical agencies have opposed punitive responses, including child welfare involvement, for prenatal substance use.</w:t>
      </w:r>
      <w:r>
        <w:rPr>
          <w:rFonts w:ascii="Times New Roman" w:eastAsia="Times New Roman" w:hAnsi="Times New Roman" w:cs="Times New Roman"/>
          <w:color w:val="222222"/>
          <w:sz w:val="24"/>
          <w:szCs w:val="24"/>
          <w:vertAlign w:val="superscript"/>
        </w:rPr>
        <w:footnoteReference w:id="6"/>
      </w:r>
    </w:p>
    <w:p w14:paraId="00000010"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such, this dual system should be clearly conveyed in 105 CMR 272.000 to avoid interpreting the regulations as requiring DCF reporting by health care providers. </w:t>
      </w:r>
    </w:p>
    <w:p w14:paraId="00000011" w14:textId="6A740E39"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First, in Section 272.015(A)(4), the requirement that a Family Care Plan include “provision of Referrals to appropriate services” may be understood by some providers to require a referral to DCF.  We recommend revising the language to clarify that this requirement applies to non-DCF services.  Although providers, and the public generally, may believe that a referral to DCF is a helpful way to provide a family with access to services to address their needs, DCF is not the agency that is best suited to provide needed services to families of infants with prenatal substance exposure.</w:t>
      </w:r>
      <w:r>
        <w:rPr>
          <w:rFonts w:ascii="Times New Roman" w:eastAsia="Times New Roman" w:hAnsi="Times New Roman" w:cs="Times New Roman"/>
          <w:sz w:val="24"/>
          <w:szCs w:val="24"/>
          <w:vertAlign w:val="superscript"/>
        </w:rPr>
        <w:footnoteReference w:id="7"/>
      </w:r>
    </w:p>
    <w:p w14:paraId="00000012"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Second, to ensure that providers who are working with the families of infants with prenatal substance exposure are aware of the change in mandated reporting requirements, we recommend that either in 272.015(A)(4) or in another section of the proposed regulation, language is added that expressly states that “an indication of prenatal substance exposure shall not solely meet the requirements of a mandated report” with a reference to Section 15 of Chapter 285 (codified as M.G.L. ch. 119, s. 51A).</w:t>
      </w:r>
    </w:p>
    <w:p w14:paraId="00000013" w14:textId="731D2CDC" w:rsidR="00652DD5" w:rsidRDefault="00000000">
      <w:pPr>
        <w:spacing w:after="240"/>
        <w:rPr>
          <w:rFonts w:ascii="Times New Roman" w:eastAsia="Times New Roman" w:hAnsi="Times New Roman" w:cs="Times New Roman"/>
          <w:sz w:val="24"/>
          <w:szCs w:val="24"/>
          <w:highlight w:val="yellow"/>
          <w:vertAlign w:val="superscript"/>
        </w:rPr>
      </w:pPr>
      <w:r>
        <w:rPr>
          <w:rFonts w:ascii="Times New Roman" w:eastAsia="Times New Roman" w:hAnsi="Times New Roman" w:cs="Times New Roman"/>
          <w:sz w:val="24"/>
          <w:szCs w:val="24"/>
        </w:rPr>
        <w:t xml:space="preserve">We are also concerned that the Family Care Plan provision, Section 272.015, is ambiguous as to whether the Family Care Plan is voluntary for a family.  The language of Section 272.015 states that an Attending Clinician “shall ensure that a Family Care Plan is developed.”  We recommend revising the language to clarify that the provider is required to offer a Family Care Plan, but that </w:t>
      </w:r>
      <w:proofErr w:type="gramStart"/>
      <w:r>
        <w:rPr>
          <w:rFonts w:ascii="Times New Roman" w:eastAsia="Times New Roman" w:hAnsi="Times New Roman" w:cs="Times New Roman"/>
          <w:sz w:val="24"/>
          <w:szCs w:val="24"/>
        </w:rPr>
        <w:t>entering into</w:t>
      </w:r>
      <w:proofErr w:type="gramEnd"/>
      <w:r>
        <w:rPr>
          <w:rFonts w:ascii="Times New Roman" w:eastAsia="Times New Roman" w:hAnsi="Times New Roman" w:cs="Times New Roman"/>
          <w:sz w:val="24"/>
          <w:szCs w:val="24"/>
        </w:rPr>
        <w:t xml:space="preserve"> one is voluntary for the family.</w:t>
      </w:r>
      <w:r>
        <w:rPr>
          <w:rFonts w:ascii="Times New Roman" w:eastAsia="Times New Roman" w:hAnsi="Times New Roman" w:cs="Times New Roman"/>
          <w:sz w:val="24"/>
          <w:szCs w:val="24"/>
          <w:vertAlign w:val="superscript"/>
        </w:rPr>
        <w:footnoteReference w:id="8"/>
      </w:r>
    </w:p>
    <w:p w14:paraId="00000014" w14:textId="77777777" w:rsidR="00652DD5" w:rsidRDefault="00000000">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Preserving Protected Health Information while Collecting Meaningful Data</w:t>
      </w:r>
    </w:p>
    <w:p w14:paraId="00000015" w14:textId="3DCACDF0"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our concerns with the reporting of individual cases to DCF by health care providers, we </w:t>
      </w:r>
      <w:r w:rsidR="00616947">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overarching concerns about the data collection provision, Section 272.020. </w:t>
      </w:r>
    </w:p>
    <w:p w14:paraId="00000016" w14:textId="5B567B79"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Section 272.020 appears to require providers to share identifiable information about the infant and their family to the Department.  Although we understand from the April 8, 2026, memorandum relating to the proposed regulation that the intent is that direct identifiers would be collected solely for data-matching purposes, requiring providers to share identifiable information related to substance use about their patients without their consent will erode a patient’s trust in their providers and may prevent some individuals and families from seeking care.  This would be especially true for families who have anxiety </w:t>
      </w:r>
      <w:proofErr w:type="gramStart"/>
      <w:r>
        <w:rPr>
          <w:rFonts w:ascii="Times New Roman" w:eastAsia="Times New Roman" w:hAnsi="Times New Roman" w:cs="Times New Roman"/>
          <w:sz w:val="24"/>
          <w:szCs w:val="24"/>
        </w:rPr>
        <w:t>around</w:t>
      </w:r>
      <w:proofErr w:type="gramEnd"/>
      <w:r>
        <w:rPr>
          <w:rFonts w:ascii="Times New Roman" w:eastAsia="Times New Roman" w:hAnsi="Times New Roman" w:cs="Times New Roman"/>
          <w:sz w:val="24"/>
          <w:szCs w:val="24"/>
        </w:rPr>
        <w:t xml:space="preserve"> DCF involvement or who fear immigration enforcement.  The data that Massachusetts must provide to the federal government under the Child Abuse Protection and Treatment Act (CAPTA) is aggregate data that does not include identifying information, </w:t>
      </w:r>
      <w:r>
        <w:rPr>
          <w:rFonts w:ascii="Times New Roman" w:eastAsia="Times New Roman" w:hAnsi="Times New Roman" w:cs="Times New Roman"/>
          <w:i/>
          <w:iCs/>
          <w:sz w:val="24"/>
          <w:szCs w:val="24"/>
        </w:rPr>
        <w:t xml:space="preserve">see </w:t>
      </w:r>
      <w:r>
        <w:rPr>
          <w:rFonts w:ascii="Times New Roman" w:eastAsia="Times New Roman" w:hAnsi="Times New Roman" w:cs="Times New Roman"/>
          <w:sz w:val="24"/>
          <w:szCs w:val="24"/>
        </w:rPr>
        <w:t>42 U.S.C. § 5106a(d)(18).</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Other states with a dual track system meet the CAPTA federal reporting requirements without hospitals and providers sharing patient identifying information.</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Although we understand that having a robust statewide public health </w:t>
      </w:r>
      <w:r>
        <w:rPr>
          <w:rFonts w:ascii="Times New Roman" w:eastAsia="Times New Roman" w:hAnsi="Times New Roman" w:cs="Times New Roman"/>
          <w:sz w:val="24"/>
          <w:szCs w:val="24"/>
        </w:rPr>
        <w:lastRenderedPageBreak/>
        <w:t>data set is important for research purposes, the benefit of including data about the families of infants with prenatal substance exposure in this data set is outweighed by the harm that would be done to these families and their care and treatment.</w:t>
      </w:r>
    </w:p>
    <w:p w14:paraId="00000017" w14:textId="239A071A"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regarding non-identifiable aggregate data collection, Section 272.020 of the proposed regulations does not specify which data elements providers must report to the Department.  This lack of specificity creates ambiguity and fails to ensure that the Department collects the </w:t>
      </w:r>
      <w:r w:rsidR="004E5BF8">
        <w:rPr>
          <w:rFonts w:ascii="Times New Roman" w:eastAsia="Times New Roman" w:hAnsi="Times New Roman" w:cs="Times New Roman"/>
          <w:sz w:val="24"/>
          <w:szCs w:val="24"/>
        </w:rPr>
        <w:t xml:space="preserve">de-identified </w:t>
      </w:r>
      <w:r>
        <w:rPr>
          <w:rFonts w:ascii="Times New Roman" w:eastAsia="Times New Roman" w:hAnsi="Times New Roman" w:cs="Times New Roman"/>
          <w:sz w:val="24"/>
          <w:szCs w:val="24"/>
        </w:rPr>
        <w:t xml:space="preserve">aggregate data necessary to improve care and fill service gaps.  For example, Section 9 of Chapter 285 requires the Department to promulgate regulations relating to requirements of health care providers involved in the delivery or care of infants identified as being affected by substance exposure and fetal alcohol spectrum disorder, and provided that the regulations may “to the extent possible, enable data collection regarding racial disparities in maternal and child health care.”  </w:t>
      </w:r>
      <w:proofErr w:type="gramStart"/>
      <w:r>
        <w:rPr>
          <w:rFonts w:ascii="Times New Roman" w:eastAsia="Times New Roman" w:hAnsi="Times New Roman" w:cs="Times New Roman"/>
          <w:sz w:val="24"/>
          <w:szCs w:val="24"/>
        </w:rPr>
        <w:t>Expressly</w:t>
      </w:r>
      <w:proofErr w:type="gramEnd"/>
      <w:r>
        <w:rPr>
          <w:rFonts w:ascii="Times New Roman" w:eastAsia="Times New Roman" w:hAnsi="Times New Roman" w:cs="Times New Roman"/>
          <w:sz w:val="24"/>
          <w:szCs w:val="24"/>
        </w:rPr>
        <w:t xml:space="preserve"> providing for data elements, including racial and other disparities in maternal and child health care, to be reported on a de-identified aggregate level would be an important first step in addressing these disparities through policy and legislation.</w:t>
      </w:r>
    </w:p>
    <w:p w14:paraId="00000018" w14:textId="77777777" w:rsidR="00652DD5" w:rsidRDefault="00000000">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Requesting Clarity on ‘Substance Exposure’</w:t>
      </w:r>
    </w:p>
    <w:p w14:paraId="00000019"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as attorneys and advocates for parents and caregivers who often experience state interference in their families when it is neither necessary nor beneficial, we want to flag two of the definitions in Section 272.005, the definitions of “Prenatal Alcohol Exposure” and “Prenatal Substance Exposure,” that are vague and overbroad.  Because these definitions are tied to the determination by a provider as to which individuals and families need a Family Care Plan, the overbreadth of the definitions will lead to an undue burden on providers and families to have plans developed where treatment is not needed.</w:t>
      </w:r>
      <w:r>
        <w:rPr>
          <w:rFonts w:ascii="Times New Roman" w:eastAsia="Times New Roman" w:hAnsi="Times New Roman" w:cs="Times New Roman"/>
          <w:sz w:val="24"/>
          <w:szCs w:val="24"/>
          <w:vertAlign w:val="superscript"/>
        </w:rPr>
        <w:footnoteReference w:id="11"/>
      </w:r>
    </w:p>
    <w:p w14:paraId="0000001A"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“Prenatal Alcohol Exposure,” the fourth prong of the definition is “Increased prenatal risk associated with drinking during pregnancy, as assessed by Screening or self-disclosure.”  This </w:t>
      </w:r>
      <w:r>
        <w:rPr>
          <w:rFonts w:ascii="Times New Roman" w:eastAsia="Times New Roman" w:hAnsi="Times New Roman" w:cs="Times New Roman"/>
          <w:sz w:val="24"/>
          <w:szCs w:val="24"/>
        </w:rPr>
        <w:lastRenderedPageBreak/>
        <w:t xml:space="preserve">prong does not specify how much drinking would fall within its scope and lends itself to subjectivity and bias as to what level equates with an increased prenatal risk.  </w:t>
      </w:r>
    </w:p>
    <w:p w14:paraId="0000001B" w14:textId="77777777"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the definition of “Prenatal Substance Exposure,” presence of a drug for treatment of a substance use disorder is lumped in with the use of non-prescribed drugs such as cocaine even though part of the impetus for Chapter 285 was the acknowledgment that when a birth parent is being treated with a medication for substance use disorder, it is the best interests of the child for the parent to remain in treatment during and after pregnancy.  In addition, the definition of “Prenatal Substance Exposure” would capture a parent’s self-disclosure of even a one-time use of cannabis at any time during the pregnancy.  From a legal perspective, the breadth and ambiguity of these definitions are a cause for concern. We would defer to our colleagues in the medical and health care fields, such as Boston Medical Center, as to the appropriate definitions of these terms from a clinical perspective.</w:t>
      </w:r>
    </w:p>
    <w:p w14:paraId="0000001D" w14:textId="403447A2" w:rsidR="00652DD5"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attention to these comments.  We look forward to further discussions with you to advance our shared goals of best supporting children and families in the Commonwealth.</w:t>
      </w:r>
    </w:p>
    <w:p w14:paraId="2420894E" w14:textId="10FFBDDB" w:rsidR="00694C53"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32285B20" w14:textId="2DF4C8F9" w:rsidR="003F6F56" w:rsidRDefault="002F3321" w:rsidP="003F6F5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Rachel Brodin Nili, Family &amp; Child Wellbeing Attorney                                                     </w:t>
      </w:r>
      <w:r>
        <w:rPr>
          <w:rFonts w:ascii="Times New Roman" w:eastAsia="Times New Roman" w:hAnsi="Times New Roman" w:cs="Times New Roman"/>
          <w:sz w:val="24"/>
          <w:szCs w:val="24"/>
        </w:rPr>
        <w:tab/>
        <w:t xml:space="preserve">                                                                                                                                                                Sarah Esposito, Family &amp; Child Wellbeing Advocate   </w:t>
      </w:r>
      <w:r>
        <w:rPr>
          <w:rFonts w:ascii="Times New Roman" w:eastAsia="Times New Roman" w:hAnsi="Times New Roman" w:cs="Times New Roman"/>
          <w:sz w:val="24"/>
          <w:szCs w:val="24"/>
        </w:rPr>
        <w:br/>
        <w:t>Jamie Sabino, Deputy Director of Advocacy</w:t>
      </w:r>
      <w:r>
        <w:rPr>
          <w:rFonts w:ascii="Times New Roman" w:eastAsia="Times New Roman" w:hAnsi="Times New Roman" w:cs="Times New Roman"/>
          <w:sz w:val="24"/>
          <w:szCs w:val="24"/>
        </w:rPr>
        <w:br/>
      </w:r>
      <w:r>
        <w:rPr>
          <w:rFonts w:ascii="Times New Roman" w:eastAsia="Times New Roman" w:hAnsi="Times New Roman" w:cs="Times New Roman"/>
          <w:sz w:val="24"/>
          <w:szCs w:val="24"/>
          <w:highlight w:val="white"/>
        </w:rPr>
        <w:t>(617) 357-0700 ext. 336</w:t>
      </w:r>
      <w:r>
        <w:rPr>
          <w:rFonts w:ascii="Times New Roman" w:eastAsia="Times New Roman" w:hAnsi="Times New Roman" w:cs="Times New Roman"/>
          <w:sz w:val="24"/>
          <w:szCs w:val="24"/>
        </w:rPr>
        <w:t xml:space="preserve">                                                                                                    </w:t>
      </w:r>
      <w:hyperlink r:id="rId7" w:history="1">
        <w:r w:rsidR="003F6F56" w:rsidRPr="00AA5A31">
          <w:rPr>
            <w:rStyle w:val="Hyperlink"/>
            <w:rFonts w:ascii="Times New Roman" w:eastAsia="Times New Roman" w:hAnsi="Times New Roman" w:cs="Times New Roman"/>
            <w:sz w:val="24"/>
            <w:szCs w:val="24"/>
          </w:rPr>
          <w:t>rnili@mlri.org</w:t>
        </w:r>
      </w:hyperlink>
      <w:r>
        <w:rPr>
          <w:rFonts w:ascii="Times New Roman" w:eastAsia="Times New Roman" w:hAnsi="Times New Roman" w:cs="Times New Roman"/>
          <w:sz w:val="24"/>
          <w:szCs w:val="24"/>
        </w:rPr>
        <w:t xml:space="preserve">                                                                                                                Massachusetts Law Reform</w:t>
      </w:r>
      <w:r w:rsidR="003F6F56">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nstitute    </w:t>
      </w:r>
    </w:p>
    <w:p w14:paraId="7901EAAE" w14:textId="77777777" w:rsidR="006D3BE9" w:rsidRPr="006D3BE9" w:rsidRDefault="006D3BE9" w:rsidP="006D3BE9">
      <w:pPr>
        <w:spacing w:line="240" w:lineRule="auto"/>
        <w:rPr>
          <w:rFonts w:ascii="Times New Roman" w:eastAsia="Times New Roman" w:hAnsi="Times New Roman" w:cs="Times New Roman"/>
          <w:sz w:val="24"/>
          <w:szCs w:val="24"/>
          <w:lang w:val="en-US"/>
        </w:rPr>
      </w:pPr>
      <w:r w:rsidRPr="006D3BE9">
        <w:rPr>
          <w:rFonts w:ascii="Times New Roman" w:eastAsia="Times New Roman" w:hAnsi="Times New Roman" w:cs="Times New Roman"/>
          <w:sz w:val="24"/>
          <w:szCs w:val="24"/>
          <w:lang w:val="en-US"/>
        </w:rPr>
        <w:t>40 Court Street, Suite 700</w:t>
      </w:r>
    </w:p>
    <w:p w14:paraId="5F36A152" w14:textId="246CB3F8" w:rsidR="006D3BE9" w:rsidRDefault="006D3BE9" w:rsidP="003F6F56">
      <w:pPr>
        <w:spacing w:line="240" w:lineRule="auto"/>
        <w:rPr>
          <w:rFonts w:ascii="Times New Roman" w:eastAsia="Times New Roman" w:hAnsi="Times New Roman" w:cs="Times New Roman"/>
          <w:sz w:val="24"/>
          <w:szCs w:val="24"/>
        </w:rPr>
      </w:pPr>
      <w:r w:rsidRPr="006D3BE9">
        <w:rPr>
          <w:rFonts w:ascii="Times New Roman" w:eastAsia="Times New Roman" w:hAnsi="Times New Roman" w:cs="Times New Roman"/>
          <w:sz w:val="24"/>
          <w:szCs w:val="24"/>
          <w:lang w:val="en-US"/>
        </w:rPr>
        <w:t>Boston, MA 02108</w:t>
      </w:r>
    </w:p>
    <w:p w14:paraId="4775F9BE" w14:textId="5A8818B2" w:rsidR="003F6F56" w:rsidRDefault="00000000" w:rsidP="003F6F5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0" w14:textId="373A0246" w:rsidR="00652DD5" w:rsidRPr="003F6F56" w:rsidRDefault="00000000" w:rsidP="003F6F5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Family Preservation Project, Community Legal Aid                                                                                                                                                                                                  Family Preservation Project, Northeast Legal Aid                                                                                            Family Preservation Project, South Coastal Counties Legal Services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sectPr w:rsidR="00652DD5" w:rsidRPr="003F6F56">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B596" w14:textId="77777777" w:rsidR="00631666" w:rsidRDefault="00631666">
      <w:pPr>
        <w:spacing w:line="240" w:lineRule="auto"/>
      </w:pPr>
      <w:r>
        <w:separator/>
      </w:r>
    </w:p>
  </w:endnote>
  <w:endnote w:type="continuationSeparator" w:id="0">
    <w:p w14:paraId="553D1D00" w14:textId="77777777" w:rsidR="00631666" w:rsidRDefault="00631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E0FA062-5B4A-4444-B34F-B332B49084EC}"/>
  </w:font>
  <w:font w:name="Calibri">
    <w:panose1 w:val="020F0502020204030204"/>
    <w:charset w:val="00"/>
    <w:family w:val="swiss"/>
    <w:pitch w:val="variable"/>
    <w:sig w:usb0="E4002EFF" w:usb1="C200247B" w:usb2="00000009" w:usb3="00000000" w:csb0="000001FF" w:csb1="00000000"/>
    <w:embedRegular r:id="rId2" w:fontKey="{C5A1954B-659A-4D68-943C-F80560D471BB}"/>
  </w:font>
  <w:font w:name="Cambria">
    <w:panose1 w:val="02040503050406030204"/>
    <w:charset w:val="00"/>
    <w:family w:val="roman"/>
    <w:pitch w:val="variable"/>
    <w:sig w:usb0="E00006FF" w:usb1="420024FF" w:usb2="02000000" w:usb3="00000000" w:csb0="0000019F" w:csb1="00000000"/>
    <w:embedRegular r:id="rId3" w:fontKey="{F59ACDA8-1AB1-4E48-BB38-341A7BABF9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196C195B" w:rsidR="00652DD5" w:rsidRDefault="00000000">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4A48BC">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A85C" w14:textId="77777777" w:rsidR="00631666" w:rsidRDefault="00631666">
      <w:pPr>
        <w:spacing w:line="240" w:lineRule="auto"/>
      </w:pPr>
      <w:r>
        <w:separator/>
      </w:r>
    </w:p>
  </w:footnote>
  <w:footnote w:type="continuationSeparator" w:id="0">
    <w:p w14:paraId="0162B375" w14:textId="77777777" w:rsidR="00631666" w:rsidRDefault="00631666">
      <w:pPr>
        <w:spacing w:line="240" w:lineRule="auto"/>
      </w:pPr>
      <w:r>
        <w:continuationSeparator/>
      </w:r>
    </w:p>
  </w:footnote>
  <w:footnote w:id="1">
    <w:p w14:paraId="00000022" w14:textId="77777777" w:rsidR="00652DD5" w:rsidRPr="00BA0F71" w:rsidRDefault="00000000">
      <w:pPr>
        <w:spacing w:line="240" w:lineRule="auto"/>
        <w:rPr>
          <w:rFonts w:ascii="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hAnsi="Times New Roman" w:cs="Times New Roman"/>
          <w:sz w:val="20"/>
          <w:szCs w:val="20"/>
        </w:rPr>
        <w:t xml:space="preserve"> </w:t>
      </w:r>
      <w:r w:rsidRPr="00BA0F71">
        <w:rPr>
          <w:rFonts w:ascii="Times New Roman" w:eastAsia="Times New Roman" w:hAnsi="Times New Roman" w:cs="Times New Roman"/>
          <w:i/>
          <w:iCs/>
          <w:sz w:val="20"/>
          <w:szCs w:val="20"/>
        </w:rPr>
        <w:t>See</w:t>
      </w:r>
      <w:r w:rsidRPr="00BA0F71">
        <w:rPr>
          <w:rFonts w:ascii="Times New Roman" w:eastAsia="Times New Roman" w:hAnsi="Times New Roman" w:cs="Times New Roman"/>
          <w:sz w:val="20"/>
          <w:szCs w:val="20"/>
        </w:rPr>
        <w:t xml:space="preserve"> M.G.L. ch. 119, s. 21.</w:t>
      </w:r>
    </w:p>
  </w:footnote>
  <w:footnote w:id="2">
    <w:p w14:paraId="00000023" w14:textId="57094422" w:rsidR="00652DD5" w:rsidRPr="00BA0F71" w:rsidRDefault="00000000">
      <w:pPr>
        <w:spacing w:line="240" w:lineRule="auto"/>
        <w:rPr>
          <w:rFonts w:ascii="Times New Roman" w:eastAsia="Times New Roman" w:hAnsi="Times New Roman" w:cs="Times New Roman"/>
          <w:i/>
          <w:iCs/>
          <w:sz w:val="20"/>
          <w:szCs w:val="20"/>
        </w:rPr>
      </w:pPr>
      <w:r w:rsidRPr="00BA0F71">
        <w:rPr>
          <w:rFonts w:ascii="Times New Roman" w:hAnsi="Times New Roman" w:cs="Times New Roman"/>
          <w:sz w:val="20"/>
          <w:szCs w:val="20"/>
          <w:vertAlign w:val="superscript"/>
        </w:rPr>
        <w:footnoteRef/>
      </w:r>
      <w:r w:rsidRPr="00BA0F71">
        <w:rPr>
          <w:rFonts w:ascii="Times New Roman" w:hAnsi="Times New Roman" w:cs="Times New Roman"/>
          <w:sz w:val="20"/>
          <w:szCs w:val="20"/>
        </w:rPr>
        <w:t xml:space="preserve"> </w:t>
      </w:r>
      <w:r w:rsidRPr="00BA0F71">
        <w:rPr>
          <w:rFonts w:ascii="Times New Roman" w:eastAsia="Times New Roman" w:hAnsi="Times New Roman" w:cs="Times New Roman"/>
          <w:sz w:val="20"/>
          <w:szCs w:val="20"/>
        </w:rPr>
        <w:t xml:space="preserve">Specifically, one study showed that parents experience intense anxiety and stress knowing that they would be reported to child protective services upon delivery, owing to their substance use history. </w:t>
      </w:r>
      <w:r w:rsidRPr="00BA0F71">
        <w:rPr>
          <w:rFonts w:ascii="Times New Roman" w:eastAsia="Times New Roman" w:hAnsi="Times New Roman" w:cs="Times New Roman"/>
          <w:i/>
          <w:iCs/>
          <w:sz w:val="20"/>
          <w:szCs w:val="20"/>
        </w:rPr>
        <w:t xml:space="preserve">See </w:t>
      </w:r>
      <w:r w:rsidRPr="00BA0F71">
        <w:rPr>
          <w:rFonts w:ascii="Times New Roman" w:eastAsia="Times New Roman" w:hAnsi="Times New Roman" w:cs="Times New Roman"/>
          <w:sz w:val="20"/>
          <w:szCs w:val="20"/>
        </w:rPr>
        <w:t xml:space="preserve">Erin C. Work, Serra Muftu, Kathryn Dee L. MacMillan, </w:t>
      </w:r>
      <w:r w:rsidRPr="00BA0F71">
        <w:rPr>
          <w:rFonts w:ascii="Times New Roman" w:eastAsia="Times New Roman" w:hAnsi="Times New Roman" w:cs="Times New Roman"/>
          <w:i/>
          <w:iCs/>
          <w:sz w:val="20"/>
          <w:szCs w:val="20"/>
        </w:rPr>
        <w:t>et al</w:t>
      </w:r>
      <w:r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Prescribed and Penalized: The Detrimental Impact of Mandated Reporting for Prenatal Utilization of Medication for Opioid Use Disorder</w:t>
      </w:r>
      <w:r w:rsidRPr="00BA0F71">
        <w:rPr>
          <w:rFonts w:ascii="Times New Roman" w:eastAsia="Times New Roman" w:hAnsi="Times New Roman" w:cs="Times New Roman"/>
          <w:sz w:val="20"/>
          <w:szCs w:val="20"/>
        </w:rPr>
        <w:t xml:space="preserve">, 27 Matern. Child Health, 104–112 (2023); Kelley Fong, </w:t>
      </w:r>
      <w:r w:rsidRPr="00BA0F71">
        <w:rPr>
          <w:rFonts w:ascii="Times New Roman" w:eastAsia="Times New Roman" w:hAnsi="Times New Roman" w:cs="Times New Roman"/>
          <w:i/>
          <w:iCs/>
          <w:sz w:val="20"/>
          <w:szCs w:val="20"/>
        </w:rPr>
        <w:t>Concealment and Constraint: Child Protective Services Reporting and Poor Mothers’ Institutional Engagement</w:t>
      </w:r>
      <w:r w:rsidRPr="00BA0F71">
        <w:rPr>
          <w:rFonts w:ascii="Times New Roman" w:eastAsia="Times New Roman" w:hAnsi="Times New Roman" w:cs="Times New Roman"/>
          <w:sz w:val="20"/>
          <w:szCs w:val="20"/>
        </w:rPr>
        <w:t xml:space="preserve">, 97 Social Forces, 1785-1810 (2019); Kelly Fong, </w:t>
      </w:r>
      <w:r w:rsidRPr="00BA0F71">
        <w:rPr>
          <w:rFonts w:ascii="Times New Roman" w:eastAsia="Times New Roman" w:hAnsi="Times New Roman" w:cs="Times New Roman"/>
          <w:i/>
          <w:iCs/>
          <w:sz w:val="20"/>
          <w:szCs w:val="20"/>
        </w:rPr>
        <w:t>Getting Eyes in the Home</w:t>
      </w:r>
      <w:r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Child Protective Services Investigations and State Surveillance of Family Life</w:t>
      </w:r>
      <w:r w:rsidRPr="00BA0F71">
        <w:rPr>
          <w:rFonts w:ascii="Times New Roman" w:eastAsia="Times New Roman" w:hAnsi="Times New Roman" w:cs="Times New Roman"/>
          <w:sz w:val="20"/>
          <w:szCs w:val="20"/>
        </w:rPr>
        <w:t xml:space="preserve">, 85 American Sociological Rev., (2020); Laura J. Faherty et al., </w:t>
      </w:r>
      <w:r w:rsidRPr="00BA0F71">
        <w:rPr>
          <w:rFonts w:ascii="Times New Roman" w:eastAsia="Times New Roman" w:hAnsi="Times New Roman" w:cs="Times New Roman"/>
          <w:i/>
          <w:iCs/>
          <w:sz w:val="20"/>
          <w:szCs w:val="20"/>
        </w:rPr>
        <w:t>Consensus Guidelines and State Policies: The Gap Between Principle and Practice at the</w:t>
      </w:r>
    </w:p>
    <w:p w14:paraId="00000024" w14:textId="77777777" w:rsidR="00652DD5" w:rsidRPr="00BA0F71" w:rsidRDefault="00000000">
      <w:pPr>
        <w:spacing w:line="240" w:lineRule="auto"/>
        <w:rPr>
          <w:rFonts w:ascii="Times New Roman" w:eastAsia="Times New Roman" w:hAnsi="Times New Roman" w:cs="Times New Roman"/>
          <w:sz w:val="20"/>
          <w:szCs w:val="20"/>
        </w:rPr>
      </w:pPr>
      <w:r w:rsidRPr="00BA0F71">
        <w:rPr>
          <w:rFonts w:ascii="Times New Roman" w:eastAsia="Times New Roman" w:hAnsi="Times New Roman" w:cs="Times New Roman"/>
          <w:i/>
          <w:iCs/>
          <w:sz w:val="20"/>
          <w:szCs w:val="20"/>
        </w:rPr>
        <w:t>Intersection of Substance Use and Pregnancy</w:t>
      </w:r>
      <w:r w:rsidRPr="00BA0F71">
        <w:rPr>
          <w:rFonts w:ascii="Times New Roman" w:eastAsia="Times New Roman" w:hAnsi="Times New Roman" w:cs="Times New Roman"/>
          <w:sz w:val="20"/>
          <w:szCs w:val="20"/>
        </w:rPr>
        <w:t>, American Journal of Obstetrics &amp; Gynecology MFM 2, no. 3 (2020):</w:t>
      </w:r>
    </w:p>
    <w:p w14:paraId="00000025" w14:textId="77777777" w:rsidR="00652DD5" w:rsidRPr="00BA0F71" w:rsidRDefault="00000000">
      <w:pPr>
        <w:spacing w:line="240" w:lineRule="auto"/>
        <w:rPr>
          <w:rFonts w:ascii="Times New Roman" w:eastAsia="Times New Roman" w:hAnsi="Times New Roman" w:cs="Times New Roman"/>
          <w:sz w:val="20"/>
          <w:szCs w:val="20"/>
        </w:rPr>
      </w:pPr>
      <w:r w:rsidRPr="00BA0F71">
        <w:rPr>
          <w:rFonts w:ascii="Times New Roman" w:eastAsia="Times New Roman" w:hAnsi="Times New Roman" w:cs="Times New Roman"/>
          <w:sz w:val="20"/>
          <w:szCs w:val="20"/>
        </w:rPr>
        <w:t xml:space="preserve">100137, </w:t>
      </w:r>
      <w:hyperlink r:id="rId1">
        <w:r w:rsidR="00652DD5" w:rsidRPr="00BA0F71">
          <w:rPr>
            <w:rFonts w:ascii="Times New Roman" w:eastAsia="Times New Roman" w:hAnsi="Times New Roman" w:cs="Times New Roman"/>
            <w:color w:val="1155CC"/>
            <w:sz w:val="20"/>
            <w:szCs w:val="20"/>
            <w:u w:val="single"/>
          </w:rPr>
          <w:t>https://pmc-ncbi-nlm-nih-gov.ezproxy.princeton.edu/articles/PMC7571448/</w:t>
        </w:r>
      </w:hyperlink>
      <w:r w:rsidRPr="00BA0F71">
        <w:rPr>
          <w:rFonts w:ascii="Times New Roman" w:eastAsia="Times New Roman" w:hAnsi="Times New Roman" w:cs="Times New Roman"/>
          <w:sz w:val="20"/>
          <w:szCs w:val="20"/>
        </w:rPr>
        <w:t>.</w:t>
      </w:r>
    </w:p>
  </w:footnote>
  <w:footnote w:id="3">
    <w:p w14:paraId="00000030" w14:textId="20217906" w:rsidR="00652DD5" w:rsidRPr="00BA0F71" w:rsidRDefault="00000000">
      <w:pPr>
        <w:spacing w:line="240" w:lineRule="auto"/>
        <w:rPr>
          <w:rFonts w:ascii="Times New Roman" w:eastAsia="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 xml:space="preserve">See </w:t>
      </w:r>
      <w:r w:rsidRPr="00BA0F71">
        <w:rPr>
          <w:rFonts w:ascii="Times New Roman" w:eastAsia="Times New Roman" w:hAnsi="Times New Roman" w:cs="Times New Roman"/>
          <w:sz w:val="20"/>
          <w:szCs w:val="20"/>
        </w:rPr>
        <w:t xml:space="preserve">Rebecca Stone, </w:t>
      </w:r>
      <w:r w:rsidRPr="00BA0F71">
        <w:rPr>
          <w:rFonts w:ascii="Times New Roman" w:eastAsia="Times New Roman" w:hAnsi="Times New Roman" w:cs="Times New Roman"/>
          <w:i/>
          <w:iCs/>
          <w:sz w:val="20"/>
          <w:szCs w:val="20"/>
        </w:rPr>
        <w:t>Pregnant women and substance use: fear, stigma, and barriers to care,</w:t>
      </w:r>
      <w:r w:rsidR="00A84F7D" w:rsidRPr="00BA0F71">
        <w:rPr>
          <w:rFonts w:ascii="Times New Roman" w:eastAsia="Times New Roman" w:hAnsi="Times New Roman" w:cs="Times New Roman"/>
          <w:i/>
          <w:iCs/>
          <w:sz w:val="20"/>
          <w:szCs w:val="20"/>
        </w:rPr>
        <w:t xml:space="preserve"> </w:t>
      </w:r>
      <w:r w:rsidRPr="00BA0F71">
        <w:rPr>
          <w:rFonts w:ascii="Times New Roman" w:eastAsia="Times New Roman" w:hAnsi="Times New Roman" w:cs="Times New Roman"/>
          <w:sz w:val="20"/>
          <w:szCs w:val="20"/>
        </w:rPr>
        <w:t xml:space="preserve">Health &amp; Justice 3, no. 2 (2015): </w:t>
      </w:r>
      <w:hyperlink r:id="rId2">
        <w:r w:rsidR="00652DD5" w:rsidRPr="00BA0F71">
          <w:rPr>
            <w:rFonts w:ascii="Times New Roman" w:eastAsia="Roboto" w:hAnsi="Times New Roman" w:cs="Times New Roman"/>
            <w:color w:val="0B57D0"/>
            <w:sz w:val="20"/>
            <w:szCs w:val="20"/>
          </w:rPr>
          <w:t>https://doi.org/10.1186/s40352-015-0015-5</w:t>
        </w:r>
      </w:hyperlink>
      <w:r w:rsidRPr="00BA0F71">
        <w:rPr>
          <w:rFonts w:ascii="Times New Roman" w:hAnsi="Times New Roman" w:cs="Times New Roman"/>
          <w:sz w:val="20"/>
          <w:szCs w:val="20"/>
        </w:rPr>
        <w:t xml:space="preserve">; </w:t>
      </w:r>
      <w:r w:rsidRPr="00BA0F71">
        <w:rPr>
          <w:rFonts w:ascii="Times New Roman" w:eastAsia="Times New Roman" w:hAnsi="Times New Roman" w:cs="Times New Roman"/>
          <w:sz w:val="20"/>
          <w:szCs w:val="20"/>
        </w:rPr>
        <w:t xml:space="preserve">Sarah C. M. Roberts and Cheri Pies, </w:t>
      </w:r>
      <w:r w:rsidRPr="00BA0F71">
        <w:rPr>
          <w:rFonts w:ascii="Times New Roman" w:eastAsia="Times New Roman" w:hAnsi="Times New Roman" w:cs="Times New Roman"/>
          <w:i/>
          <w:iCs/>
          <w:sz w:val="20"/>
          <w:szCs w:val="20"/>
        </w:rPr>
        <w:t>Complex Calculations: How Drug Use During Pregnancy Becomes a Barrier to Prenatal Care</w:t>
      </w:r>
      <w:r w:rsidRPr="00BA0F71">
        <w:rPr>
          <w:rFonts w:ascii="Times New Roman" w:eastAsia="Times New Roman" w:hAnsi="Times New Roman" w:cs="Times New Roman"/>
          <w:sz w:val="20"/>
          <w:szCs w:val="20"/>
        </w:rPr>
        <w:t>, Maternal and Child Health Journal 15, no. 3 (2011): 333–41,</w:t>
      </w:r>
      <w:hyperlink r:id="rId3">
        <w:r w:rsidR="00652DD5" w:rsidRPr="00BA0F71">
          <w:rPr>
            <w:rFonts w:ascii="Times New Roman" w:eastAsia="Times New Roman" w:hAnsi="Times New Roman" w:cs="Times New Roman"/>
            <w:color w:val="1155CC"/>
            <w:sz w:val="20"/>
            <w:szCs w:val="20"/>
            <w:u w:val="single"/>
          </w:rPr>
          <w:t>https://doi.org/10.1007/s10995-010-0594-7</w:t>
        </w:r>
      </w:hyperlink>
      <w:r w:rsidRPr="00BA0F71">
        <w:rPr>
          <w:rFonts w:ascii="Times New Roman" w:eastAsia="Times New Roman" w:hAnsi="Times New Roman" w:cs="Times New Roman"/>
          <w:sz w:val="20"/>
          <w:szCs w:val="20"/>
        </w:rPr>
        <w:t xml:space="preserve">; Anna E. Austin et al., </w:t>
      </w:r>
      <w:r w:rsidRPr="00BA0F71">
        <w:rPr>
          <w:rFonts w:ascii="Times New Roman" w:eastAsia="Times New Roman" w:hAnsi="Times New Roman" w:cs="Times New Roman"/>
          <w:i/>
          <w:iCs/>
          <w:sz w:val="20"/>
          <w:szCs w:val="20"/>
        </w:rPr>
        <w:t xml:space="preserve">“Association of State Child Abuse Policies and Mandated Reporting Policies With Prenatal and Postpartum Care Among Women Who Engaged in Substance Use During Pregnancy,” </w:t>
      </w:r>
      <w:r w:rsidRPr="00BA0F71">
        <w:rPr>
          <w:rFonts w:ascii="Times New Roman" w:eastAsia="Times New Roman" w:hAnsi="Times New Roman" w:cs="Times New Roman"/>
          <w:sz w:val="20"/>
          <w:szCs w:val="20"/>
        </w:rPr>
        <w:t xml:space="preserve">JAMA Pediatrics 176, no. 11 (2022): 1123–30, </w:t>
      </w:r>
      <w:hyperlink r:id="rId4">
        <w:r w:rsidR="00652DD5" w:rsidRPr="00BA0F71">
          <w:rPr>
            <w:rFonts w:ascii="Times New Roman" w:eastAsia="Times New Roman" w:hAnsi="Times New Roman" w:cs="Times New Roman"/>
            <w:color w:val="1155CC"/>
            <w:sz w:val="20"/>
            <w:szCs w:val="20"/>
            <w:u w:val="single"/>
          </w:rPr>
          <w:t>https://doi.org/10.1001/jamapediatrics.2022.3396.</w:t>
        </w:r>
      </w:hyperlink>
    </w:p>
  </w:footnote>
  <w:footnote w:id="4">
    <w:p w14:paraId="00000032" w14:textId="49E00E8D" w:rsidR="00652DD5" w:rsidRPr="00BA0F71" w:rsidRDefault="00000000">
      <w:pPr>
        <w:spacing w:line="240" w:lineRule="auto"/>
        <w:rPr>
          <w:rFonts w:ascii="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hAnsi="Times New Roman" w:cs="Times New Roman"/>
          <w:sz w:val="20"/>
          <w:szCs w:val="20"/>
        </w:rPr>
        <w:t xml:space="preserve"> </w:t>
      </w:r>
      <w:r w:rsidRPr="00BA0F71">
        <w:rPr>
          <w:rFonts w:ascii="Times New Roman" w:eastAsia="Times New Roman" w:hAnsi="Times New Roman" w:cs="Times New Roman"/>
          <w:i/>
          <w:iCs/>
          <w:sz w:val="20"/>
          <w:szCs w:val="20"/>
        </w:rPr>
        <w:t xml:space="preserve">See </w:t>
      </w:r>
      <w:r w:rsidRPr="00BA0F71">
        <w:rPr>
          <w:rFonts w:ascii="Times New Roman" w:eastAsia="Times New Roman" w:hAnsi="Times New Roman" w:cs="Times New Roman"/>
          <w:sz w:val="20"/>
          <w:szCs w:val="20"/>
          <w:highlight w:val="white"/>
        </w:rPr>
        <w:t>NIDA</w:t>
      </w:r>
      <w:r w:rsidR="00A84F7D" w:rsidRPr="00BA0F71">
        <w:rPr>
          <w:rFonts w:ascii="Times New Roman" w:eastAsia="Times New Roman" w:hAnsi="Times New Roman" w:cs="Times New Roman"/>
          <w:sz w:val="20"/>
          <w:szCs w:val="20"/>
          <w:highlight w:val="white"/>
        </w:rPr>
        <w:t>,</w:t>
      </w:r>
      <w:r w:rsidRPr="00BA0F71">
        <w:rPr>
          <w:rFonts w:ascii="Times New Roman" w:eastAsia="Times New Roman" w:hAnsi="Times New Roman" w:cs="Times New Roman"/>
          <w:sz w:val="20"/>
          <w:szCs w:val="20"/>
          <w:highlight w:val="white"/>
        </w:rPr>
        <w:t xml:space="preserve"> </w:t>
      </w:r>
      <w:r w:rsidR="00A84F7D" w:rsidRPr="00BA0F71">
        <w:rPr>
          <w:rFonts w:ascii="Times New Roman" w:eastAsia="Times New Roman" w:hAnsi="Times New Roman" w:cs="Times New Roman"/>
          <w:sz w:val="20"/>
          <w:szCs w:val="20"/>
          <w:highlight w:val="white"/>
        </w:rPr>
        <w:t>“</w:t>
      </w:r>
      <w:r w:rsidRPr="00BA0F71">
        <w:rPr>
          <w:rFonts w:ascii="Times New Roman" w:eastAsia="Times New Roman" w:hAnsi="Times New Roman" w:cs="Times New Roman"/>
          <w:sz w:val="20"/>
          <w:szCs w:val="20"/>
          <w:highlight w:val="white"/>
        </w:rPr>
        <w:t xml:space="preserve">Pregnant People </w:t>
      </w:r>
      <w:proofErr w:type="gramStart"/>
      <w:r w:rsidRPr="00BA0F71">
        <w:rPr>
          <w:rFonts w:ascii="Times New Roman" w:eastAsia="Times New Roman" w:hAnsi="Times New Roman" w:cs="Times New Roman"/>
          <w:sz w:val="20"/>
          <w:szCs w:val="20"/>
          <w:highlight w:val="white"/>
        </w:rPr>
        <w:t>With</w:t>
      </w:r>
      <w:proofErr w:type="gramEnd"/>
      <w:r w:rsidRPr="00BA0F71">
        <w:rPr>
          <w:rFonts w:ascii="Times New Roman" w:eastAsia="Times New Roman" w:hAnsi="Times New Roman" w:cs="Times New Roman"/>
          <w:sz w:val="20"/>
          <w:szCs w:val="20"/>
          <w:highlight w:val="white"/>
        </w:rPr>
        <w:t xml:space="preserve"> Substance Use Disorders Need Treatment, Not Criminalization.</w:t>
      </w:r>
      <w:r w:rsidR="00A84F7D" w:rsidRPr="00BA0F71">
        <w:rPr>
          <w:rFonts w:ascii="Times New Roman" w:eastAsia="Times New Roman" w:hAnsi="Times New Roman" w:cs="Times New Roman"/>
          <w:sz w:val="20"/>
          <w:szCs w:val="20"/>
          <w:highlight w:val="white"/>
        </w:rPr>
        <w:t>”</w:t>
      </w:r>
      <w:r w:rsidRPr="00BA0F71">
        <w:rPr>
          <w:rFonts w:ascii="Times New Roman" w:eastAsia="Times New Roman" w:hAnsi="Times New Roman" w:cs="Times New Roman"/>
          <w:sz w:val="20"/>
          <w:szCs w:val="20"/>
          <w:highlight w:val="white"/>
        </w:rPr>
        <w:t xml:space="preserve"> </w:t>
      </w:r>
      <w:r w:rsidRPr="00BA0F71">
        <w:rPr>
          <w:rFonts w:ascii="Times New Roman" w:eastAsia="Times New Roman" w:hAnsi="Times New Roman" w:cs="Times New Roman"/>
          <w:i/>
          <w:iCs/>
          <w:sz w:val="20"/>
          <w:szCs w:val="20"/>
          <w:highlight w:val="white"/>
        </w:rPr>
        <w:t>National Institute on Drug Abuse</w:t>
      </w:r>
      <w:r w:rsidRPr="00BA0F71">
        <w:rPr>
          <w:rFonts w:ascii="Times New Roman" w:eastAsia="Times New Roman" w:hAnsi="Times New Roman" w:cs="Times New Roman"/>
          <w:sz w:val="20"/>
          <w:szCs w:val="20"/>
          <w:highlight w:val="white"/>
        </w:rPr>
        <w:t xml:space="preserve">, 15 Feb. 2023, </w:t>
      </w:r>
      <w:hyperlink r:id="rId5">
        <w:r w:rsidR="00652DD5" w:rsidRPr="00BA0F71">
          <w:rPr>
            <w:rFonts w:ascii="Times New Roman" w:eastAsia="Times New Roman" w:hAnsi="Times New Roman" w:cs="Times New Roman"/>
            <w:color w:val="1155CC"/>
            <w:sz w:val="20"/>
            <w:szCs w:val="20"/>
            <w:highlight w:val="white"/>
            <w:u w:val="single"/>
          </w:rPr>
          <w:t xml:space="preserve">https://nida.nih.gov/about-nida/noras-blog/2023/02/pregnant-people-substance-use-disorders-need-treatment-not-criminalization </w:t>
        </w:r>
      </w:hyperlink>
      <w:r w:rsidR="00A84F7D" w:rsidRPr="00BA0F71">
        <w:rPr>
          <w:rFonts w:ascii="Times New Roman" w:hAnsi="Times New Roman" w:cs="Times New Roman"/>
          <w:sz w:val="20"/>
          <w:szCs w:val="20"/>
        </w:rPr>
        <w:t xml:space="preserve">, </w:t>
      </w:r>
      <w:r w:rsidR="00A84F7D" w:rsidRPr="00BA0F71">
        <w:rPr>
          <w:rFonts w:ascii="Times New Roman" w:eastAsia="Times New Roman" w:hAnsi="Times New Roman" w:cs="Times New Roman"/>
          <w:sz w:val="20"/>
          <w:szCs w:val="20"/>
          <w:highlight w:val="white"/>
        </w:rPr>
        <w:t>a</w:t>
      </w:r>
      <w:r w:rsidRPr="00BA0F71">
        <w:rPr>
          <w:rFonts w:ascii="Times New Roman" w:eastAsia="Times New Roman" w:hAnsi="Times New Roman" w:cs="Times New Roman"/>
          <w:sz w:val="20"/>
          <w:szCs w:val="20"/>
          <w:highlight w:val="white"/>
        </w:rPr>
        <w:t>ccessed May</w:t>
      </w:r>
      <w:r w:rsidR="00A84F7D" w:rsidRPr="00BA0F71">
        <w:rPr>
          <w:rFonts w:ascii="Times New Roman" w:eastAsia="Times New Roman" w:hAnsi="Times New Roman" w:cs="Times New Roman"/>
          <w:sz w:val="20"/>
          <w:szCs w:val="20"/>
          <w:highlight w:val="white"/>
        </w:rPr>
        <w:t xml:space="preserve"> 15,</w:t>
      </w:r>
      <w:r w:rsidRPr="00BA0F71">
        <w:rPr>
          <w:rFonts w:ascii="Times New Roman" w:eastAsia="Times New Roman" w:hAnsi="Times New Roman" w:cs="Times New Roman"/>
          <w:sz w:val="20"/>
          <w:szCs w:val="20"/>
          <w:highlight w:val="white"/>
        </w:rPr>
        <w:t xml:space="preserve"> 2026.</w:t>
      </w:r>
      <w:r w:rsidRPr="00BA0F71">
        <w:rPr>
          <w:rFonts w:ascii="Times New Roman" w:eastAsia="Roboto" w:hAnsi="Times New Roman" w:cs="Times New Roman"/>
          <w:sz w:val="20"/>
          <w:szCs w:val="20"/>
        </w:rPr>
        <w:t xml:space="preserve"> </w:t>
      </w:r>
    </w:p>
  </w:footnote>
  <w:footnote w:id="5">
    <w:p w14:paraId="00000033" w14:textId="3C1C631C" w:rsidR="00652DD5" w:rsidRPr="00BA0F71" w:rsidRDefault="00000000">
      <w:pPr>
        <w:spacing w:line="240" w:lineRule="auto"/>
        <w:rPr>
          <w:rFonts w:ascii="Times New Roman" w:eastAsia="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I</w:t>
      </w:r>
      <w:r w:rsidR="00A84F7D" w:rsidRPr="00BA0F71">
        <w:rPr>
          <w:rFonts w:ascii="Times New Roman" w:eastAsia="Times New Roman" w:hAnsi="Times New Roman" w:cs="Times New Roman"/>
          <w:i/>
          <w:iCs/>
          <w:sz w:val="20"/>
          <w:szCs w:val="20"/>
        </w:rPr>
        <w:t>d</w:t>
      </w:r>
      <w:r w:rsidRPr="00BA0F71">
        <w:rPr>
          <w:rFonts w:ascii="Times New Roman" w:eastAsia="Times New Roman" w:hAnsi="Times New Roman" w:cs="Times New Roman"/>
          <w:i/>
          <w:iCs/>
          <w:sz w:val="20"/>
          <w:szCs w:val="20"/>
        </w:rPr>
        <w:t>.</w:t>
      </w:r>
      <w:r w:rsidRPr="00BA0F71">
        <w:rPr>
          <w:rFonts w:ascii="Times New Roman" w:eastAsia="Times New Roman" w:hAnsi="Times New Roman" w:cs="Times New Roman"/>
          <w:sz w:val="20"/>
          <w:szCs w:val="20"/>
        </w:rPr>
        <w:t xml:space="preserve"> </w:t>
      </w:r>
    </w:p>
  </w:footnote>
  <w:footnote w:id="6">
    <w:p w14:paraId="00000031" w14:textId="4C0F6ED3" w:rsidR="00652DD5" w:rsidRPr="00BA0F71" w:rsidRDefault="00000000">
      <w:pPr>
        <w:spacing w:line="240" w:lineRule="auto"/>
        <w:rPr>
          <w:rFonts w:ascii="Times New Roman" w:eastAsia="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eastAsia="Times New Roman" w:hAnsi="Times New Roman" w:cs="Times New Roman"/>
          <w:sz w:val="20"/>
          <w:szCs w:val="20"/>
        </w:rPr>
        <w:t xml:space="preserve"> “Every leading medical organization qualified to address the issue of drug use and pregnancy opposes taking punitive actions against pregnant people on account of their actions or inactions while </w:t>
      </w:r>
      <w:proofErr w:type="gramStart"/>
      <w:r w:rsidRPr="00BA0F71">
        <w:rPr>
          <w:rFonts w:ascii="Times New Roman" w:eastAsia="Times New Roman" w:hAnsi="Times New Roman" w:cs="Times New Roman"/>
          <w:sz w:val="20"/>
          <w:szCs w:val="20"/>
        </w:rPr>
        <w:t>pregnant, or</w:t>
      </w:r>
      <w:proofErr w:type="gramEnd"/>
      <w:r w:rsidRPr="00BA0F71">
        <w:rPr>
          <w:rFonts w:ascii="Times New Roman" w:eastAsia="Times New Roman" w:hAnsi="Times New Roman" w:cs="Times New Roman"/>
          <w:sz w:val="20"/>
          <w:szCs w:val="20"/>
        </w:rPr>
        <w:t xml:space="preserve"> based on pregnancy outcomes. Some medical organizations, such as the American College of Obstetricians and Gynecologists, include foster system intervention in the list of punitive actions, stating ‘obstetric care providers have an ethical responsibility to their pregnant and parenting patients with substance use disorder to discourage the separation of parents from their children solely based on substance use disorder, either suspected or confirmed. In states that mandate reporting, policy makers, legislators, and physicians should work together to retract punitive legislation and identify and implement </w:t>
      </w:r>
      <w:proofErr w:type="gramStart"/>
      <w:r w:rsidRPr="00BA0F71">
        <w:rPr>
          <w:rFonts w:ascii="Times New Roman" w:eastAsia="Times New Roman" w:hAnsi="Times New Roman" w:cs="Times New Roman"/>
          <w:sz w:val="20"/>
          <w:szCs w:val="20"/>
        </w:rPr>
        <w:t>evidence based</w:t>
      </w:r>
      <w:proofErr w:type="gramEnd"/>
      <w:r w:rsidRPr="00BA0F71">
        <w:rPr>
          <w:rFonts w:ascii="Times New Roman" w:eastAsia="Times New Roman" w:hAnsi="Times New Roman" w:cs="Times New Roman"/>
          <w:sz w:val="20"/>
          <w:szCs w:val="20"/>
        </w:rPr>
        <w:t xml:space="preserve"> strategies outside the legal system to address the needs of women with addictions.’” </w:t>
      </w:r>
      <w:r w:rsidRPr="00BA0F71">
        <w:rPr>
          <w:rFonts w:ascii="Times New Roman" w:eastAsia="Times New Roman" w:hAnsi="Times New Roman" w:cs="Times New Roman"/>
          <w:i/>
          <w:iCs/>
          <w:sz w:val="20"/>
          <w:szCs w:val="20"/>
        </w:rPr>
        <w:t>See</w:t>
      </w:r>
      <w:r w:rsidRPr="00BA0F71">
        <w:rPr>
          <w:rFonts w:ascii="Times New Roman" w:eastAsia="Times New Roman" w:hAnsi="Times New Roman" w:cs="Times New Roman"/>
          <w:sz w:val="20"/>
          <w:szCs w:val="20"/>
        </w:rPr>
        <w:t xml:space="preserve"> Lisa Sangoi, </w:t>
      </w:r>
      <w:r w:rsidRPr="00BA0F71">
        <w:rPr>
          <w:rFonts w:ascii="Times New Roman" w:eastAsia="Times New Roman" w:hAnsi="Times New Roman" w:cs="Times New Roman"/>
          <w:i/>
          <w:iCs/>
          <w:sz w:val="20"/>
          <w:szCs w:val="20"/>
        </w:rPr>
        <w:t>"Whatever they do, I'm her comfort, I'm her protector": How the Foster System Has Become Ground Zero for the U.S. Drug War</w:t>
      </w:r>
      <w:r w:rsidRPr="00BA0F71">
        <w:rPr>
          <w:rFonts w:ascii="Times New Roman" w:eastAsia="Times New Roman" w:hAnsi="Times New Roman" w:cs="Times New Roman"/>
          <w:sz w:val="20"/>
          <w:szCs w:val="20"/>
        </w:rPr>
        <w:t xml:space="preserve"> (New York: Movement for Family Power, June 2020), </w:t>
      </w:r>
      <w:hyperlink r:id="rId6">
        <w:r w:rsidR="00652DD5" w:rsidRPr="00BA0F71">
          <w:rPr>
            <w:rFonts w:ascii="Times New Roman" w:eastAsia="Times New Roman" w:hAnsi="Times New Roman" w:cs="Times New Roman"/>
            <w:sz w:val="20"/>
            <w:szCs w:val="20"/>
            <w:u w:val="single"/>
          </w:rPr>
          <w:t>https://static1.squarespace.com/static/65e79daddfbda143522ace5d/t/66ed89f8af7a4d5e1edbbfce/1726843386472/Ground-Zero-Report-Full.pdf</w:t>
        </w:r>
      </w:hyperlink>
      <w:r w:rsidRPr="00BA0F71">
        <w:rPr>
          <w:rFonts w:ascii="Times New Roman" w:eastAsia="Times New Roman" w:hAnsi="Times New Roman" w:cs="Times New Roman"/>
          <w:sz w:val="20"/>
          <w:szCs w:val="20"/>
        </w:rPr>
        <w:t xml:space="preserve">. </w:t>
      </w:r>
    </w:p>
  </w:footnote>
  <w:footnote w:id="7">
    <w:p w14:paraId="08CC8FF2" w14:textId="4BBD8C28" w:rsidR="0073301C" w:rsidRDefault="00000000">
      <w:pPr>
        <w:spacing w:line="240" w:lineRule="auto"/>
        <w:rPr>
          <w:rFonts w:ascii="Times New Roman" w:eastAsia="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hAnsi="Times New Roman" w:cs="Times New Roman"/>
          <w:sz w:val="20"/>
          <w:szCs w:val="20"/>
        </w:rPr>
        <w:t xml:space="preserve"> </w:t>
      </w:r>
      <w:r w:rsidRPr="00BA0F71">
        <w:rPr>
          <w:rFonts w:ascii="Times New Roman" w:eastAsia="Times New Roman" w:hAnsi="Times New Roman" w:cs="Times New Roman"/>
          <w:sz w:val="20"/>
          <w:szCs w:val="20"/>
        </w:rPr>
        <w:t xml:space="preserve">Effective implementation of Family Care Plans requires service providers to have expertise in substance use, addiction, and substance use disorders. </w:t>
      </w:r>
      <w:r w:rsidR="0073301C"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sz w:val="20"/>
          <w:szCs w:val="20"/>
        </w:rPr>
        <w:t xml:space="preserve">As highlighted by the Massachusetts Law Reform Institute’s </w:t>
      </w:r>
      <w:r w:rsidRPr="007373CA">
        <w:rPr>
          <w:rFonts w:ascii="Times New Roman" w:eastAsia="Times New Roman" w:hAnsi="Times New Roman" w:cs="Times New Roman"/>
          <w:i/>
          <w:iCs/>
          <w:sz w:val="20"/>
          <w:szCs w:val="20"/>
        </w:rPr>
        <w:t>Family Voices</w:t>
      </w:r>
      <w:r w:rsidRPr="00BA0F71">
        <w:rPr>
          <w:rFonts w:ascii="Times New Roman" w:eastAsia="Times New Roman" w:hAnsi="Times New Roman" w:cs="Times New Roman"/>
          <w:sz w:val="20"/>
          <w:szCs w:val="20"/>
        </w:rPr>
        <w:t xml:space="preserve"> report, although many families come to DCF’s attention and lose custody of their children because of substance use disorders, DCF case workers are not substance use or addiction experts</w:t>
      </w:r>
      <w:r w:rsidR="0073301C" w:rsidRPr="00BA0F71">
        <w:rPr>
          <w:rFonts w:ascii="Times New Roman" w:eastAsia="Times New Roman" w:hAnsi="Times New Roman" w:cs="Times New Roman"/>
          <w:sz w:val="20"/>
          <w:szCs w:val="20"/>
        </w:rPr>
        <w:t xml:space="preserve"> and DCF does not directly provide substance use disorder services, nor does it have priority access to substance use treatments.</w:t>
      </w:r>
      <w:r w:rsidR="00A84F7D" w:rsidRPr="00BA0F71">
        <w:rPr>
          <w:rFonts w:ascii="Times New Roman" w:eastAsia="Times New Roman" w:hAnsi="Times New Roman" w:cs="Times New Roman"/>
          <w:sz w:val="20"/>
          <w:szCs w:val="20"/>
        </w:rPr>
        <w:t xml:space="preserve"> </w:t>
      </w:r>
      <w:r w:rsidR="0073301C"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See</w:t>
      </w:r>
      <w:r w:rsidRPr="00BA0F71">
        <w:rPr>
          <w:rFonts w:ascii="Times New Roman" w:eastAsia="Times New Roman" w:hAnsi="Times New Roman" w:cs="Times New Roman"/>
          <w:sz w:val="20"/>
          <w:szCs w:val="20"/>
        </w:rPr>
        <w:t xml:space="preserve"> Massachusetts Law Reform Institute</w:t>
      </w:r>
      <w:r w:rsidR="00A84F7D" w:rsidRPr="00BA0F71">
        <w:rPr>
          <w:rFonts w:ascii="Times New Roman" w:eastAsia="Times New Roman" w:hAnsi="Times New Roman" w:cs="Times New Roman"/>
          <w:sz w:val="20"/>
          <w:szCs w:val="20"/>
        </w:rPr>
        <w:t>,</w:t>
      </w:r>
      <w:r w:rsidRPr="00BA0F71">
        <w:rPr>
          <w:rFonts w:ascii="Times New Roman" w:eastAsia="Times New Roman" w:hAnsi="Times New Roman" w:cs="Times New Roman"/>
          <w:sz w:val="20"/>
          <w:szCs w:val="20"/>
        </w:rPr>
        <w:t xml:space="preserve"> </w:t>
      </w:r>
      <w:r w:rsidRPr="00BA0F71">
        <w:rPr>
          <w:rFonts w:ascii="Times New Roman" w:eastAsia="Times New Roman" w:hAnsi="Times New Roman" w:cs="Times New Roman"/>
          <w:i/>
          <w:iCs/>
          <w:sz w:val="20"/>
          <w:szCs w:val="20"/>
        </w:rPr>
        <w:t>Family Voices: Insights about prevention services from families and youth directly affected by the Massachusetts child welfare system</w:t>
      </w:r>
      <w:r w:rsidR="00A84F7D" w:rsidRPr="00BA0F71">
        <w:rPr>
          <w:rFonts w:ascii="Times New Roman" w:eastAsia="Times New Roman" w:hAnsi="Times New Roman" w:cs="Times New Roman"/>
          <w:sz w:val="20"/>
          <w:szCs w:val="20"/>
        </w:rPr>
        <w:t xml:space="preserve"> (May 2022), </w:t>
      </w:r>
      <w:hyperlink r:id="rId7" w:history="1">
        <w:r w:rsidR="00A84F7D" w:rsidRPr="00BA0F71">
          <w:rPr>
            <w:rStyle w:val="Hyperlink"/>
            <w:rFonts w:ascii="Times New Roman" w:eastAsia="Times New Roman" w:hAnsi="Times New Roman" w:cs="Times New Roman"/>
            <w:sz w:val="20"/>
            <w:szCs w:val="20"/>
          </w:rPr>
          <w:t>https://mlri.org/wp-content/uploads/2022/05/Family-Voices-Final-digital.pdf</w:t>
        </w:r>
      </w:hyperlink>
      <w:r w:rsidRPr="00BA0F71">
        <w:rPr>
          <w:rFonts w:ascii="Times New Roman" w:eastAsia="Times New Roman" w:hAnsi="Times New Roman" w:cs="Times New Roman"/>
          <w:sz w:val="20"/>
          <w:szCs w:val="20"/>
        </w:rPr>
        <w:t xml:space="preserve">. </w:t>
      </w:r>
      <w:r w:rsidR="0043526A" w:rsidRPr="00BA0F71">
        <w:rPr>
          <w:rFonts w:ascii="Times New Roman" w:eastAsia="Times New Roman" w:hAnsi="Times New Roman" w:cs="Times New Roman"/>
          <w:sz w:val="20"/>
          <w:szCs w:val="20"/>
        </w:rPr>
        <w:t xml:space="preserve"> </w:t>
      </w:r>
      <w:r w:rsidR="0073301C" w:rsidRPr="00BA0F71">
        <w:rPr>
          <w:rFonts w:ascii="Times New Roman" w:eastAsia="Times New Roman" w:hAnsi="Times New Roman" w:cs="Times New Roman"/>
          <w:sz w:val="20"/>
          <w:szCs w:val="20"/>
        </w:rPr>
        <w:t>Therefore, referring families to DCF is duplicative and creates unnecessary harm, burden, and confusion.</w:t>
      </w:r>
    </w:p>
    <w:p w14:paraId="435F50CE" w14:textId="77777777" w:rsidR="00616947" w:rsidRPr="00BA0F71" w:rsidRDefault="00616947">
      <w:pPr>
        <w:spacing w:line="240" w:lineRule="auto"/>
        <w:rPr>
          <w:rFonts w:ascii="Times New Roman" w:eastAsia="Times New Roman" w:hAnsi="Times New Roman" w:cs="Times New Roman"/>
          <w:sz w:val="20"/>
          <w:szCs w:val="20"/>
        </w:rPr>
      </w:pPr>
    </w:p>
    <w:p w14:paraId="7C94E826" w14:textId="41B6B006" w:rsidR="0073301C" w:rsidRDefault="0073301C">
      <w:pPr>
        <w:spacing w:line="240" w:lineRule="auto"/>
        <w:rPr>
          <w:rFonts w:ascii="Times New Roman" w:eastAsia="Times New Roman" w:hAnsi="Times New Roman" w:cs="Times New Roman"/>
          <w:sz w:val="20"/>
          <w:szCs w:val="20"/>
        </w:rPr>
      </w:pPr>
      <w:r w:rsidRPr="00BA0F71">
        <w:rPr>
          <w:rFonts w:ascii="Times New Roman" w:eastAsia="Times New Roman" w:hAnsi="Times New Roman" w:cs="Times New Roman"/>
          <w:sz w:val="20"/>
          <w:szCs w:val="20"/>
        </w:rPr>
        <w:t xml:space="preserve">National research has found that almost a quarter (23%) of parents identified by the child welfare system as having a substance use disorder are not offered treatment, and another 23 percent, who were offered treatment, never received it.  </w:t>
      </w:r>
      <w:r w:rsidRPr="00BA0F71">
        <w:rPr>
          <w:rFonts w:ascii="Times New Roman" w:eastAsia="Times New Roman" w:hAnsi="Times New Roman" w:cs="Times New Roman"/>
          <w:i/>
          <w:iCs/>
          <w:sz w:val="20"/>
          <w:szCs w:val="20"/>
        </w:rPr>
        <w:t>See</w:t>
      </w:r>
      <w:r w:rsidRPr="00BA0F71">
        <w:rPr>
          <w:rFonts w:ascii="Times New Roman" w:eastAsia="Times New Roman" w:hAnsi="Times New Roman" w:cs="Times New Roman"/>
          <w:sz w:val="20"/>
          <w:szCs w:val="20"/>
        </w:rPr>
        <w:t xml:space="preserve"> Lisa Sangoi, “</w:t>
      </w:r>
      <w:r w:rsidRPr="00BA0F71">
        <w:rPr>
          <w:rFonts w:ascii="Times New Roman" w:eastAsia="Times New Roman" w:hAnsi="Times New Roman" w:cs="Times New Roman"/>
          <w:i/>
          <w:iCs/>
          <w:sz w:val="20"/>
          <w:szCs w:val="20"/>
        </w:rPr>
        <w:t>Whatever they do, I'm her comfort, I'm her protector”: How the Foster System Has Become Ground Zero for the U.S. Drug War</w:t>
      </w:r>
      <w:r w:rsidRPr="00BA0F71">
        <w:rPr>
          <w:rFonts w:ascii="Times New Roman" w:eastAsia="Times New Roman" w:hAnsi="Times New Roman" w:cs="Times New Roman"/>
          <w:sz w:val="20"/>
          <w:szCs w:val="20"/>
        </w:rPr>
        <w:t xml:space="preserve"> (New York: Movement for Family Power, June 2020),</w:t>
      </w:r>
      <w:hyperlink r:id="rId8">
        <w:r w:rsidRPr="00BA0F71">
          <w:rPr>
            <w:rFonts w:ascii="Times New Roman" w:eastAsia="Times New Roman" w:hAnsi="Times New Roman" w:cs="Times New Roman"/>
            <w:sz w:val="20"/>
            <w:szCs w:val="20"/>
          </w:rPr>
          <w:t xml:space="preserve"> </w:t>
        </w:r>
      </w:hyperlink>
      <w:hyperlink r:id="rId9">
        <w:r w:rsidRPr="00BA0F71">
          <w:rPr>
            <w:rFonts w:ascii="Times New Roman" w:eastAsia="Times New Roman" w:hAnsi="Times New Roman" w:cs="Times New Roman"/>
            <w:color w:val="1155CC"/>
            <w:sz w:val="20"/>
            <w:szCs w:val="20"/>
            <w:u w:val="single"/>
          </w:rPr>
          <w:t>https://static1.squarespace.com/static/65e79daddfbda143522ace5d/t/66ed89f8af7a4d5e1edbbfce/1726843386472/Ground-Zero-Report-Full.pdf</w:t>
        </w:r>
      </w:hyperlink>
      <w:r w:rsidRPr="00BA0F71">
        <w:rPr>
          <w:rFonts w:ascii="Times New Roman" w:eastAsia="Times New Roman" w:hAnsi="Times New Roman" w:cs="Times New Roman"/>
          <w:sz w:val="20"/>
          <w:szCs w:val="20"/>
        </w:rPr>
        <w:t>.</w:t>
      </w:r>
    </w:p>
    <w:p w14:paraId="6BFEFDDA" w14:textId="77777777" w:rsidR="00616947" w:rsidRPr="00BA0F71" w:rsidRDefault="00616947">
      <w:pPr>
        <w:spacing w:line="240" w:lineRule="auto"/>
        <w:rPr>
          <w:rFonts w:ascii="Times New Roman" w:eastAsia="Times New Roman" w:hAnsi="Times New Roman" w:cs="Times New Roman"/>
          <w:sz w:val="20"/>
          <w:szCs w:val="20"/>
        </w:rPr>
      </w:pPr>
    </w:p>
    <w:p w14:paraId="73A7E916" w14:textId="15BB9308" w:rsidR="00385954" w:rsidRPr="00A84F7D" w:rsidRDefault="00000000">
      <w:pPr>
        <w:spacing w:line="240" w:lineRule="auto"/>
        <w:rPr>
          <w:rFonts w:ascii="Times New Roman" w:eastAsia="Times New Roman" w:hAnsi="Times New Roman" w:cs="Times New Roman"/>
          <w:sz w:val="20"/>
          <w:szCs w:val="20"/>
        </w:rPr>
      </w:pPr>
      <w:r w:rsidRPr="00BA0F71">
        <w:rPr>
          <w:rFonts w:ascii="Times New Roman" w:eastAsia="Times New Roman" w:hAnsi="Times New Roman" w:cs="Times New Roman"/>
          <w:sz w:val="20"/>
          <w:szCs w:val="20"/>
        </w:rPr>
        <w:t>In our legal advocacy with parents in the perinatal period who are in treatment and DCF involved, we have repeatedly seen case workers with no substance use training add treatment requirements to families</w:t>
      </w:r>
      <w:r w:rsidR="00A84F7D" w:rsidRPr="00BA0F71">
        <w:rPr>
          <w:rFonts w:ascii="Times New Roman" w:eastAsia="Times New Roman" w:hAnsi="Times New Roman" w:cs="Times New Roman"/>
          <w:sz w:val="20"/>
          <w:szCs w:val="20"/>
        </w:rPr>
        <w:t>’</w:t>
      </w:r>
      <w:r w:rsidRPr="00BA0F71">
        <w:rPr>
          <w:rFonts w:ascii="Times New Roman" w:eastAsia="Times New Roman" w:hAnsi="Times New Roman" w:cs="Times New Roman"/>
          <w:sz w:val="20"/>
          <w:szCs w:val="20"/>
        </w:rPr>
        <w:t xml:space="preserve"> action plans that do not align with their needs. These additional requirements merely add to the stress and fear parents feel rather than provide support.</w:t>
      </w:r>
      <w:r w:rsidR="002F3321" w:rsidRPr="00BA0F71">
        <w:rPr>
          <w:rFonts w:ascii="Times New Roman" w:eastAsia="Times New Roman" w:hAnsi="Times New Roman" w:cs="Times New Roman"/>
          <w:sz w:val="20"/>
          <w:szCs w:val="20"/>
        </w:rPr>
        <w:t xml:space="preserve">  </w:t>
      </w:r>
      <w:r w:rsidR="0043526A" w:rsidRPr="00BA0F71">
        <w:rPr>
          <w:rFonts w:ascii="Times New Roman" w:eastAsia="Times New Roman" w:hAnsi="Times New Roman" w:cs="Times New Roman"/>
          <w:sz w:val="20"/>
          <w:szCs w:val="20"/>
        </w:rPr>
        <w:t>We</w:t>
      </w:r>
      <w:r w:rsidR="002F3321" w:rsidRPr="00BA0F71">
        <w:rPr>
          <w:rFonts w:ascii="Times New Roman" w:eastAsia="Times New Roman" w:hAnsi="Times New Roman" w:cs="Times New Roman"/>
          <w:sz w:val="20"/>
          <w:szCs w:val="20"/>
        </w:rPr>
        <w:t xml:space="preserve"> have found the most effective services have been wrap-around community-based supports that are customized, holistic, culturally sensitive, and utilize peer support. These have included family health centers, partial hospitalization, peer recovery groups, community-based maternal/child health organizations, and postpartum doulas.</w:t>
      </w:r>
      <w:r w:rsidR="00A46319">
        <w:rPr>
          <w:rFonts w:ascii="Times New Roman" w:eastAsia="Times New Roman" w:hAnsi="Times New Roman" w:cs="Times New Roman"/>
          <w:sz w:val="20"/>
          <w:szCs w:val="20"/>
        </w:rPr>
        <w:t xml:space="preserve">  </w:t>
      </w:r>
      <w:r w:rsidR="00A46319" w:rsidRPr="00A46319">
        <w:rPr>
          <w:rFonts w:ascii="Times New Roman" w:eastAsia="Times New Roman" w:hAnsi="Times New Roman" w:cs="Times New Roman"/>
          <w:sz w:val="20"/>
          <w:szCs w:val="20"/>
        </w:rPr>
        <w:t>We recommend that FCPs assist families in getting these services rather than unnecessarily involving DCF in families</w:t>
      </w:r>
      <w:r w:rsidR="00A46319">
        <w:rPr>
          <w:rFonts w:ascii="Times New Roman" w:eastAsia="Times New Roman" w:hAnsi="Times New Roman" w:cs="Times New Roman"/>
          <w:sz w:val="20"/>
          <w:szCs w:val="20"/>
        </w:rPr>
        <w:t>’</w:t>
      </w:r>
      <w:r w:rsidR="00A46319" w:rsidRPr="00A46319">
        <w:rPr>
          <w:rFonts w:ascii="Times New Roman" w:eastAsia="Times New Roman" w:hAnsi="Times New Roman" w:cs="Times New Roman"/>
          <w:sz w:val="20"/>
          <w:szCs w:val="20"/>
        </w:rPr>
        <w:t xml:space="preserve"> lives</w:t>
      </w:r>
      <w:r w:rsidR="00A46319">
        <w:rPr>
          <w:rFonts w:ascii="Times New Roman" w:eastAsia="Times New Roman" w:hAnsi="Times New Roman" w:cs="Times New Roman"/>
          <w:sz w:val="20"/>
          <w:szCs w:val="20"/>
        </w:rPr>
        <w:t>.</w:t>
      </w:r>
    </w:p>
  </w:footnote>
  <w:footnote w:id="8">
    <w:p w14:paraId="0000003B" w14:textId="23A4D2CC" w:rsidR="00652DD5" w:rsidRPr="00385954" w:rsidRDefault="00000000">
      <w:pPr>
        <w:spacing w:line="240" w:lineRule="auto"/>
        <w:rPr>
          <w:rFonts w:ascii="Times New Roman" w:hAnsi="Times New Roman" w:cs="Times New Roman"/>
          <w:sz w:val="20"/>
          <w:szCs w:val="20"/>
        </w:rPr>
      </w:pPr>
      <w:r w:rsidRPr="00BA0F71">
        <w:rPr>
          <w:rFonts w:ascii="Times New Roman" w:hAnsi="Times New Roman" w:cs="Times New Roman"/>
          <w:sz w:val="20"/>
          <w:szCs w:val="20"/>
          <w:vertAlign w:val="superscript"/>
        </w:rPr>
        <w:footnoteRef/>
      </w:r>
      <w:r w:rsidRPr="00BA0F71">
        <w:rPr>
          <w:rFonts w:ascii="Times New Roman" w:hAnsi="Times New Roman" w:cs="Times New Roman"/>
          <w:sz w:val="20"/>
          <w:szCs w:val="20"/>
        </w:rPr>
        <w:t xml:space="preserve"> </w:t>
      </w:r>
      <w:r w:rsidRPr="00BA0F71">
        <w:rPr>
          <w:rFonts w:ascii="Times New Roman" w:eastAsia="Times New Roman" w:hAnsi="Times New Roman" w:cs="Times New Roman"/>
          <w:sz w:val="20"/>
          <w:szCs w:val="20"/>
        </w:rPr>
        <w:t xml:space="preserve">The American Society of Addiction Medicine (ASAM) released a policy statement in 2022 that emphasized the importance of a collaborative approach, stating, </w:t>
      </w:r>
      <w:r w:rsidR="00BA0F71">
        <w:rPr>
          <w:rFonts w:ascii="Times New Roman" w:eastAsia="Times New Roman" w:hAnsi="Times New Roman" w:cs="Times New Roman"/>
          <w:sz w:val="20"/>
          <w:szCs w:val="20"/>
        </w:rPr>
        <w:t>“</w:t>
      </w:r>
      <w:r w:rsidRPr="00BA0F71">
        <w:rPr>
          <w:rFonts w:ascii="Times New Roman" w:eastAsia="Times New Roman" w:hAnsi="Times New Roman" w:cs="Times New Roman"/>
          <w:sz w:val="20"/>
          <w:szCs w:val="20"/>
        </w:rPr>
        <w:t xml:space="preserve">Treatment decisions should be made collaboratively between a </w:t>
      </w:r>
      <w:r w:rsidRPr="00385954">
        <w:rPr>
          <w:rFonts w:ascii="Times New Roman" w:eastAsia="Times New Roman" w:hAnsi="Times New Roman" w:cs="Times New Roman"/>
          <w:sz w:val="20"/>
          <w:szCs w:val="20"/>
        </w:rPr>
        <w:t xml:space="preserve">patient and their healthcare provider. Neither child protective services nor judges should make specific treatment recommendations or mandate or prohibit any </w:t>
      </w:r>
      <w:proofErr w:type="gramStart"/>
      <w:r w:rsidRPr="00385954">
        <w:rPr>
          <w:rFonts w:ascii="Times New Roman" w:eastAsia="Times New Roman" w:hAnsi="Times New Roman" w:cs="Times New Roman"/>
          <w:sz w:val="20"/>
          <w:szCs w:val="20"/>
        </w:rPr>
        <w:t>particular type of treatment</w:t>
      </w:r>
      <w:proofErr w:type="gramEnd"/>
      <w:r w:rsidRPr="00385954">
        <w:rPr>
          <w:rFonts w:ascii="Times New Roman" w:eastAsia="Times New Roman" w:hAnsi="Times New Roman" w:cs="Times New Roman"/>
          <w:sz w:val="20"/>
          <w:szCs w:val="20"/>
        </w:rPr>
        <w:t xml:space="preserve"> or peer </w:t>
      </w:r>
      <w:proofErr w:type="gramStart"/>
      <w:r w:rsidRPr="00385954">
        <w:rPr>
          <w:rFonts w:ascii="Times New Roman" w:eastAsia="Times New Roman" w:hAnsi="Times New Roman" w:cs="Times New Roman"/>
          <w:sz w:val="20"/>
          <w:szCs w:val="20"/>
        </w:rPr>
        <w:t>support, but</w:t>
      </w:r>
      <w:proofErr w:type="gramEnd"/>
      <w:r w:rsidRPr="00385954">
        <w:rPr>
          <w:rFonts w:ascii="Times New Roman" w:eastAsia="Times New Roman" w:hAnsi="Times New Roman" w:cs="Times New Roman"/>
          <w:sz w:val="20"/>
          <w:szCs w:val="20"/>
        </w:rPr>
        <w:t xml:space="preserve"> instead should know how to help patients connect with local, licensed SUD treatment providers.</w:t>
      </w:r>
      <w:r w:rsidR="00BA0F71" w:rsidRPr="00385954">
        <w:rPr>
          <w:rFonts w:ascii="Times New Roman" w:eastAsia="Times New Roman" w:hAnsi="Times New Roman" w:cs="Times New Roman"/>
          <w:sz w:val="20"/>
          <w:szCs w:val="20"/>
        </w:rPr>
        <w:t>”</w:t>
      </w:r>
      <w:r w:rsidRPr="00385954">
        <w:rPr>
          <w:rFonts w:ascii="Times New Roman" w:eastAsia="Times New Roman" w:hAnsi="Times New Roman" w:cs="Times New Roman"/>
          <w:i/>
          <w:iCs/>
          <w:sz w:val="20"/>
          <w:szCs w:val="20"/>
        </w:rPr>
        <w:t xml:space="preserve"> </w:t>
      </w:r>
      <w:r w:rsidR="00BA0F71" w:rsidRPr="00385954">
        <w:rPr>
          <w:rFonts w:ascii="Times New Roman" w:eastAsia="Times New Roman" w:hAnsi="Times New Roman" w:cs="Times New Roman"/>
          <w:i/>
          <w:iCs/>
          <w:sz w:val="20"/>
          <w:szCs w:val="20"/>
        </w:rPr>
        <w:t xml:space="preserve"> </w:t>
      </w:r>
      <w:r w:rsidRPr="00385954">
        <w:rPr>
          <w:rFonts w:ascii="Times New Roman" w:eastAsia="Times New Roman" w:hAnsi="Times New Roman" w:cs="Times New Roman"/>
          <w:i/>
          <w:iCs/>
          <w:sz w:val="20"/>
          <w:szCs w:val="20"/>
        </w:rPr>
        <w:t>See</w:t>
      </w:r>
      <w:r w:rsidRPr="00385954">
        <w:rPr>
          <w:rFonts w:ascii="Times New Roman" w:eastAsia="Times New Roman" w:hAnsi="Times New Roman" w:cs="Times New Roman"/>
          <w:sz w:val="20"/>
          <w:szCs w:val="20"/>
        </w:rPr>
        <w:t xml:space="preserve"> ASAM - American Society of Addicti</w:t>
      </w:r>
      <w:r w:rsidR="00BA0F71" w:rsidRPr="00385954">
        <w:rPr>
          <w:rFonts w:ascii="Times New Roman" w:eastAsia="Times New Roman" w:hAnsi="Times New Roman" w:cs="Times New Roman"/>
          <w:sz w:val="20"/>
          <w:szCs w:val="20"/>
        </w:rPr>
        <w:t>o</w:t>
      </w:r>
      <w:r w:rsidRPr="00385954">
        <w:rPr>
          <w:rFonts w:ascii="Times New Roman" w:eastAsia="Times New Roman" w:hAnsi="Times New Roman" w:cs="Times New Roman"/>
          <w:sz w:val="20"/>
          <w:szCs w:val="20"/>
        </w:rPr>
        <w:t>n Medicine</w:t>
      </w:r>
      <w:r w:rsidR="00BA0F71" w:rsidRPr="00385954">
        <w:rPr>
          <w:rFonts w:ascii="Times New Roman" w:eastAsia="Times New Roman" w:hAnsi="Times New Roman" w:cs="Times New Roman"/>
          <w:sz w:val="20"/>
          <w:szCs w:val="20"/>
        </w:rPr>
        <w:t>,</w:t>
      </w:r>
      <w:r w:rsidRPr="00385954">
        <w:rPr>
          <w:rFonts w:ascii="Times New Roman" w:eastAsia="Times New Roman" w:hAnsi="Times New Roman" w:cs="Times New Roman"/>
          <w:sz w:val="20"/>
          <w:szCs w:val="20"/>
        </w:rPr>
        <w:t xml:space="preserve"> “Substance Use and Substance Use Disorder among Pregnant and Postpartum People</w:t>
      </w:r>
      <w:r w:rsidR="00BA0F71" w:rsidRPr="00385954">
        <w:rPr>
          <w:rFonts w:ascii="Times New Roman" w:eastAsia="Times New Roman" w:hAnsi="Times New Roman" w:cs="Times New Roman"/>
          <w:sz w:val="20"/>
          <w:szCs w:val="20"/>
        </w:rPr>
        <w:t>,</w:t>
      </w:r>
      <w:r w:rsidRPr="00385954">
        <w:rPr>
          <w:rFonts w:ascii="Times New Roman" w:eastAsia="Times New Roman" w:hAnsi="Times New Roman" w:cs="Times New Roman"/>
          <w:sz w:val="20"/>
          <w:szCs w:val="20"/>
        </w:rPr>
        <w:t>” October 12, 2022</w:t>
      </w:r>
      <w:r w:rsidR="00BA0F71" w:rsidRPr="00385954">
        <w:rPr>
          <w:rFonts w:ascii="Times New Roman" w:eastAsia="Times New Roman" w:hAnsi="Times New Roman" w:cs="Times New Roman"/>
          <w:sz w:val="20"/>
          <w:szCs w:val="20"/>
        </w:rPr>
        <w:t>,</w:t>
      </w:r>
      <w:r w:rsidRPr="00385954">
        <w:rPr>
          <w:rFonts w:ascii="Times New Roman" w:eastAsia="Times New Roman" w:hAnsi="Times New Roman" w:cs="Times New Roman"/>
          <w:sz w:val="20"/>
          <w:szCs w:val="20"/>
        </w:rPr>
        <w:t xml:space="preserve"> </w:t>
      </w:r>
      <w:hyperlink r:id="rId10">
        <w:r w:rsidR="00652DD5" w:rsidRPr="00385954">
          <w:rPr>
            <w:rFonts w:ascii="Times New Roman" w:eastAsia="Times New Roman" w:hAnsi="Times New Roman" w:cs="Times New Roman"/>
            <w:color w:val="1155CC"/>
            <w:sz w:val="20"/>
            <w:szCs w:val="20"/>
            <w:u w:val="single"/>
          </w:rPr>
          <w:t>https://www.asam.org/advocacy/public-policy-statements/details/public-policy-statements/2022/10/12/substance-use-and-substance-use-disorder-among-pregnant-and-postpartum-people</w:t>
        </w:r>
      </w:hyperlink>
    </w:p>
    <w:p w14:paraId="13291BBC" w14:textId="77777777" w:rsidR="00BA0F71" w:rsidRPr="00385954" w:rsidRDefault="00BA0F71">
      <w:pPr>
        <w:spacing w:line="240" w:lineRule="auto"/>
        <w:rPr>
          <w:rFonts w:ascii="Times New Roman" w:hAnsi="Times New Roman" w:cs="Times New Roman"/>
          <w:sz w:val="20"/>
          <w:szCs w:val="20"/>
        </w:rPr>
      </w:pPr>
    </w:p>
    <w:p w14:paraId="001DFC77" w14:textId="20969421" w:rsidR="00385954" w:rsidRPr="00385954" w:rsidRDefault="00BA0F71">
      <w:pPr>
        <w:spacing w:line="240" w:lineRule="auto"/>
        <w:rPr>
          <w:rFonts w:ascii="Times New Roman" w:eastAsia="Times New Roman" w:hAnsi="Times New Roman" w:cs="Times New Roman"/>
          <w:sz w:val="20"/>
          <w:szCs w:val="20"/>
        </w:rPr>
      </w:pPr>
      <w:r w:rsidRPr="00385954">
        <w:rPr>
          <w:rFonts w:ascii="Times New Roman" w:eastAsia="Times New Roman" w:hAnsi="Times New Roman" w:cs="Times New Roman"/>
          <w:sz w:val="20"/>
          <w:szCs w:val="20"/>
        </w:rPr>
        <w:t xml:space="preserve">Regarding substance use disorders more generally, research from the Drug Policy Alliance suggested that forced treatment is ineffective: “It can lead to undesirable health outcomes, including a substantially increased risk of overdose death. In countries where forced treatment is common, research consistently shows higher rates of relapse (compared to voluntary community-based treatment services), avoidance of healthcare in response to stigma and shame, higher rates of infectious disease and bloodborne virus transmission, and inadequate medication and staffing.” </w:t>
      </w:r>
      <w:r w:rsidRPr="00385954">
        <w:rPr>
          <w:rFonts w:ascii="Times New Roman" w:eastAsia="Times New Roman" w:hAnsi="Times New Roman" w:cs="Times New Roman"/>
          <w:i/>
          <w:iCs/>
          <w:sz w:val="20"/>
          <w:szCs w:val="20"/>
        </w:rPr>
        <w:t>See</w:t>
      </w:r>
      <w:r w:rsidRPr="00385954">
        <w:rPr>
          <w:rFonts w:ascii="Times New Roman" w:eastAsia="Times New Roman" w:hAnsi="Times New Roman" w:cs="Times New Roman"/>
          <w:sz w:val="20"/>
          <w:szCs w:val="20"/>
        </w:rPr>
        <w:t xml:space="preserve"> Drug Policy Alliance</w:t>
      </w:r>
      <w:r w:rsidR="00616947">
        <w:rPr>
          <w:rFonts w:ascii="Times New Roman" w:eastAsia="Times New Roman" w:hAnsi="Times New Roman" w:cs="Times New Roman"/>
          <w:sz w:val="20"/>
          <w:szCs w:val="20"/>
        </w:rPr>
        <w:t>,</w:t>
      </w:r>
      <w:r w:rsidRPr="00385954">
        <w:rPr>
          <w:rFonts w:ascii="Times New Roman" w:eastAsia="Times New Roman" w:hAnsi="Times New Roman" w:cs="Times New Roman"/>
          <w:i/>
          <w:iCs/>
          <w:sz w:val="20"/>
          <w:szCs w:val="20"/>
        </w:rPr>
        <w:t xml:space="preserve"> The Drug Treatment Debate: Why Accessible and Voluntary Treatment Wins Out Over Forced. September 2024</w:t>
      </w:r>
      <w:r w:rsidR="00616947">
        <w:rPr>
          <w:rFonts w:ascii="Times New Roman" w:eastAsia="Times New Roman" w:hAnsi="Times New Roman" w:cs="Times New Roman"/>
          <w:sz w:val="20"/>
          <w:szCs w:val="20"/>
        </w:rPr>
        <w:t>,</w:t>
      </w:r>
      <w:r w:rsidRPr="00385954">
        <w:rPr>
          <w:rFonts w:ascii="Times New Roman" w:eastAsia="Times New Roman" w:hAnsi="Times New Roman" w:cs="Times New Roman"/>
          <w:i/>
          <w:iCs/>
          <w:sz w:val="20"/>
          <w:szCs w:val="20"/>
        </w:rPr>
        <w:t xml:space="preserve"> </w:t>
      </w:r>
      <w:hyperlink r:id="rId11" w:history="1">
        <w:r w:rsidRPr="00385954">
          <w:rPr>
            <w:rStyle w:val="Hyperlink"/>
            <w:rFonts w:ascii="Times New Roman" w:eastAsia="Times New Roman" w:hAnsi="Times New Roman" w:cs="Times New Roman"/>
            <w:sz w:val="20"/>
            <w:szCs w:val="20"/>
          </w:rPr>
          <w:t>https://drugpolicy.org/wp-content/uploads/2024/09/TheDrugTreatmentDebate_10.30.24-Interactive.pdf</w:t>
        </w:r>
      </w:hyperlink>
      <w:r w:rsidRPr="00385954">
        <w:rPr>
          <w:rFonts w:ascii="Times New Roman" w:eastAsia="Times New Roman" w:hAnsi="Times New Roman" w:cs="Times New Roman"/>
          <w:sz w:val="20"/>
          <w:szCs w:val="20"/>
        </w:rPr>
        <w:t>.</w:t>
      </w:r>
    </w:p>
  </w:footnote>
  <w:footnote w:id="9">
    <w:p w14:paraId="00000026" w14:textId="77777777" w:rsidR="00652DD5" w:rsidRPr="00385954" w:rsidRDefault="00000000">
      <w:pPr>
        <w:spacing w:line="240" w:lineRule="auto"/>
        <w:rPr>
          <w:rFonts w:ascii="Times New Roman" w:eastAsia="Times New Roman" w:hAnsi="Times New Roman" w:cs="Times New Roman"/>
          <w:sz w:val="20"/>
          <w:szCs w:val="20"/>
        </w:rPr>
      </w:pPr>
      <w:r w:rsidRPr="00385954">
        <w:rPr>
          <w:rFonts w:ascii="Times New Roman" w:hAnsi="Times New Roman" w:cs="Times New Roman"/>
          <w:sz w:val="20"/>
          <w:szCs w:val="20"/>
          <w:vertAlign w:val="superscript"/>
        </w:rPr>
        <w:footnoteRef/>
      </w:r>
      <w:r w:rsidRPr="00385954">
        <w:rPr>
          <w:rFonts w:ascii="Times New Roman" w:hAnsi="Times New Roman" w:cs="Times New Roman"/>
          <w:sz w:val="20"/>
          <w:szCs w:val="20"/>
        </w:rPr>
        <w:t xml:space="preserve"> </w:t>
      </w:r>
      <w:r w:rsidRPr="00385954">
        <w:rPr>
          <w:rFonts w:ascii="Times New Roman" w:eastAsia="Times New Roman" w:hAnsi="Times New Roman" w:cs="Times New Roman"/>
          <w:sz w:val="20"/>
          <w:szCs w:val="20"/>
        </w:rPr>
        <w:t>42 U.S.C. § 5106a(d)(18)</w:t>
      </w:r>
      <w:r w:rsidRPr="00385954">
        <w:rPr>
          <w:rFonts w:ascii="Times New Roman" w:eastAsia="Times New Roman" w:hAnsi="Times New Roman" w:cs="Times New Roman"/>
          <w:b/>
          <w:bCs/>
          <w:sz w:val="20"/>
          <w:szCs w:val="20"/>
        </w:rPr>
        <w:t xml:space="preserve"> </w:t>
      </w:r>
      <w:r w:rsidRPr="00385954">
        <w:rPr>
          <w:rFonts w:ascii="Times New Roman" w:eastAsia="Times New Roman" w:hAnsi="Times New Roman" w:cs="Times New Roman"/>
          <w:sz w:val="20"/>
          <w:szCs w:val="20"/>
        </w:rPr>
        <w:t>provides as follows:</w:t>
      </w:r>
    </w:p>
    <w:p w14:paraId="00000027" w14:textId="48FB04FA" w:rsidR="00652DD5" w:rsidRPr="00385954"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b/>
          <w:bCs/>
          <w:sz w:val="20"/>
          <w:szCs w:val="20"/>
        </w:rPr>
        <w:t>(d)</w:t>
      </w:r>
      <w:r w:rsidR="00BA0F71" w:rsidRPr="00385954">
        <w:rPr>
          <w:rFonts w:ascii="Times New Roman" w:eastAsia="Times New Roman" w:hAnsi="Times New Roman" w:cs="Times New Roman"/>
          <w:b/>
          <w:bCs/>
          <w:sz w:val="20"/>
          <w:szCs w:val="20"/>
        </w:rPr>
        <w:t xml:space="preserve"> </w:t>
      </w:r>
      <w:r w:rsidRPr="00385954">
        <w:rPr>
          <w:rFonts w:ascii="Times New Roman" w:eastAsia="Times New Roman" w:hAnsi="Times New Roman" w:cs="Times New Roman"/>
          <w:b/>
          <w:bCs/>
          <w:sz w:val="20"/>
          <w:szCs w:val="20"/>
        </w:rPr>
        <w:t xml:space="preserve">Annual State data reports </w:t>
      </w:r>
      <w:r w:rsidRPr="00385954">
        <w:rPr>
          <w:rFonts w:ascii="Times New Roman" w:eastAsia="Times New Roman" w:hAnsi="Times New Roman" w:cs="Times New Roman"/>
          <w:sz w:val="20"/>
          <w:szCs w:val="20"/>
        </w:rPr>
        <w:t xml:space="preserve">Each </w:t>
      </w:r>
      <w:hyperlink r:id="rId12">
        <w:r w:rsidR="00652DD5" w:rsidRPr="00385954">
          <w:rPr>
            <w:rFonts w:ascii="Times New Roman" w:eastAsia="Times New Roman" w:hAnsi="Times New Roman" w:cs="Times New Roman"/>
            <w:color w:val="1155CC"/>
            <w:sz w:val="20"/>
            <w:szCs w:val="20"/>
            <w:u w:val="single"/>
          </w:rPr>
          <w:t>State</w:t>
        </w:r>
      </w:hyperlink>
      <w:r w:rsidRPr="00385954">
        <w:rPr>
          <w:rFonts w:ascii="Times New Roman" w:eastAsia="Times New Roman" w:hAnsi="Times New Roman" w:cs="Times New Roman"/>
          <w:sz w:val="20"/>
          <w:szCs w:val="20"/>
        </w:rPr>
        <w:t xml:space="preserve"> to which a grant is made under this section shall annually work with the Secretary to provide, to the maximum extent practicable, a report that includes the following:</w:t>
      </w:r>
    </w:p>
    <w:p w14:paraId="00000028" w14:textId="77777777" w:rsidR="00652DD5" w:rsidRPr="00385954"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sz w:val="20"/>
          <w:szCs w:val="20"/>
        </w:rPr>
        <w:t>…</w:t>
      </w:r>
    </w:p>
    <w:p w14:paraId="00000029" w14:textId="3560431A" w:rsidR="00652DD5" w:rsidRPr="00385954"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b/>
          <w:bCs/>
          <w:sz w:val="20"/>
          <w:szCs w:val="20"/>
        </w:rPr>
        <w:t>(18)</w:t>
      </w:r>
      <w:r w:rsidR="00BA0F71" w:rsidRPr="00385954">
        <w:rPr>
          <w:rFonts w:ascii="Times New Roman" w:eastAsia="Times New Roman" w:hAnsi="Times New Roman" w:cs="Times New Roman"/>
          <w:b/>
          <w:bCs/>
          <w:sz w:val="20"/>
          <w:szCs w:val="20"/>
        </w:rPr>
        <w:t xml:space="preserve"> </w:t>
      </w:r>
      <w:r w:rsidRPr="00385954">
        <w:rPr>
          <w:rFonts w:ascii="Times New Roman" w:eastAsia="Times New Roman" w:hAnsi="Times New Roman" w:cs="Times New Roman"/>
          <w:sz w:val="20"/>
          <w:szCs w:val="20"/>
        </w:rPr>
        <w:t>The number of infants—</w:t>
      </w:r>
    </w:p>
    <w:p w14:paraId="0000002A" w14:textId="77777777" w:rsidR="00652DD5" w:rsidRPr="00385954" w:rsidRDefault="00000000">
      <w:pPr>
        <w:rPr>
          <w:rFonts w:ascii="Times New Roman" w:eastAsia="Times New Roman" w:hAnsi="Times New Roman" w:cs="Times New Roman"/>
          <w:b/>
          <w:bCs/>
          <w:sz w:val="20"/>
          <w:szCs w:val="20"/>
        </w:rPr>
      </w:pPr>
      <w:r w:rsidRPr="00385954">
        <w:rPr>
          <w:rFonts w:ascii="Times New Roman" w:eastAsia="Times New Roman" w:hAnsi="Times New Roman" w:cs="Times New Roman"/>
          <w:b/>
          <w:bCs/>
          <w:sz w:val="20"/>
          <w:szCs w:val="20"/>
        </w:rPr>
        <w:t>(A)</w:t>
      </w:r>
    </w:p>
    <w:p w14:paraId="0000002B" w14:textId="77777777" w:rsidR="00652DD5" w:rsidRPr="00385954"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sz w:val="20"/>
          <w:szCs w:val="20"/>
        </w:rPr>
        <w:t>identified under subsection (b)(2)(B)(ii</w:t>
      </w:r>
      <w:proofErr w:type="gramStart"/>
      <w:r w:rsidRPr="00385954">
        <w:rPr>
          <w:rFonts w:ascii="Times New Roman" w:eastAsia="Times New Roman" w:hAnsi="Times New Roman" w:cs="Times New Roman"/>
          <w:sz w:val="20"/>
          <w:szCs w:val="20"/>
        </w:rPr>
        <w:t>);</w:t>
      </w:r>
      <w:proofErr w:type="gramEnd"/>
    </w:p>
    <w:p w14:paraId="0000002C" w14:textId="77777777" w:rsidR="00652DD5" w:rsidRPr="00385954" w:rsidRDefault="00000000">
      <w:pPr>
        <w:rPr>
          <w:rFonts w:ascii="Times New Roman" w:eastAsia="Times New Roman" w:hAnsi="Times New Roman" w:cs="Times New Roman"/>
          <w:b/>
          <w:bCs/>
          <w:sz w:val="20"/>
          <w:szCs w:val="20"/>
        </w:rPr>
      </w:pPr>
      <w:r w:rsidRPr="00385954">
        <w:rPr>
          <w:rFonts w:ascii="Times New Roman" w:eastAsia="Times New Roman" w:hAnsi="Times New Roman" w:cs="Times New Roman"/>
          <w:b/>
          <w:bCs/>
          <w:sz w:val="20"/>
          <w:szCs w:val="20"/>
        </w:rPr>
        <w:t>(B)</w:t>
      </w:r>
    </w:p>
    <w:p w14:paraId="0000002D" w14:textId="77777777" w:rsidR="00652DD5" w:rsidRPr="00385954"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sz w:val="20"/>
          <w:szCs w:val="20"/>
        </w:rPr>
        <w:t>for whom a plan of safe care was developed under subsection (b)(2)(B)(iii); and</w:t>
      </w:r>
    </w:p>
    <w:p w14:paraId="0000002E" w14:textId="77777777" w:rsidR="00652DD5" w:rsidRPr="00385954" w:rsidRDefault="00000000">
      <w:pPr>
        <w:rPr>
          <w:rFonts w:ascii="Times New Roman" w:eastAsia="Times New Roman" w:hAnsi="Times New Roman" w:cs="Times New Roman"/>
          <w:b/>
          <w:bCs/>
          <w:sz w:val="20"/>
          <w:szCs w:val="20"/>
        </w:rPr>
      </w:pPr>
      <w:r w:rsidRPr="00385954">
        <w:rPr>
          <w:rFonts w:ascii="Times New Roman" w:eastAsia="Times New Roman" w:hAnsi="Times New Roman" w:cs="Times New Roman"/>
          <w:b/>
          <w:bCs/>
          <w:sz w:val="20"/>
          <w:szCs w:val="20"/>
        </w:rPr>
        <w:t>(C)</w:t>
      </w:r>
    </w:p>
    <w:p w14:paraId="399F111B" w14:textId="580444B0" w:rsidR="00385954" w:rsidRPr="00A46319" w:rsidRDefault="00000000">
      <w:pPr>
        <w:rPr>
          <w:rFonts w:ascii="Times New Roman" w:eastAsia="Times New Roman" w:hAnsi="Times New Roman" w:cs="Times New Roman"/>
          <w:sz w:val="20"/>
          <w:szCs w:val="20"/>
        </w:rPr>
      </w:pPr>
      <w:r w:rsidRPr="00385954">
        <w:rPr>
          <w:rFonts w:ascii="Times New Roman" w:eastAsia="Times New Roman" w:hAnsi="Times New Roman" w:cs="Times New Roman"/>
          <w:sz w:val="20"/>
          <w:szCs w:val="20"/>
        </w:rPr>
        <w:t>for whom a referral was made for appropriate services, including services for the affected family or caregiver, under subsection (b)(2)(B)(iii).</w:t>
      </w:r>
    </w:p>
  </w:footnote>
  <w:footnote w:id="10">
    <w:p w14:paraId="00000021" w14:textId="265FF9C1" w:rsidR="00652DD5" w:rsidRDefault="00000000">
      <w:pPr>
        <w:spacing w:line="240" w:lineRule="auto"/>
        <w:rPr>
          <w:rFonts w:ascii="Times New Roman" w:eastAsia="Times New Roman" w:hAnsi="Times New Roman" w:cs="Times New Roman"/>
          <w:sz w:val="20"/>
          <w:szCs w:val="20"/>
        </w:rPr>
      </w:pPr>
      <w:r w:rsidRPr="00385954">
        <w:rPr>
          <w:rFonts w:ascii="Times New Roman" w:hAnsi="Times New Roman" w:cs="Times New Roman"/>
          <w:sz w:val="20"/>
          <w:szCs w:val="20"/>
          <w:vertAlign w:val="superscript"/>
        </w:rPr>
        <w:footnoteRef/>
      </w:r>
      <w:r w:rsidRPr="00385954">
        <w:rPr>
          <w:rFonts w:ascii="Times New Roman" w:eastAsia="Times New Roman" w:hAnsi="Times New Roman" w:cs="Times New Roman"/>
          <w:sz w:val="20"/>
          <w:szCs w:val="20"/>
        </w:rPr>
        <w:t xml:space="preserve"> For example, in New York</w:t>
      </w:r>
      <w:r w:rsidR="00385954">
        <w:rPr>
          <w:rFonts w:ascii="Times New Roman" w:eastAsia="Times New Roman" w:hAnsi="Times New Roman" w:cs="Times New Roman"/>
          <w:sz w:val="20"/>
          <w:szCs w:val="20"/>
        </w:rPr>
        <w:t>,</w:t>
      </w:r>
      <w:r w:rsidRPr="00385954">
        <w:rPr>
          <w:rFonts w:ascii="Times New Roman" w:eastAsia="Times New Roman" w:hAnsi="Times New Roman" w:cs="Times New Roman"/>
          <w:sz w:val="20"/>
          <w:szCs w:val="20"/>
        </w:rPr>
        <w:t xml:space="preserve"> hospitals and birthing centers “must collect and provide to the state </w:t>
      </w:r>
      <w:r w:rsidRPr="00385954">
        <w:rPr>
          <w:rFonts w:ascii="Times New Roman" w:eastAsia="Times New Roman" w:hAnsi="Times New Roman" w:cs="Times New Roman"/>
          <w:b/>
          <w:bCs/>
          <w:sz w:val="20"/>
          <w:szCs w:val="20"/>
        </w:rPr>
        <w:t>aggregate de-identified data</w:t>
      </w:r>
      <w:r w:rsidRPr="00385954">
        <w:rPr>
          <w:rFonts w:ascii="Times New Roman" w:eastAsia="Times New Roman" w:hAnsi="Times New Roman" w:cs="Times New Roman"/>
          <w:sz w:val="20"/>
          <w:szCs w:val="20"/>
        </w:rPr>
        <w:t xml:space="preserve">” relating to substance affected newborns and plans of care on a quarterly basis.  </w:t>
      </w:r>
      <w:r w:rsidRPr="00385954">
        <w:rPr>
          <w:rFonts w:ascii="Times New Roman" w:eastAsia="Times New Roman" w:hAnsi="Times New Roman" w:cs="Times New Roman"/>
          <w:i/>
          <w:iCs/>
          <w:sz w:val="20"/>
          <w:szCs w:val="20"/>
        </w:rPr>
        <w:t xml:space="preserve">See </w:t>
      </w:r>
      <w:r w:rsidRPr="00385954">
        <w:rPr>
          <w:rFonts w:ascii="Times New Roman" w:eastAsia="Times New Roman" w:hAnsi="Times New Roman" w:cs="Times New Roman"/>
          <w:sz w:val="20"/>
          <w:szCs w:val="20"/>
        </w:rPr>
        <w:t xml:space="preserve">NYS CAPTA CARA Information &amp; Resources, </w:t>
      </w:r>
      <w:hyperlink r:id="rId13" w:anchor="mandated_data_collection">
        <w:r w:rsidR="00652DD5" w:rsidRPr="00385954">
          <w:rPr>
            <w:rFonts w:ascii="Times New Roman" w:eastAsia="Times New Roman" w:hAnsi="Times New Roman" w:cs="Times New Roman"/>
            <w:color w:val="1155CC"/>
            <w:sz w:val="20"/>
            <w:szCs w:val="20"/>
            <w:u w:val="single"/>
          </w:rPr>
          <w:t>https://www.health.ny.gov/prevention/captacara/#mandated_data_collection</w:t>
        </w:r>
      </w:hyperlink>
      <w:r>
        <w:rPr>
          <w:rFonts w:ascii="Times New Roman" w:eastAsia="Times New Roman" w:hAnsi="Times New Roman" w:cs="Times New Roman"/>
          <w:sz w:val="20"/>
          <w:szCs w:val="20"/>
        </w:rPr>
        <w:t xml:space="preserve"> (revised July 2022).  The Vermont Department of Health specifies on its website that “the CAPTA notification form was developed to allow these data to be collected in a de-identified way to meet federal requirements separately from the Department for Children and Families (DCF) reporting system.”  FAQs: Vermont CAPTA Notification, </w:t>
      </w:r>
      <w:hyperlink r:id="rId14">
        <w:r w:rsidR="00652DD5">
          <w:rPr>
            <w:rFonts w:ascii="Times New Roman" w:eastAsia="Times New Roman" w:hAnsi="Times New Roman" w:cs="Times New Roman"/>
            <w:color w:val="1155CC"/>
            <w:sz w:val="20"/>
            <w:szCs w:val="20"/>
            <w:u w:val="single"/>
          </w:rPr>
          <w:t>https://www.healthvermont.gov/sites/default/files/document/cyf-SUP-CAPTA-FAQs_0.pdf</w:t>
        </w:r>
      </w:hyperlink>
      <w:r>
        <w:rPr>
          <w:rFonts w:ascii="Times New Roman" w:eastAsia="Times New Roman" w:hAnsi="Times New Roman" w:cs="Times New Roman"/>
          <w:sz w:val="20"/>
          <w:szCs w:val="20"/>
        </w:rPr>
        <w:t xml:space="preserve"> (revised October 2025).   </w:t>
      </w:r>
    </w:p>
  </w:footnote>
  <w:footnote w:id="11">
    <w:p w14:paraId="00000036" w14:textId="77777777" w:rsidR="00652DD5" w:rsidRDefault="00000000">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In a Philadelphia study on Plans of Safe Care (POCS), released in 2024, birth parents reported that increased scrutiny related to POSCs negatively impacted their attitudes toward healthcare providers and medications for opioid use disorders (MOUD): </w:t>
      </w:r>
    </w:p>
    <w:p w14:paraId="00000037" w14:textId="77777777" w:rsidR="00652DD5" w:rsidRDefault="00652DD5">
      <w:pPr>
        <w:spacing w:line="240" w:lineRule="auto"/>
        <w:rPr>
          <w:rFonts w:ascii="Times New Roman" w:eastAsia="Times New Roman" w:hAnsi="Times New Roman" w:cs="Times New Roman"/>
          <w:sz w:val="20"/>
          <w:szCs w:val="20"/>
        </w:rPr>
      </w:pPr>
    </w:p>
    <w:p w14:paraId="00000038" w14:textId="77777777" w:rsidR="00652DD5" w:rsidRDefault="00000000">
      <w:pPr>
        <w:spacing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After being asked how her POSC experience changed the way she talked or acted around her medical team, one participant shared that in response to feelings of increased scrutiny, “I ask more questions now…and be more alert about what I ask them and how they answer and stuff like that…because sometimes I look at what people not saying. Because sometimes people beat around the bush…every time I go see doctors, they always got to run down ‘Oh, so you </w:t>
      </w:r>
      <w:proofErr w:type="gramStart"/>
      <w:r>
        <w:rPr>
          <w:rFonts w:ascii="Times New Roman" w:eastAsia="Times New Roman" w:hAnsi="Times New Roman" w:cs="Times New Roman"/>
          <w:i/>
          <w:iCs/>
          <w:sz w:val="20"/>
          <w:szCs w:val="20"/>
        </w:rPr>
        <w:t>was</w:t>
      </w:r>
      <w:proofErr w:type="gramEnd"/>
      <w:r>
        <w:rPr>
          <w:rFonts w:ascii="Times New Roman" w:eastAsia="Times New Roman" w:hAnsi="Times New Roman" w:cs="Times New Roman"/>
          <w:i/>
          <w:iCs/>
          <w:sz w:val="20"/>
          <w:szCs w:val="20"/>
        </w:rPr>
        <w:t xml:space="preserve"> on the Suboxone.’” </w:t>
      </w:r>
    </w:p>
    <w:p w14:paraId="00000039" w14:textId="77777777" w:rsidR="00652DD5" w:rsidRDefault="00652DD5">
      <w:pPr>
        <w:spacing w:line="240" w:lineRule="auto"/>
        <w:rPr>
          <w:rFonts w:ascii="Times New Roman" w:eastAsia="Times New Roman" w:hAnsi="Times New Roman" w:cs="Times New Roman"/>
          <w:i/>
          <w:iCs/>
          <w:sz w:val="20"/>
          <w:szCs w:val="20"/>
        </w:rPr>
      </w:pPr>
    </w:p>
    <w:p w14:paraId="0000003A" w14:textId="77777777" w:rsidR="00652DD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See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121"/>
          <w:sz w:val="20"/>
          <w:szCs w:val="20"/>
          <w:highlight w:val="white"/>
        </w:rPr>
        <w:t xml:space="preserve">He Y, Chaiyachati BH, Matone M, Bastos S, Kallem S, Mehta A, Wood JN, </w:t>
      </w:r>
      <w:proofErr w:type="gramStart"/>
      <w:r>
        <w:rPr>
          <w:rFonts w:ascii="Times New Roman" w:eastAsia="Times New Roman" w:hAnsi="Times New Roman" w:cs="Times New Roman"/>
          <w:i/>
          <w:iCs/>
          <w:color w:val="212121"/>
          <w:sz w:val="20"/>
          <w:szCs w:val="20"/>
          <w:highlight w:val="white"/>
        </w:rPr>
        <w:t>Instead</w:t>
      </w:r>
      <w:proofErr w:type="gramEnd"/>
      <w:r>
        <w:rPr>
          <w:rFonts w:ascii="Times New Roman" w:eastAsia="Times New Roman" w:hAnsi="Times New Roman" w:cs="Times New Roman"/>
          <w:i/>
          <w:iCs/>
          <w:color w:val="212121"/>
          <w:sz w:val="20"/>
          <w:szCs w:val="20"/>
          <w:highlight w:val="white"/>
        </w:rPr>
        <w:t xml:space="preserve"> of just taking my baby, they could've </w:t>
      </w:r>
      <w:proofErr w:type="gramStart"/>
      <w:r>
        <w:rPr>
          <w:rFonts w:ascii="Times New Roman" w:eastAsia="Times New Roman" w:hAnsi="Times New Roman" w:cs="Times New Roman"/>
          <w:i/>
          <w:iCs/>
          <w:color w:val="212121"/>
          <w:sz w:val="20"/>
          <w:szCs w:val="20"/>
          <w:highlight w:val="white"/>
        </w:rPr>
        <w:t>actually given</w:t>
      </w:r>
      <w:proofErr w:type="gramEnd"/>
      <w:r>
        <w:rPr>
          <w:rFonts w:ascii="Times New Roman" w:eastAsia="Times New Roman" w:hAnsi="Times New Roman" w:cs="Times New Roman"/>
          <w:i/>
          <w:iCs/>
          <w:color w:val="212121"/>
          <w:sz w:val="20"/>
          <w:szCs w:val="20"/>
          <w:highlight w:val="white"/>
        </w:rPr>
        <w:t xml:space="preserve"> me a chance: Experiences with plans of safe care among birth parents impacted by perinatal substance use</w:t>
      </w:r>
      <w:r>
        <w:rPr>
          <w:rFonts w:ascii="Times New Roman" w:eastAsia="Times New Roman" w:hAnsi="Times New Roman" w:cs="Times New Roman"/>
          <w:color w:val="212121"/>
          <w:sz w:val="20"/>
          <w:szCs w:val="20"/>
          <w:highlight w:val="white"/>
        </w:rPr>
        <w:t xml:space="preserve">, Child Abuse Negl. 2024 Jun; </w:t>
      </w:r>
      <w:r>
        <w:rPr>
          <w:rFonts w:ascii="Times New Roman" w:eastAsia="Times New Roman" w:hAnsi="Times New Roman" w:cs="Times New Roman"/>
          <w:color w:val="1B1B1B"/>
          <w:sz w:val="20"/>
          <w:szCs w:val="20"/>
          <w:highlight w:val="white"/>
        </w:rPr>
        <w:t>152:106798. doi:</w:t>
      </w:r>
      <w:hyperlink r:id="rId15">
        <w:r w:rsidR="00652DD5">
          <w:rPr>
            <w:rFonts w:ascii="Times New Roman" w:eastAsia="Times New Roman" w:hAnsi="Times New Roman" w:cs="Times New Roman"/>
            <w:color w:val="1155CC"/>
            <w:sz w:val="20"/>
            <w:szCs w:val="20"/>
            <w:highlight w:val="white"/>
            <w:u w:val="single"/>
          </w:rPr>
          <w:t>10.1016/j.chiabu.2024.106798</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E40"/>
    <w:multiLevelType w:val="multilevel"/>
    <w:tmpl w:val="FD2E6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026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D5"/>
    <w:rsid w:val="00016D80"/>
    <w:rsid w:val="001618D3"/>
    <w:rsid w:val="002F3321"/>
    <w:rsid w:val="00385954"/>
    <w:rsid w:val="003F6F56"/>
    <w:rsid w:val="0043526A"/>
    <w:rsid w:val="004A48BC"/>
    <w:rsid w:val="004E5BF8"/>
    <w:rsid w:val="005A1C70"/>
    <w:rsid w:val="005D143A"/>
    <w:rsid w:val="00616947"/>
    <w:rsid w:val="00631666"/>
    <w:rsid w:val="00652DD5"/>
    <w:rsid w:val="00694C53"/>
    <w:rsid w:val="006D3BE9"/>
    <w:rsid w:val="0073301C"/>
    <w:rsid w:val="007373CA"/>
    <w:rsid w:val="008B3496"/>
    <w:rsid w:val="00A46319"/>
    <w:rsid w:val="00A84F7D"/>
    <w:rsid w:val="00BA0F71"/>
    <w:rsid w:val="00DA7804"/>
    <w:rsid w:val="00EE7FD6"/>
    <w:rsid w:val="00F55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42711"/>
  <w15:docId w15:val="{D606564D-2979-4D2F-8264-C4A21986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F6F56"/>
    <w:rPr>
      <w:color w:val="0000FF" w:themeColor="hyperlink"/>
      <w:u w:val="single"/>
    </w:rPr>
  </w:style>
  <w:style w:type="character" w:styleId="UnresolvedMention">
    <w:name w:val="Unresolved Mention"/>
    <w:basedOn w:val="DefaultParagraphFont"/>
    <w:uiPriority w:val="99"/>
    <w:semiHidden/>
    <w:unhideWhenUsed/>
    <w:rsid w:val="003F6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nili@ml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s://static1.squarespace.com/static/65e79daddfbda143522ace5d/t/66ed89f8af7a4d5e1edbbfce/1726843386472/Ground-Zero-Report-Full.pdf" TargetMode="External"/><Relationship Id="rId13" Type="http://schemas.openxmlformats.org/officeDocument/2006/relationships/hyperlink" Target="https://www.health.ny.gov/prevention/captacara/" TargetMode="External"/><Relationship Id="rId3" Type="http://schemas.openxmlformats.org/officeDocument/2006/relationships/hyperlink" Target="https://doi.org/10.1007/s10995-010-0594-7" TargetMode="External"/><Relationship Id="rId7" Type="http://schemas.openxmlformats.org/officeDocument/2006/relationships/hyperlink" Target="https://mlri.org/wp-content/uploads/2022/05/Family-Voices-Final-digital.pdf" TargetMode="External"/><Relationship Id="rId12" Type="http://schemas.openxmlformats.org/officeDocument/2006/relationships/hyperlink" Target="https://www.law.cornell.edu/definitions/uscode.php?width=840&amp;height=800&amp;iframe=true&amp;def_id=42-USC-80204913-889410344&amp;term_occur=999&amp;term_src=" TargetMode="External"/><Relationship Id="rId2" Type="http://schemas.openxmlformats.org/officeDocument/2006/relationships/hyperlink" Target="https://doi.org/10.1186/s40352-015-0015-5" TargetMode="External"/><Relationship Id="rId1" Type="http://schemas.openxmlformats.org/officeDocument/2006/relationships/hyperlink" Target="https://pmc-ncbi-nlm-nih-gov.ezproxy.princeton.edu/articles/PMC7571448/" TargetMode="External"/><Relationship Id="rId6" Type="http://schemas.openxmlformats.org/officeDocument/2006/relationships/hyperlink" Target="https://static1.squarespace.com/static/65e79daddfbda143522ace5d/t/66ed89f8af7a4d5e1edbbfce/1726843386472/Ground-Zero-Report-Full.pdf" TargetMode="External"/><Relationship Id="rId11" Type="http://schemas.openxmlformats.org/officeDocument/2006/relationships/hyperlink" Target="https://drugpolicy.org/wp-content/uploads/2024/09/TheDrugTreatmentDebate_10.30.24-Interactive.pdf" TargetMode="External"/><Relationship Id="rId5" Type="http://schemas.openxmlformats.org/officeDocument/2006/relationships/hyperlink" Target="https://nida.nih.gov/about-nida/noras-blog/2023/02/pregnant-people-substance-use-disorders-need-treatment-not-criminalization" TargetMode="External"/><Relationship Id="rId15" Type="http://schemas.openxmlformats.org/officeDocument/2006/relationships/hyperlink" Target="https://www.sciencedirect.com/science/article/abs/pii/S0145213424001881?via%3Dihub" TargetMode="External"/><Relationship Id="rId10" Type="http://schemas.openxmlformats.org/officeDocument/2006/relationships/hyperlink" Target="https://www.asam.org/advocacy/public-policy-statements/details/public-policy-statements/2022/10/12/substance-use-and-substance-use-disorder-among-pregnant-and-postpartum-people" TargetMode="External"/><Relationship Id="rId4" Type="http://schemas.openxmlformats.org/officeDocument/2006/relationships/hyperlink" Target="https://doi.org/10.1001/jamapediatrics.2022.3396" TargetMode="External"/><Relationship Id="rId9" Type="http://schemas.openxmlformats.org/officeDocument/2006/relationships/hyperlink" Target="https://static1.squarespace.com/static/65e79daddfbda143522ace5d/t/66ed89f8af7a4d5e1edbbfce/1726843386472/Ground-Zero-Report-Full.pdf" TargetMode="External"/><Relationship Id="rId14" Type="http://schemas.openxmlformats.org/officeDocument/2006/relationships/hyperlink" Target="https://www.healthvermont.gov/sites/default/files/document/cyf-SUP-CAPTA-FAQ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1712</Words>
  <Characters>9553</Characters>
  <Application>Microsoft Office Word</Application>
  <DocSecurity>0</DocSecurity>
  <Lines>146</Lines>
  <Paragraphs>38</Paragraphs>
  <ScaleCrop>false</ScaleCrop>
  <HeadingPairs>
    <vt:vector size="2" baseType="variant">
      <vt:variant>
        <vt:lpstr>Title</vt:lpstr>
      </vt:variant>
      <vt:variant>
        <vt:i4>1</vt:i4>
      </vt:variant>
    </vt:vector>
  </HeadingPairs>
  <TitlesOfParts>
    <vt:vector size="1" baseType="lpstr">
      <vt:lpstr/>
    </vt:vector>
  </TitlesOfParts>
  <Company>Mass Law Reform Institute</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Nili</dc:creator>
  <cp:lastModifiedBy>Rachel Nili</cp:lastModifiedBy>
  <cp:revision>4</cp:revision>
  <dcterms:created xsi:type="dcterms:W3CDTF">2026-05-21T15:54:00Z</dcterms:created>
  <dcterms:modified xsi:type="dcterms:W3CDTF">2026-05-21T15:54:00Z</dcterms:modified>
</cp:coreProperties>
</file>