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D20D58" w14:textId="75E84A48" w:rsidR="00BF0A4E" w:rsidRPr="00150DFA" w:rsidRDefault="00BF0A4E" w:rsidP="00BF0A4E">
      <w:pPr>
        <w:spacing w:after="0" w:line="240" w:lineRule="auto"/>
        <w:jc w:val="center"/>
        <w:rPr>
          <w:rFonts w:ascii="Arial Narrow" w:hAnsi="Arial Narrow"/>
          <w:b/>
          <w:color w:val="365F91" w:themeColor="accent1" w:themeShade="BF"/>
          <w:sz w:val="28"/>
        </w:rPr>
      </w:pPr>
      <w:r w:rsidRPr="00150DFA">
        <w:rPr>
          <w:rFonts w:ascii="Arial Narrow" w:hAnsi="Arial Narrow"/>
          <w:b/>
          <w:color w:val="365F91" w:themeColor="accent1" w:themeShade="BF"/>
          <w:sz w:val="28"/>
        </w:rPr>
        <w:t xml:space="preserve">Massachusetts </w:t>
      </w:r>
      <w:r w:rsidR="0005339B">
        <w:rPr>
          <w:rFonts w:ascii="Arial Narrow" w:hAnsi="Arial Narrow"/>
          <w:b/>
          <w:color w:val="365F91" w:themeColor="accent1" w:themeShade="BF"/>
          <w:sz w:val="28"/>
        </w:rPr>
        <w:t xml:space="preserve">Pediatric </w:t>
      </w:r>
      <w:r w:rsidRPr="00150DFA">
        <w:rPr>
          <w:rFonts w:ascii="Arial Narrow" w:hAnsi="Arial Narrow"/>
          <w:b/>
          <w:color w:val="365F91" w:themeColor="accent1" w:themeShade="BF"/>
          <w:sz w:val="28"/>
        </w:rPr>
        <w:t>Tuberculosis Risk Assessment</w:t>
      </w:r>
    </w:p>
    <w:p w14:paraId="4104E386" w14:textId="33CE181B" w:rsidR="004C6E13" w:rsidRPr="00BF0A4E" w:rsidRDefault="006F7198" w:rsidP="00BF0A4E">
      <w:pPr>
        <w:jc w:val="center"/>
        <w:rPr>
          <w:rFonts w:ascii="Arial Narrow" w:hAnsi="Arial Narrow"/>
          <w:b/>
          <w:sz w:val="28"/>
        </w:rPr>
      </w:pPr>
      <w:r w:rsidRPr="00150DFA">
        <w:rPr>
          <w:rFonts w:ascii="Arial Narrow" w:hAnsi="Arial Narrow"/>
          <w:b/>
          <w:color w:val="365F91" w:themeColor="accent1" w:themeShade="BF"/>
          <w:sz w:val="28"/>
        </w:rPr>
        <w:t>User Guide</w:t>
      </w:r>
    </w:p>
    <w:p w14:paraId="1A08CCAD" w14:textId="77777777" w:rsidR="00BF0A4E" w:rsidRPr="00BF0A4E" w:rsidRDefault="00BF0A4E" w:rsidP="00470E6F">
      <w:pPr>
        <w:spacing w:after="0"/>
        <w:rPr>
          <w:rFonts w:ascii="Arial Narrow" w:hAnsi="Arial Narrow"/>
          <w:b/>
        </w:rPr>
        <w:sectPr w:rsidR="00BF0A4E" w:rsidRPr="00BF0A4E" w:rsidSect="00BF0A4E">
          <w:footerReference w:type="default" r:id="rId8"/>
          <w:type w:val="continuous"/>
          <w:pgSz w:w="12240" w:h="15840" w:code="1"/>
          <w:pgMar w:top="720" w:right="720" w:bottom="720" w:left="720" w:header="720" w:footer="720" w:gutter="0"/>
          <w:cols w:space="720"/>
          <w:docGrid w:linePitch="360"/>
        </w:sectPr>
      </w:pPr>
    </w:p>
    <w:p w14:paraId="73996C69" w14:textId="4A041790" w:rsidR="006F7198" w:rsidRPr="00BF0A4E" w:rsidRDefault="006F7198" w:rsidP="00B06FF2">
      <w:pPr>
        <w:spacing w:after="120" w:line="240" w:lineRule="auto"/>
        <w:rPr>
          <w:rFonts w:ascii="Arial Narrow" w:hAnsi="Arial Narrow"/>
          <w:b/>
        </w:rPr>
      </w:pPr>
      <w:r w:rsidRPr="00BF0A4E">
        <w:rPr>
          <w:rFonts w:ascii="Arial Narrow" w:hAnsi="Arial Narrow"/>
          <w:b/>
        </w:rPr>
        <w:lastRenderedPageBreak/>
        <w:t>Avoid testing persons at low risk</w:t>
      </w:r>
    </w:p>
    <w:p w14:paraId="5FE0E517" w14:textId="4F0C715C" w:rsidR="006F7198" w:rsidRPr="00BF0A4E" w:rsidRDefault="00E415FC" w:rsidP="00BF0A4E">
      <w:pPr>
        <w:spacing w:line="240" w:lineRule="auto"/>
        <w:rPr>
          <w:rFonts w:ascii="Arial Narrow" w:hAnsi="Arial Narrow"/>
        </w:rPr>
      </w:pPr>
      <w:r w:rsidRPr="00BF0A4E">
        <w:rPr>
          <w:rFonts w:ascii="Arial Narrow" w:hAnsi="Arial Narrow"/>
        </w:rPr>
        <w:t>T</w:t>
      </w:r>
      <w:r w:rsidR="006F7198" w:rsidRPr="00BF0A4E">
        <w:rPr>
          <w:rFonts w:ascii="Arial Narrow" w:hAnsi="Arial Narrow"/>
        </w:rPr>
        <w:t xml:space="preserve">esting </w:t>
      </w:r>
      <w:r w:rsidR="00383758">
        <w:rPr>
          <w:rFonts w:ascii="Arial Narrow" w:hAnsi="Arial Narrow"/>
        </w:rPr>
        <w:t>among</w:t>
      </w:r>
      <w:r w:rsidR="00383758" w:rsidRPr="00BF0A4E">
        <w:rPr>
          <w:rFonts w:ascii="Arial Narrow" w:hAnsi="Arial Narrow"/>
        </w:rPr>
        <w:t xml:space="preserve"> </w:t>
      </w:r>
      <w:r w:rsidR="006F7198" w:rsidRPr="00BF0A4E">
        <w:rPr>
          <w:rFonts w:ascii="Arial Narrow" w:hAnsi="Arial Narrow"/>
        </w:rPr>
        <w:t>low risk populations</w:t>
      </w:r>
      <w:r w:rsidR="00BB1E24">
        <w:rPr>
          <w:rFonts w:ascii="Arial Narrow" w:hAnsi="Arial Narrow"/>
        </w:rPr>
        <w:t>,</w:t>
      </w:r>
      <w:r w:rsidR="006F7198" w:rsidRPr="00BF0A4E">
        <w:rPr>
          <w:rFonts w:ascii="Arial Narrow" w:hAnsi="Arial Narrow"/>
        </w:rPr>
        <w:t xml:space="preserve"> </w:t>
      </w:r>
      <w:r w:rsidRPr="00BF0A4E">
        <w:rPr>
          <w:rFonts w:ascii="Arial Narrow" w:hAnsi="Arial Narrow"/>
        </w:rPr>
        <w:t>in the absence of new exposure</w:t>
      </w:r>
      <w:r w:rsidR="00BB1E24">
        <w:rPr>
          <w:rFonts w:ascii="Arial Narrow" w:hAnsi="Arial Narrow"/>
        </w:rPr>
        <w:t>,</w:t>
      </w:r>
      <w:r w:rsidRPr="00BF0A4E">
        <w:rPr>
          <w:rFonts w:ascii="Arial Narrow" w:hAnsi="Arial Narrow"/>
        </w:rPr>
        <w:t xml:space="preserve"> </w:t>
      </w:r>
      <w:r w:rsidR="006F7198" w:rsidRPr="00BF0A4E">
        <w:rPr>
          <w:rFonts w:ascii="Arial Narrow" w:hAnsi="Arial Narrow"/>
        </w:rPr>
        <w:t>is not recommended</w:t>
      </w:r>
      <w:r w:rsidR="00383758">
        <w:rPr>
          <w:rFonts w:ascii="Arial Narrow" w:hAnsi="Arial Narrow"/>
        </w:rPr>
        <w:t>,</w:t>
      </w:r>
      <w:r w:rsidR="006F7198" w:rsidRPr="00BF0A4E">
        <w:rPr>
          <w:rFonts w:ascii="Arial Narrow" w:hAnsi="Arial Narrow"/>
        </w:rPr>
        <w:t xml:space="preserve"> and may result in unnecessary evaluation and treatment because of falsely positive test results.</w:t>
      </w:r>
    </w:p>
    <w:p w14:paraId="5EDE7A10" w14:textId="233D49AF" w:rsidR="006F7198" w:rsidRPr="00BF0A4E" w:rsidRDefault="006F7198" w:rsidP="00B06FF2">
      <w:pPr>
        <w:pStyle w:val="Default"/>
        <w:spacing w:after="120"/>
        <w:rPr>
          <w:b/>
          <w:sz w:val="22"/>
          <w:szCs w:val="22"/>
        </w:rPr>
      </w:pPr>
      <w:r w:rsidRPr="00BF0A4E">
        <w:rPr>
          <w:b/>
          <w:sz w:val="22"/>
          <w:szCs w:val="22"/>
        </w:rPr>
        <w:t>Local recommendations</w:t>
      </w:r>
      <w:r w:rsidR="009A5DDC">
        <w:rPr>
          <w:b/>
          <w:sz w:val="22"/>
          <w:szCs w:val="22"/>
        </w:rPr>
        <w:t>,</w:t>
      </w:r>
      <w:r w:rsidR="009A5DDC" w:rsidRPr="009A5DDC">
        <w:rPr>
          <w:b/>
          <w:sz w:val="22"/>
          <w:szCs w:val="22"/>
        </w:rPr>
        <w:t xml:space="preserve"> </w:t>
      </w:r>
      <w:r w:rsidR="009A5DDC">
        <w:rPr>
          <w:b/>
          <w:sz w:val="22"/>
          <w:szCs w:val="22"/>
        </w:rPr>
        <w:t>m</w:t>
      </w:r>
      <w:r w:rsidR="009A5DDC" w:rsidRPr="00BF0A4E">
        <w:rPr>
          <w:b/>
          <w:sz w:val="22"/>
          <w:szCs w:val="22"/>
        </w:rPr>
        <w:t>andated testing and other risk factors</w:t>
      </w:r>
    </w:p>
    <w:p w14:paraId="7AA976E2" w14:textId="78559E6E" w:rsidR="006F7198" w:rsidRPr="00BF0A4E" w:rsidRDefault="006F7198" w:rsidP="00B765C7">
      <w:pPr>
        <w:pStyle w:val="Default"/>
        <w:spacing w:before="120" w:after="120"/>
        <w:rPr>
          <w:sz w:val="22"/>
          <w:szCs w:val="22"/>
        </w:rPr>
      </w:pPr>
      <w:r w:rsidRPr="00BF0A4E">
        <w:rPr>
          <w:sz w:val="22"/>
          <w:szCs w:val="22"/>
        </w:rPr>
        <w:t xml:space="preserve">Local </w:t>
      </w:r>
      <w:r w:rsidR="00A35279" w:rsidRPr="00BF0A4E">
        <w:rPr>
          <w:sz w:val="22"/>
          <w:szCs w:val="22"/>
        </w:rPr>
        <w:t xml:space="preserve">epidemiologic circumstances, </w:t>
      </w:r>
      <w:r w:rsidRPr="00BF0A4E">
        <w:rPr>
          <w:sz w:val="22"/>
          <w:szCs w:val="22"/>
        </w:rPr>
        <w:t xml:space="preserve">recommendations and mandates should also be considered in testing decisions. </w:t>
      </w:r>
      <w:r w:rsidR="00BB1E24">
        <w:rPr>
          <w:sz w:val="22"/>
          <w:szCs w:val="22"/>
        </w:rPr>
        <w:t>P</w:t>
      </w:r>
      <w:r w:rsidR="00A82C55" w:rsidRPr="00BF0A4E">
        <w:rPr>
          <w:sz w:val="22"/>
          <w:szCs w:val="22"/>
        </w:rPr>
        <w:t>ublic health</w:t>
      </w:r>
      <w:r w:rsidRPr="00BF0A4E">
        <w:rPr>
          <w:sz w:val="22"/>
          <w:szCs w:val="22"/>
        </w:rPr>
        <w:t xml:space="preserve"> programs can customize this risk assessment according to local recommendations</w:t>
      </w:r>
      <w:r w:rsidR="00A82C55" w:rsidRPr="00BF0A4E">
        <w:rPr>
          <w:sz w:val="22"/>
          <w:szCs w:val="22"/>
        </w:rPr>
        <w:t>.</w:t>
      </w:r>
      <w:r w:rsidR="00F4095B">
        <w:rPr>
          <w:sz w:val="22"/>
          <w:szCs w:val="22"/>
        </w:rPr>
        <w:t xml:space="preserve"> </w:t>
      </w:r>
      <w:r w:rsidRPr="00BF0A4E">
        <w:rPr>
          <w:sz w:val="22"/>
          <w:szCs w:val="22"/>
        </w:rPr>
        <w:t xml:space="preserve">This risk assessment does not supersede any </w:t>
      </w:r>
      <w:r w:rsidR="00A35279" w:rsidRPr="00BF0A4E">
        <w:rPr>
          <w:sz w:val="22"/>
          <w:szCs w:val="22"/>
        </w:rPr>
        <w:t xml:space="preserve">locally </w:t>
      </w:r>
      <w:r w:rsidRPr="00BF0A4E">
        <w:rPr>
          <w:sz w:val="22"/>
          <w:szCs w:val="22"/>
        </w:rPr>
        <w:t>mandated testing.</w:t>
      </w:r>
    </w:p>
    <w:p w14:paraId="26B96031" w14:textId="77777777" w:rsidR="00F4095B" w:rsidRPr="00BF0A4E" w:rsidRDefault="00F4095B" w:rsidP="006F7198">
      <w:pPr>
        <w:pStyle w:val="Default"/>
        <w:rPr>
          <w:sz w:val="22"/>
          <w:szCs w:val="22"/>
        </w:rPr>
      </w:pPr>
    </w:p>
    <w:p w14:paraId="6536E2BA" w14:textId="5A9946FE" w:rsidR="006F7198" w:rsidRPr="00BF0A4E" w:rsidRDefault="00B06FF2" w:rsidP="00B06FF2">
      <w:pPr>
        <w:pStyle w:val="Default"/>
        <w:spacing w:after="120"/>
        <w:rPr>
          <w:b/>
          <w:sz w:val="22"/>
          <w:szCs w:val="22"/>
        </w:rPr>
      </w:pPr>
      <w:r>
        <w:rPr>
          <w:b/>
          <w:sz w:val="22"/>
          <w:szCs w:val="22"/>
        </w:rPr>
        <w:t>T</w:t>
      </w:r>
      <w:r w:rsidR="006F7198" w:rsidRPr="00BF0A4E">
        <w:rPr>
          <w:b/>
          <w:sz w:val="22"/>
          <w:szCs w:val="22"/>
        </w:rPr>
        <w:t>ravel</w:t>
      </w:r>
      <w:r>
        <w:rPr>
          <w:b/>
          <w:sz w:val="22"/>
          <w:szCs w:val="22"/>
        </w:rPr>
        <w:t xml:space="preserve"> </w:t>
      </w:r>
      <w:r w:rsidR="00DA3F16">
        <w:rPr>
          <w:b/>
          <w:sz w:val="22"/>
          <w:szCs w:val="22"/>
        </w:rPr>
        <w:t xml:space="preserve">or residence </w:t>
      </w:r>
      <w:r>
        <w:rPr>
          <w:b/>
          <w:sz w:val="22"/>
          <w:szCs w:val="22"/>
        </w:rPr>
        <w:t>outside the United States</w:t>
      </w:r>
    </w:p>
    <w:p w14:paraId="05A4D416" w14:textId="7DDBEB90" w:rsidR="006F7198" w:rsidRPr="00BF0A4E" w:rsidRDefault="006F7198" w:rsidP="006F7198">
      <w:pPr>
        <w:pStyle w:val="Default"/>
        <w:rPr>
          <w:sz w:val="22"/>
          <w:szCs w:val="22"/>
        </w:rPr>
      </w:pPr>
      <w:r w:rsidRPr="00BF0A4E">
        <w:rPr>
          <w:sz w:val="22"/>
          <w:szCs w:val="22"/>
        </w:rPr>
        <w:t xml:space="preserve">Travel </w:t>
      </w:r>
      <w:r w:rsidR="00DA3F16">
        <w:rPr>
          <w:sz w:val="22"/>
          <w:szCs w:val="22"/>
        </w:rPr>
        <w:t>or residence in</w:t>
      </w:r>
      <w:r w:rsidRPr="00BF0A4E">
        <w:rPr>
          <w:sz w:val="22"/>
          <w:szCs w:val="22"/>
        </w:rPr>
        <w:t xml:space="preserve"> countries with an elevated TB rate may be a risk for TB exposure in certain circumstances (e.g., extended duration, likely contact with infectious TB cases, high TB prevalence in travel location, non-tourist travel).</w:t>
      </w:r>
      <w:r w:rsidR="00DA3F16">
        <w:rPr>
          <w:sz w:val="22"/>
          <w:szCs w:val="22"/>
        </w:rPr>
        <w:t xml:space="preserve"> </w:t>
      </w:r>
      <w:r w:rsidR="00DA3F16" w:rsidRPr="00E86E90">
        <w:rPr>
          <w:sz w:val="22"/>
          <w:szCs w:val="22"/>
        </w:rPr>
        <w:t xml:space="preserve">The duration of </w:t>
      </w:r>
      <w:r w:rsidR="00BB1E24" w:rsidRPr="00E86E90">
        <w:rPr>
          <w:sz w:val="22"/>
          <w:szCs w:val="22"/>
        </w:rPr>
        <w:t xml:space="preserve">stay of </w:t>
      </w:r>
      <w:r w:rsidR="00DA3F16" w:rsidRPr="00E86E90">
        <w:rPr>
          <w:sz w:val="22"/>
          <w:szCs w:val="22"/>
        </w:rPr>
        <w:t xml:space="preserve">at least </w:t>
      </w:r>
      <w:r w:rsidR="00F4095B" w:rsidRPr="00E86E90">
        <w:rPr>
          <w:sz w:val="22"/>
          <w:szCs w:val="22"/>
        </w:rPr>
        <w:t>one</w:t>
      </w:r>
      <w:r w:rsidR="00DA3F16" w:rsidRPr="00E86E90">
        <w:rPr>
          <w:sz w:val="22"/>
          <w:szCs w:val="22"/>
        </w:rPr>
        <w:t xml:space="preserve"> month to trigger testing is intended to identify travel most likely to involve TB exposure. TB screening tests can be falsely negative within 8 weeks after exposure, so are best obtained 8 weeks after a child’s return.</w:t>
      </w:r>
    </w:p>
    <w:p w14:paraId="1F6913A8" w14:textId="77777777" w:rsidR="006F7198" w:rsidRPr="00BF0A4E" w:rsidRDefault="006F7198" w:rsidP="006F7198">
      <w:pPr>
        <w:pStyle w:val="Default"/>
        <w:rPr>
          <w:sz w:val="22"/>
          <w:szCs w:val="22"/>
        </w:rPr>
      </w:pPr>
    </w:p>
    <w:p w14:paraId="3A22E15B" w14:textId="68FBF8FD" w:rsidR="00AB520F" w:rsidRDefault="00AB520F" w:rsidP="00B06FF2">
      <w:pPr>
        <w:pStyle w:val="Default"/>
        <w:spacing w:after="120"/>
        <w:rPr>
          <w:b/>
          <w:sz w:val="22"/>
          <w:szCs w:val="22"/>
        </w:rPr>
      </w:pPr>
      <w:r>
        <w:rPr>
          <w:b/>
          <w:sz w:val="22"/>
          <w:szCs w:val="22"/>
        </w:rPr>
        <w:t>Immunosuppression</w:t>
      </w:r>
    </w:p>
    <w:p w14:paraId="258BEBF0" w14:textId="1ADE9729" w:rsidR="00AB520F" w:rsidRPr="00B765C7" w:rsidRDefault="00AB520F" w:rsidP="00B06FF2">
      <w:pPr>
        <w:pStyle w:val="Default"/>
        <w:spacing w:after="120"/>
        <w:rPr>
          <w:sz w:val="22"/>
          <w:szCs w:val="22"/>
        </w:rPr>
      </w:pPr>
      <w:r>
        <w:rPr>
          <w:sz w:val="22"/>
          <w:szCs w:val="22"/>
        </w:rPr>
        <w:t xml:space="preserve">The exact level of immunosuppression that predisposes to increased risk for TB progression is unknown. The threshold of steroid dose and duration used here are based on data in adults and </w:t>
      </w:r>
      <w:r w:rsidR="00BB1E24">
        <w:rPr>
          <w:sz w:val="22"/>
          <w:szCs w:val="22"/>
        </w:rPr>
        <w:t xml:space="preserve">are </w:t>
      </w:r>
      <w:r>
        <w:rPr>
          <w:sz w:val="22"/>
          <w:szCs w:val="22"/>
        </w:rPr>
        <w:t xml:space="preserve">in accordance with ACIP recommendations for live vaccines in </w:t>
      </w:r>
      <w:r w:rsidR="00BB1E24">
        <w:rPr>
          <w:sz w:val="22"/>
          <w:szCs w:val="22"/>
        </w:rPr>
        <w:t xml:space="preserve">immunosuppressed </w:t>
      </w:r>
      <w:r>
        <w:rPr>
          <w:sz w:val="22"/>
          <w:szCs w:val="22"/>
        </w:rPr>
        <w:t>children.</w:t>
      </w:r>
    </w:p>
    <w:p w14:paraId="1D23C855" w14:textId="015F2534" w:rsidR="006F7198" w:rsidRPr="00BF0A4E" w:rsidRDefault="006F7198" w:rsidP="00B06FF2">
      <w:pPr>
        <w:pStyle w:val="Default"/>
        <w:spacing w:after="120"/>
        <w:rPr>
          <w:b/>
          <w:sz w:val="22"/>
          <w:szCs w:val="22"/>
        </w:rPr>
      </w:pPr>
      <w:r w:rsidRPr="00BF0A4E">
        <w:rPr>
          <w:b/>
          <w:sz w:val="22"/>
          <w:szCs w:val="22"/>
        </w:rPr>
        <w:t xml:space="preserve">When to repeat </w:t>
      </w:r>
      <w:r w:rsidR="00DA3F16" w:rsidRPr="00BF0A4E">
        <w:rPr>
          <w:b/>
          <w:sz w:val="22"/>
          <w:szCs w:val="22"/>
        </w:rPr>
        <w:t xml:space="preserve">a risk assessment </w:t>
      </w:r>
      <w:r w:rsidRPr="00BF0A4E">
        <w:rPr>
          <w:b/>
          <w:sz w:val="22"/>
          <w:szCs w:val="22"/>
        </w:rPr>
        <w:t>a</w:t>
      </w:r>
      <w:r w:rsidR="00DA3F16">
        <w:rPr>
          <w:b/>
          <w:sz w:val="22"/>
          <w:szCs w:val="22"/>
        </w:rPr>
        <w:t>nd</w:t>
      </w:r>
      <w:r w:rsidRPr="00BF0A4E">
        <w:rPr>
          <w:b/>
          <w:sz w:val="22"/>
          <w:szCs w:val="22"/>
        </w:rPr>
        <w:t xml:space="preserve"> test</w:t>
      </w:r>
      <w:r w:rsidR="00DA3F16">
        <w:rPr>
          <w:b/>
          <w:sz w:val="22"/>
          <w:szCs w:val="22"/>
        </w:rPr>
        <w:t>ing</w:t>
      </w:r>
    </w:p>
    <w:p w14:paraId="00C9367B" w14:textId="57465BD7" w:rsidR="00BB2D5B" w:rsidRPr="00BF0A4E" w:rsidRDefault="00DA3F16" w:rsidP="006F7198">
      <w:pPr>
        <w:pStyle w:val="Default"/>
        <w:rPr>
          <w:sz w:val="22"/>
          <w:szCs w:val="22"/>
        </w:rPr>
      </w:pPr>
      <w:r w:rsidRPr="00BF0A4E">
        <w:rPr>
          <w:sz w:val="22"/>
          <w:szCs w:val="22"/>
        </w:rPr>
        <w:t xml:space="preserve">The risk assessment should be </w:t>
      </w:r>
      <w:r>
        <w:rPr>
          <w:sz w:val="22"/>
          <w:szCs w:val="22"/>
        </w:rPr>
        <w:t xml:space="preserve">completed on new patients, patients thought to have new potential exposures to TB since last assessment, </w:t>
      </w:r>
      <w:r w:rsidRPr="00E86E90">
        <w:rPr>
          <w:sz w:val="22"/>
          <w:szCs w:val="22"/>
        </w:rPr>
        <w:t xml:space="preserve">and during routine pediatric well-child visits. Repeat risk assessments should be based on the activities and risk factors specific to the child. High-risk children who volunteer or work in health care settings might require annual testing and should be considered separately. </w:t>
      </w:r>
      <w:r w:rsidR="006F7198" w:rsidRPr="00E86E90">
        <w:rPr>
          <w:sz w:val="22"/>
          <w:szCs w:val="22"/>
        </w:rPr>
        <w:t>Re</w:t>
      </w:r>
      <w:r w:rsidR="006F7198" w:rsidRPr="00BF0A4E">
        <w:rPr>
          <w:sz w:val="22"/>
          <w:szCs w:val="22"/>
        </w:rPr>
        <w:t xml:space="preserve">-testing should only be done in persons who previously </w:t>
      </w:r>
      <w:r w:rsidR="00925975" w:rsidRPr="00BF0A4E">
        <w:rPr>
          <w:sz w:val="22"/>
          <w:szCs w:val="22"/>
        </w:rPr>
        <w:t xml:space="preserve">tested </w:t>
      </w:r>
      <w:r w:rsidR="006F7198" w:rsidRPr="00BF0A4E">
        <w:rPr>
          <w:sz w:val="22"/>
          <w:szCs w:val="22"/>
        </w:rPr>
        <w:t>negative</w:t>
      </w:r>
      <w:r w:rsidR="00BB2D5B" w:rsidRPr="00BF0A4E">
        <w:rPr>
          <w:sz w:val="22"/>
          <w:szCs w:val="22"/>
        </w:rPr>
        <w:t>, and have new risk factors since the last assessment</w:t>
      </w:r>
      <w:r>
        <w:rPr>
          <w:sz w:val="22"/>
          <w:szCs w:val="22"/>
        </w:rPr>
        <w:t xml:space="preserve"> (unless they were &lt;6 months of age at the time of testing)</w:t>
      </w:r>
      <w:r w:rsidR="00BB2D5B" w:rsidRPr="00BF0A4E">
        <w:rPr>
          <w:sz w:val="22"/>
          <w:szCs w:val="22"/>
        </w:rPr>
        <w:t xml:space="preserve">. In general, </w:t>
      </w:r>
      <w:r>
        <w:rPr>
          <w:sz w:val="22"/>
          <w:szCs w:val="22"/>
        </w:rPr>
        <w:t>new risk factors</w:t>
      </w:r>
      <w:r w:rsidR="00BB2D5B" w:rsidRPr="00BF0A4E">
        <w:rPr>
          <w:sz w:val="22"/>
          <w:szCs w:val="22"/>
        </w:rPr>
        <w:t xml:space="preserve"> would include new close contact</w:t>
      </w:r>
      <w:r>
        <w:rPr>
          <w:sz w:val="22"/>
          <w:szCs w:val="22"/>
        </w:rPr>
        <w:t xml:space="preserve"> with</w:t>
      </w:r>
      <w:r w:rsidR="00383758" w:rsidRPr="00BF0A4E">
        <w:rPr>
          <w:sz w:val="22"/>
          <w:szCs w:val="22"/>
        </w:rPr>
        <w:t xml:space="preserve"> </w:t>
      </w:r>
      <w:r w:rsidR="00BB2D5B" w:rsidRPr="00BF0A4E">
        <w:rPr>
          <w:sz w:val="22"/>
          <w:szCs w:val="22"/>
        </w:rPr>
        <w:t>an infectious TB case or new immunosuppression, but could also include foreign travel.</w:t>
      </w:r>
    </w:p>
    <w:p w14:paraId="423BB8BE" w14:textId="77777777" w:rsidR="00BB2D5B" w:rsidRPr="00BF0A4E" w:rsidRDefault="00BB2D5B" w:rsidP="006F7198">
      <w:pPr>
        <w:pStyle w:val="Default"/>
        <w:rPr>
          <w:sz w:val="22"/>
          <w:szCs w:val="22"/>
        </w:rPr>
      </w:pPr>
    </w:p>
    <w:p w14:paraId="68FC2DB6" w14:textId="77777777" w:rsidR="00EE7A02" w:rsidRDefault="00EE7A02" w:rsidP="00B06FF2">
      <w:pPr>
        <w:pStyle w:val="Default"/>
        <w:spacing w:after="120"/>
        <w:rPr>
          <w:b/>
          <w:sz w:val="22"/>
          <w:szCs w:val="22"/>
        </w:rPr>
      </w:pPr>
    </w:p>
    <w:p w14:paraId="1CD91232" w14:textId="77777777" w:rsidR="00EE7A02" w:rsidRDefault="00EE7A02" w:rsidP="00B06FF2">
      <w:pPr>
        <w:pStyle w:val="Default"/>
        <w:spacing w:after="120"/>
        <w:rPr>
          <w:b/>
          <w:sz w:val="22"/>
          <w:szCs w:val="22"/>
        </w:rPr>
      </w:pPr>
    </w:p>
    <w:p w14:paraId="06EEAF11" w14:textId="2D72815A" w:rsidR="00BB2D5B" w:rsidRPr="00BF0A4E" w:rsidRDefault="00BB2D5B" w:rsidP="00B06FF2">
      <w:pPr>
        <w:pStyle w:val="Default"/>
        <w:spacing w:after="120"/>
        <w:rPr>
          <w:b/>
          <w:sz w:val="22"/>
          <w:szCs w:val="22"/>
        </w:rPr>
      </w:pPr>
      <w:r w:rsidRPr="00BF0A4E">
        <w:rPr>
          <w:b/>
          <w:sz w:val="22"/>
          <w:szCs w:val="22"/>
        </w:rPr>
        <w:lastRenderedPageBreak/>
        <w:t>IGRA preference in BCG</w:t>
      </w:r>
      <w:r w:rsidR="00436BE3">
        <w:rPr>
          <w:b/>
          <w:sz w:val="22"/>
          <w:szCs w:val="22"/>
        </w:rPr>
        <w:t>-</w:t>
      </w:r>
      <w:r w:rsidRPr="00BF0A4E">
        <w:rPr>
          <w:b/>
          <w:sz w:val="22"/>
          <w:szCs w:val="22"/>
        </w:rPr>
        <w:t>vaccinated</w:t>
      </w:r>
      <w:r w:rsidR="00874E83">
        <w:rPr>
          <w:b/>
          <w:sz w:val="22"/>
          <w:szCs w:val="22"/>
        </w:rPr>
        <w:t xml:space="preserve"> children </w:t>
      </w:r>
      <w:r w:rsidR="00874E83" w:rsidRPr="00B765C7">
        <w:rPr>
          <w:b/>
          <w:sz w:val="22"/>
          <w:szCs w:val="22"/>
          <w:u w:val="single"/>
        </w:rPr>
        <w:t>&gt;</w:t>
      </w:r>
      <w:r w:rsidR="00874E83">
        <w:rPr>
          <w:b/>
          <w:sz w:val="22"/>
          <w:szCs w:val="22"/>
        </w:rPr>
        <w:t>2 years old</w:t>
      </w:r>
    </w:p>
    <w:p w14:paraId="0DBEC5FE" w14:textId="6A0C94FD" w:rsidR="00BB2D5B" w:rsidRPr="00BF0A4E" w:rsidRDefault="00BB2D5B" w:rsidP="006F7198">
      <w:pPr>
        <w:pStyle w:val="Default"/>
        <w:rPr>
          <w:sz w:val="22"/>
          <w:szCs w:val="22"/>
        </w:rPr>
      </w:pPr>
      <w:r w:rsidRPr="00BF0A4E">
        <w:rPr>
          <w:sz w:val="22"/>
          <w:szCs w:val="22"/>
        </w:rPr>
        <w:t xml:space="preserve">Because IGRA has increased specificity for TB infection in </w:t>
      </w:r>
      <w:r w:rsidR="00A9651B">
        <w:rPr>
          <w:sz w:val="22"/>
          <w:szCs w:val="22"/>
        </w:rPr>
        <w:t>children</w:t>
      </w:r>
      <w:r w:rsidR="00A9651B" w:rsidRPr="00BF0A4E">
        <w:rPr>
          <w:sz w:val="22"/>
          <w:szCs w:val="22"/>
        </w:rPr>
        <w:t xml:space="preserve"> </w:t>
      </w:r>
      <w:r w:rsidRPr="00BF0A4E">
        <w:rPr>
          <w:sz w:val="22"/>
          <w:szCs w:val="22"/>
        </w:rPr>
        <w:t xml:space="preserve">vaccinated with BCG, IGRA is preferred over the TST in </w:t>
      </w:r>
      <w:r w:rsidR="00A9651B">
        <w:rPr>
          <w:sz w:val="22"/>
          <w:szCs w:val="22"/>
        </w:rPr>
        <w:t xml:space="preserve">children </w:t>
      </w:r>
      <w:r w:rsidR="00A9651B" w:rsidRPr="00B765C7">
        <w:rPr>
          <w:sz w:val="22"/>
          <w:szCs w:val="22"/>
          <w:u w:val="single"/>
        </w:rPr>
        <w:t>&gt;</w:t>
      </w:r>
      <w:r w:rsidR="00A9651B">
        <w:rPr>
          <w:sz w:val="22"/>
          <w:szCs w:val="22"/>
        </w:rPr>
        <w:t>2 years old</w:t>
      </w:r>
      <w:r w:rsidR="00A35279" w:rsidRPr="00BF0A4E">
        <w:rPr>
          <w:sz w:val="22"/>
          <w:szCs w:val="22"/>
        </w:rPr>
        <w:t xml:space="preserve"> with a history of BCG vaccination or who are from countries where BCG vaccination is routinely practiced</w:t>
      </w:r>
      <w:r w:rsidRPr="00BF0A4E">
        <w:rPr>
          <w:sz w:val="22"/>
          <w:szCs w:val="22"/>
        </w:rPr>
        <w:t xml:space="preserve">. </w:t>
      </w:r>
      <w:r w:rsidR="00A9651B">
        <w:rPr>
          <w:sz w:val="22"/>
          <w:szCs w:val="22"/>
        </w:rPr>
        <w:t>The primary care provider may presume that m</w:t>
      </w:r>
      <w:r w:rsidRPr="00BF0A4E">
        <w:rPr>
          <w:sz w:val="22"/>
          <w:szCs w:val="22"/>
        </w:rPr>
        <w:t xml:space="preserve">ost </w:t>
      </w:r>
      <w:r w:rsidR="00A9651B">
        <w:rPr>
          <w:sz w:val="22"/>
          <w:szCs w:val="22"/>
        </w:rPr>
        <w:t>children</w:t>
      </w:r>
      <w:r w:rsidR="00A9651B" w:rsidRPr="00BF0A4E">
        <w:rPr>
          <w:sz w:val="22"/>
          <w:szCs w:val="22"/>
        </w:rPr>
        <w:t xml:space="preserve"> </w:t>
      </w:r>
      <w:r w:rsidRPr="00BF0A4E">
        <w:rPr>
          <w:sz w:val="22"/>
          <w:szCs w:val="22"/>
        </w:rPr>
        <w:t xml:space="preserve">born outside the United States </w:t>
      </w:r>
      <w:r w:rsidR="00A9651B">
        <w:rPr>
          <w:sz w:val="22"/>
          <w:szCs w:val="22"/>
        </w:rPr>
        <w:t xml:space="preserve">may </w:t>
      </w:r>
      <w:r w:rsidRPr="00BF0A4E">
        <w:rPr>
          <w:sz w:val="22"/>
          <w:szCs w:val="22"/>
        </w:rPr>
        <w:t>have been vaccinated with BCG.</w:t>
      </w:r>
      <w:r w:rsidR="00684908">
        <w:rPr>
          <w:sz w:val="22"/>
          <w:szCs w:val="22"/>
        </w:rPr>
        <w:t xml:space="preserve"> The TST is acceptable</w:t>
      </w:r>
      <w:r w:rsidR="00F550AE">
        <w:rPr>
          <w:sz w:val="22"/>
          <w:szCs w:val="22"/>
        </w:rPr>
        <w:t>,</w:t>
      </w:r>
      <w:r w:rsidR="00684908">
        <w:rPr>
          <w:sz w:val="22"/>
          <w:szCs w:val="22"/>
        </w:rPr>
        <w:t xml:space="preserve"> </w:t>
      </w:r>
      <w:r w:rsidR="002B5666">
        <w:rPr>
          <w:sz w:val="22"/>
          <w:szCs w:val="22"/>
        </w:rPr>
        <w:t>if the patient is able to return to the provider for the reading, and the test is</w:t>
      </w:r>
      <w:r w:rsidR="00684908">
        <w:rPr>
          <w:sz w:val="22"/>
          <w:szCs w:val="22"/>
        </w:rPr>
        <w:t xml:space="preserve"> administered and read by a trained provider</w:t>
      </w:r>
      <w:r w:rsidR="002B5666">
        <w:rPr>
          <w:sz w:val="22"/>
          <w:szCs w:val="22"/>
        </w:rPr>
        <w:t xml:space="preserve">.  </w:t>
      </w:r>
    </w:p>
    <w:p w14:paraId="6ABE5832" w14:textId="77777777" w:rsidR="00BB2D5B" w:rsidRPr="00BF0A4E" w:rsidRDefault="00BB2D5B" w:rsidP="006F7198">
      <w:pPr>
        <w:pStyle w:val="Default"/>
        <w:rPr>
          <w:sz w:val="22"/>
          <w:szCs w:val="22"/>
        </w:rPr>
      </w:pPr>
    </w:p>
    <w:p w14:paraId="42DC8712" w14:textId="0BAF5074" w:rsidR="00474422" w:rsidRPr="00BF0A4E" w:rsidRDefault="00474422" w:rsidP="007E637B">
      <w:pPr>
        <w:pStyle w:val="Default"/>
        <w:spacing w:after="120"/>
        <w:rPr>
          <w:b/>
          <w:sz w:val="22"/>
          <w:szCs w:val="22"/>
        </w:rPr>
      </w:pPr>
      <w:r w:rsidRPr="00BF0A4E">
        <w:rPr>
          <w:b/>
          <w:sz w:val="22"/>
          <w:szCs w:val="22"/>
        </w:rPr>
        <w:t>Chest X-ray and medical evaluation required to rule out active TB and diagnose latent TB infection</w:t>
      </w:r>
    </w:p>
    <w:p w14:paraId="51E921DB" w14:textId="2CD48593" w:rsidR="00474422" w:rsidRPr="007E637B" w:rsidRDefault="007E637B" w:rsidP="006F7198">
      <w:pPr>
        <w:pStyle w:val="Default"/>
        <w:rPr>
          <w:sz w:val="22"/>
          <w:szCs w:val="22"/>
        </w:rPr>
      </w:pPr>
      <w:r>
        <w:rPr>
          <w:sz w:val="22"/>
          <w:szCs w:val="22"/>
        </w:rPr>
        <w:t xml:space="preserve">A medical evaluation and </w:t>
      </w:r>
      <w:r w:rsidR="00A9651B">
        <w:rPr>
          <w:sz w:val="22"/>
          <w:szCs w:val="22"/>
        </w:rPr>
        <w:t xml:space="preserve">2-view </w:t>
      </w:r>
      <w:r>
        <w:rPr>
          <w:sz w:val="22"/>
          <w:szCs w:val="22"/>
        </w:rPr>
        <w:t xml:space="preserve">chest radiograph </w:t>
      </w:r>
      <w:r w:rsidR="0091733C">
        <w:rPr>
          <w:sz w:val="22"/>
          <w:szCs w:val="22"/>
        </w:rPr>
        <w:t xml:space="preserve">(posterior/anterior and lateral) </w:t>
      </w:r>
      <w:r>
        <w:rPr>
          <w:sz w:val="22"/>
          <w:szCs w:val="22"/>
        </w:rPr>
        <w:t xml:space="preserve">help differentiate between latent TB infection and TB disease. Active disease must be </w:t>
      </w:r>
      <w:r w:rsidRPr="007E637B">
        <w:rPr>
          <w:sz w:val="22"/>
          <w:szCs w:val="22"/>
        </w:rPr>
        <w:t xml:space="preserve">excluded before treatment for </w:t>
      </w:r>
      <w:r>
        <w:rPr>
          <w:sz w:val="22"/>
          <w:szCs w:val="22"/>
        </w:rPr>
        <w:t xml:space="preserve">latent </w:t>
      </w:r>
      <w:r w:rsidRPr="007E637B">
        <w:rPr>
          <w:sz w:val="22"/>
          <w:szCs w:val="22"/>
        </w:rPr>
        <w:t>TB</w:t>
      </w:r>
      <w:r>
        <w:rPr>
          <w:sz w:val="22"/>
          <w:szCs w:val="22"/>
        </w:rPr>
        <w:t xml:space="preserve"> infection</w:t>
      </w:r>
      <w:r w:rsidRPr="007E637B">
        <w:rPr>
          <w:sz w:val="22"/>
          <w:szCs w:val="22"/>
        </w:rPr>
        <w:t xml:space="preserve"> is initiated because failure to do so may result in inadequate treatment and development of drug resistance</w:t>
      </w:r>
      <w:r>
        <w:rPr>
          <w:sz w:val="22"/>
          <w:szCs w:val="22"/>
        </w:rPr>
        <w:t>.</w:t>
      </w:r>
    </w:p>
    <w:p w14:paraId="4D0493AB" w14:textId="77777777" w:rsidR="00474422" w:rsidRPr="00BF0A4E" w:rsidRDefault="00474422" w:rsidP="006F7198">
      <w:pPr>
        <w:pStyle w:val="Default"/>
        <w:rPr>
          <w:b/>
          <w:sz w:val="22"/>
          <w:szCs w:val="22"/>
        </w:rPr>
      </w:pPr>
    </w:p>
    <w:p w14:paraId="10114CAE" w14:textId="46C681B0" w:rsidR="00375FA2" w:rsidRPr="00BF0A4E" w:rsidRDefault="005061F8" w:rsidP="00B06FF2">
      <w:pPr>
        <w:spacing w:after="120" w:line="240" w:lineRule="auto"/>
        <w:rPr>
          <w:rFonts w:ascii="Arial Narrow" w:hAnsi="Arial Narrow"/>
          <w:b/>
        </w:rPr>
      </w:pPr>
      <w:r>
        <w:rPr>
          <w:rFonts w:ascii="Arial Narrow" w:hAnsi="Arial Narrow"/>
          <w:b/>
        </w:rPr>
        <w:t xml:space="preserve">Negative test for latent </w:t>
      </w:r>
      <w:r w:rsidR="00375FA2" w:rsidRPr="00BF0A4E">
        <w:rPr>
          <w:rFonts w:ascii="Arial Narrow" w:hAnsi="Arial Narrow"/>
          <w:b/>
        </w:rPr>
        <w:t>TB</w:t>
      </w:r>
      <w:r>
        <w:rPr>
          <w:rFonts w:ascii="Arial Narrow" w:hAnsi="Arial Narrow"/>
          <w:b/>
        </w:rPr>
        <w:t xml:space="preserve"> infection</w:t>
      </w:r>
      <w:r w:rsidR="00375FA2" w:rsidRPr="00BF0A4E">
        <w:rPr>
          <w:rFonts w:ascii="Arial Narrow" w:hAnsi="Arial Narrow"/>
          <w:b/>
        </w:rPr>
        <w:t xml:space="preserve"> does not rule out active TB disease</w:t>
      </w:r>
    </w:p>
    <w:p w14:paraId="02B77293" w14:textId="49A6D5AC" w:rsidR="00375FA2" w:rsidRPr="00BF0A4E" w:rsidRDefault="00375FA2" w:rsidP="00A51B3C">
      <w:pPr>
        <w:spacing w:after="0" w:line="240" w:lineRule="auto"/>
        <w:rPr>
          <w:rFonts w:ascii="Arial Narrow" w:hAnsi="Arial Narrow"/>
        </w:rPr>
      </w:pPr>
      <w:r w:rsidRPr="00BF0A4E">
        <w:rPr>
          <w:rFonts w:ascii="Arial Narrow" w:hAnsi="Arial Narrow"/>
        </w:rPr>
        <w:t>It is important to remember that a negative TST or IGRA result does not rule out active TB. In fact, a negative TST or IGRA in a patient with active TB can be a sign of extensive disease and poor outcome.</w:t>
      </w:r>
      <w:r w:rsidR="00AB520F">
        <w:rPr>
          <w:rFonts w:ascii="Arial Narrow" w:hAnsi="Arial Narrow"/>
        </w:rPr>
        <w:t xml:space="preserve"> Any suspicion for active TB disease or extensive exposure to TB should prompt an evaluation for active TB disease, including physical exam, symptom review, and </w:t>
      </w:r>
      <w:r w:rsidR="00AB520F" w:rsidRPr="00E86E90">
        <w:rPr>
          <w:rFonts w:ascii="Arial Narrow" w:hAnsi="Arial Narrow"/>
        </w:rPr>
        <w:t>2-view chest X-ray.</w:t>
      </w:r>
    </w:p>
    <w:p w14:paraId="0953F922" w14:textId="77777777" w:rsidR="00A51B3C" w:rsidRDefault="00A51B3C" w:rsidP="00375FA2">
      <w:pPr>
        <w:spacing w:after="0"/>
        <w:rPr>
          <w:rFonts w:ascii="Arial Narrow" w:hAnsi="Arial Narrow"/>
          <w:b/>
        </w:rPr>
      </w:pPr>
    </w:p>
    <w:p w14:paraId="52B33031" w14:textId="5BD24BFC" w:rsidR="00375FA2" w:rsidRPr="00BF0A4E" w:rsidRDefault="00375FA2" w:rsidP="00B06FF2">
      <w:pPr>
        <w:spacing w:after="120" w:line="240" w:lineRule="auto"/>
        <w:rPr>
          <w:rFonts w:ascii="Arial Narrow" w:hAnsi="Arial Narrow"/>
          <w:b/>
        </w:rPr>
      </w:pPr>
      <w:r w:rsidRPr="00BF0A4E">
        <w:rPr>
          <w:rFonts w:ascii="Arial Narrow" w:hAnsi="Arial Narrow"/>
          <w:b/>
        </w:rPr>
        <w:t xml:space="preserve">Symptoms that should trigger evaluation for active TB </w:t>
      </w:r>
      <w:proofErr w:type="gramStart"/>
      <w:r w:rsidRPr="00BF0A4E">
        <w:rPr>
          <w:rFonts w:ascii="Arial Narrow" w:hAnsi="Arial Narrow"/>
          <w:b/>
        </w:rPr>
        <w:t>disease</w:t>
      </w:r>
      <w:proofErr w:type="gramEnd"/>
      <w:r w:rsidR="006467A2">
        <w:rPr>
          <w:rFonts w:ascii="Arial Narrow" w:hAnsi="Arial Narrow"/>
          <w:b/>
        </w:rPr>
        <w:t xml:space="preserve"> in persons of any age</w:t>
      </w:r>
    </w:p>
    <w:p w14:paraId="3F4CA9E2" w14:textId="2ED0AF16" w:rsidR="00375FA2" w:rsidRPr="00BF0A4E" w:rsidRDefault="00375FA2" w:rsidP="00BF0A4E">
      <w:pPr>
        <w:spacing w:after="0" w:line="240" w:lineRule="auto"/>
        <w:rPr>
          <w:rFonts w:ascii="Arial Narrow" w:hAnsi="Arial Narrow"/>
        </w:rPr>
      </w:pPr>
      <w:r w:rsidRPr="00BF0A4E">
        <w:rPr>
          <w:rFonts w:ascii="Arial Narrow" w:hAnsi="Arial Narrow"/>
        </w:rPr>
        <w:t>Patients with any of the following symptoms</w:t>
      </w:r>
      <w:r w:rsidR="00A148E6">
        <w:rPr>
          <w:rFonts w:ascii="Arial Narrow" w:hAnsi="Arial Narrow"/>
        </w:rPr>
        <w:t>,</w:t>
      </w:r>
      <w:r w:rsidRPr="00BF0A4E">
        <w:rPr>
          <w:rFonts w:ascii="Arial Narrow" w:hAnsi="Arial Narrow"/>
        </w:rPr>
        <w:t xml:space="preserve"> that are otherwise unexplained</w:t>
      </w:r>
      <w:r w:rsidR="00A148E6">
        <w:rPr>
          <w:rFonts w:ascii="Arial Narrow" w:hAnsi="Arial Narrow"/>
        </w:rPr>
        <w:t>,</w:t>
      </w:r>
      <w:r w:rsidRPr="00BF0A4E">
        <w:rPr>
          <w:rFonts w:ascii="Arial Narrow" w:hAnsi="Arial Narrow"/>
        </w:rPr>
        <w:t xml:space="preserve"> should be evaluated for active TB disease: cough for more than 2-3 weeks, fevers, night sweats, weight loss, </w:t>
      </w:r>
      <w:r w:rsidR="009755A2">
        <w:rPr>
          <w:rFonts w:ascii="Arial Narrow" w:hAnsi="Arial Narrow"/>
        </w:rPr>
        <w:t xml:space="preserve">lymphadenopathy, </w:t>
      </w:r>
      <w:r w:rsidRPr="00BF0A4E">
        <w:rPr>
          <w:rFonts w:ascii="Arial Narrow" w:hAnsi="Arial Narrow"/>
        </w:rPr>
        <w:t>hemoptysis</w:t>
      </w:r>
      <w:r w:rsidR="009755A2">
        <w:rPr>
          <w:rFonts w:ascii="Arial Narrow" w:hAnsi="Arial Narrow"/>
        </w:rPr>
        <w:t xml:space="preserve"> or excessive fatigue</w:t>
      </w:r>
      <w:r w:rsidRPr="00BF0A4E">
        <w:rPr>
          <w:rFonts w:ascii="Arial Narrow" w:hAnsi="Arial Narrow"/>
        </w:rPr>
        <w:t>.</w:t>
      </w:r>
    </w:p>
    <w:p w14:paraId="5B25F29B" w14:textId="6BDB0E8B" w:rsidR="00A51B3C" w:rsidRDefault="00A51B3C" w:rsidP="006F2EE0">
      <w:pPr>
        <w:spacing w:after="0"/>
        <w:rPr>
          <w:rFonts w:ascii="Arial Narrow" w:hAnsi="Arial Narrow"/>
          <w:b/>
        </w:rPr>
      </w:pPr>
    </w:p>
    <w:p w14:paraId="7B1E2B06" w14:textId="0CE53280" w:rsidR="00375FA2" w:rsidRDefault="00CA2DF8" w:rsidP="00CA2DF8">
      <w:pPr>
        <w:spacing w:after="120" w:line="240" w:lineRule="auto"/>
        <w:rPr>
          <w:rFonts w:ascii="Arial Narrow" w:hAnsi="Arial Narrow"/>
          <w:b/>
        </w:rPr>
      </w:pPr>
      <w:r>
        <w:rPr>
          <w:rFonts w:ascii="Arial Narrow" w:hAnsi="Arial Narrow"/>
          <w:b/>
        </w:rPr>
        <w:t>Decision to test requires commitment to connect patients with evaluation and treatment resources</w:t>
      </w:r>
    </w:p>
    <w:p w14:paraId="4F6582E9" w14:textId="23C5F3D5" w:rsidR="006F2EE0" w:rsidRPr="00BF0A4E" w:rsidRDefault="006F2EE0" w:rsidP="00BF0A4E">
      <w:pPr>
        <w:spacing w:after="0" w:line="240" w:lineRule="auto"/>
        <w:rPr>
          <w:rFonts w:ascii="Arial Narrow" w:hAnsi="Arial Narrow"/>
        </w:rPr>
      </w:pPr>
      <w:r w:rsidRPr="00BF0A4E">
        <w:rPr>
          <w:rFonts w:ascii="Arial Narrow" w:hAnsi="Arial Narrow"/>
        </w:rPr>
        <w:t xml:space="preserve">Because testing of persons at low risk of </w:t>
      </w:r>
      <w:r w:rsidR="000860FC" w:rsidRPr="00BF0A4E">
        <w:rPr>
          <w:rFonts w:ascii="Arial Narrow" w:hAnsi="Arial Narrow"/>
        </w:rPr>
        <w:t xml:space="preserve">latent </w:t>
      </w:r>
      <w:r w:rsidRPr="00BF0A4E">
        <w:rPr>
          <w:rFonts w:ascii="Arial Narrow" w:hAnsi="Arial Narrow"/>
        </w:rPr>
        <w:t>TB</w:t>
      </w:r>
      <w:r w:rsidR="000860FC" w:rsidRPr="00BF0A4E">
        <w:rPr>
          <w:rFonts w:ascii="Arial Narrow" w:hAnsi="Arial Narrow"/>
        </w:rPr>
        <w:t xml:space="preserve"> infection</w:t>
      </w:r>
      <w:r w:rsidRPr="00BF0A4E">
        <w:rPr>
          <w:rFonts w:ascii="Arial Narrow" w:hAnsi="Arial Narrow"/>
        </w:rPr>
        <w:t xml:space="preserve"> should not be done, persons </w:t>
      </w:r>
      <w:r w:rsidR="00A148E6">
        <w:rPr>
          <w:rFonts w:ascii="Arial Narrow" w:hAnsi="Arial Narrow"/>
        </w:rPr>
        <w:t>who</w:t>
      </w:r>
      <w:r w:rsidR="00A148E6" w:rsidRPr="00BF0A4E">
        <w:rPr>
          <w:rFonts w:ascii="Arial Narrow" w:hAnsi="Arial Narrow"/>
        </w:rPr>
        <w:t xml:space="preserve"> </w:t>
      </w:r>
      <w:r w:rsidRPr="00BF0A4E">
        <w:rPr>
          <w:rFonts w:ascii="Arial Narrow" w:hAnsi="Arial Narrow"/>
        </w:rPr>
        <w:t xml:space="preserve">test positive for </w:t>
      </w:r>
      <w:r w:rsidR="000860FC" w:rsidRPr="00BF0A4E">
        <w:rPr>
          <w:rFonts w:ascii="Arial Narrow" w:hAnsi="Arial Narrow"/>
        </w:rPr>
        <w:t xml:space="preserve">latent </w:t>
      </w:r>
      <w:r w:rsidRPr="00BF0A4E">
        <w:rPr>
          <w:rFonts w:ascii="Arial Narrow" w:hAnsi="Arial Narrow"/>
        </w:rPr>
        <w:t>TB</w:t>
      </w:r>
      <w:r w:rsidR="000860FC" w:rsidRPr="00BF0A4E">
        <w:rPr>
          <w:rFonts w:ascii="Arial Narrow" w:hAnsi="Arial Narrow"/>
        </w:rPr>
        <w:t xml:space="preserve"> infection</w:t>
      </w:r>
      <w:r w:rsidRPr="00BF0A4E">
        <w:rPr>
          <w:rFonts w:ascii="Arial Narrow" w:hAnsi="Arial Narrow"/>
        </w:rPr>
        <w:t xml:space="preserve"> should generally be treated once active TB disease has been ruled out with a </w:t>
      </w:r>
      <w:r w:rsidR="00150DFA">
        <w:rPr>
          <w:rFonts w:ascii="Arial Narrow" w:hAnsi="Arial Narrow"/>
        </w:rPr>
        <w:t xml:space="preserve">symptom screen, </w:t>
      </w:r>
      <w:r w:rsidRPr="00BF0A4E">
        <w:rPr>
          <w:rFonts w:ascii="Arial Narrow" w:hAnsi="Arial Narrow"/>
        </w:rPr>
        <w:t xml:space="preserve">chest radiograph and, if indicated, sputum smears, cultures, and nucleic acid amplification testing. However, clinicians should not </w:t>
      </w:r>
      <w:r w:rsidR="0091733C">
        <w:rPr>
          <w:rFonts w:ascii="Arial Narrow" w:hAnsi="Arial Narrow"/>
        </w:rPr>
        <w:t>feel</w:t>
      </w:r>
      <w:r w:rsidR="0091733C" w:rsidRPr="00BF0A4E">
        <w:rPr>
          <w:rFonts w:ascii="Arial Narrow" w:hAnsi="Arial Narrow"/>
        </w:rPr>
        <w:t xml:space="preserve"> obligated</w:t>
      </w:r>
      <w:r w:rsidRPr="00BF0A4E">
        <w:rPr>
          <w:rFonts w:ascii="Arial Narrow" w:hAnsi="Arial Narrow"/>
        </w:rPr>
        <w:t xml:space="preserve"> to treat low risk person with a positive test for </w:t>
      </w:r>
      <w:r w:rsidR="000860FC" w:rsidRPr="00BF0A4E">
        <w:rPr>
          <w:rFonts w:ascii="Arial Narrow" w:hAnsi="Arial Narrow"/>
        </w:rPr>
        <w:t xml:space="preserve">latent </w:t>
      </w:r>
      <w:r w:rsidRPr="00BF0A4E">
        <w:rPr>
          <w:rFonts w:ascii="Arial Narrow" w:hAnsi="Arial Narrow"/>
        </w:rPr>
        <w:t>TB</w:t>
      </w:r>
      <w:r w:rsidR="000860FC" w:rsidRPr="00BF0A4E">
        <w:rPr>
          <w:rFonts w:ascii="Arial Narrow" w:hAnsi="Arial Narrow"/>
        </w:rPr>
        <w:t xml:space="preserve"> infection</w:t>
      </w:r>
      <w:r w:rsidRPr="00BF0A4E">
        <w:rPr>
          <w:rFonts w:ascii="Arial Narrow" w:hAnsi="Arial Narrow"/>
        </w:rPr>
        <w:t>.</w:t>
      </w:r>
    </w:p>
    <w:p w14:paraId="59D91261" w14:textId="77777777" w:rsidR="00A51B3C" w:rsidRDefault="00A51B3C" w:rsidP="006F2EE0">
      <w:pPr>
        <w:spacing w:after="0"/>
        <w:rPr>
          <w:rFonts w:ascii="Arial Narrow" w:hAnsi="Arial Narrow"/>
          <w:b/>
        </w:rPr>
      </w:pPr>
    </w:p>
    <w:p w14:paraId="045BF6B2" w14:textId="7CFCCFCB" w:rsidR="006F2EE0" w:rsidRPr="00BF0A4E" w:rsidRDefault="006F2EE0" w:rsidP="00B06FF2">
      <w:pPr>
        <w:spacing w:after="120" w:line="240" w:lineRule="auto"/>
        <w:rPr>
          <w:rFonts w:ascii="Arial Narrow" w:hAnsi="Arial Narrow"/>
          <w:b/>
        </w:rPr>
      </w:pPr>
      <w:r w:rsidRPr="00BF0A4E">
        <w:rPr>
          <w:rFonts w:ascii="Arial Narrow" w:hAnsi="Arial Narrow"/>
          <w:b/>
        </w:rPr>
        <w:lastRenderedPageBreak/>
        <w:t xml:space="preserve">Emphasis on short course for treatment of </w:t>
      </w:r>
      <w:r w:rsidR="000860FC" w:rsidRPr="00BF0A4E">
        <w:rPr>
          <w:rFonts w:ascii="Arial Narrow" w:hAnsi="Arial Narrow"/>
          <w:b/>
        </w:rPr>
        <w:t xml:space="preserve">latent </w:t>
      </w:r>
      <w:r w:rsidRPr="00BF0A4E">
        <w:rPr>
          <w:rFonts w:ascii="Arial Narrow" w:hAnsi="Arial Narrow"/>
          <w:b/>
        </w:rPr>
        <w:t>TB</w:t>
      </w:r>
      <w:r w:rsidR="000860FC" w:rsidRPr="00BF0A4E">
        <w:rPr>
          <w:rFonts w:ascii="Arial Narrow" w:hAnsi="Arial Narrow"/>
          <w:b/>
        </w:rPr>
        <w:t xml:space="preserve"> infection</w:t>
      </w:r>
    </w:p>
    <w:p w14:paraId="5713BA2B" w14:textId="6BB4E76B" w:rsidR="006F2EE0" w:rsidRPr="00BF0A4E" w:rsidRDefault="006F2EE0" w:rsidP="00BF0A4E">
      <w:pPr>
        <w:spacing w:after="0" w:line="240" w:lineRule="auto"/>
        <w:rPr>
          <w:rFonts w:ascii="Arial Narrow" w:hAnsi="Arial Narrow"/>
        </w:rPr>
      </w:pPr>
      <w:r w:rsidRPr="00BF0A4E">
        <w:rPr>
          <w:rFonts w:ascii="Arial Narrow" w:hAnsi="Arial Narrow"/>
        </w:rPr>
        <w:t xml:space="preserve">Shorter regimens for treating </w:t>
      </w:r>
      <w:r w:rsidR="000860FC" w:rsidRPr="00BF0A4E">
        <w:rPr>
          <w:rFonts w:ascii="Arial Narrow" w:hAnsi="Arial Narrow"/>
        </w:rPr>
        <w:t xml:space="preserve">latent </w:t>
      </w:r>
      <w:r w:rsidRPr="00BF0A4E">
        <w:rPr>
          <w:rFonts w:ascii="Arial Narrow" w:hAnsi="Arial Narrow"/>
        </w:rPr>
        <w:t>TB</w:t>
      </w:r>
      <w:r w:rsidR="000860FC" w:rsidRPr="00BF0A4E">
        <w:rPr>
          <w:rFonts w:ascii="Arial Narrow" w:hAnsi="Arial Narrow"/>
        </w:rPr>
        <w:t xml:space="preserve"> infection</w:t>
      </w:r>
      <w:r w:rsidRPr="00BF0A4E">
        <w:rPr>
          <w:rFonts w:ascii="Arial Narrow" w:hAnsi="Arial Narrow"/>
        </w:rPr>
        <w:t xml:space="preserve"> have been shown to be more likely to be completed</w:t>
      </w:r>
      <w:r w:rsidR="00724D9E">
        <w:rPr>
          <w:rFonts w:ascii="Arial Narrow" w:hAnsi="Arial Narrow"/>
        </w:rPr>
        <w:t>,</w:t>
      </w:r>
      <w:r w:rsidRPr="00BF0A4E">
        <w:rPr>
          <w:rFonts w:ascii="Arial Narrow" w:hAnsi="Arial Narrow"/>
        </w:rPr>
        <w:t xml:space="preserve"> and the 12-</w:t>
      </w:r>
      <w:r w:rsidR="00724D9E">
        <w:rPr>
          <w:rFonts w:ascii="Arial Narrow" w:hAnsi="Arial Narrow"/>
        </w:rPr>
        <w:t>week</w:t>
      </w:r>
      <w:r w:rsidRPr="00BF0A4E">
        <w:rPr>
          <w:rFonts w:ascii="Arial Narrow" w:hAnsi="Arial Narrow"/>
        </w:rPr>
        <w:t xml:space="preserve"> </w:t>
      </w:r>
      <w:r w:rsidR="0091733C">
        <w:rPr>
          <w:rFonts w:ascii="Arial Narrow" w:hAnsi="Arial Narrow"/>
        </w:rPr>
        <w:t>isoniazid/</w:t>
      </w:r>
      <w:proofErr w:type="spellStart"/>
      <w:r w:rsidR="0091733C">
        <w:rPr>
          <w:rFonts w:ascii="Arial Narrow" w:hAnsi="Arial Narrow"/>
        </w:rPr>
        <w:t>rifapentine</w:t>
      </w:r>
      <w:proofErr w:type="spellEnd"/>
      <w:r w:rsidR="0091733C">
        <w:rPr>
          <w:rFonts w:ascii="Arial Narrow" w:hAnsi="Arial Narrow"/>
        </w:rPr>
        <w:t xml:space="preserve"> </w:t>
      </w:r>
      <w:r w:rsidRPr="00BF0A4E">
        <w:rPr>
          <w:rFonts w:ascii="Arial Narrow" w:hAnsi="Arial Narrow"/>
        </w:rPr>
        <w:t>regimen has been shown to be as effective as 9 months of isoniazid. Use of these shorter regimens is preferred in most patients</w:t>
      </w:r>
      <w:r w:rsidR="00724D9E">
        <w:rPr>
          <w:rFonts w:ascii="Arial Narrow" w:hAnsi="Arial Narrow"/>
        </w:rPr>
        <w:t>, although the 12-week regimen is not recommended for children &lt;2 years of age, children on antiretroviral medications, or pregnant adolescents</w:t>
      </w:r>
      <w:r w:rsidRPr="00BF0A4E">
        <w:rPr>
          <w:rFonts w:ascii="Arial Narrow" w:hAnsi="Arial Narrow"/>
        </w:rPr>
        <w:t xml:space="preserve">. </w:t>
      </w:r>
      <w:r w:rsidR="00724D9E">
        <w:rPr>
          <w:rFonts w:ascii="Arial Narrow" w:hAnsi="Arial Narrow"/>
        </w:rPr>
        <w:t>D</w:t>
      </w:r>
      <w:r w:rsidR="00A148E6" w:rsidRPr="00BF0A4E">
        <w:rPr>
          <w:rFonts w:ascii="Arial Narrow" w:hAnsi="Arial Narrow"/>
        </w:rPr>
        <w:t>rug</w:t>
      </w:r>
      <w:r w:rsidRPr="00BF0A4E">
        <w:rPr>
          <w:rFonts w:ascii="Arial Narrow" w:hAnsi="Arial Narrow"/>
        </w:rPr>
        <w:t xml:space="preserve">-drug interactions and contact to drug resistant TB are </w:t>
      </w:r>
      <w:r w:rsidR="00724D9E">
        <w:rPr>
          <w:rFonts w:ascii="Arial Narrow" w:hAnsi="Arial Narrow"/>
        </w:rPr>
        <w:t>also</w:t>
      </w:r>
      <w:r w:rsidR="00724D9E" w:rsidRPr="00BF0A4E">
        <w:rPr>
          <w:rFonts w:ascii="Arial Narrow" w:hAnsi="Arial Narrow"/>
        </w:rPr>
        <w:t xml:space="preserve"> </w:t>
      </w:r>
      <w:r w:rsidRPr="00BF0A4E">
        <w:rPr>
          <w:rFonts w:ascii="Arial Narrow" w:hAnsi="Arial Narrow"/>
        </w:rPr>
        <w:t xml:space="preserve">reasons these </w:t>
      </w:r>
      <w:r w:rsidR="00724D9E">
        <w:rPr>
          <w:rFonts w:ascii="Arial Narrow" w:hAnsi="Arial Narrow"/>
        </w:rPr>
        <w:t xml:space="preserve">shorter </w:t>
      </w:r>
      <w:r w:rsidRPr="00BF0A4E">
        <w:rPr>
          <w:rFonts w:ascii="Arial Narrow" w:hAnsi="Arial Narrow"/>
        </w:rPr>
        <w:t>regimens cannot be used.</w:t>
      </w:r>
    </w:p>
    <w:p w14:paraId="77A2E68E" w14:textId="77777777" w:rsidR="00A51B3C" w:rsidRDefault="00A51B3C" w:rsidP="00470E6F">
      <w:pPr>
        <w:spacing w:after="0"/>
        <w:rPr>
          <w:rFonts w:ascii="Arial Narrow" w:hAnsi="Arial Narrow"/>
          <w:b/>
        </w:rPr>
      </w:pPr>
    </w:p>
    <w:p w14:paraId="2AD9E39B" w14:textId="445946F5" w:rsidR="00470E6F" w:rsidRPr="00BF0A4E" w:rsidRDefault="00470E6F" w:rsidP="00B06FF2">
      <w:pPr>
        <w:spacing w:after="120" w:line="240" w:lineRule="auto"/>
        <w:rPr>
          <w:rFonts w:ascii="Arial Narrow" w:hAnsi="Arial Narrow"/>
          <w:b/>
        </w:rPr>
      </w:pPr>
      <w:r w:rsidRPr="00BF0A4E">
        <w:rPr>
          <w:rFonts w:ascii="Arial Narrow" w:hAnsi="Arial Narrow"/>
          <w:b/>
        </w:rPr>
        <w:t xml:space="preserve">Shorter duration </w:t>
      </w:r>
      <w:r w:rsidR="00D92CD6" w:rsidRPr="00BF0A4E">
        <w:rPr>
          <w:rFonts w:ascii="Arial Narrow" w:hAnsi="Arial Narrow"/>
          <w:b/>
        </w:rPr>
        <w:t xml:space="preserve">latent </w:t>
      </w:r>
      <w:r w:rsidRPr="00BF0A4E">
        <w:rPr>
          <w:rFonts w:ascii="Arial Narrow" w:hAnsi="Arial Narrow"/>
          <w:b/>
        </w:rPr>
        <w:t>TB</w:t>
      </w:r>
      <w:r w:rsidR="00D92CD6" w:rsidRPr="00BF0A4E">
        <w:rPr>
          <w:rFonts w:ascii="Arial Narrow" w:hAnsi="Arial Narrow"/>
          <w:b/>
        </w:rPr>
        <w:t xml:space="preserve"> infection</w:t>
      </w:r>
      <w:r w:rsidRPr="00BF0A4E">
        <w:rPr>
          <w:rFonts w:ascii="Arial Narrow" w:hAnsi="Arial Narrow"/>
          <w:b/>
        </w:rPr>
        <w:t xml:space="preserve"> treatment regimens</w:t>
      </w:r>
    </w:p>
    <w:tbl>
      <w:tblPr>
        <w:tblStyle w:val="TableGrid"/>
        <w:tblW w:w="0" w:type="auto"/>
        <w:tblLook w:val="04A0" w:firstRow="1" w:lastRow="0" w:firstColumn="1" w:lastColumn="0" w:noHBand="0" w:noVBand="1"/>
      </w:tblPr>
      <w:tblGrid>
        <w:gridCol w:w="1805"/>
        <w:gridCol w:w="1784"/>
        <w:gridCol w:w="1667"/>
      </w:tblGrid>
      <w:tr w:rsidR="00470E6F" w:rsidRPr="00BF0A4E" w14:paraId="5D91924A" w14:textId="77777777" w:rsidTr="00470E6F">
        <w:tc>
          <w:tcPr>
            <w:tcW w:w="3192" w:type="dxa"/>
          </w:tcPr>
          <w:p w14:paraId="03FD7EF0" w14:textId="77777777" w:rsidR="00470E6F" w:rsidRPr="00BF0A4E" w:rsidRDefault="00470E6F" w:rsidP="006F7198">
            <w:pPr>
              <w:rPr>
                <w:rFonts w:ascii="Arial Narrow" w:hAnsi="Arial Narrow"/>
                <w:b/>
              </w:rPr>
            </w:pPr>
            <w:r w:rsidRPr="00BF0A4E">
              <w:rPr>
                <w:rFonts w:ascii="Arial Narrow" w:hAnsi="Arial Narrow"/>
                <w:b/>
              </w:rPr>
              <w:t>Medication</w:t>
            </w:r>
          </w:p>
        </w:tc>
        <w:tc>
          <w:tcPr>
            <w:tcW w:w="3192" w:type="dxa"/>
          </w:tcPr>
          <w:p w14:paraId="2EFB778F" w14:textId="77777777" w:rsidR="00470E6F" w:rsidRPr="00BF0A4E" w:rsidRDefault="00470E6F" w:rsidP="006F7198">
            <w:pPr>
              <w:rPr>
                <w:rFonts w:ascii="Arial Narrow" w:hAnsi="Arial Narrow"/>
                <w:b/>
              </w:rPr>
            </w:pPr>
            <w:r w:rsidRPr="00BF0A4E">
              <w:rPr>
                <w:rFonts w:ascii="Arial Narrow" w:hAnsi="Arial Narrow"/>
                <w:b/>
              </w:rPr>
              <w:t>Frequency</w:t>
            </w:r>
          </w:p>
        </w:tc>
        <w:tc>
          <w:tcPr>
            <w:tcW w:w="3192" w:type="dxa"/>
          </w:tcPr>
          <w:p w14:paraId="00266F89" w14:textId="77777777" w:rsidR="00470E6F" w:rsidRPr="00BF0A4E" w:rsidRDefault="00470E6F" w:rsidP="006F7198">
            <w:pPr>
              <w:rPr>
                <w:rFonts w:ascii="Arial Narrow" w:hAnsi="Arial Narrow"/>
                <w:b/>
              </w:rPr>
            </w:pPr>
            <w:r w:rsidRPr="00BF0A4E">
              <w:rPr>
                <w:rFonts w:ascii="Arial Narrow" w:hAnsi="Arial Narrow"/>
                <w:b/>
              </w:rPr>
              <w:t>Duration</w:t>
            </w:r>
          </w:p>
        </w:tc>
      </w:tr>
      <w:tr w:rsidR="00470E6F" w:rsidRPr="00BF0A4E" w14:paraId="7E81A210" w14:textId="77777777" w:rsidTr="00A86B4C">
        <w:tc>
          <w:tcPr>
            <w:tcW w:w="3192" w:type="dxa"/>
            <w:vAlign w:val="center"/>
          </w:tcPr>
          <w:p w14:paraId="34A61194" w14:textId="77777777" w:rsidR="00470E6F" w:rsidRPr="00BF0A4E" w:rsidRDefault="00470E6F" w:rsidP="00A86B4C">
            <w:pPr>
              <w:rPr>
                <w:rFonts w:ascii="Arial Narrow" w:hAnsi="Arial Narrow"/>
              </w:rPr>
            </w:pPr>
            <w:r w:rsidRPr="00BF0A4E">
              <w:rPr>
                <w:rFonts w:ascii="Arial Narrow" w:hAnsi="Arial Narrow"/>
              </w:rPr>
              <w:t>Rifampin</w:t>
            </w:r>
          </w:p>
        </w:tc>
        <w:tc>
          <w:tcPr>
            <w:tcW w:w="3192" w:type="dxa"/>
            <w:vAlign w:val="center"/>
          </w:tcPr>
          <w:p w14:paraId="61FD23D2" w14:textId="77777777" w:rsidR="00470E6F" w:rsidRPr="00BF0A4E" w:rsidRDefault="00470E6F" w:rsidP="00A86B4C">
            <w:pPr>
              <w:rPr>
                <w:rFonts w:ascii="Arial Narrow" w:hAnsi="Arial Narrow"/>
              </w:rPr>
            </w:pPr>
            <w:r w:rsidRPr="00BF0A4E">
              <w:rPr>
                <w:rFonts w:ascii="Arial Narrow" w:hAnsi="Arial Narrow"/>
              </w:rPr>
              <w:t>Daily</w:t>
            </w:r>
          </w:p>
        </w:tc>
        <w:tc>
          <w:tcPr>
            <w:tcW w:w="3192" w:type="dxa"/>
            <w:vAlign w:val="center"/>
          </w:tcPr>
          <w:p w14:paraId="47540CF3" w14:textId="77777777" w:rsidR="00470E6F" w:rsidRPr="00BF0A4E" w:rsidRDefault="00470E6F" w:rsidP="00A86B4C">
            <w:pPr>
              <w:rPr>
                <w:rFonts w:ascii="Arial Narrow" w:hAnsi="Arial Narrow"/>
              </w:rPr>
            </w:pPr>
            <w:r w:rsidRPr="00BF0A4E">
              <w:rPr>
                <w:rFonts w:ascii="Arial Narrow" w:hAnsi="Arial Narrow"/>
              </w:rPr>
              <w:t>4 months</w:t>
            </w:r>
          </w:p>
        </w:tc>
      </w:tr>
      <w:tr w:rsidR="00470E6F" w:rsidRPr="00BF0A4E" w14:paraId="1EA9F8C9" w14:textId="77777777" w:rsidTr="00A86B4C">
        <w:tc>
          <w:tcPr>
            <w:tcW w:w="3192" w:type="dxa"/>
            <w:vAlign w:val="center"/>
          </w:tcPr>
          <w:p w14:paraId="4E332D35" w14:textId="77777777" w:rsidR="00470E6F" w:rsidRPr="00BF0A4E" w:rsidRDefault="00470E6F" w:rsidP="00A86B4C">
            <w:pPr>
              <w:rPr>
                <w:rFonts w:ascii="Arial Narrow" w:hAnsi="Arial Narrow"/>
              </w:rPr>
            </w:pPr>
            <w:r w:rsidRPr="00BF0A4E">
              <w:rPr>
                <w:rFonts w:ascii="Arial Narrow" w:hAnsi="Arial Narrow"/>
              </w:rPr>
              <w:t xml:space="preserve">Isoniazid + </w:t>
            </w:r>
            <w:proofErr w:type="spellStart"/>
            <w:r w:rsidRPr="00BF0A4E">
              <w:rPr>
                <w:rFonts w:ascii="Arial Narrow" w:hAnsi="Arial Narrow"/>
              </w:rPr>
              <w:t>rifapentine</w:t>
            </w:r>
            <w:proofErr w:type="spellEnd"/>
            <w:r w:rsidRPr="00BF0A4E">
              <w:rPr>
                <w:rFonts w:ascii="Arial Narrow" w:hAnsi="Arial Narrow"/>
              </w:rPr>
              <w:t>*</w:t>
            </w:r>
          </w:p>
        </w:tc>
        <w:tc>
          <w:tcPr>
            <w:tcW w:w="3192" w:type="dxa"/>
            <w:vAlign w:val="center"/>
          </w:tcPr>
          <w:p w14:paraId="1C5A2B97" w14:textId="77777777" w:rsidR="00470E6F" w:rsidRPr="00BF0A4E" w:rsidRDefault="00470E6F" w:rsidP="00A86B4C">
            <w:pPr>
              <w:rPr>
                <w:rFonts w:ascii="Arial Narrow" w:hAnsi="Arial Narrow"/>
              </w:rPr>
            </w:pPr>
            <w:r w:rsidRPr="00BF0A4E">
              <w:rPr>
                <w:rFonts w:ascii="Arial Narrow" w:hAnsi="Arial Narrow"/>
              </w:rPr>
              <w:t>Weekly</w:t>
            </w:r>
          </w:p>
        </w:tc>
        <w:tc>
          <w:tcPr>
            <w:tcW w:w="3192" w:type="dxa"/>
            <w:vAlign w:val="center"/>
          </w:tcPr>
          <w:p w14:paraId="4A46F175" w14:textId="77777777" w:rsidR="00470E6F" w:rsidRPr="00BF0A4E" w:rsidRDefault="00470E6F" w:rsidP="00A86B4C">
            <w:pPr>
              <w:rPr>
                <w:rFonts w:ascii="Arial Narrow" w:hAnsi="Arial Narrow"/>
              </w:rPr>
            </w:pPr>
            <w:r w:rsidRPr="00BF0A4E">
              <w:rPr>
                <w:rFonts w:ascii="Arial Narrow" w:hAnsi="Arial Narrow"/>
              </w:rPr>
              <w:t>12 weeks</w:t>
            </w:r>
          </w:p>
        </w:tc>
      </w:tr>
    </w:tbl>
    <w:p w14:paraId="79BA0458" w14:textId="65B53F3B" w:rsidR="00470E6F" w:rsidRPr="00BF0A4E" w:rsidRDefault="00470E6F" w:rsidP="00470E6F">
      <w:pPr>
        <w:rPr>
          <w:rFonts w:ascii="Arial Narrow" w:hAnsi="Arial Narrow"/>
        </w:rPr>
      </w:pPr>
      <w:r w:rsidRPr="00BF0A4E">
        <w:rPr>
          <w:rFonts w:ascii="Arial Narrow" w:hAnsi="Arial Narrow"/>
        </w:rPr>
        <w:t>*</w:t>
      </w:r>
      <w:r w:rsidR="00BF0A4E" w:rsidRPr="00BF0A4E">
        <w:rPr>
          <w:rFonts w:ascii="Arial Narrow" w:hAnsi="Arial Narrow"/>
        </w:rPr>
        <w:t>MDPH</w:t>
      </w:r>
      <w:r w:rsidRPr="00BF0A4E">
        <w:rPr>
          <w:rFonts w:ascii="Arial Narrow" w:hAnsi="Arial Narrow"/>
        </w:rPr>
        <w:t xml:space="preserve"> recommends DOT for this regimen.</w:t>
      </w:r>
    </w:p>
    <w:p w14:paraId="712DE88D" w14:textId="19D7D205" w:rsidR="00814E19" w:rsidRDefault="00814E19" w:rsidP="00B06FF2">
      <w:pPr>
        <w:spacing w:after="120" w:line="240" w:lineRule="auto"/>
        <w:rPr>
          <w:rFonts w:ascii="Arial Narrow" w:hAnsi="Arial Narrow"/>
          <w:b/>
        </w:rPr>
      </w:pPr>
      <w:r>
        <w:rPr>
          <w:rFonts w:ascii="Arial Narrow" w:hAnsi="Arial Narrow"/>
          <w:b/>
        </w:rPr>
        <w:lastRenderedPageBreak/>
        <w:t>Report latent TB infection to the Massachusetts Department of Public Health</w:t>
      </w:r>
    </w:p>
    <w:p w14:paraId="62C804B7" w14:textId="43F2C266" w:rsidR="00814E19" w:rsidRDefault="00814E19" w:rsidP="00275DBE">
      <w:pPr>
        <w:spacing w:after="0" w:line="240" w:lineRule="auto"/>
        <w:rPr>
          <w:rFonts w:ascii="Arial Narrow" w:hAnsi="Arial Narrow"/>
        </w:rPr>
      </w:pPr>
      <w:r>
        <w:rPr>
          <w:rFonts w:ascii="Arial Narrow" w:hAnsi="Arial Narrow"/>
        </w:rPr>
        <w:t>Latent TB infection and Active/Suspected Active TB disease are reportable conditions (</w:t>
      </w:r>
      <w:r w:rsidRPr="00814E19">
        <w:rPr>
          <w:rFonts w:ascii="Arial Narrow" w:hAnsi="Arial Narrow"/>
        </w:rPr>
        <w:t>105 CMR 300.000</w:t>
      </w:r>
      <w:r>
        <w:rPr>
          <w:rFonts w:ascii="Arial Narrow" w:hAnsi="Arial Narrow"/>
        </w:rPr>
        <w:t xml:space="preserve">). Case reporting forms are on-line: </w:t>
      </w:r>
      <w:hyperlink r:id="rId9" w:history="1">
        <w:r w:rsidR="002540AC" w:rsidRPr="002540AC">
          <w:rPr>
            <w:rStyle w:val="Hyperlink"/>
            <w:rFonts w:ascii="Arial Narrow" w:hAnsi="Arial Narrow"/>
          </w:rPr>
          <w:t>www.mass.gov/tuberculosis</w:t>
        </w:r>
      </w:hyperlink>
      <w:r>
        <w:rPr>
          <w:rFonts w:ascii="Arial Narrow" w:hAnsi="Arial Narrow"/>
        </w:rPr>
        <w:t xml:space="preserve">  </w:t>
      </w:r>
    </w:p>
    <w:p w14:paraId="116CE54C" w14:textId="77777777" w:rsidR="00275DBE" w:rsidRDefault="00275DBE" w:rsidP="00B06FF2">
      <w:pPr>
        <w:spacing w:after="120" w:line="240" w:lineRule="auto"/>
        <w:rPr>
          <w:rFonts w:ascii="Arial Narrow" w:hAnsi="Arial Narrow"/>
          <w:b/>
        </w:rPr>
      </w:pPr>
    </w:p>
    <w:p w14:paraId="70C109A5" w14:textId="44BBE3FF" w:rsidR="00B06FF2" w:rsidRDefault="00B06FF2" w:rsidP="00B06FF2">
      <w:pPr>
        <w:spacing w:after="120" w:line="240" w:lineRule="auto"/>
        <w:rPr>
          <w:rFonts w:ascii="Arial Narrow" w:hAnsi="Arial Narrow"/>
          <w:b/>
        </w:rPr>
      </w:pPr>
      <w:r w:rsidRPr="00B06FF2">
        <w:rPr>
          <w:rFonts w:ascii="Arial Narrow" w:hAnsi="Arial Narrow"/>
          <w:b/>
        </w:rPr>
        <w:t>Document Risk Assessment and latent TB infection test results in the [electronic] medical record</w:t>
      </w:r>
    </w:p>
    <w:p w14:paraId="74D8800D" w14:textId="20842974" w:rsidR="00B06FF2" w:rsidRPr="00B06FF2" w:rsidRDefault="00B06FF2" w:rsidP="00B06FF2">
      <w:pPr>
        <w:spacing w:after="0" w:line="240" w:lineRule="auto"/>
        <w:rPr>
          <w:rFonts w:ascii="Arial Narrow" w:hAnsi="Arial Narrow"/>
        </w:rPr>
      </w:pPr>
      <w:r>
        <w:rPr>
          <w:rFonts w:ascii="Arial Narrow" w:hAnsi="Arial Narrow"/>
        </w:rPr>
        <w:t xml:space="preserve">Results </w:t>
      </w:r>
      <w:r w:rsidR="00A148E6">
        <w:rPr>
          <w:rFonts w:ascii="Arial Narrow" w:hAnsi="Arial Narrow"/>
        </w:rPr>
        <w:t xml:space="preserve">ideally </w:t>
      </w:r>
      <w:r>
        <w:rPr>
          <w:rFonts w:ascii="Arial Narrow" w:hAnsi="Arial Narrow"/>
        </w:rPr>
        <w:t>should be easily retrievable from the medical record.</w:t>
      </w:r>
    </w:p>
    <w:p w14:paraId="6FDFB966" w14:textId="07A0CEC1" w:rsidR="00B06FF2" w:rsidRDefault="00B06FF2" w:rsidP="00B06FF2">
      <w:pPr>
        <w:spacing w:after="0" w:line="240" w:lineRule="auto"/>
        <w:rPr>
          <w:rFonts w:ascii="Arial Narrow" w:hAnsi="Arial Narrow"/>
          <w:b/>
        </w:rPr>
      </w:pPr>
      <w:bookmarkStart w:id="0" w:name="_GoBack"/>
      <w:bookmarkEnd w:id="0"/>
    </w:p>
    <w:p w14:paraId="3F2879C9" w14:textId="0ED4EC4A" w:rsidR="004414AA" w:rsidRDefault="004414AA" w:rsidP="00B06FF2">
      <w:pPr>
        <w:spacing w:after="0" w:line="240" w:lineRule="auto"/>
        <w:rPr>
          <w:rFonts w:ascii="Arial Narrow" w:hAnsi="Arial Narrow"/>
          <w:b/>
        </w:rPr>
      </w:pPr>
    </w:p>
    <w:p w14:paraId="19798550" w14:textId="65FC0AE7" w:rsidR="004414AA" w:rsidRDefault="004414AA" w:rsidP="00B06FF2">
      <w:pPr>
        <w:spacing w:after="0" w:line="240" w:lineRule="auto"/>
        <w:rPr>
          <w:rFonts w:ascii="Arial Narrow" w:hAnsi="Arial Narrow"/>
          <w:b/>
        </w:rPr>
      </w:pPr>
    </w:p>
    <w:p w14:paraId="113B2CA4" w14:textId="262C588F" w:rsidR="004414AA" w:rsidRDefault="004414AA" w:rsidP="00B06FF2">
      <w:pPr>
        <w:spacing w:after="0" w:line="240" w:lineRule="auto"/>
        <w:rPr>
          <w:rFonts w:ascii="Arial Narrow" w:hAnsi="Arial Narrow"/>
          <w:b/>
        </w:rPr>
      </w:pPr>
    </w:p>
    <w:p w14:paraId="0E4E3CA5" w14:textId="6A793F7C" w:rsidR="004414AA" w:rsidRDefault="004414AA" w:rsidP="00B06FF2">
      <w:pPr>
        <w:spacing w:after="0" w:line="240" w:lineRule="auto"/>
        <w:rPr>
          <w:rFonts w:ascii="Arial Narrow" w:hAnsi="Arial Narrow"/>
          <w:b/>
        </w:rPr>
      </w:pPr>
    </w:p>
    <w:p w14:paraId="48856511" w14:textId="77777777" w:rsidR="004414AA" w:rsidRPr="00B06FF2" w:rsidRDefault="004414AA" w:rsidP="00B06FF2">
      <w:pPr>
        <w:spacing w:after="0" w:line="240" w:lineRule="auto"/>
        <w:rPr>
          <w:rFonts w:ascii="Arial Narrow" w:hAnsi="Arial Narrow"/>
          <w:b/>
        </w:rPr>
      </w:pPr>
    </w:p>
    <w:p w14:paraId="43F32B11" w14:textId="77777777" w:rsidR="00814E19" w:rsidRPr="00814E19" w:rsidRDefault="00814E19" w:rsidP="00470E6F">
      <w:pPr>
        <w:rPr>
          <w:rFonts w:ascii="Arial Narrow" w:hAnsi="Arial Narrow"/>
          <w:b/>
        </w:rPr>
        <w:sectPr w:rsidR="00814E19" w:rsidRPr="00814E19" w:rsidSect="00814E19">
          <w:type w:val="continuous"/>
          <w:pgSz w:w="12240" w:h="15840" w:code="1"/>
          <w:pgMar w:top="720" w:right="720" w:bottom="720" w:left="720" w:header="720" w:footer="720" w:gutter="0"/>
          <w:cols w:num="2" w:space="720"/>
          <w:docGrid w:linePitch="360"/>
        </w:sectPr>
      </w:pPr>
    </w:p>
    <w:p w14:paraId="70458F30" w14:textId="5EA0C8C3" w:rsidR="00470E6F" w:rsidRPr="00BF0A4E" w:rsidRDefault="00470E6F" w:rsidP="00470E6F">
      <w:pPr>
        <w:rPr>
          <w:rFonts w:ascii="Arial Narrow" w:hAnsi="Arial Narrow"/>
        </w:rPr>
      </w:pPr>
    </w:p>
    <w:p w14:paraId="4334BF92" w14:textId="0F05D54D" w:rsidR="00375FA2" w:rsidRPr="00BF0A4E" w:rsidRDefault="00AB520F" w:rsidP="006F7198">
      <w:pPr>
        <w:rPr>
          <w:rFonts w:ascii="Arial Narrow" w:hAnsi="Arial Narrow"/>
        </w:rPr>
      </w:pPr>
      <w:r>
        <w:rPr>
          <w:rFonts w:ascii="Arial Narrow" w:hAnsi="Arial Narrow"/>
          <w:b/>
        </w:rPr>
        <w:t xml:space="preserve">ACIP </w:t>
      </w:r>
      <w:proofErr w:type="gramStart"/>
      <w:r>
        <w:rPr>
          <w:rFonts w:ascii="Arial Narrow" w:hAnsi="Arial Narrow"/>
        </w:rPr>
        <w:t>=  Advisory</w:t>
      </w:r>
      <w:proofErr w:type="gramEnd"/>
      <w:r>
        <w:rPr>
          <w:rFonts w:ascii="Arial Narrow" w:hAnsi="Arial Narrow"/>
        </w:rPr>
        <w:t xml:space="preserve"> Committee on Immunization Practice</w:t>
      </w:r>
      <w:r w:rsidR="00303B85">
        <w:rPr>
          <w:rFonts w:ascii="Arial Narrow" w:hAnsi="Arial Narrow"/>
        </w:rPr>
        <w:t>s</w:t>
      </w:r>
      <w:r>
        <w:rPr>
          <w:rFonts w:ascii="Arial Narrow" w:hAnsi="Arial Narrow"/>
        </w:rPr>
        <w:t xml:space="preserve">; </w:t>
      </w:r>
      <w:r w:rsidR="00B06FF2" w:rsidRPr="00BF0A4E">
        <w:rPr>
          <w:rFonts w:ascii="Arial Narrow" w:hAnsi="Arial Narrow"/>
          <w:b/>
        </w:rPr>
        <w:t>BCG</w:t>
      </w:r>
      <w:r w:rsidR="00B06FF2" w:rsidRPr="00BF0A4E">
        <w:rPr>
          <w:rFonts w:ascii="Arial Narrow" w:hAnsi="Arial Narrow"/>
        </w:rPr>
        <w:t xml:space="preserve"> = </w:t>
      </w:r>
      <w:r w:rsidR="00303B85">
        <w:rPr>
          <w:rFonts w:ascii="Arial Narrow" w:hAnsi="Arial Narrow"/>
        </w:rPr>
        <w:t>b</w:t>
      </w:r>
      <w:r w:rsidR="00B06FF2" w:rsidRPr="00BF0A4E">
        <w:rPr>
          <w:rFonts w:ascii="Arial Narrow" w:hAnsi="Arial Narrow"/>
        </w:rPr>
        <w:t xml:space="preserve">acillus </w:t>
      </w:r>
      <w:proofErr w:type="spellStart"/>
      <w:r w:rsidR="00B06FF2" w:rsidRPr="00BF0A4E">
        <w:rPr>
          <w:rFonts w:ascii="Arial Narrow" w:hAnsi="Arial Narrow"/>
        </w:rPr>
        <w:t>Calmette</w:t>
      </w:r>
      <w:proofErr w:type="spellEnd"/>
      <w:r w:rsidR="00B06FF2" w:rsidRPr="00BF0A4E">
        <w:rPr>
          <w:rFonts w:ascii="Arial Narrow" w:hAnsi="Arial Narrow"/>
        </w:rPr>
        <w:t xml:space="preserve">-Guerin; </w:t>
      </w:r>
      <w:r w:rsidR="00470E6F" w:rsidRPr="00BF0A4E">
        <w:rPr>
          <w:rFonts w:ascii="Arial Narrow" w:hAnsi="Arial Narrow"/>
          <w:b/>
        </w:rPr>
        <w:t>DOT</w:t>
      </w:r>
      <w:r w:rsidR="00470E6F" w:rsidRPr="00BF0A4E">
        <w:rPr>
          <w:rFonts w:ascii="Arial Narrow" w:hAnsi="Arial Narrow"/>
        </w:rPr>
        <w:t xml:space="preserve"> = Directly observed therapy; </w:t>
      </w:r>
      <w:r w:rsidR="00470E6F" w:rsidRPr="00BF0A4E">
        <w:rPr>
          <w:rFonts w:ascii="Arial Narrow" w:hAnsi="Arial Narrow"/>
          <w:b/>
        </w:rPr>
        <w:t>IGRA</w:t>
      </w:r>
      <w:r w:rsidR="00470E6F" w:rsidRPr="00BF0A4E">
        <w:rPr>
          <w:rFonts w:ascii="Arial Narrow" w:hAnsi="Arial Narrow"/>
        </w:rPr>
        <w:t xml:space="preserve"> = Interferon gamma release assay (e.g., </w:t>
      </w:r>
      <w:proofErr w:type="spellStart"/>
      <w:r w:rsidR="00470E6F" w:rsidRPr="00BF0A4E">
        <w:rPr>
          <w:rFonts w:ascii="Arial Narrow" w:hAnsi="Arial Narrow"/>
        </w:rPr>
        <w:t>QuantiFERON</w:t>
      </w:r>
      <w:proofErr w:type="spellEnd"/>
      <w:r w:rsidR="00470E6F" w:rsidRPr="00BF0A4E">
        <w:rPr>
          <w:rFonts w:ascii="Arial Narrow" w:hAnsi="Arial Narrow"/>
        </w:rPr>
        <w:t xml:space="preserve">-TB Gold, T-SPOT.TB); </w:t>
      </w:r>
      <w:r w:rsidR="00B06FF2" w:rsidRPr="00BF0A4E">
        <w:rPr>
          <w:rFonts w:ascii="Arial Narrow" w:hAnsi="Arial Narrow"/>
          <w:b/>
        </w:rPr>
        <w:t>LTBI</w:t>
      </w:r>
      <w:r w:rsidR="00B06FF2" w:rsidRPr="00BF0A4E">
        <w:rPr>
          <w:rFonts w:ascii="Arial Narrow" w:hAnsi="Arial Narrow"/>
        </w:rPr>
        <w:t xml:space="preserve"> = latent TB infection</w:t>
      </w:r>
      <w:r w:rsidR="00B06FF2">
        <w:rPr>
          <w:rFonts w:ascii="Arial Narrow" w:hAnsi="Arial Narrow"/>
        </w:rPr>
        <w:t>;</w:t>
      </w:r>
      <w:r w:rsidR="00B06FF2" w:rsidRPr="00BF0A4E">
        <w:rPr>
          <w:rFonts w:ascii="Arial Narrow" w:hAnsi="Arial Narrow"/>
          <w:b/>
        </w:rPr>
        <w:t xml:space="preserve"> </w:t>
      </w:r>
      <w:r w:rsidR="00B06FF2">
        <w:rPr>
          <w:rFonts w:ascii="Arial Narrow" w:hAnsi="Arial Narrow"/>
          <w:b/>
        </w:rPr>
        <w:t xml:space="preserve">MDPH </w:t>
      </w:r>
      <w:r w:rsidR="00B06FF2">
        <w:rPr>
          <w:rFonts w:ascii="Arial Narrow" w:hAnsi="Arial Narrow"/>
        </w:rPr>
        <w:t xml:space="preserve">= Massachusetts Department of Public Health; </w:t>
      </w:r>
      <w:r w:rsidR="00470E6F" w:rsidRPr="00BF0A4E">
        <w:rPr>
          <w:rFonts w:ascii="Arial Narrow" w:hAnsi="Arial Narrow"/>
          <w:b/>
        </w:rPr>
        <w:t>TST</w:t>
      </w:r>
      <w:r w:rsidR="00B06FF2">
        <w:rPr>
          <w:rFonts w:ascii="Arial Narrow" w:hAnsi="Arial Narrow"/>
        </w:rPr>
        <w:t xml:space="preserve"> = tuberculin skin test</w:t>
      </w:r>
    </w:p>
    <w:sectPr w:rsidR="00375FA2" w:rsidRPr="00BF0A4E" w:rsidSect="00814E19">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A6EC6" w14:textId="77777777" w:rsidR="00D62885" w:rsidRDefault="00D62885" w:rsidP="00925975">
      <w:pPr>
        <w:spacing w:after="0" w:line="240" w:lineRule="auto"/>
      </w:pPr>
      <w:r>
        <w:separator/>
      </w:r>
    </w:p>
  </w:endnote>
  <w:endnote w:type="continuationSeparator" w:id="0">
    <w:p w14:paraId="2B2D6386" w14:textId="77777777" w:rsidR="00D62885" w:rsidRDefault="00D62885" w:rsidP="00925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E0335" w14:textId="63398005" w:rsidR="0033695B" w:rsidRPr="0033695B" w:rsidRDefault="0033695B" w:rsidP="0033695B">
    <w:pPr>
      <w:pStyle w:val="Footer"/>
      <w:pBdr>
        <w:top w:val="single" w:sz="4" w:space="1" w:color="auto"/>
      </w:pBdr>
      <w:rPr>
        <w:rFonts w:ascii="Arial Narrow" w:hAnsi="Arial Narrow"/>
        <w:sz w:val="20"/>
        <w:szCs w:val="20"/>
      </w:rPr>
    </w:pPr>
    <w:r w:rsidRPr="00391BB8">
      <w:rPr>
        <w:rFonts w:ascii="Arial Narrow" w:hAnsi="Arial Narrow"/>
        <w:sz w:val="20"/>
        <w:szCs w:val="20"/>
      </w:rPr>
      <w:t xml:space="preserve">Massachusetts Department of Public Health | Bureau of Infectious Disease and Laboratory Sciences | Division of Global Populations and Infectious Disease Prevention | </w:t>
    </w:r>
    <w:hyperlink r:id="rId1" w:history="1">
      <w:r w:rsidR="002540AC" w:rsidRPr="0043497B">
        <w:rPr>
          <w:rStyle w:val="Hyperlink"/>
          <w:rFonts w:ascii="Arial Narrow" w:hAnsi="Arial Narrow"/>
          <w:sz w:val="20"/>
          <w:szCs w:val="20"/>
        </w:rPr>
        <w:t>www.mass.gov/tuberculosis</w:t>
      </w:r>
    </w:hyperlink>
    <w:r w:rsidRPr="00391BB8">
      <w:rPr>
        <w:rFonts w:ascii="Arial Narrow" w:hAnsi="Arial Narrow"/>
        <w:sz w:val="20"/>
        <w:szCs w:val="20"/>
      </w:rPr>
      <w:t xml:space="preserve"> </w:t>
    </w:r>
    <w:proofErr w:type="gramStart"/>
    <w:r>
      <w:rPr>
        <w:rFonts w:ascii="Arial Narrow" w:hAnsi="Arial Narrow"/>
        <w:sz w:val="20"/>
        <w:szCs w:val="20"/>
      </w:rPr>
      <w:t xml:space="preserve">|  </w:t>
    </w:r>
    <w:r w:rsidRPr="00391BB8">
      <w:rPr>
        <w:rFonts w:ascii="Arial Narrow" w:hAnsi="Arial Narrow"/>
        <w:sz w:val="20"/>
        <w:szCs w:val="20"/>
      </w:rPr>
      <w:t>Adapted</w:t>
    </w:r>
    <w:proofErr w:type="gramEnd"/>
    <w:r w:rsidRPr="00391BB8">
      <w:rPr>
        <w:rFonts w:ascii="Arial Narrow" w:hAnsi="Arial Narrow"/>
        <w:sz w:val="20"/>
        <w:szCs w:val="20"/>
      </w:rPr>
      <w:t xml:space="preserve"> from the California Tuberculosis Risk Assessment </w:t>
    </w:r>
    <w:r w:rsidR="002540AC">
      <w:rPr>
        <w:rFonts w:ascii="Arial Narrow" w:hAnsi="Arial Narrow"/>
        <w:sz w:val="20"/>
        <w:szCs w:val="20"/>
      </w:rPr>
      <w:t>see</w:t>
    </w:r>
    <w:r w:rsidRPr="00391BB8">
      <w:rPr>
        <w:rFonts w:ascii="Arial Narrow" w:hAnsi="Arial Narrow"/>
        <w:sz w:val="20"/>
        <w:szCs w:val="20"/>
      </w:rPr>
      <w:t xml:space="preserve"> </w:t>
    </w:r>
    <w:hyperlink r:id="rId2" w:history="1">
      <w:r w:rsidRPr="00391BB8">
        <w:rPr>
          <w:rStyle w:val="Hyperlink"/>
          <w:rFonts w:ascii="Arial Narrow" w:hAnsi="Arial Narrow"/>
          <w:sz w:val="20"/>
          <w:szCs w:val="20"/>
        </w:rPr>
        <w:t>www.ctca.org</w:t>
      </w:r>
    </w:hyperlink>
    <w:r w:rsidRPr="00391BB8">
      <w:rPr>
        <w:rFonts w:ascii="Arial Narrow" w:hAnsi="Arial Narrow"/>
        <w:sz w:val="20"/>
        <w:szCs w:val="20"/>
      </w:rPr>
      <w:t xml:space="preserve"> </w:t>
    </w:r>
    <w:r w:rsidR="002540AC">
      <w:rPr>
        <w:rFonts w:ascii="Arial Narrow" w:hAnsi="Arial Narrow"/>
        <w:sz w:val="20"/>
        <w:szCs w:val="20"/>
      </w:rPr>
      <w:t xml:space="preserve">        August</w:t>
    </w:r>
    <w:r w:rsidR="00A9651B">
      <w:rPr>
        <w:rFonts w:ascii="Arial Narrow" w:hAnsi="Arial Narrow"/>
        <w:sz w:val="20"/>
        <w:szCs w:val="20"/>
      </w:rPr>
      <w:t xml:space="preserve"> </w:t>
    </w:r>
    <w:r>
      <w:rPr>
        <w:rFonts w:ascii="Arial Narrow" w:hAnsi="Arial Narrow"/>
        <w:sz w:val="20"/>
        <w:szCs w:val="20"/>
      </w:rPr>
      <w:t>201</w:t>
    </w:r>
    <w:r w:rsidR="00A9651B">
      <w:rPr>
        <w:rFonts w:ascii="Arial Narrow" w:hAnsi="Arial Narrow"/>
        <w:sz w:val="20"/>
        <w:szCs w:val="20"/>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37C4E" w14:textId="77777777" w:rsidR="00D62885" w:rsidRDefault="00D62885" w:rsidP="00925975">
      <w:pPr>
        <w:spacing w:after="0" w:line="240" w:lineRule="auto"/>
      </w:pPr>
      <w:r>
        <w:separator/>
      </w:r>
    </w:p>
  </w:footnote>
  <w:footnote w:type="continuationSeparator" w:id="0">
    <w:p w14:paraId="2CB50F00" w14:textId="77777777" w:rsidR="00D62885" w:rsidRDefault="00D62885" w:rsidP="009259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62C64"/>
    <w:multiLevelType w:val="hybridMultilevel"/>
    <w:tmpl w:val="71DC8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198"/>
    <w:rsid w:val="0005339B"/>
    <w:rsid w:val="00054FEE"/>
    <w:rsid w:val="000860FC"/>
    <w:rsid w:val="00150DFA"/>
    <w:rsid w:val="001D7583"/>
    <w:rsid w:val="002017AC"/>
    <w:rsid w:val="002540AC"/>
    <w:rsid w:val="00272217"/>
    <w:rsid w:val="00275DBE"/>
    <w:rsid w:val="002B5666"/>
    <w:rsid w:val="00303B85"/>
    <w:rsid w:val="0033695B"/>
    <w:rsid w:val="00375FA2"/>
    <w:rsid w:val="00383758"/>
    <w:rsid w:val="00436BE3"/>
    <w:rsid w:val="004414AA"/>
    <w:rsid w:val="00470E6F"/>
    <w:rsid w:val="00474422"/>
    <w:rsid w:val="00496802"/>
    <w:rsid w:val="004D14B6"/>
    <w:rsid w:val="004F5FF8"/>
    <w:rsid w:val="005061F8"/>
    <w:rsid w:val="005360F4"/>
    <w:rsid w:val="00631BC0"/>
    <w:rsid w:val="006467A2"/>
    <w:rsid w:val="00684908"/>
    <w:rsid w:val="006F2EE0"/>
    <w:rsid w:val="006F7198"/>
    <w:rsid w:val="00724D9E"/>
    <w:rsid w:val="007E637B"/>
    <w:rsid w:val="00814E19"/>
    <w:rsid w:val="008159C8"/>
    <w:rsid w:val="008249E6"/>
    <w:rsid w:val="00832580"/>
    <w:rsid w:val="0084584D"/>
    <w:rsid w:val="00874E83"/>
    <w:rsid w:val="008816E5"/>
    <w:rsid w:val="00896C82"/>
    <w:rsid w:val="0091733C"/>
    <w:rsid w:val="00925975"/>
    <w:rsid w:val="009755A2"/>
    <w:rsid w:val="00991132"/>
    <w:rsid w:val="009A5DDC"/>
    <w:rsid w:val="009D4162"/>
    <w:rsid w:val="00A148E6"/>
    <w:rsid w:val="00A35279"/>
    <w:rsid w:val="00A51B3C"/>
    <w:rsid w:val="00A82C55"/>
    <w:rsid w:val="00A86B4C"/>
    <w:rsid w:val="00A9651B"/>
    <w:rsid w:val="00AB1AEC"/>
    <w:rsid w:val="00AB1D40"/>
    <w:rsid w:val="00AB520F"/>
    <w:rsid w:val="00AE1C44"/>
    <w:rsid w:val="00B06FF2"/>
    <w:rsid w:val="00B421F1"/>
    <w:rsid w:val="00B44748"/>
    <w:rsid w:val="00B765C7"/>
    <w:rsid w:val="00B8711A"/>
    <w:rsid w:val="00B963E7"/>
    <w:rsid w:val="00BB1E24"/>
    <w:rsid w:val="00BB2D5B"/>
    <w:rsid w:val="00BF0A4E"/>
    <w:rsid w:val="00CA01D3"/>
    <w:rsid w:val="00CA2DF8"/>
    <w:rsid w:val="00D53EFD"/>
    <w:rsid w:val="00D62885"/>
    <w:rsid w:val="00D7442F"/>
    <w:rsid w:val="00D92343"/>
    <w:rsid w:val="00D92CD6"/>
    <w:rsid w:val="00DA3F16"/>
    <w:rsid w:val="00DB7EB0"/>
    <w:rsid w:val="00E415FC"/>
    <w:rsid w:val="00E86E90"/>
    <w:rsid w:val="00E94F8B"/>
    <w:rsid w:val="00EE7A02"/>
    <w:rsid w:val="00EF1828"/>
    <w:rsid w:val="00F4095B"/>
    <w:rsid w:val="00F55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0E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7198"/>
    <w:pPr>
      <w:widowControl w:val="0"/>
      <w:autoSpaceDE w:val="0"/>
      <w:autoSpaceDN w:val="0"/>
      <w:adjustRightInd w:val="0"/>
      <w:spacing w:after="0" w:line="240" w:lineRule="auto"/>
    </w:pPr>
    <w:rPr>
      <w:rFonts w:ascii="Arial Narrow" w:eastAsiaTheme="minorEastAsia" w:hAnsi="Arial Narrow" w:cs="Arial Narrow"/>
      <w:color w:val="000000"/>
      <w:sz w:val="24"/>
      <w:szCs w:val="24"/>
    </w:rPr>
  </w:style>
  <w:style w:type="table" w:styleId="TableGrid">
    <w:name w:val="Table Grid"/>
    <w:basedOn w:val="TableNormal"/>
    <w:uiPriority w:val="59"/>
    <w:rsid w:val="00470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0E6F"/>
    <w:pPr>
      <w:ind w:left="720"/>
      <w:contextualSpacing/>
    </w:pPr>
  </w:style>
  <w:style w:type="paragraph" w:styleId="BalloonText">
    <w:name w:val="Balloon Text"/>
    <w:basedOn w:val="Normal"/>
    <w:link w:val="BalloonTextChar"/>
    <w:uiPriority w:val="99"/>
    <w:semiHidden/>
    <w:unhideWhenUsed/>
    <w:rsid w:val="00E415F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415F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415FC"/>
    <w:rPr>
      <w:sz w:val="18"/>
      <w:szCs w:val="18"/>
    </w:rPr>
  </w:style>
  <w:style w:type="paragraph" w:styleId="CommentText">
    <w:name w:val="annotation text"/>
    <w:basedOn w:val="Normal"/>
    <w:link w:val="CommentTextChar"/>
    <w:uiPriority w:val="99"/>
    <w:semiHidden/>
    <w:unhideWhenUsed/>
    <w:rsid w:val="00E415FC"/>
    <w:pPr>
      <w:spacing w:line="240" w:lineRule="auto"/>
    </w:pPr>
    <w:rPr>
      <w:sz w:val="24"/>
      <w:szCs w:val="24"/>
    </w:rPr>
  </w:style>
  <w:style w:type="character" w:customStyle="1" w:styleId="CommentTextChar">
    <w:name w:val="Comment Text Char"/>
    <w:basedOn w:val="DefaultParagraphFont"/>
    <w:link w:val="CommentText"/>
    <w:uiPriority w:val="99"/>
    <w:semiHidden/>
    <w:rsid w:val="00E415FC"/>
    <w:rPr>
      <w:sz w:val="24"/>
      <w:szCs w:val="24"/>
    </w:rPr>
  </w:style>
  <w:style w:type="paragraph" w:styleId="CommentSubject">
    <w:name w:val="annotation subject"/>
    <w:basedOn w:val="CommentText"/>
    <w:next w:val="CommentText"/>
    <w:link w:val="CommentSubjectChar"/>
    <w:uiPriority w:val="99"/>
    <w:semiHidden/>
    <w:unhideWhenUsed/>
    <w:rsid w:val="00E415FC"/>
    <w:rPr>
      <w:b/>
      <w:bCs/>
      <w:sz w:val="20"/>
      <w:szCs w:val="20"/>
    </w:rPr>
  </w:style>
  <w:style w:type="character" w:customStyle="1" w:styleId="CommentSubjectChar">
    <w:name w:val="Comment Subject Char"/>
    <w:basedOn w:val="CommentTextChar"/>
    <w:link w:val="CommentSubject"/>
    <w:uiPriority w:val="99"/>
    <w:semiHidden/>
    <w:rsid w:val="00E415FC"/>
    <w:rPr>
      <w:b/>
      <w:bCs/>
      <w:sz w:val="20"/>
      <w:szCs w:val="20"/>
    </w:rPr>
  </w:style>
  <w:style w:type="paragraph" w:styleId="Header">
    <w:name w:val="header"/>
    <w:basedOn w:val="Normal"/>
    <w:link w:val="HeaderChar"/>
    <w:uiPriority w:val="99"/>
    <w:unhideWhenUsed/>
    <w:rsid w:val="00925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975"/>
  </w:style>
  <w:style w:type="paragraph" w:styleId="Footer">
    <w:name w:val="footer"/>
    <w:basedOn w:val="Normal"/>
    <w:link w:val="FooterChar"/>
    <w:uiPriority w:val="99"/>
    <w:unhideWhenUsed/>
    <w:rsid w:val="009259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975"/>
  </w:style>
  <w:style w:type="character" w:styleId="Hyperlink">
    <w:name w:val="Hyperlink"/>
    <w:basedOn w:val="DefaultParagraphFont"/>
    <w:uiPriority w:val="99"/>
    <w:unhideWhenUsed/>
    <w:rsid w:val="0033695B"/>
    <w:rPr>
      <w:color w:val="0000FF" w:themeColor="hyperlink"/>
      <w:u w:val="single"/>
    </w:rPr>
  </w:style>
  <w:style w:type="paragraph" w:styleId="Revision">
    <w:name w:val="Revision"/>
    <w:hidden/>
    <w:uiPriority w:val="99"/>
    <w:semiHidden/>
    <w:rsid w:val="00A9651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7198"/>
    <w:pPr>
      <w:widowControl w:val="0"/>
      <w:autoSpaceDE w:val="0"/>
      <w:autoSpaceDN w:val="0"/>
      <w:adjustRightInd w:val="0"/>
      <w:spacing w:after="0" w:line="240" w:lineRule="auto"/>
    </w:pPr>
    <w:rPr>
      <w:rFonts w:ascii="Arial Narrow" w:eastAsiaTheme="minorEastAsia" w:hAnsi="Arial Narrow" w:cs="Arial Narrow"/>
      <w:color w:val="000000"/>
      <w:sz w:val="24"/>
      <w:szCs w:val="24"/>
    </w:rPr>
  </w:style>
  <w:style w:type="table" w:styleId="TableGrid">
    <w:name w:val="Table Grid"/>
    <w:basedOn w:val="TableNormal"/>
    <w:uiPriority w:val="59"/>
    <w:rsid w:val="00470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0E6F"/>
    <w:pPr>
      <w:ind w:left="720"/>
      <w:contextualSpacing/>
    </w:pPr>
  </w:style>
  <w:style w:type="paragraph" w:styleId="BalloonText">
    <w:name w:val="Balloon Text"/>
    <w:basedOn w:val="Normal"/>
    <w:link w:val="BalloonTextChar"/>
    <w:uiPriority w:val="99"/>
    <w:semiHidden/>
    <w:unhideWhenUsed/>
    <w:rsid w:val="00E415F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415F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415FC"/>
    <w:rPr>
      <w:sz w:val="18"/>
      <w:szCs w:val="18"/>
    </w:rPr>
  </w:style>
  <w:style w:type="paragraph" w:styleId="CommentText">
    <w:name w:val="annotation text"/>
    <w:basedOn w:val="Normal"/>
    <w:link w:val="CommentTextChar"/>
    <w:uiPriority w:val="99"/>
    <w:semiHidden/>
    <w:unhideWhenUsed/>
    <w:rsid w:val="00E415FC"/>
    <w:pPr>
      <w:spacing w:line="240" w:lineRule="auto"/>
    </w:pPr>
    <w:rPr>
      <w:sz w:val="24"/>
      <w:szCs w:val="24"/>
    </w:rPr>
  </w:style>
  <w:style w:type="character" w:customStyle="1" w:styleId="CommentTextChar">
    <w:name w:val="Comment Text Char"/>
    <w:basedOn w:val="DefaultParagraphFont"/>
    <w:link w:val="CommentText"/>
    <w:uiPriority w:val="99"/>
    <w:semiHidden/>
    <w:rsid w:val="00E415FC"/>
    <w:rPr>
      <w:sz w:val="24"/>
      <w:szCs w:val="24"/>
    </w:rPr>
  </w:style>
  <w:style w:type="paragraph" w:styleId="CommentSubject">
    <w:name w:val="annotation subject"/>
    <w:basedOn w:val="CommentText"/>
    <w:next w:val="CommentText"/>
    <w:link w:val="CommentSubjectChar"/>
    <w:uiPriority w:val="99"/>
    <w:semiHidden/>
    <w:unhideWhenUsed/>
    <w:rsid w:val="00E415FC"/>
    <w:rPr>
      <w:b/>
      <w:bCs/>
      <w:sz w:val="20"/>
      <w:szCs w:val="20"/>
    </w:rPr>
  </w:style>
  <w:style w:type="character" w:customStyle="1" w:styleId="CommentSubjectChar">
    <w:name w:val="Comment Subject Char"/>
    <w:basedOn w:val="CommentTextChar"/>
    <w:link w:val="CommentSubject"/>
    <w:uiPriority w:val="99"/>
    <w:semiHidden/>
    <w:rsid w:val="00E415FC"/>
    <w:rPr>
      <w:b/>
      <w:bCs/>
      <w:sz w:val="20"/>
      <w:szCs w:val="20"/>
    </w:rPr>
  </w:style>
  <w:style w:type="paragraph" w:styleId="Header">
    <w:name w:val="header"/>
    <w:basedOn w:val="Normal"/>
    <w:link w:val="HeaderChar"/>
    <w:uiPriority w:val="99"/>
    <w:unhideWhenUsed/>
    <w:rsid w:val="00925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975"/>
  </w:style>
  <w:style w:type="paragraph" w:styleId="Footer">
    <w:name w:val="footer"/>
    <w:basedOn w:val="Normal"/>
    <w:link w:val="FooterChar"/>
    <w:uiPriority w:val="99"/>
    <w:unhideWhenUsed/>
    <w:rsid w:val="009259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975"/>
  </w:style>
  <w:style w:type="character" w:styleId="Hyperlink">
    <w:name w:val="Hyperlink"/>
    <w:basedOn w:val="DefaultParagraphFont"/>
    <w:uiPriority w:val="99"/>
    <w:unhideWhenUsed/>
    <w:rsid w:val="0033695B"/>
    <w:rPr>
      <w:color w:val="0000FF" w:themeColor="hyperlink"/>
      <w:u w:val="single"/>
    </w:rPr>
  </w:style>
  <w:style w:type="paragraph" w:styleId="Revision">
    <w:name w:val="Revision"/>
    <w:hidden/>
    <w:uiPriority w:val="99"/>
    <w:semiHidden/>
    <w:rsid w:val="00A965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gov/tuberculosi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ctca.org" TargetMode="External"/><Relationship Id="rId1" Type="http://schemas.openxmlformats.org/officeDocument/2006/relationships/hyperlink" Target="http://www.mass.gov/tuberculo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Cochran, Jennifer (DPH)</dc:creator>
  <cp:lastModifiedBy> </cp:lastModifiedBy>
  <cp:revision>3</cp:revision>
  <cp:lastPrinted>2018-03-16T20:08:00Z</cp:lastPrinted>
  <dcterms:created xsi:type="dcterms:W3CDTF">2018-08-29T17:04:00Z</dcterms:created>
  <dcterms:modified xsi:type="dcterms:W3CDTF">2018-08-29T17:06:00Z</dcterms:modified>
</cp:coreProperties>
</file>