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C9F3A" w14:textId="77777777" w:rsidR="003475EE" w:rsidRDefault="00B101C8" w:rsidP="00C97709">
      <w:pPr>
        <w:pStyle w:val="Heading1"/>
      </w:pPr>
      <w:r>
        <w:rPr>
          <w:noProof/>
        </w:rPr>
        <w:pict w14:anchorId="747BE4C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68pt;height:9in;z-index:251657728;mso-position-horizontal:center;mso-position-horizontal-relative:page;mso-position-vertical:center;mso-position-vertical-relative:page" filled="f">
            <v:textbox>
              <w:txbxContent>
                <w:p w14:paraId="359C4412" w14:textId="77777777" w:rsidR="00444C98" w:rsidRDefault="00444C98" w:rsidP="00705149">
                  <w:pPr>
                    <w:jc w:val="center"/>
                    <w:rPr>
                      <w:b/>
                    </w:rPr>
                  </w:pPr>
                </w:p>
                <w:p w14:paraId="46EC2D45" w14:textId="77777777" w:rsidR="00444C98" w:rsidRDefault="00444C98" w:rsidP="00705149">
                  <w:pPr>
                    <w:jc w:val="center"/>
                    <w:rPr>
                      <w:b/>
                    </w:rPr>
                  </w:pPr>
                </w:p>
                <w:p w14:paraId="6D919BE3" w14:textId="77777777" w:rsidR="00444C98" w:rsidRPr="00705149" w:rsidRDefault="00444C98" w:rsidP="00705149">
                  <w:pPr>
                    <w:jc w:val="center"/>
                    <w:rPr>
                      <w:b/>
                      <w:sz w:val="40"/>
                    </w:rPr>
                  </w:pPr>
                  <w:r w:rsidRPr="00705149">
                    <w:rPr>
                      <w:b/>
                      <w:sz w:val="40"/>
                    </w:rPr>
                    <w:t>INDOOR AIR QUALITY</w:t>
                  </w:r>
                </w:p>
                <w:p w14:paraId="06163BEB" w14:textId="77777777" w:rsidR="00444C98" w:rsidRPr="00705149" w:rsidRDefault="00444C98" w:rsidP="00705149">
                  <w:pPr>
                    <w:jc w:val="center"/>
                    <w:rPr>
                      <w:b/>
                      <w:sz w:val="40"/>
                    </w:rPr>
                  </w:pPr>
                  <w:r w:rsidRPr="00705149">
                    <w:rPr>
                      <w:b/>
                      <w:sz w:val="40"/>
                    </w:rPr>
                    <w:t>PRE-</w:t>
                  </w:r>
                  <w:r>
                    <w:rPr>
                      <w:b/>
                      <w:sz w:val="40"/>
                    </w:rPr>
                    <w:t>OCCUPANCY</w:t>
                  </w:r>
                  <w:r w:rsidRPr="00705149">
                    <w:rPr>
                      <w:b/>
                      <w:sz w:val="40"/>
                    </w:rPr>
                    <w:t xml:space="preserve"> ASSESSMENT</w:t>
                  </w:r>
                </w:p>
                <w:p w14:paraId="1E0561F1" w14:textId="77777777" w:rsidR="00444C98" w:rsidRPr="00705149" w:rsidRDefault="00444C98" w:rsidP="00705149">
                  <w:pPr>
                    <w:jc w:val="center"/>
                    <w:rPr>
                      <w:b/>
                    </w:rPr>
                  </w:pPr>
                </w:p>
                <w:p w14:paraId="4F8B1D89" w14:textId="77777777" w:rsidR="00444C98" w:rsidRPr="00705149" w:rsidRDefault="00444C98" w:rsidP="00705149">
                  <w:pPr>
                    <w:jc w:val="center"/>
                    <w:rPr>
                      <w:b/>
                    </w:rPr>
                  </w:pPr>
                </w:p>
                <w:p w14:paraId="26F8F972" w14:textId="77777777" w:rsidR="00A31F29" w:rsidRDefault="000F4D9F" w:rsidP="00A31F29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 xml:space="preserve">Massachusetts </w:t>
                  </w:r>
                  <w:r w:rsidR="005739AD">
                    <w:rPr>
                      <w:b/>
                      <w:bCs/>
                      <w:sz w:val="28"/>
                    </w:rPr>
                    <w:t xml:space="preserve">State </w:t>
                  </w:r>
                  <w:r w:rsidR="00E974B3">
                    <w:rPr>
                      <w:b/>
                      <w:bCs/>
                      <w:sz w:val="28"/>
                    </w:rPr>
                    <w:t>Auditor’s Office</w:t>
                  </w:r>
                </w:p>
                <w:p w14:paraId="38865ABD" w14:textId="77777777" w:rsidR="000F4D9F" w:rsidRDefault="00E974B3" w:rsidP="00A31F29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500 Belmont Street</w:t>
                  </w:r>
                </w:p>
                <w:p w14:paraId="1553D3B6" w14:textId="77777777" w:rsidR="000F4D9F" w:rsidRDefault="00E974B3" w:rsidP="00A31F29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Brockton</w:t>
                  </w:r>
                  <w:r w:rsidR="000F4D9F">
                    <w:rPr>
                      <w:b/>
                      <w:bCs/>
                      <w:sz w:val="28"/>
                    </w:rPr>
                    <w:t>, MA</w:t>
                  </w:r>
                </w:p>
                <w:p w14:paraId="4BEDB8CB" w14:textId="77777777" w:rsidR="00A31F29" w:rsidRDefault="00A31F29" w:rsidP="00A31F29">
                  <w:pPr>
                    <w:jc w:val="center"/>
                    <w:rPr>
                      <w:b/>
                      <w:bCs/>
                    </w:rPr>
                  </w:pPr>
                </w:p>
                <w:p w14:paraId="79D72F1D" w14:textId="77777777" w:rsidR="00A24838" w:rsidRDefault="00A24838" w:rsidP="00A31F29">
                  <w:pPr>
                    <w:jc w:val="center"/>
                    <w:rPr>
                      <w:b/>
                      <w:bCs/>
                    </w:rPr>
                  </w:pPr>
                </w:p>
                <w:p w14:paraId="4F3776E7" w14:textId="77777777" w:rsidR="00B20335" w:rsidRDefault="00B20335" w:rsidP="00A31F29">
                  <w:pPr>
                    <w:jc w:val="center"/>
                    <w:rPr>
                      <w:b/>
                      <w:bCs/>
                    </w:rPr>
                  </w:pPr>
                </w:p>
                <w:p w14:paraId="1DD95011" w14:textId="77777777" w:rsidR="00B20335" w:rsidRDefault="00B20335" w:rsidP="00A31F29">
                  <w:pPr>
                    <w:jc w:val="center"/>
                    <w:rPr>
                      <w:b/>
                      <w:bCs/>
                    </w:rPr>
                  </w:pPr>
                </w:p>
                <w:p w14:paraId="34E14EFA" w14:textId="77777777" w:rsidR="00AF19F2" w:rsidRDefault="00AF19F2" w:rsidP="00A31F29">
                  <w:pPr>
                    <w:jc w:val="center"/>
                    <w:rPr>
                      <w:b/>
                    </w:rPr>
                  </w:pPr>
                </w:p>
                <w:p w14:paraId="429FAC81" w14:textId="77777777" w:rsidR="00A31F29" w:rsidRDefault="00A31F29" w:rsidP="00A31F29">
                  <w:pPr>
                    <w:jc w:val="center"/>
                    <w:rPr>
                      <w:b/>
                    </w:rPr>
                  </w:pPr>
                </w:p>
                <w:p w14:paraId="02A9A8FC" w14:textId="77777777" w:rsidR="00A24838" w:rsidRDefault="00D2280C" w:rsidP="00A31F29">
                  <w:pPr>
                    <w:jc w:val="center"/>
                    <w:rPr>
                      <w:b/>
                    </w:rPr>
                  </w:pPr>
                  <w:r w:rsidRPr="00665BC2">
                    <w:rPr>
                      <w:noProof/>
                    </w:rPr>
                    <w:pict w14:anchorId="745A28D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alt="Massachusetts State Auditor’s Office&#10;500 Belmont Street&#10;Brockton, MA&#10;" style="width:389.5pt;height:3in;visibility:visible">
                        <v:imagedata r:id="rId8" o:title="" croptop="10977f" cropbottom="14372f" cropleft="13080f" cropright="11979f"/>
                      </v:shape>
                    </w:pict>
                  </w:r>
                </w:p>
                <w:p w14:paraId="41C4700A" w14:textId="77777777" w:rsidR="00A24838" w:rsidRDefault="00A24838" w:rsidP="00A31F29">
                  <w:pPr>
                    <w:jc w:val="center"/>
                    <w:rPr>
                      <w:b/>
                    </w:rPr>
                  </w:pPr>
                </w:p>
                <w:p w14:paraId="280AF4B9" w14:textId="77777777" w:rsidR="00A24838" w:rsidRDefault="00A24838" w:rsidP="00A31F29">
                  <w:pPr>
                    <w:jc w:val="center"/>
                    <w:rPr>
                      <w:b/>
                    </w:rPr>
                  </w:pPr>
                </w:p>
                <w:p w14:paraId="475B1374" w14:textId="77777777" w:rsidR="00B20335" w:rsidRDefault="00B20335" w:rsidP="00705149">
                  <w:pPr>
                    <w:jc w:val="center"/>
                  </w:pPr>
                </w:p>
                <w:p w14:paraId="0C063677" w14:textId="77777777" w:rsidR="00B20335" w:rsidRDefault="00B20335" w:rsidP="00705149">
                  <w:pPr>
                    <w:jc w:val="center"/>
                  </w:pPr>
                </w:p>
                <w:p w14:paraId="6564273B" w14:textId="77777777" w:rsidR="009F7B18" w:rsidRDefault="009F7B18" w:rsidP="00705149">
                  <w:pPr>
                    <w:jc w:val="center"/>
                  </w:pPr>
                </w:p>
                <w:p w14:paraId="4E41DE85" w14:textId="77777777" w:rsidR="00E26730" w:rsidRDefault="00E26730" w:rsidP="00705149">
                  <w:pPr>
                    <w:jc w:val="center"/>
                  </w:pPr>
                </w:p>
                <w:p w14:paraId="50027739" w14:textId="77777777" w:rsidR="00B449EB" w:rsidRPr="00705149" w:rsidRDefault="00B449EB" w:rsidP="00705149">
                  <w:pPr>
                    <w:jc w:val="center"/>
                  </w:pPr>
                </w:p>
                <w:p w14:paraId="09A4968F" w14:textId="77777777" w:rsidR="00444C98" w:rsidRPr="00705149" w:rsidRDefault="00444C98" w:rsidP="00705149">
                  <w:pPr>
                    <w:jc w:val="center"/>
                  </w:pPr>
                  <w:r w:rsidRPr="00705149">
                    <w:t>Prepared by:</w:t>
                  </w:r>
                </w:p>
                <w:p w14:paraId="0A309F0E" w14:textId="77777777" w:rsidR="00444C98" w:rsidRPr="00705149" w:rsidRDefault="00444C98" w:rsidP="00705149">
                  <w:pPr>
                    <w:jc w:val="center"/>
                  </w:pPr>
                  <w:r w:rsidRPr="00705149">
                    <w:t>Massachusetts Department of Public Health</w:t>
                  </w:r>
                </w:p>
                <w:p w14:paraId="06528AEC" w14:textId="77777777" w:rsidR="00444C98" w:rsidRPr="00705149" w:rsidRDefault="00444C98" w:rsidP="00705149">
                  <w:pPr>
                    <w:jc w:val="center"/>
                  </w:pPr>
                  <w:r w:rsidRPr="00705149">
                    <w:t>Bureau of Environmental Health</w:t>
                  </w:r>
                </w:p>
                <w:p w14:paraId="27A82101" w14:textId="77777777" w:rsidR="00444C98" w:rsidRPr="00705149" w:rsidRDefault="00444C98" w:rsidP="00705149">
                  <w:pPr>
                    <w:jc w:val="center"/>
                  </w:pPr>
                  <w:r w:rsidRPr="00705149">
                    <w:t>Indoor Air Quality Program</w:t>
                  </w:r>
                </w:p>
                <w:p w14:paraId="7806EFB6" w14:textId="77777777" w:rsidR="00444C98" w:rsidRPr="00705149" w:rsidRDefault="00EB33EE" w:rsidP="00705149">
                  <w:pPr>
                    <w:jc w:val="center"/>
                  </w:pPr>
                  <w:r>
                    <w:t>July</w:t>
                  </w:r>
                  <w:r w:rsidR="00E974B3">
                    <w:t xml:space="preserve"> 2021</w:t>
                  </w:r>
                </w:p>
              </w:txbxContent>
            </v:textbox>
            <w10:wrap type="topAndBottom" anchorx="page" anchory="page"/>
          </v:shape>
        </w:pict>
      </w:r>
      <w:r w:rsidR="003475EE" w:rsidRPr="009B41B1">
        <w:br w:type="page"/>
      </w:r>
      <w:r w:rsidR="003475EE" w:rsidRPr="009B41B1">
        <w:lastRenderedPageBreak/>
        <w:t>Background</w:t>
      </w:r>
    </w:p>
    <w:tbl>
      <w:tblPr>
        <w:tblW w:w="9738" w:type="dxa"/>
        <w:tblInd w:w="25" w:type="dxa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80"/>
        <w:gridCol w:w="5058"/>
      </w:tblGrid>
      <w:tr w:rsidR="00D302D3" w:rsidRPr="000730C4" w14:paraId="7A1A815D" w14:textId="77777777" w:rsidTr="000730C4">
        <w:tc>
          <w:tcPr>
            <w:tcW w:w="4680" w:type="dxa"/>
            <w:shd w:val="clear" w:color="auto" w:fill="auto"/>
            <w:vAlign w:val="center"/>
          </w:tcPr>
          <w:p w14:paraId="34953B07" w14:textId="77777777" w:rsidR="00D302D3" w:rsidRPr="0004785C" w:rsidRDefault="00D302D3" w:rsidP="00333D48">
            <w:pPr>
              <w:pStyle w:val="BackgroundTable"/>
            </w:pPr>
            <w:r w:rsidRPr="0004785C">
              <w:t>Building:</w:t>
            </w:r>
          </w:p>
        </w:tc>
        <w:tc>
          <w:tcPr>
            <w:tcW w:w="5058" w:type="dxa"/>
            <w:shd w:val="clear" w:color="auto" w:fill="auto"/>
            <w:vAlign w:val="center"/>
          </w:tcPr>
          <w:p w14:paraId="5C0655E8" w14:textId="77777777" w:rsidR="00D302D3" w:rsidRPr="000730C4" w:rsidRDefault="005739AD" w:rsidP="00E974B3">
            <w:pPr>
              <w:pStyle w:val="BackgroundInf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Massachusetts State </w:t>
            </w:r>
            <w:r w:rsidR="00E974B3">
              <w:rPr>
                <w:bCs/>
                <w:szCs w:val="24"/>
              </w:rPr>
              <w:t xml:space="preserve">Auditor’s </w:t>
            </w:r>
            <w:r w:rsidR="00E974B3" w:rsidRPr="00C6732F">
              <w:rPr>
                <w:bCs/>
                <w:szCs w:val="24"/>
              </w:rPr>
              <w:t>Office</w:t>
            </w:r>
            <w:r w:rsidRPr="00C6732F">
              <w:rPr>
                <w:bCs/>
                <w:szCs w:val="24"/>
              </w:rPr>
              <w:t xml:space="preserve"> (MS</w:t>
            </w:r>
            <w:r w:rsidR="00E974B3" w:rsidRPr="00C6732F">
              <w:rPr>
                <w:bCs/>
                <w:szCs w:val="24"/>
              </w:rPr>
              <w:t>AO</w:t>
            </w:r>
            <w:r w:rsidRPr="00C6732F">
              <w:rPr>
                <w:bCs/>
                <w:szCs w:val="24"/>
              </w:rPr>
              <w:t>)</w:t>
            </w:r>
          </w:p>
        </w:tc>
      </w:tr>
      <w:tr w:rsidR="00D302D3" w:rsidRPr="000730C4" w14:paraId="0980554B" w14:textId="77777777" w:rsidTr="000730C4">
        <w:tc>
          <w:tcPr>
            <w:tcW w:w="4680" w:type="dxa"/>
            <w:shd w:val="clear" w:color="auto" w:fill="auto"/>
            <w:vAlign w:val="center"/>
          </w:tcPr>
          <w:p w14:paraId="65E1D60D" w14:textId="77777777" w:rsidR="00D302D3" w:rsidRPr="0004785C" w:rsidRDefault="00D302D3" w:rsidP="00333D48">
            <w:pPr>
              <w:pStyle w:val="BackgroundTable"/>
            </w:pPr>
            <w:r w:rsidRPr="0004785C">
              <w:t>Address:</w:t>
            </w:r>
          </w:p>
        </w:tc>
        <w:tc>
          <w:tcPr>
            <w:tcW w:w="5058" w:type="dxa"/>
            <w:shd w:val="clear" w:color="auto" w:fill="auto"/>
            <w:vAlign w:val="center"/>
          </w:tcPr>
          <w:p w14:paraId="23DDA7F0" w14:textId="77777777" w:rsidR="00D302D3" w:rsidRPr="00BA4F4F" w:rsidRDefault="00E974B3" w:rsidP="00E974B3">
            <w:pPr>
              <w:pStyle w:val="BackgroundInf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500 Belmont </w:t>
            </w:r>
            <w:r w:rsidR="008D3C16">
              <w:rPr>
                <w:bCs/>
                <w:szCs w:val="24"/>
              </w:rPr>
              <w:t>Street</w:t>
            </w:r>
            <w:r w:rsidR="00617292">
              <w:rPr>
                <w:bCs/>
                <w:szCs w:val="24"/>
              </w:rPr>
              <w:t xml:space="preserve">, </w:t>
            </w:r>
            <w:r>
              <w:rPr>
                <w:bCs/>
                <w:szCs w:val="24"/>
              </w:rPr>
              <w:t>Brockton, MA</w:t>
            </w:r>
          </w:p>
        </w:tc>
      </w:tr>
      <w:tr w:rsidR="00D302D3" w:rsidRPr="000730C4" w14:paraId="5DAD6FA4" w14:textId="77777777" w:rsidTr="000730C4">
        <w:tc>
          <w:tcPr>
            <w:tcW w:w="4680" w:type="dxa"/>
            <w:shd w:val="clear" w:color="auto" w:fill="auto"/>
            <w:vAlign w:val="center"/>
          </w:tcPr>
          <w:p w14:paraId="1B54CD14" w14:textId="77777777" w:rsidR="00D302D3" w:rsidRPr="0004785C" w:rsidRDefault="00D302D3" w:rsidP="00333D48">
            <w:pPr>
              <w:pStyle w:val="BackgroundTable"/>
            </w:pPr>
            <w:r w:rsidRPr="0004785C">
              <w:t>D</w:t>
            </w:r>
            <w:r w:rsidR="008F628E">
              <w:t xml:space="preserve">ivision of </w:t>
            </w:r>
            <w:r w:rsidRPr="0004785C">
              <w:t>C</w:t>
            </w:r>
            <w:r w:rsidR="008F628E">
              <w:t xml:space="preserve">apital </w:t>
            </w:r>
            <w:r w:rsidRPr="0004785C">
              <w:t>A</w:t>
            </w:r>
            <w:r w:rsidR="008F628E">
              <w:t xml:space="preserve">sset </w:t>
            </w:r>
            <w:r w:rsidRPr="0004785C">
              <w:t>M</w:t>
            </w:r>
            <w:r w:rsidR="008F628E">
              <w:t>anagement and Maintenance (DCAMM)</w:t>
            </w:r>
            <w:r w:rsidRPr="0004785C">
              <w:t xml:space="preserve"> Project Manager:</w:t>
            </w:r>
          </w:p>
        </w:tc>
        <w:tc>
          <w:tcPr>
            <w:tcW w:w="5058" w:type="dxa"/>
            <w:shd w:val="clear" w:color="auto" w:fill="auto"/>
            <w:vAlign w:val="center"/>
          </w:tcPr>
          <w:p w14:paraId="1F4C3FE6" w14:textId="77777777" w:rsidR="000F4D9F" w:rsidRDefault="000F4D9F" w:rsidP="006D3A7D">
            <w:pPr>
              <w:pStyle w:val="BackgroundInfo"/>
            </w:pPr>
            <w:r>
              <w:t>Paul Burke, Project Manager, Division of Capital Asset Management and Maintenance (DCAMM)</w:t>
            </w:r>
          </w:p>
          <w:p w14:paraId="4B3C26E8" w14:textId="77777777" w:rsidR="00D302D3" w:rsidRPr="00CB2C25" w:rsidRDefault="00D302D3" w:rsidP="006D3A7D">
            <w:pPr>
              <w:pStyle w:val="BackgroundInfo"/>
            </w:pPr>
          </w:p>
        </w:tc>
      </w:tr>
      <w:tr w:rsidR="00D302D3" w:rsidRPr="000730C4" w14:paraId="539849BC" w14:textId="77777777" w:rsidTr="000730C4">
        <w:tc>
          <w:tcPr>
            <w:tcW w:w="4680" w:type="dxa"/>
            <w:shd w:val="clear" w:color="auto" w:fill="auto"/>
            <w:vAlign w:val="center"/>
          </w:tcPr>
          <w:p w14:paraId="61A0CCDA" w14:textId="77777777" w:rsidR="00D302D3" w:rsidRPr="0004785C" w:rsidRDefault="00D302D3" w:rsidP="00333D48">
            <w:pPr>
              <w:pStyle w:val="BackgroundTable"/>
            </w:pPr>
            <w:r w:rsidRPr="0004785C">
              <w:t>Date of Pre-Occupancy Assessment:</w:t>
            </w:r>
          </w:p>
        </w:tc>
        <w:tc>
          <w:tcPr>
            <w:tcW w:w="5058" w:type="dxa"/>
            <w:shd w:val="clear" w:color="auto" w:fill="auto"/>
            <w:vAlign w:val="center"/>
          </w:tcPr>
          <w:p w14:paraId="70DFC512" w14:textId="77777777" w:rsidR="00D302D3" w:rsidRPr="0004785C" w:rsidRDefault="00E974B3" w:rsidP="005739AD">
            <w:pPr>
              <w:pStyle w:val="BackgroundInfo"/>
            </w:pPr>
            <w:r>
              <w:t>June</w:t>
            </w:r>
            <w:r w:rsidR="005739AD">
              <w:t xml:space="preserve"> 29</w:t>
            </w:r>
            <w:r w:rsidR="000F4D9F">
              <w:t>, 20</w:t>
            </w:r>
            <w:r w:rsidR="005739AD">
              <w:t>2</w:t>
            </w:r>
            <w:r>
              <w:t>1</w:t>
            </w:r>
          </w:p>
        </w:tc>
      </w:tr>
      <w:tr w:rsidR="00540198" w:rsidRPr="000730C4" w14:paraId="20CC786D" w14:textId="77777777" w:rsidTr="00E01FBA">
        <w:trPr>
          <w:trHeight w:val="1082"/>
        </w:trPr>
        <w:tc>
          <w:tcPr>
            <w:tcW w:w="4680" w:type="dxa"/>
            <w:shd w:val="clear" w:color="auto" w:fill="auto"/>
          </w:tcPr>
          <w:p w14:paraId="1451976D" w14:textId="77777777" w:rsidR="00540198" w:rsidRPr="005E3E95" w:rsidRDefault="00540198" w:rsidP="0059051A">
            <w:pPr>
              <w:pStyle w:val="BackgroundTable"/>
              <w:rPr>
                <w:bCs w:val="0"/>
              </w:rPr>
            </w:pPr>
            <w:r w:rsidRPr="005E3E95">
              <w:rPr>
                <w:bCs w:val="0"/>
              </w:rPr>
              <w:t xml:space="preserve">Massachusetts Department of Public Health/Bureau of Environmental Health (MDPH/BEH) Staff Conducting </w:t>
            </w:r>
            <w:r w:rsidR="0059051A">
              <w:rPr>
                <w:bCs w:val="0"/>
              </w:rPr>
              <w:t>A</w:t>
            </w:r>
            <w:r w:rsidRPr="005E3E95">
              <w:rPr>
                <w:bCs w:val="0"/>
              </w:rPr>
              <w:t>ssessment:</w:t>
            </w:r>
          </w:p>
        </w:tc>
        <w:tc>
          <w:tcPr>
            <w:tcW w:w="5058" w:type="dxa"/>
            <w:shd w:val="clear" w:color="auto" w:fill="auto"/>
          </w:tcPr>
          <w:p w14:paraId="192AFA2E" w14:textId="77777777" w:rsidR="00540198" w:rsidRPr="005E3E95" w:rsidRDefault="00E974B3" w:rsidP="00E974B3">
            <w:pPr>
              <w:pStyle w:val="BackgroundTable"/>
              <w:rPr>
                <w:b w:val="0"/>
              </w:rPr>
            </w:pPr>
            <w:r>
              <w:rPr>
                <w:b w:val="0"/>
              </w:rPr>
              <w:t>Michael Feeney, Director</w:t>
            </w:r>
            <w:r w:rsidR="005E3E95" w:rsidRPr="005E3E95">
              <w:rPr>
                <w:b w:val="0"/>
              </w:rPr>
              <w:t xml:space="preserve">, </w:t>
            </w:r>
            <w:r w:rsidR="008F628E" w:rsidRPr="005E3E95">
              <w:rPr>
                <w:b w:val="0"/>
              </w:rPr>
              <w:t>Indoor Air Quality (</w:t>
            </w:r>
            <w:r w:rsidR="00540198" w:rsidRPr="005E3E95">
              <w:rPr>
                <w:b w:val="0"/>
              </w:rPr>
              <w:t>IAQ</w:t>
            </w:r>
            <w:r w:rsidR="008F628E" w:rsidRPr="005E3E95">
              <w:rPr>
                <w:b w:val="0"/>
              </w:rPr>
              <w:t>)</w:t>
            </w:r>
            <w:r w:rsidR="00540198" w:rsidRPr="005E3E95">
              <w:rPr>
                <w:b w:val="0"/>
              </w:rPr>
              <w:t xml:space="preserve"> Program</w:t>
            </w:r>
          </w:p>
        </w:tc>
      </w:tr>
      <w:tr w:rsidR="00D302D3" w:rsidRPr="00AB02B6" w14:paraId="711B42AB" w14:textId="77777777" w:rsidTr="006A63D7">
        <w:trPr>
          <w:trHeight w:val="21"/>
        </w:trPr>
        <w:tc>
          <w:tcPr>
            <w:tcW w:w="9738" w:type="dxa"/>
            <w:gridSpan w:val="2"/>
            <w:shd w:val="clear" w:color="auto" w:fill="auto"/>
            <w:vAlign w:val="center"/>
          </w:tcPr>
          <w:p w14:paraId="5F34AC89" w14:textId="77777777" w:rsidR="00D302D3" w:rsidRPr="00AB02B6" w:rsidRDefault="009C7352" w:rsidP="00C3385E">
            <w:pPr>
              <w:pStyle w:val="BackgroundTable"/>
              <w:spacing w:line="360" w:lineRule="auto"/>
            </w:pPr>
            <w:r w:rsidRPr="00AB02B6">
              <w:t>Building/Ventilation</w:t>
            </w:r>
            <w:r w:rsidR="00D302D3" w:rsidRPr="00AB02B6">
              <w:t>:</w:t>
            </w:r>
          </w:p>
          <w:p w14:paraId="02CBF3CB" w14:textId="77777777" w:rsidR="00CE0987" w:rsidRDefault="000D0302" w:rsidP="0092134A">
            <w:pPr>
              <w:pStyle w:val="BodyText"/>
              <w:spacing w:line="360" w:lineRule="auto"/>
            </w:pPr>
            <w:r>
              <w:t>The</w:t>
            </w:r>
            <w:r w:rsidR="00E974B3">
              <w:t xml:space="preserve"> </w:t>
            </w:r>
            <w:r w:rsidR="00C32319">
              <w:t>newly renovated</w:t>
            </w:r>
            <w:r>
              <w:t xml:space="preserve"> </w:t>
            </w:r>
            <w:r w:rsidR="00E974B3" w:rsidRPr="00C6732F">
              <w:t>M</w:t>
            </w:r>
            <w:r w:rsidR="00C6732F" w:rsidRPr="00C6732F">
              <w:t>SAO</w:t>
            </w:r>
            <w:r w:rsidR="0036634B" w:rsidRPr="00C6732F">
              <w:t xml:space="preserve"> </w:t>
            </w:r>
            <w:r w:rsidR="00C6732F" w:rsidRPr="00C6732F">
              <w:t>i</w:t>
            </w:r>
            <w:r w:rsidR="00C6732F">
              <w:t>s</w:t>
            </w:r>
            <w:r w:rsidR="0036634B">
              <w:t xml:space="preserve"> located </w:t>
            </w:r>
            <w:r w:rsidR="00C6732F">
              <w:t>o</w:t>
            </w:r>
            <w:r w:rsidR="00E974B3">
              <w:t>n the upper floor of a two</w:t>
            </w:r>
            <w:r w:rsidR="00B56E7A">
              <w:t>-</w:t>
            </w:r>
            <w:r w:rsidR="00E974B3">
              <w:t>story building</w:t>
            </w:r>
            <w:r w:rsidR="0036634B">
              <w:t xml:space="preserve">. </w:t>
            </w:r>
            <w:r w:rsidR="0036634B" w:rsidRPr="00617292">
              <w:t>The space contains of</w:t>
            </w:r>
            <w:r w:rsidR="00617292" w:rsidRPr="00617292">
              <w:t>fices, workstations, conference</w:t>
            </w:r>
            <w:r w:rsidR="0036634B" w:rsidRPr="00617292">
              <w:t xml:space="preserve"> rooms and auxiliary spaces</w:t>
            </w:r>
            <w:r w:rsidR="00E974B3">
              <w:t xml:space="preserve">. </w:t>
            </w:r>
            <w:r w:rsidR="005739AD" w:rsidRPr="00617292">
              <w:t>T</w:t>
            </w:r>
            <w:r w:rsidR="0036634B" w:rsidRPr="00617292">
              <w:t xml:space="preserve">he </w:t>
            </w:r>
            <w:r w:rsidR="005D4156">
              <w:t>MSAO</w:t>
            </w:r>
            <w:r w:rsidR="005739AD" w:rsidRPr="00617292">
              <w:t xml:space="preserve"> </w:t>
            </w:r>
            <w:r w:rsidR="0036634B" w:rsidRPr="00617292">
              <w:t xml:space="preserve">space has been </w:t>
            </w:r>
            <w:r w:rsidR="00617292" w:rsidRPr="00617292">
              <w:t xml:space="preserve">renovated, including a few new </w:t>
            </w:r>
            <w:r w:rsidR="00B20335">
              <w:t xml:space="preserve">heating, </w:t>
            </w:r>
            <w:r w:rsidR="00C32319">
              <w:t>ventilation,</w:t>
            </w:r>
            <w:r w:rsidR="00B20335">
              <w:t xml:space="preserve"> and air conditioning (</w:t>
            </w:r>
            <w:r w:rsidR="00617292" w:rsidRPr="00617292">
              <w:t>HVAC</w:t>
            </w:r>
            <w:r w:rsidR="00B20335">
              <w:t>)</w:t>
            </w:r>
            <w:r w:rsidR="00617292" w:rsidRPr="00617292">
              <w:t xml:space="preserve"> units</w:t>
            </w:r>
            <w:r w:rsidR="0036634B" w:rsidRPr="00617292">
              <w:t xml:space="preserve">. Ventilation system balancing </w:t>
            </w:r>
            <w:r w:rsidR="005739AD" w:rsidRPr="00617292">
              <w:t>occurred prior to the assessment</w:t>
            </w:r>
            <w:r w:rsidR="0036634B" w:rsidRPr="00617292">
              <w:t>. New carpeting and furnishings have been installed in the space.</w:t>
            </w:r>
          </w:p>
          <w:p w14:paraId="65545510" w14:textId="77777777" w:rsidR="00D302D3" w:rsidRPr="00AB02B6" w:rsidRDefault="00D302D3" w:rsidP="006C2181">
            <w:pPr>
              <w:pStyle w:val="Heading2"/>
              <w:spacing w:line="360" w:lineRule="auto"/>
              <w:ind w:left="0"/>
            </w:pPr>
            <w:r w:rsidRPr="00AB02B6">
              <w:t>Previous Relevant Environmental History:</w:t>
            </w:r>
          </w:p>
          <w:p w14:paraId="6F5027FF" w14:textId="77777777" w:rsidR="00650C45" w:rsidRPr="00AB02B6" w:rsidRDefault="00D302D3" w:rsidP="00FD094C">
            <w:pPr>
              <w:pStyle w:val="BodyText"/>
              <w:spacing w:line="360" w:lineRule="auto"/>
            </w:pPr>
            <w:r w:rsidRPr="00AB02B6">
              <w:t xml:space="preserve">No </w:t>
            </w:r>
            <w:r w:rsidR="00930151" w:rsidRPr="00AB02B6">
              <w:t>current/active</w:t>
            </w:r>
            <w:r w:rsidR="00CB7FB1" w:rsidRPr="00AB02B6">
              <w:t xml:space="preserve"> </w:t>
            </w:r>
            <w:r w:rsidR="002B52FA" w:rsidRPr="00AB02B6">
              <w:t>Massachusetts</w:t>
            </w:r>
            <w:r w:rsidRPr="00AB02B6">
              <w:t xml:space="preserve"> Contingency Plan</w:t>
            </w:r>
            <w:r w:rsidR="00CC0689" w:rsidRPr="00AB02B6">
              <w:t xml:space="preserve"> </w:t>
            </w:r>
            <w:r w:rsidR="001821EB" w:rsidRPr="00AB02B6">
              <w:t>projects</w:t>
            </w:r>
            <w:r w:rsidRPr="00AB02B6">
              <w:t xml:space="preserve"> for this building</w:t>
            </w:r>
            <w:r w:rsidR="000A5846" w:rsidRPr="00AB02B6">
              <w:t xml:space="preserve"> or property</w:t>
            </w:r>
            <w:r w:rsidRPr="00AB02B6">
              <w:t xml:space="preserve"> were found in the Mass</w:t>
            </w:r>
            <w:r w:rsidR="002B52FA" w:rsidRPr="00AB02B6">
              <w:t>achusetts</w:t>
            </w:r>
            <w:r w:rsidRPr="00AB02B6">
              <w:t xml:space="preserve"> Department of Environmental Protection</w:t>
            </w:r>
            <w:r w:rsidR="002B52FA" w:rsidRPr="00AB02B6">
              <w:t xml:space="preserve"> </w:t>
            </w:r>
            <w:r w:rsidRPr="00AB02B6">
              <w:t>database</w:t>
            </w:r>
            <w:r w:rsidR="00CB7FB1" w:rsidRPr="00AB02B6">
              <w:t>.</w:t>
            </w:r>
          </w:p>
        </w:tc>
      </w:tr>
    </w:tbl>
    <w:p w14:paraId="3DD97CA7" w14:textId="77777777" w:rsidR="003475EE" w:rsidRPr="00631CD4" w:rsidRDefault="003475EE" w:rsidP="00631CD4">
      <w:pPr>
        <w:pStyle w:val="Heading1"/>
      </w:pPr>
      <w:r w:rsidRPr="00631CD4">
        <w:t>Methods</w:t>
      </w:r>
    </w:p>
    <w:p w14:paraId="5B8FE71C" w14:textId="77777777" w:rsidR="00AF19F2" w:rsidRPr="00AF19F2" w:rsidRDefault="00AF19F2" w:rsidP="00AF19F2">
      <w:pPr>
        <w:spacing w:line="360" w:lineRule="auto"/>
        <w:ind w:firstLine="720"/>
      </w:pPr>
      <w:r w:rsidRPr="00AF19F2">
        <w:t>Air tests for carbon monoxide, temperature and relative humidity were taken with the TSI, Q-Trak, IAQ Monitor 7565. Air tests for airborne particle matter with a diameter less than 2.5 micrometers were taken with the TSI, DUSTTRAK II Aerosol Monitor Model 8532. Screening for volatile organic compounds (VOCs) was conducted using a MiniRAE Lite Photo Ionization Detector. BEH/IAQ staff also performed a visual inspection of building materials for water damage and/or microbial growth and examined the space for the presence of odors or other environmental concerns.</w:t>
      </w:r>
    </w:p>
    <w:p w14:paraId="3AA21236" w14:textId="77777777" w:rsidR="003475EE" w:rsidRPr="00AB02B6" w:rsidRDefault="003475EE" w:rsidP="006C2181">
      <w:pPr>
        <w:pStyle w:val="Heading2"/>
        <w:spacing w:line="360" w:lineRule="auto"/>
        <w:ind w:left="0"/>
      </w:pPr>
      <w:r w:rsidRPr="00AB02B6">
        <w:lastRenderedPageBreak/>
        <w:t>Air Testing Results</w:t>
      </w:r>
    </w:p>
    <w:tbl>
      <w:tblPr>
        <w:tblW w:w="10710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90"/>
        <w:gridCol w:w="990"/>
        <w:gridCol w:w="1620"/>
        <w:gridCol w:w="1170"/>
        <w:gridCol w:w="900"/>
        <w:gridCol w:w="450"/>
        <w:gridCol w:w="1440"/>
        <w:gridCol w:w="2160"/>
        <w:gridCol w:w="90"/>
      </w:tblGrid>
      <w:tr w:rsidR="003475EE" w:rsidRPr="00AB02B6" w14:paraId="3D57CF59" w14:textId="77777777" w:rsidTr="006A13BA">
        <w:trPr>
          <w:cantSplit/>
          <w:trHeight w:val="118"/>
          <w:tblHeader/>
        </w:trPr>
        <w:tc>
          <w:tcPr>
            <w:tcW w:w="2880" w:type="dxa"/>
            <w:gridSpan w:val="2"/>
            <w:vMerge w:val="restart"/>
            <w:shd w:val="clear" w:color="auto" w:fill="CCCCCC"/>
            <w:vAlign w:val="center"/>
          </w:tcPr>
          <w:p w14:paraId="76A170D0" w14:textId="77777777" w:rsidR="003475EE" w:rsidRPr="00AB02B6" w:rsidRDefault="003475EE" w:rsidP="00B101C8">
            <w:pPr>
              <w:jc w:val="center"/>
              <w:rPr>
                <w:b/>
                <w:sz w:val="20"/>
              </w:rPr>
            </w:pPr>
            <w:r w:rsidRPr="00AB02B6">
              <w:rPr>
                <w:b/>
                <w:sz w:val="20"/>
              </w:rPr>
              <w:t>Media sampled</w:t>
            </w:r>
          </w:p>
        </w:tc>
        <w:tc>
          <w:tcPr>
            <w:tcW w:w="2790" w:type="dxa"/>
            <w:gridSpan w:val="2"/>
            <w:vMerge w:val="restart"/>
            <w:shd w:val="clear" w:color="auto" w:fill="CCCCCC"/>
            <w:vAlign w:val="center"/>
          </w:tcPr>
          <w:p w14:paraId="2A71DB8B" w14:textId="77777777" w:rsidR="003475EE" w:rsidRPr="00AB02B6" w:rsidRDefault="003475EE" w:rsidP="00B101C8">
            <w:pPr>
              <w:jc w:val="center"/>
              <w:rPr>
                <w:b/>
                <w:sz w:val="20"/>
              </w:rPr>
            </w:pPr>
            <w:r w:rsidRPr="00AB02B6">
              <w:rPr>
                <w:b/>
                <w:sz w:val="20"/>
              </w:rPr>
              <w:t>MDPH Guideline/</w:t>
            </w:r>
          </w:p>
          <w:p w14:paraId="6D002043" w14:textId="77777777" w:rsidR="003475EE" w:rsidRPr="00AB02B6" w:rsidRDefault="003475EE" w:rsidP="00B101C8">
            <w:pPr>
              <w:jc w:val="center"/>
              <w:rPr>
                <w:b/>
                <w:sz w:val="20"/>
              </w:rPr>
            </w:pPr>
            <w:r w:rsidRPr="00AB02B6">
              <w:rPr>
                <w:b/>
                <w:sz w:val="20"/>
              </w:rPr>
              <w:t>Comparison Value</w:t>
            </w:r>
          </w:p>
        </w:tc>
        <w:tc>
          <w:tcPr>
            <w:tcW w:w="2790" w:type="dxa"/>
            <w:gridSpan w:val="3"/>
            <w:shd w:val="clear" w:color="auto" w:fill="CCCCCC"/>
            <w:vAlign w:val="center"/>
          </w:tcPr>
          <w:p w14:paraId="38E29018" w14:textId="77777777" w:rsidR="003475EE" w:rsidRPr="00AB02B6" w:rsidRDefault="003475EE" w:rsidP="00B101C8">
            <w:pPr>
              <w:jc w:val="center"/>
              <w:rPr>
                <w:b/>
                <w:bCs/>
                <w:sz w:val="20"/>
              </w:rPr>
            </w:pPr>
            <w:r w:rsidRPr="00AB02B6">
              <w:rPr>
                <w:b/>
                <w:bCs/>
                <w:sz w:val="20"/>
              </w:rPr>
              <w:t>Measured Range</w:t>
            </w:r>
          </w:p>
        </w:tc>
        <w:tc>
          <w:tcPr>
            <w:tcW w:w="2250" w:type="dxa"/>
            <w:gridSpan w:val="2"/>
            <w:vMerge w:val="restart"/>
            <w:shd w:val="clear" w:color="auto" w:fill="CCCCCC"/>
            <w:vAlign w:val="center"/>
          </w:tcPr>
          <w:p w14:paraId="66BEB5F8" w14:textId="77777777" w:rsidR="003475EE" w:rsidRPr="00AB02B6" w:rsidRDefault="003475EE" w:rsidP="00B101C8">
            <w:pPr>
              <w:jc w:val="center"/>
              <w:rPr>
                <w:b/>
                <w:bCs/>
                <w:sz w:val="20"/>
              </w:rPr>
            </w:pPr>
            <w:r w:rsidRPr="00AB02B6">
              <w:rPr>
                <w:b/>
                <w:bCs/>
                <w:sz w:val="20"/>
              </w:rPr>
              <w:t>Comments</w:t>
            </w:r>
          </w:p>
        </w:tc>
      </w:tr>
      <w:tr w:rsidR="003475EE" w:rsidRPr="00AB02B6" w14:paraId="77EBFA52" w14:textId="77777777" w:rsidTr="006A13BA">
        <w:trPr>
          <w:cantSplit/>
          <w:trHeight w:val="577"/>
          <w:tblHeader/>
        </w:trPr>
        <w:tc>
          <w:tcPr>
            <w:tcW w:w="2880" w:type="dxa"/>
            <w:gridSpan w:val="2"/>
            <w:vMerge/>
            <w:shd w:val="clear" w:color="auto" w:fill="CCCCCC"/>
            <w:vAlign w:val="center"/>
          </w:tcPr>
          <w:p w14:paraId="6CBA6484" w14:textId="77777777" w:rsidR="003475EE" w:rsidRPr="00AB02B6" w:rsidRDefault="003475EE" w:rsidP="00B101C8">
            <w:pPr>
              <w:jc w:val="center"/>
              <w:rPr>
                <w:b/>
                <w:sz w:val="20"/>
              </w:rPr>
            </w:pPr>
          </w:p>
        </w:tc>
        <w:tc>
          <w:tcPr>
            <w:tcW w:w="2790" w:type="dxa"/>
            <w:gridSpan w:val="2"/>
            <w:vMerge/>
            <w:shd w:val="clear" w:color="auto" w:fill="CCCCCC"/>
            <w:vAlign w:val="center"/>
          </w:tcPr>
          <w:p w14:paraId="45AF1E54" w14:textId="77777777" w:rsidR="003475EE" w:rsidRPr="00AB02B6" w:rsidRDefault="003475EE" w:rsidP="00B101C8">
            <w:pPr>
              <w:jc w:val="center"/>
              <w:rPr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CCCCCC"/>
            <w:vAlign w:val="center"/>
          </w:tcPr>
          <w:p w14:paraId="6A2B5873" w14:textId="77777777" w:rsidR="003475EE" w:rsidRPr="00AB02B6" w:rsidRDefault="003475EE" w:rsidP="00B101C8">
            <w:pPr>
              <w:jc w:val="center"/>
              <w:rPr>
                <w:b/>
                <w:bCs/>
                <w:sz w:val="20"/>
              </w:rPr>
            </w:pPr>
            <w:r w:rsidRPr="00AB02B6">
              <w:rPr>
                <w:b/>
                <w:bCs/>
                <w:sz w:val="20"/>
              </w:rPr>
              <w:t>Outdoors/</w:t>
            </w:r>
          </w:p>
          <w:p w14:paraId="1BED2F1D" w14:textId="77777777" w:rsidR="003475EE" w:rsidRPr="00AB02B6" w:rsidRDefault="003475EE" w:rsidP="00B101C8">
            <w:pPr>
              <w:jc w:val="center"/>
              <w:rPr>
                <w:b/>
                <w:bCs/>
                <w:sz w:val="20"/>
              </w:rPr>
            </w:pPr>
            <w:r w:rsidRPr="00AB02B6">
              <w:rPr>
                <w:b/>
                <w:bCs/>
                <w:sz w:val="20"/>
              </w:rPr>
              <w:t>Background</w:t>
            </w:r>
          </w:p>
        </w:tc>
        <w:tc>
          <w:tcPr>
            <w:tcW w:w="1440" w:type="dxa"/>
            <w:shd w:val="clear" w:color="auto" w:fill="CCCCCC"/>
            <w:vAlign w:val="center"/>
          </w:tcPr>
          <w:p w14:paraId="75351E42" w14:textId="77777777" w:rsidR="003475EE" w:rsidRPr="00AB02B6" w:rsidRDefault="003475EE" w:rsidP="00B101C8">
            <w:pPr>
              <w:jc w:val="center"/>
              <w:rPr>
                <w:b/>
                <w:bCs/>
                <w:sz w:val="20"/>
              </w:rPr>
            </w:pPr>
            <w:r w:rsidRPr="00AB02B6">
              <w:rPr>
                <w:b/>
                <w:bCs/>
                <w:sz w:val="20"/>
              </w:rPr>
              <w:t>Indoors</w:t>
            </w:r>
          </w:p>
        </w:tc>
        <w:tc>
          <w:tcPr>
            <w:tcW w:w="2250" w:type="dxa"/>
            <w:gridSpan w:val="2"/>
            <w:vMerge/>
            <w:shd w:val="clear" w:color="auto" w:fill="CCCCCC"/>
            <w:vAlign w:val="center"/>
          </w:tcPr>
          <w:p w14:paraId="11D6C90F" w14:textId="77777777" w:rsidR="003475EE" w:rsidRPr="00AB02B6" w:rsidRDefault="003475EE" w:rsidP="00B101C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635F5A" w:rsidRPr="00AB02B6" w14:paraId="35498212" w14:textId="77777777" w:rsidTr="004A36D8">
        <w:trPr>
          <w:cantSplit/>
        </w:trPr>
        <w:tc>
          <w:tcPr>
            <w:tcW w:w="2880" w:type="dxa"/>
            <w:gridSpan w:val="2"/>
            <w:shd w:val="clear" w:color="auto" w:fill="auto"/>
            <w:vAlign w:val="center"/>
          </w:tcPr>
          <w:p w14:paraId="32EF0CA2" w14:textId="77777777" w:rsidR="00635F5A" w:rsidRPr="00AB02B6" w:rsidRDefault="00635F5A" w:rsidP="00C10DCB">
            <w:pPr>
              <w:pStyle w:val="TableTextCentered"/>
            </w:pPr>
            <w:r w:rsidRPr="00AB02B6">
              <w:t>Carbon Dioxide (CO</w:t>
            </w:r>
            <w:r w:rsidRPr="00AB02B6">
              <w:rPr>
                <w:vertAlign w:val="subscript"/>
              </w:rPr>
              <w:t>2</w:t>
            </w:r>
            <w:r w:rsidRPr="00AB02B6">
              <w:t>)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14:paraId="17C46B9C" w14:textId="77777777" w:rsidR="00635F5A" w:rsidRPr="00AB02B6" w:rsidRDefault="00635F5A" w:rsidP="008F628E">
            <w:pPr>
              <w:pStyle w:val="TableTextCentered"/>
            </w:pPr>
            <w:r w:rsidRPr="00AB02B6">
              <w:t>&lt; 800 parts per million (ppm) is preferred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65610175" w14:textId="77777777" w:rsidR="00635F5A" w:rsidRPr="00FE0055" w:rsidRDefault="00FE0055" w:rsidP="00B02447">
            <w:pPr>
              <w:pStyle w:val="TableTextCentered"/>
            </w:pPr>
            <w:r w:rsidRPr="00FE0055">
              <w:t>38</w:t>
            </w:r>
            <w:r w:rsidR="00B02447"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581D1C6" w14:textId="77777777" w:rsidR="00635F5A" w:rsidRPr="00FE0055" w:rsidRDefault="00B02447" w:rsidP="00800501">
            <w:pPr>
              <w:pStyle w:val="TableTextCentered"/>
            </w:pPr>
            <w:r>
              <w:t>559</w:t>
            </w:r>
            <w:r w:rsidR="00FE0055" w:rsidRPr="00FE0055">
              <w:t>-6</w:t>
            </w:r>
            <w:r>
              <w:t>12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05984D3" w14:textId="77777777" w:rsidR="00CE0987" w:rsidRPr="00FE0055" w:rsidRDefault="00FE0055" w:rsidP="00BA01D0">
            <w:pPr>
              <w:pStyle w:val="TableTextCentered"/>
              <w:jc w:val="left"/>
            </w:pPr>
            <w:r w:rsidRPr="00FE0055">
              <w:t>HVAC system on, office space unoccupied apart from a few contractors on site</w:t>
            </w:r>
          </w:p>
        </w:tc>
      </w:tr>
      <w:tr w:rsidR="003475EE" w:rsidRPr="00AB02B6" w14:paraId="0D596FF2" w14:textId="77777777" w:rsidTr="004A36D8">
        <w:trPr>
          <w:cantSplit/>
          <w:trHeight w:val="478"/>
        </w:trPr>
        <w:tc>
          <w:tcPr>
            <w:tcW w:w="2880" w:type="dxa"/>
            <w:gridSpan w:val="2"/>
            <w:shd w:val="clear" w:color="auto" w:fill="auto"/>
            <w:vAlign w:val="center"/>
          </w:tcPr>
          <w:p w14:paraId="600FCA46" w14:textId="77777777" w:rsidR="003475EE" w:rsidRPr="00AB02B6" w:rsidRDefault="003475EE" w:rsidP="00C10DCB">
            <w:pPr>
              <w:pStyle w:val="TableTextCentered"/>
            </w:pPr>
            <w:r w:rsidRPr="00AB02B6">
              <w:t>Carbon Monoxide (CO)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14:paraId="58CFC22F" w14:textId="77777777" w:rsidR="003475EE" w:rsidRPr="00AB02B6" w:rsidRDefault="003475EE" w:rsidP="00D67D58">
            <w:pPr>
              <w:pStyle w:val="TableTextCentered"/>
            </w:pPr>
            <w:r w:rsidRPr="00AB02B6">
              <w:t>Non-detectable (ND) or equal to or below background level measured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35596E59" w14:textId="77777777" w:rsidR="003475EE" w:rsidRPr="00FE0055" w:rsidRDefault="001B31AD" w:rsidP="004A36D8">
            <w:pPr>
              <w:pStyle w:val="TableTextCentered"/>
            </w:pPr>
            <w:r>
              <w:t>ND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2EB2E0A" w14:textId="77777777" w:rsidR="003475EE" w:rsidRPr="00FE0055" w:rsidRDefault="00FE0055" w:rsidP="00C10DCB">
            <w:pPr>
              <w:pStyle w:val="TableTextCentered"/>
            </w:pPr>
            <w:r w:rsidRPr="00FE0055">
              <w:t>ND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3520A13" w14:textId="77777777" w:rsidR="003475EE" w:rsidRPr="00FE0055" w:rsidRDefault="003475EE" w:rsidP="00D64A60">
            <w:pPr>
              <w:pStyle w:val="TableTextCentered"/>
              <w:jc w:val="left"/>
            </w:pPr>
          </w:p>
        </w:tc>
      </w:tr>
      <w:tr w:rsidR="002446CF" w:rsidRPr="00AB02B6" w14:paraId="038926DF" w14:textId="77777777" w:rsidTr="004A36D8">
        <w:trPr>
          <w:cantSplit/>
        </w:trPr>
        <w:tc>
          <w:tcPr>
            <w:tcW w:w="2880" w:type="dxa"/>
            <w:gridSpan w:val="2"/>
            <w:shd w:val="clear" w:color="auto" w:fill="auto"/>
            <w:vAlign w:val="center"/>
          </w:tcPr>
          <w:p w14:paraId="3B283FC0" w14:textId="77777777" w:rsidR="002446CF" w:rsidRPr="00AB02B6" w:rsidRDefault="002446CF" w:rsidP="00C10DCB">
            <w:pPr>
              <w:pStyle w:val="TableTextCentered"/>
            </w:pPr>
            <w:r w:rsidRPr="00AB02B6">
              <w:t>Temperature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14:paraId="1222825E" w14:textId="77777777" w:rsidR="002446CF" w:rsidRPr="00AB02B6" w:rsidRDefault="00D5029B" w:rsidP="006A63D7">
            <w:pPr>
              <w:pStyle w:val="TableTextCentered"/>
            </w:pPr>
            <w:r w:rsidRPr="00AB02B6">
              <w:t>70</w:t>
            </w:r>
            <w:r w:rsidR="00032478" w:rsidRPr="00AB02B6">
              <w:t xml:space="preserve"> to </w:t>
            </w:r>
            <w:r w:rsidRPr="00AB02B6">
              <w:t>78</w:t>
            </w:r>
            <w:r w:rsidR="002446CF" w:rsidRPr="00AB02B6">
              <w:t>ºF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50F00CEA" w14:textId="77777777" w:rsidR="002446CF" w:rsidRPr="00FE0055" w:rsidRDefault="00B02447" w:rsidP="004A36D8">
            <w:pPr>
              <w:pStyle w:val="TableTextCentered"/>
            </w:pPr>
            <w:r>
              <w:t>93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42C52C3" w14:textId="77777777" w:rsidR="002446CF" w:rsidRPr="00FE0055" w:rsidRDefault="00FE0055" w:rsidP="00B02447">
            <w:pPr>
              <w:pStyle w:val="TableTextCentered"/>
            </w:pPr>
            <w:r w:rsidRPr="00FE0055">
              <w:t>7</w:t>
            </w:r>
            <w:r w:rsidR="00B02447">
              <w:t>1</w:t>
            </w:r>
            <w:r w:rsidRPr="00FE0055">
              <w:t>-73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36FCFF1" w14:textId="77777777" w:rsidR="002446CF" w:rsidRPr="00FE0055" w:rsidRDefault="002446CF" w:rsidP="006A63D7">
            <w:pPr>
              <w:pStyle w:val="TableTextCentered"/>
              <w:jc w:val="left"/>
            </w:pPr>
          </w:p>
        </w:tc>
      </w:tr>
      <w:tr w:rsidR="002446CF" w:rsidRPr="00AB02B6" w14:paraId="13CE24C1" w14:textId="77777777" w:rsidTr="004A36D8">
        <w:trPr>
          <w:cantSplit/>
          <w:trHeight w:val="550"/>
        </w:trPr>
        <w:tc>
          <w:tcPr>
            <w:tcW w:w="2880" w:type="dxa"/>
            <w:gridSpan w:val="2"/>
            <w:shd w:val="clear" w:color="auto" w:fill="auto"/>
            <w:vAlign w:val="center"/>
          </w:tcPr>
          <w:p w14:paraId="3FA4F614" w14:textId="77777777" w:rsidR="002446CF" w:rsidRPr="00AB02B6" w:rsidRDefault="002446CF" w:rsidP="00C10DCB">
            <w:pPr>
              <w:pStyle w:val="TableTextCentered"/>
            </w:pPr>
            <w:r w:rsidRPr="00AB02B6">
              <w:t>Relative Humidity (RH)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14:paraId="36813887" w14:textId="77777777" w:rsidR="002446CF" w:rsidRPr="00AB02B6" w:rsidRDefault="002446CF" w:rsidP="00C10DCB">
            <w:pPr>
              <w:pStyle w:val="TableTextCentered"/>
            </w:pPr>
            <w:r w:rsidRPr="00AB02B6">
              <w:t>40% to 60%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16627607" w14:textId="77777777" w:rsidR="002446CF" w:rsidRPr="00FE0055" w:rsidRDefault="00B02447" w:rsidP="004A36D8">
            <w:pPr>
              <w:pStyle w:val="TableTextCentered"/>
            </w:pPr>
            <w:r>
              <w:t>54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A569BFF" w14:textId="77777777" w:rsidR="002446CF" w:rsidRPr="00FE0055" w:rsidRDefault="00B02447" w:rsidP="00B02447">
            <w:pPr>
              <w:pStyle w:val="TableTextCentered"/>
            </w:pPr>
            <w:r>
              <w:t>57-60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7AB5AFB" w14:textId="77777777" w:rsidR="002446CF" w:rsidRPr="00FE0055" w:rsidRDefault="002446CF" w:rsidP="00DF48DF">
            <w:pPr>
              <w:pStyle w:val="TableTextCentered"/>
              <w:jc w:val="left"/>
            </w:pPr>
          </w:p>
        </w:tc>
      </w:tr>
      <w:tr w:rsidR="004A36D8" w:rsidRPr="00AB02B6" w14:paraId="4CC9211A" w14:textId="77777777" w:rsidTr="000409A9">
        <w:trPr>
          <w:cantSplit/>
          <w:trHeight w:val="550"/>
        </w:trPr>
        <w:tc>
          <w:tcPr>
            <w:tcW w:w="2880" w:type="dxa"/>
            <w:gridSpan w:val="2"/>
            <w:shd w:val="clear" w:color="auto" w:fill="auto"/>
            <w:vAlign w:val="center"/>
          </w:tcPr>
          <w:p w14:paraId="6664C439" w14:textId="77777777" w:rsidR="004A36D8" w:rsidRPr="00AB02B6" w:rsidRDefault="004A36D8" w:rsidP="003A08AB">
            <w:pPr>
              <w:pStyle w:val="TableTextCentered"/>
            </w:pPr>
            <w:r w:rsidRPr="00AB02B6">
              <w:t>Particulate Matter 2.5 (PM2.5)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14:paraId="42C89CD1" w14:textId="77777777" w:rsidR="004A36D8" w:rsidRPr="00AB02B6" w:rsidRDefault="004A36D8" w:rsidP="003A08AB">
            <w:pPr>
              <w:pStyle w:val="TableTextCentered"/>
            </w:pPr>
            <w:r w:rsidRPr="00AB02B6">
              <w:t>US EPA National Ambient Air Quality Standards (NAAQS) 35 μg/m</w:t>
            </w:r>
            <w:r w:rsidRPr="00AB02B6">
              <w:rPr>
                <w:vertAlign w:val="superscript"/>
              </w:rPr>
              <w:t>3</w:t>
            </w:r>
            <w:r w:rsidRPr="00AB02B6">
              <w:t xml:space="preserve"> or less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2534DD29" w14:textId="77777777" w:rsidR="004A36D8" w:rsidRPr="00FE0055" w:rsidRDefault="00B02447" w:rsidP="003A08AB">
            <w:pPr>
              <w:pStyle w:val="TableTextCentered"/>
            </w:pPr>
            <w:r>
              <w:t>22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815428F" w14:textId="77777777" w:rsidR="004A36D8" w:rsidRPr="00FE0055" w:rsidRDefault="00B02447" w:rsidP="003A08AB">
            <w:pPr>
              <w:pStyle w:val="TableTextCentered"/>
            </w:pPr>
            <w:r>
              <w:t>6-7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2A771E4" w14:textId="77777777" w:rsidR="004A36D8" w:rsidRPr="00FE0055" w:rsidRDefault="004A36D8" w:rsidP="004A36D8">
            <w:pPr>
              <w:pStyle w:val="TableTextCentered"/>
              <w:jc w:val="left"/>
            </w:pPr>
          </w:p>
        </w:tc>
      </w:tr>
      <w:tr w:rsidR="004A36D8" w:rsidRPr="00AB02B6" w14:paraId="065A51C4" w14:textId="77777777" w:rsidTr="000409A9">
        <w:trPr>
          <w:cantSplit/>
          <w:trHeight w:val="550"/>
        </w:trPr>
        <w:tc>
          <w:tcPr>
            <w:tcW w:w="2880" w:type="dxa"/>
            <w:gridSpan w:val="2"/>
            <w:shd w:val="clear" w:color="auto" w:fill="auto"/>
            <w:vAlign w:val="center"/>
          </w:tcPr>
          <w:p w14:paraId="5B07C427" w14:textId="77777777" w:rsidR="004A36D8" w:rsidRPr="00AB02B6" w:rsidRDefault="004A36D8" w:rsidP="003A08AB">
            <w:pPr>
              <w:pStyle w:val="TableTextCentered"/>
            </w:pPr>
            <w:r w:rsidRPr="00AB02B6">
              <w:t>Total Volatile Organic Compounds (TVOCs)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14:paraId="53FCE09C" w14:textId="77777777" w:rsidR="004A36D8" w:rsidRPr="00AB02B6" w:rsidRDefault="004A36D8" w:rsidP="003A08AB">
            <w:pPr>
              <w:pStyle w:val="TableTextCentered"/>
            </w:pPr>
            <w:r w:rsidRPr="00AB02B6">
              <w:t>Equal to or below background level measured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2741B5B6" w14:textId="77777777" w:rsidR="004A36D8" w:rsidRPr="00FE0055" w:rsidRDefault="00FE0055" w:rsidP="003A08AB">
            <w:pPr>
              <w:pStyle w:val="TableTextCentered"/>
            </w:pPr>
            <w:r w:rsidRPr="00FE0055">
              <w:t>ND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EE4D652" w14:textId="77777777" w:rsidR="004A36D8" w:rsidRPr="00FE0055" w:rsidRDefault="004A36D8" w:rsidP="004A36D8">
            <w:pPr>
              <w:pStyle w:val="TableTextCentered"/>
            </w:pPr>
            <w:r w:rsidRPr="00FE0055">
              <w:t>ND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BFEBB0A" w14:textId="77777777" w:rsidR="004A36D8" w:rsidRPr="00FE0055" w:rsidRDefault="004A36D8" w:rsidP="003A08AB">
            <w:pPr>
              <w:pStyle w:val="TableTextCentered"/>
              <w:jc w:val="left"/>
            </w:pPr>
          </w:p>
        </w:tc>
      </w:tr>
      <w:tr w:rsidR="004A36D8" w:rsidRPr="00AB02B6" w14:paraId="3492C248" w14:textId="77777777" w:rsidTr="005E3E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cantSplit/>
        </w:trPr>
        <w:tc>
          <w:tcPr>
            <w:tcW w:w="1890" w:type="dxa"/>
            <w:shd w:val="clear" w:color="auto" w:fill="auto"/>
          </w:tcPr>
          <w:p w14:paraId="51FF8B97" w14:textId="77777777" w:rsidR="004A36D8" w:rsidRPr="00AB02B6" w:rsidRDefault="004A36D8" w:rsidP="00C10DCB">
            <w:pPr>
              <w:pStyle w:val="FootnoteText"/>
              <w:rPr>
                <w:sz w:val="16"/>
                <w:szCs w:val="16"/>
              </w:rPr>
            </w:pPr>
          </w:p>
          <w:p w14:paraId="539B1352" w14:textId="77777777" w:rsidR="004A36D8" w:rsidRPr="00AB02B6" w:rsidRDefault="004A36D8" w:rsidP="00C10DCB">
            <w:pPr>
              <w:pStyle w:val="FootnoteText"/>
              <w:rPr>
                <w:sz w:val="16"/>
                <w:szCs w:val="16"/>
              </w:rPr>
            </w:pPr>
            <w:r w:rsidRPr="00AB02B6">
              <w:rPr>
                <w:sz w:val="16"/>
                <w:szCs w:val="16"/>
              </w:rPr>
              <w:t>ppm = parts per million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7F41071A" w14:textId="77777777" w:rsidR="004A36D8" w:rsidRPr="00AB02B6" w:rsidRDefault="004A36D8" w:rsidP="00C10DCB">
            <w:pPr>
              <w:pStyle w:val="FootnoteText"/>
              <w:rPr>
                <w:sz w:val="16"/>
                <w:szCs w:val="16"/>
              </w:rPr>
            </w:pPr>
          </w:p>
          <w:p w14:paraId="7CBA7A3C" w14:textId="77777777" w:rsidR="004A36D8" w:rsidRPr="00AB02B6" w:rsidRDefault="004A36D8" w:rsidP="00C10DCB">
            <w:pPr>
              <w:pStyle w:val="FootnoteText"/>
              <w:rPr>
                <w:sz w:val="16"/>
                <w:szCs w:val="16"/>
              </w:rPr>
            </w:pPr>
            <w:r w:rsidRPr="00AB02B6">
              <w:rPr>
                <w:sz w:val="16"/>
                <w:szCs w:val="16"/>
              </w:rPr>
              <w:t>µg/m</w:t>
            </w:r>
            <w:r w:rsidRPr="00AB02B6">
              <w:rPr>
                <w:sz w:val="16"/>
                <w:szCs w:val="16"/>
                <w:vertAlign w:val="superscript"/>
              </w:rPr>
              <w:t xml:space="preserve">3 </w:t>
            </w:r>
            <w:r w:rsidRPr="00AB02B6">
              <w:rPr>
                <w:sz w:val="16"/>
                <w:szCs w:val="16"/>
              </w:rPr>
              <w:t>= microgram per cubic meter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18F05180" w14:textId="77777777" w:rsidR="004A36D8" w:rsidRPr="00AB02B6" w:rsidRDefault="004A36D8" w:rsidP="00C10DCB">
            <w:pPr>
              <w:pStyle w:val="FootnoteText"/>
              <w:rPr>
                <w:sz w:val="16"/>
                <w:szCs w:val="16"/>
              </w:rPr>
            </w:pPr>
          </w:p>
          <w:p w14:paraId="56735F29" w14:textId="77777777" w:rsidR="004A36D8" w:rsidRPr="00AB02B6" w:rsidRDefault="004A36D8" w:rsidP="00C10DCB">
            <w:pPr>
              <w:pStyle w:val="FootnoteText"/>
              <w:rPr>
                <w:sz w:val="16"/>
                <w:szCs w:val="16"/>
              </w:rPr>
            </w:pPr>
            <w:r w:rsidRPr="00AB02B6">
              <w:rPr>
                <w:sz w:val="16"/>
                <w:szCs w:val="16"/>
              </w:rPr>
              <w:t>ND = non-detectable</w:t>
            </w:r>
          </w:p>
        </w:tc>
        <w:tc>
          <w:tcPr>
            <w:tcW w:w="4050" w:type="dxa"/>
            <w:gridSpan w:val="3"/>
            <w:shd w:val="clear" w:color="auto" w:fill="auto"/>
          </w:tcPr>
          <w:p w14:paraId="2316828F" w14:textId="77777777" w:rsidR="004A36D8" w:rsidRPr="00AB02B6" w:rsidRDefault="004A36D8" w:rsidP="00C10DCB">
            <w:pPr>
              <w:pStyle w:val="FootnoteText"/>
              <w:rPr>
                <w:sz w:val="16"/>
                <w:szCs w:val="16"/>
              </w:rPr>
            </w:pPr>
          </w:p>
          <w:p w14:paraId="319B798C" w14:textId="77777777" w:rsidR="004A36D8" w:rsidRPr="00AB02B6" w:rsidRDefault="004A36D8" w:rsidP="005E3E95">
            <w:pPr>
              <w:pStyle w:val="FootnoteText"/>
              <w:rPr>
                <w:sz w:val="16"/>
                <w:szCs w:val="16"/>
              </w:rPr>
            </w:pPr>
          </w:p>
        </w:tc>
      </w:tr>
    </w:tbl>
    <w:p w14:paraId="7D341680" w14:textId="77777777" w:rsidR="003475EE" w:rsidRPr="00AB02B6" w:rsidRDefault="0052148B" w:rsidP="00C97709">
      <w:pPr>
        <w:pStyle w:val="Heading1"/>
      </w:pPr>
      <w:r w:rsidRPr="00AB02B6">
        <w:t>Discussion/</w:t>
      </w:r>
      <w:r w:rsidR="003475EE" w:rsidRPr="00AB02B6">
        <w:t>Visual Observations</w:t>
      </w:r>
    </w:p>
    <w:p w14:paraId="52501E3E" w14:textId="77777777" w:rsidR="00986A11" w:rsidRDefault="00406519" w:rsidP="00FE0055">
      <w:pPr>
        <w:pStyle w:val="StyleBodyTextLeft025"/>
        <w:spacing w:line="360" w:lineRule="auto"/>
        <w:rPr>
          <w:szCs w:val="24"/>
        </w:rPr>
      </w:pPr>
      <w:r w:rsidRPr="00FE0055">
        <w:t xml:space="preserve">At the time of </w:t>
      </w:r>
      <w:r w:rsidR="00871A95" w:rsidRPr="00FE0055">
        <w:t xml:space="preserve">the </w:t>
      </w:r>
      <w:r w:rsidRPr="00FE0055">
        <w:t xml:space="preserve">assessment, </w:t>
      </w:r>
      <w:r w:rsidR="00FE0055" w:rsidRPr="00FE0055">
        <w:t>some finishing work remained to be performed, including unboxing of some furnishing</w:t>
      </w:r>
      <w:r w:rsidR="00FE0055">
        <w:t>s</w:t>
      </w:r>
      <w:r w:rsidR="00FE0055" w:rsidRPr="00FE0055">
        <w:t>.</w:t>
      </w:r>
      <w:r w:rsidR="005D4156">
        <w:t xml:space="preserve"> </w:t>
      </w:r>
      <w:r w:rsidR="00FE0055">
        <w:rPr>
          <w:szCs w:val="24"/>
        </w:rPr>
        <w:t>No water-damaged materials or musty odors were noted during the assessment</w:t>
      </w:r>
      <w:r w:rsidR="00B02447">
        <w:rPr>
          <w:szCs w:val="24"/>
        </w:rPr>
        <w:t xml:space="preserve">. One room has shelving installed </w:t>
      </w:r>
      <w:r w:rsidR="00B02447" w:rsidRPr="00C32319">
        <w:rPr>
          <w:szCs w:val="24"/>
        </w:rPr>
        <w:t>for record storage (</w:t>
      </w:r>
      <w:r w:rsidR="00B56E7A" w:rsidRPr="00C32319">
        <w:rPr>
          <w:szCs w:val="24"/>
        </w:rPr>
        <w:t xml:space="preserve">rm </w:t>
      </w:r>
      <w:r w:rsidR="00B02447" w:rsidRPr="00C32319">
        <w:rPr>
          <w:szCs w:val="24"/>
        </w:rPr>
        <w:t>116). It</w:t>
      </w:r>
      <w:r w:rsidR="00B02447">
        <w:rPr>
          <w:szCs w:val="24"/>
        </w:rPr>
        <w:t xml:space="preserve"> is recommended that a passive vent be installed in the ceiling. In addition, it is not recommended to store any materials that are capable of </w:t>
      </w:r>
      <w:r w:rsidR="008D3C16">
        <w:rPr>
          <w:szCs w:val="24"/>
        </w:rPr>
        <w:t>supporting</w:t>
      </w:r>
      <w:r w:rsidR="00B02447">
        <w:rPr>
          <w:szCs w:val="24"/>
        </w:rPr>
        <w:t xml:space="preserve"> mold growth in the direct flow of ceiling–mounted fresh air diffusers. Such materials may become moistened during </w:t>
      </w:r>
      <w:r w:rsidR="006756D8">
        <w:rPr>
          <w:szCs w:val="24"/>
        </w:rPr>
        <w:t xml:space="preserve">extended </w:t>
      </w:r>
      <w:r w:rsidR="00B02447">
        <w:rPr>
          <w:szCs w:val="24"/>
        </w:rPr>
        <w:t>period</w:t>
      </w:r>
      <w:r w:rsidR="005D4156">
        <w:rPr>
          <w:szCs w:val="24"/>
        </w:rPr>
        <w:t>s</w:t>
      </w:r>
      <w:r w:rsidR="00B02447">
        <w:rPr>
          <w:szCs w:val="24"/>
        </w:rPr>
        <w:t xml:space="preserve"> of hot, humid </w:t>
      </w:r>
      <w:r w:rsidR="00B02447" w:rsidRPr="006756D8">
        <w:rPr>
          <w:szCs w:val="24"/>
        </w:rPr>
        <w:t>weather (</w:t>
      </w:r>
      <w:r w:rsidR="006756D8" w:rsidRPr="006756D8">
        <w:rPr>
          <w:szCs w:val="24"/>
          <w:u w:val="single"/>
        </w:rPr>
        <w:t>&gt;</w:t>
      </w:r>
      <w:r w:rsidR="00B02447" w:rsidRPr="006756D8">
        <w:rPr>
          <w:szCs w:val="24"/>
        </w:rPr>
        <w:t>70%),</w:t>
      </w:r>
      <w:r w:rsidR="00B02447">
        <w:rPr>
          <w:szCs w:val="24"/>
        </w:rPr>
        <w:t xml:space="preserve"> which can lead to mold </w:t>
      </w:r>
      <w:r w:rsidR="008D3C16">
        <w:rPr>
          <w:szCs w:val="24"/>
        </w:rPr>
        <w:t>growth</w:t>
      </w:r>
      <w:r w:rsidR="00B02447">
        <w:rPr>
          <w:szCs w:val="24"/>
        </w:rPr>
        <w:t>.</w:t>
      </w:r>
    </w:p>
    <w:p w14:paraId="66A5002C" w14:textId="77777777" w:rsidR="003475EE" w:rsidRPr="00AB02B6" w:rsidRDefault="003475EE" w:rsidP="00C97709">
      <w:pPr>
        <w:pStyle w:val="Heading1"/>
      </w:pPr>
      <w:r w:rsidRPr="00AB02B6">
        <w:lastRenderedPageBreak/>
        <w:t>Recommendations</w:t>
      </w:r>
    </w:p>
    <w:p w14:paraId="6304750B" w14:textId="77777777" w:rsidR="003475EE" w:rsidRPr="00AB02B6" w:rsidRDefault="00280A4E" w:rsidP="00C3385E">
      <w:pPr>
        <w:pStyle w:val="BodyText"/>
        <w:spacing w:line="360" w:lineRule="auto"/>
      </w:pPr>
      <w:r w:rsidRPr="00AB02B6">
        <w:t>In view of the findings at the time of assessment, the following recommendations are made:</w:t>
      </w:r>
    </w:p>
    <w:p w14:paraId="3D0B17C4" w14:textId="77777777" w:rsidR="0022389E" w:rsidRPr="00AB02B6" w:rsidRDefault="004E11D5" w:rsidP="00C3385E">
      <w:pPr>
        <w:pStyle w:val="BodyText"/>
        <w:numPr>
          <w:ilvl w:val="0"/>
          <w:numId w:val="28"/>
        </w:numPr>
        <w:tabs>
          <w:tab w:val="clear" w:pos="360"/>
          <w:tab w:val="num" w:pos="720"/>
        </w:tabs>
        <w:spacing w:line="360" w:lineRule="auto"/>
        <w:ind w:left="720" w:hanging="720"/>
      </w:pPr>
      <w:r>
        <w:t xml:space="preserve">Ensure the HVAC system is set to provide </w:t>
      </w:r>
      <w:r w:rsidR="002961D6" w:rsidRPr="006756D8">
        <w:rPr>
          <w:i/>
        </w:rPr>
        <w:t>continuous</w:t>
      </w:r>
      <w:r w:rsidR="002961D6" w:rsidRPr="00AB02B6">
        <w:t xml:space="preserve"> filtration and ventilation during occupied hours.</w:t>
      </w:r>
    </w:p>
    <w:p w14:paraId="6D9B7BD6" w14:textId="77777777" w:rsidR="00A06289" w:rsidRDefault="002A3C29" w:rsidP="00C3385E">
      <w:pPr>
        <w:pStyle w:val="BodyText"/>
        <w:numPr>
          <w:ilvl w:val="0"/>
          <w:numId w:val="28"/>
        </w:numPr>
        <w:tabs>
          <w:tab w:val="clear" w:pos="360"/>
          <w:tab w:val="num" w:pos="720"/>
        </w:tabs>
        <w:spacing w:line="360" w:lineRule="auto"/>
        <w:ind w:left="720" w:hanging="720"/>
      </w:pPr>
      <w:r w:rsidRPr="00AB02B6">
        <w:t xml:space="preserve">Use filters with a </w:t>
      </w:r>
      <w:r w:rsidRPr="00AB02B6">
        <w:rPr>
          <w:szCs w:val="24"/>
        </w:rPr>
        <w:t xml:space="preserve">Minimum Efficiency Reporting Value (MERV) 8 </w:t>
      </w:r>
      <w:r>
        <w:t>or better in</w:t>
      </w:r>
      <w:r w:rsidRPr="00AB02B6">
        <w:t xml:space="preserve"> </w:t>
      </w:r>
      <w:r>
        <w:t>HVAC units</w:t>
      </w:r>
      <w:r w:rsidRPr="00AB02B6">
        <w:t xml:space="preserve"> and ensure th</w:t>
      </w:r>
      <w:r>
        <w:t>e</w:t>
      </w:r>
      <w:r w:rsidRPr="00AB02B6">
        <w:t xml:space="preserve">y are changed </w:t>
      </w:r>
      <w:r w:rsidR="006756D8">
        <w:t>2-4 times</w:t>
      </w:r>
      <w:r w:rsidRPr="00AB02B6">
        <w:t xml:space="preserve"> per year</w:t>
      </w:r>
      <w:r w:rsidR="006756D8">
        <w:t xml:space="preserve">, or per the </w:t>
      </w:r>
      <w:r w:rsidR="006756D8" w:rsidRPr="00C32319">
        <w:t>manufacture</w:t>
      </w:r>
      <w:r w:rsidR="00B56E7A" w:rsidRPr="00C32319">
        <w:t>r</w:t>
      </w:r>
      <w:r w:rsidR="006756D8" w:rsidRPr="00C32319">
        <w:t>’s</w:t>
      </w:r>
      <w:r w:rsidR="006756D8">
        <w:t xml:space="preserve"> instructions</w:t>
      </w:r>
      <w:r w:rsidRPr="00AB02B6">
        <w:t>.</w:t>
      </w:r>
      <w:r>
        <w:t xml:space="preserve"> </w:t>
      </w:r>
      <w:r w:rsidR="004E11D5">
        <w:t>Note that facility staff reported that MERV 11 filters are used and changed quarterly.</w:t>
      </w:r>
    </w:p>
    <w:p w14:paraId="00EAC572" w14:textId="77777777" w:rsidR="00060700" w:rsidRDefault="00092449" w:rsidP="00C3385E">
      <w:pPr>
        <w:pStyle w:val="BodyText"/>
        <w:numPr>
          <w:ilvl w:val="0"/>
          <w:numId w:val="28"/>
        </w:numPr>
        <w:tabs>
          <w:tab w:val="clear" w:pos="360"/>
          <w:tab w:val="num" w:pos="720"/>
        </w:tabs>
        <w:spacing w:line="360" w:lineRule="auto"/>
        <w:ind w:left="720" w:hanging="720"/>
      </w:pPr>
      <w:r>
        <w:t>Have the</w:t>
      </w:r>
      <w:r w:rsidR="00060700">
        <w:t xml:space="preserve"> HVAC balanc</w:t>
      </w:r>
      <w:r>
        <w:t xml:space="preserve">ed </w:t>
      </w:r>
      <w:r w:rsidR="00060700">
        <w:t xml:space="preserve">every </w:t>
      </w:r>
      <w:r w:rsidR="001F30DD">
        <w:t>five</w:t>
      </w:r>
      <w:r w:rsidR="00060700">
        <w:t xml:space="preserve"> years </w:t>
      </w:r>
      <w:r w:rsidR="001F30DD">
        <w:t xml:space="preserve">(SMACNA, </w:t>
      </w:r>
      <w:r w:rsidR="001F30DD" w:rsidRPr="008460AB">
        <w:t>1994</w:t>
      </w:r>
      <w:proofErr w:type="gramStart"/>
      <w:r w:rsidR="001F30DD" w:rsidRPr="008460AB">
        <w:t>).</w:t>
      </w:r>
      <w:proofErr w:type="gramEnd"/>
    </w:p>
    <w:p w14:paraId="49A54DE7" w14:textId="77777777" w:rsidR="00B02447" w:rsidRPr="00C32319" w:rsidRDefault="00B02447" w:rsidP="00C3385E">
      <w:pPr>
        <w:pStyle w:val="BodyText"/>
        <w:numPr>
          <w:ilvl w:val="0"/>
          <w:numId w:val="28"/>
        </w:numPr>
        <w:tabs>
          <w:tab w:val="clear" w:pos="360"/>
          <w:tab w:val="num" w:pos="720"/>
        </w:tabs>
        <w:spacing w:line="360" w:lineRule="auto"/>
        <w:ind w:left="720" w:hanging="720"/>
      </w:pPr>
      <w:r>
        <w:t>Please note</w:t>
      </w:r>
      <w:r w:rsidR="00CD6134">
        <w:t>,</w:t>
      </w:r>
      <w:r>
        <w:t xml:space="preserve"> it is recommended that areas w</w:t>
      </w:r>
      <w:r w:rsidR="00244833">
        <w:t>h</w:t>
      </w:r>
      <w:r>
        <w:t>ere cooking occur</w:t>
      </w:r>
      <w:r w:rsidR="00244833">
        <w:t>s</w:t>
      </w:r>
      <w:r>
        <w:t xml:space="preserve"> have a dedicate</w:t>
      </w:r>
      <w:r w:rsidR="00CD6134">
        <w:t>d</w:t>
      </w:r>
      <w:r>
        <w:t xml:space="preserve"> exhaust system to vent odors outdoors. If such a system is not present, cooking odors in the kitchen area can be captured by the general HVAC system and distributed to other areas</w:t>
      </w:r>
      <w:r w:rsidR="00CD6134">
        <w:t xml:space="preserve"> of the </w:t>
      </w:r>
      <w:r w:rsidR="00B56E7A" w:rsidRPr="00C32319">
        <w:t>building</w:t>
      </w:r>
      <w:r w:rsidRPr="00C32319">
        <w:t>.</w:t>
      </w:r>
    </w:p>
    <w:p w14:paraId="65AA6631" w14:textId="77777777" w:rsidR="00B02447" w:rsidRDefault="00B02447" w:rsidP="00C3385E">
      <w:pPr>
        <w:pStyle w:val="BodyText"/>
        <w:numPr>
          <w:ilvl w:val="0"/>
          <w:numId w:val="28"/>
        </w:numPr>
        <w:tabs>
          <w:tab w:val="clear" w:pos="360"/>
          <w:tab w:val="num" w:pos="720"/>
        </w:tabs>
        <w:spacing w:line="360" w:lineRule="auto"/>
        <w:ind w:left="720" w:hanging="720"/>
      </w:pPr>
      <w:r>
        <w:t xml:space="preserve">Install a ceiling vent in </w:t>
      </w:r>
      <w:r w:rsidR="00B56E7A">
        <w:t>R</w:t>
      </w:r>
      <w:r>
        <w:t xml:space="preserve">oom 116. Do not store records in the airstream </w:t>
      </w:r>
      <w:r w:rsidR="00FF2CE8">
        <w:t>of the HVAC system.</w:t>
      </w:r>
    </w:p>
    <w:p w14:paraId="551F51D9" w14:textId="77777777" w:rsidR="00C77B45" w:rsidRPr="004E11D5" w:rsidRDefault="00C77B45" w:rsidP="00C77B45">
      <w:pPr>
        <w:pStyle w:val="BodyText"/>
        <w:numPr>
          <w:ilvl w:val="0"/>
          <w:numId w:val="28"/>
        </w:numPr>
        <w:tabs>
          <w:tab w:val="clear" w:pos="360"/>
          <w:tab w:val="num" w:pos="720"/>
        </w:tabs>
        <w:spacing w:line="360" w:lineRule="auto"/>
        <w:ind w:left="720" w:hanging="720"/>
      </w:pPr>
      <w:r w:rsidRPr="004E11D5">
        <w:t>Upon completion of renovations, perform a final</w:t>
      </w:r>
      <w:r w:rsidR="005C5A7D">
        <w:t>/</w:t>
      </w:r>
      <w:r w:rsidRPr="004E11D5">
        <w:t xml:space="preserve">thorough cleaning of the office space including </w:t>
      </w:r>
      <w:r w:rsidR="00C32319" w:rsidRPr="004E11D5">
        <w:t>wet wiping</w:t>
      </w:r>
      <w:r w:rsidRPr="004E11D5">
        <w:t xml:space="preserve"> of all surfaces and use of a </w:t>
      </w:r>
      <w:r w:rsidR="003E3A38" w:rsidRPr="004E11D5">
        <w:t>high efficiency particulate arrestance (</w:t>
      </w:r>
      <w:r w:rsidRPr="004E11D5">
        <w:t>HEPA</w:t>
      </w:r>
      <w:r w:rsidR="003E3A38" w:rsidRPr="004E11D5">
        <w:t xml:space="preserve">) </w:t>
      </w:r>
      <w:r w:rsidRPr="004E11D5">
        <w:t>vacuum</w:t>
      </w:r>
      <w:r w:rsidR="005C5A7D">
        <w:t>ing</w:t>
      </w:r>
      <w:r w:rsidRPr="004E11D5">
        <w:t xml:space="preserve"> of all carpeting prior to </w:t>
      </w:r>
      <w:r w:rsidR="005C5A7D">
        <w:t>occupancy</w:t>
      </w:r>
      <w:r w:rsidRPr="004E11D5">
        <w:t>.</w:t>
      </w:r>
    </w:p>
    <w:p w14:paraId="2D93C8D3" w14:textId="77777777" w:rsidR="004C55B6" w:rsidRPr="004E11D5" w:rsidRDefault="00FB2A2D" w:rsidP="004C55B6">
      <w:pPr>
        <w:pStyle w:val="BodyText"/>
        <w:numPr>
          <w:ilvl w:val="0"/>
          <w:numId w:val="28"/>
        </w:numPr>
        <w:tabs>
          <w:tab w:val="clear" w:pos="360"/>
          <w:tab w:val="num" w:pos="720"/>
        </w:tabs>
        <w:spacing w:line="360" w:lineRule="auto"/>
        <w:ind w:left="720" w:hanging="720"/>
      </w:pPr>
      <w:r w:rsidRPr="004E11D5">
        <w:t xml:space="preserve">If desired, </w:t>
      </w:r>
      <w:r w:rsidR="0052148B" w:rsidRPr="004E11D5">
        <w:t xml:space="preserve">once the space has been </w:t>
      </w:r>
      <w:r w:rsidR="006063C4" w:rsidRPr="004E11D5">
        <w:t>occupied for a minimum of three weeks</w:t>
      </w:r>
      <w:r w:rsidR="001821EB" w:rsidRPr="004E11D5">
        <w:t>,</w:t>
      </w:r>
      <w:r w:rsidR="0052148B" w:rsidRPr="004E11D5">
        <w:t xml:space="preserve"> contact the </w:t>
      </w:r>
      <w:r w:rsidR="00646D8F" w:rsidRPr="004E11D5">
        <w:t>BEH/</w:t>
      </w:r>
      <w:r w:rsidR="0052148B" w:rsidRPr="004E11D5">
        <w:t xml:space="preserve">IAQ Program to conduct a follow-up assessment </w:t>
      </w:r>
      <w:r w:rsidR="008679F5" w:rsidRPr="004E11D5">
        <w:t>of the space</w:t>
      </w:r>
      <w:r w:rsidR="00376DF8" w:rsidRPr="004E11D5">
        <w:t>.</w:t>
      </w:r>
    </w:p>
    <w:p w14:paraId="198C1C13" w14:textId="77777777" w:rsidR="001F30DD" w:rsidRDefault="001F30DD" w:rsidP="001F30DD">
      <w:pPr>
        <w:pStyle w:val="BodyText"/>
        <w:spacing w:line="360" w:lineRule="auto"/>
        <w:ind w:firstLine="0"/>
      </w:pPr>
    </w:p>
    <w:p w14:paraId="2F1DBB14" w14:textId="77777777" w:rsidR="001F30DD" w:rsidRDefault="001F30DD" w:rsidP="001F30DD">
      <w:pPr>
        <w:pStyle w:val="BodyText"/>
        <w:spacing w:line="360" w:lineRule="auto"/>
        <w:ind w:firstLine="0"/>
        <w:sectPr w:rsidR="001F30DD" w:rsidSect="000D48D8"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titlePg/>
        </w:sectPr>
      </w:pPr>
    </w:p>
    <w:p w14:paraId="229EAE42" w14:textId="77777777" w:rsidR="001F30DD" w:rsidRDefault="001F30DD" w:rsidP="00C97709">
      <w:pPr>
        <w:pStyle w:val="Heading1"/>
      </w:pPr>
      <w:r>
        <w:lastRenderedPageBreak/>
        <w:t>References</w:t>
      </w:r>
    </w:p>
    <w:p w14:paraId="3C8FD219" w14:textId="77777777" w:rsidR="001F30DD" w:rsidRPr="00AB02B6" w:rsidRDefault="001F30DD" w:rsidP="00DC2546">
      <w:pPr>
        <w:pStyle w:val="References"/>
      </w:pPr>
      <w:r w:rsidRPr="00CD1447">
        <w:rPr>
          <w:szCs w:val="24"/>
        </w:rPr>
        <w:t>SMACNA. 1994. HVAC Systems Commissioning Manual. 1</w:t>
      </w:r>
      <w:r w:rsidRPr="00CD1447">
        <w:rPr>
          <w:szCs w:val="24"/>
          <w:vertAlign w:val="superscript"/>
        </w:rPr>
        <w:t>st</w:t>
      </w:r>
      <w:r w:rsidRPr="00CD1447">
        <w:rPr>
          <w:szCs w:val="24"/>
        </w:rPr>
        <w:t xml:space="preserve"> ed. Sheet Metal and Air Conditioning Contractors’ National Association, Inc., Chantilly, VA.</w:t>
      </w:r>
    </w:p>
    <w:sectPr w:rsidR="001F30DD" w:rsidRPr="00AB02B6" w:rsidSect="00772F4D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8F217" w14:textId="77777777" w:rsidR="001B5D9C" w:rsidRDefault="001B5D9C">
      <w:r>
        <w:separator/>
      </w:r>
    </w:p>
  </w:endnote>
  <w:endnote w:type="continuationSeparator" w:id="0">
    <w:p w14:paraId="08A7653C" w14:textId="77777777" w:rsidR="001B5D9C" w:rsidRDefault="001B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5D66C" w14:textId="77777777" w:rsidR="00772F4D" w:rsidRDefault="00772F4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5A7D">
      <w:rPr>
        <w:noProof/>
      </w:rPr>
      <w:t>4</w:t>
    </w:r>
    <w:r>
      <w:rPr>
        <w:noProof/>
      </w:rPr>
      <w:fldChar w:fldCharType="end"/>
    </w:r>
  </w:p>
  <w:p w14:paraId="11CFC919" w14:textId="77777777" w:rsidR="00444C98" w:rsidRDefault="00444C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B0CD7" w14:textId="77777777" w:rsidR="00772F4D" w:rsidRDefault="00772F4D" w:rsidP="00772F4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5262C" w14:textId="77777777" w:rsidR="001B5D9C" w:rsidRDefault="001B5D9C">
      <w:r>
        <w:separator/>
      </w:r>
    </w:p>
  </w:footnote>
  <w:footnote w:type="continuationSeparator" w:id="0">
    <w:p w14:paraId="50DBBF26" w14:textId="77777777" w:rsidR="001B5D9C" w:rsidRDefault="001B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" w15:restartNumberingAfterBreak="0">
    <w:nsid w:val="08E15F83"/>
    <w:multiLevelType w:val="hybridMultilevel"/>
    <w:tmpl w:val="F9C8116C"/>
    <w:lvl w:ilvl="0" w:tplc="C4601EC0">
      <w:start w:val="1"/>
      <w:numFmt w:val="decimal"/>
      <w:pStyle w:val="TOC6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304039"/>
    <w:multiLevelType w:val="multilevel"/>
    <w:tmpl w:val="2460C25C"/>
    <w:styleLink w:val="StyleNumbered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576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3" w15:restartNumberingAfterBreak="0">
    <w:nsid w:val="16C126B6"/>
    <w:multiLevelType w:val="hybridMultilevel"/>
    <w:tmpl w:val="2C72888C"/>
    <w:lvl w:ilvl="0" w:tplc="4E965D2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1E346A8F"/>
    <w:multiLevelType w:val="multilevel"/>
    <w:tmpl w:val="10E2FA8C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2001068B"/>
    <w:multiLevelType w:val="hybridMultilevel"/>
    <w:tmpl w:val="6082D91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22210CB7"/>
    <w:multiLevelType w:val="hybridMultilevel"/>
    <w:tmpl w:val="150A610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27313E01"/>
    <w:multiLevelType w:val="hybridMultilevel"/>
    <w:tmpl w:val="DBF035F0"/>
    <w:lvl w:ilvl="0" w:tplc="6AE2BF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77BD7"/>
    <w:multiLevelType w:val="hybridMultilevel"/>
    <w:tmpl w:val="5BC047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EEC5BE2"/>
    <w:multiLevelType w:val="hybridMultilevel"/>
    <w:tmpl w:val="0AA23F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FD542E3"/>
    <w:multiLevelType w:val="hybridMultilevel"/>
    <w:tmpl w:val="880217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0306A6"/>
    <w:multiLevelType w:val="singleLevel"/>
    <w:tmpl w:val="6ED8F27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2" w15:restartNumberingAfterBreak="0">
    <w:nsid w:val="34542612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3" w15:restartNumberingAfterBreak="0">
    <w:nsid w:val="356D545D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4" w15:restartNumberingAfterBreak="0">
    <w:nsid w:val="40C74C09"/>
    <w:multiLevelType w:val="hybridMultilevel"/>
    <w:tmpl w:val="2EE0AAC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 w15:restartNumberingAfterBreak="0">
    <w:nsid w:val="48797C8F"/>
    <w:multiLevelType w:val="multilevel"/>
    <w:tmpl w:val="632269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4976746A"/>
    <w:multiLevelType w:val="hybridMultilevel"/>
    <w:tmpl w:val="937683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5C6B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56C04F4F"/>
    <w:multiLevelType w:val="multilevel"/>
    <w:tmpl w:val="2460C25C"/>
    <w:numStyleLink w:val="StyleNumbered"/>
  </w:abstractNum>
  <w:abstractNum w:abstractNumId="19" w15:restartNumberingAfterBreak="0">
    <w:nsid w:val="57757E9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5A194CAA"/>
    <w:multiLevelType w:val="hybridMultilevel"/>
    <w:tmpl w:val="A8F420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AAC311A"/>
    <w:multiLevelType w:val="singleLevel"/>
    <w:tmpl w:val="4B0683B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216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22" w15:restartNumberingAfterBreak="0">
    <w:nsid w:val="63B14089"/>
    <w:multiLevelType w:val="hybridMultilevel"/>
    <w:tmpl w:val="F1CCDFBA"/>
    <w:lvl w:ilvl="0" w:tplc="13E0FA9E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3F16A58"/>
    <w:multiLevelType w:val="hybridMultilevel"/>
    <w:tmpl w:val="360CF43E"/>
    <w:lvl w:ilvl="0" w:tplc="7D720DF6">
      <w:start w:val="1"/>
      <w:numFmt w:val="decimal"/>
      <w:lvlText w:val="%1."/>
      <w:lvlJc w:val="right"/>
      <w:pPr>
        <w:tabs>
          <w:tab w:val="num" w:pos="907"/>
        </w:tabs>
        <w:ind w:left="90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  <w:rPr>
        <w:rFonts w:cs="Times New Roman"/>
      </w:rPr>
    </w:lvl>
  </w:abstractNum>
  <w:abstractNum w:abstractNumId="24" w15:restartNumberingAfterBreak="0">
    <w:nsid w:val="69BD3284"/>
    <w:multiLevelType w:val="hybridMultilevel"/>
    <w:tmpl w:val="4A2A9B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C414E9A"/>
    <w:multiLevelType w:val="hybridMultilevel"/>
    <w:tmpl w:val="3D901730"/>
    <w:lvl w:ilvl="0" w:tplc="463828AC">
      <w:start w:val="1"/>
      <w:numFmt w:val="decimal"/>
      <w:lvlText w:val="%1."/>
      <w:lvlJc w:val="righ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6" w15:restartNumberingAfterBreak="0">
    <w:nsid w:val="6D3D14CC"/>
    <w:multiLevelType w:val="hybridMultilevel"/>
    <w:tmpl w:val="00646BEA"/>
    <w:lvl w:ilvl="0" w:tplc="E37A4E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7" w15:restartNumberingAfterBreak="0">
    <w:nsid w:val="72CE220D"/>
    <w:multiLevelType w:val="hybridMultilevel"/>
    <w:tmpl w:val="1F0ED23E"/>
    <w:lvl w:ilvl="0" w:tplc="6AE2BF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FA4AAC"/>
    <w:multiLevelType w:val="hybridMultilevel"/>
    <w:tmpl w:val="D94481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B7F09E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23"/>
  </w:num>
  <w:num w:numId="3">
    <w:abstractNumId w:val="11"/>
  </w:num>
  <w:num w:numId="4">
    <w:abstractNumId w:val="4"/>
  </w:num>
  <w:num w:numId="5">
    <w:abstractNumId w:val="21"/>
  </w:num>
  <w:num w:numId="6">
    <w:abstractNumId w:val="2"/>
  </w:num>
  <w:num w:numId="7">
    <w:abstractNumId w:val="18"/>
  </w:num>
  <w:num w:numId="8">
    <w:abstractNumId w:val="29"/>
  </w:num>
  <w:num w:numId="9">
    <w:abstractNumId w:val="13"/>
  </w:num>
  <w:num w:numId="10">
    <w:abstractNumId w:val="14"/>
  </w:num>
  <w:num w:numId="11">
    <w:abstractNumId w:val="6"/>
  </w:num>
  <w:num w:numId="12">
    <w:abstractNumId w:val="26"/>
  </w:num>
  <w:num w:numId="13">
    <w:abstractNumId w:val="19"/>
  </w:num>
  <w:num w:numId="14">
    <w:abstractNumId w:val="12"/>
  </w:num>
  <w:num w:numId="15">
    <w:abstractNumId w:val="1"/>
  </w:num>
  <w:num w:numId="16">
    <w:abstractNumId w:val="25"/>
  </w:num>
  <w:num w:numId="17">
    <w:abstractNumId w:val="3"/>
  </w:num>
  <w:num w:numId="18">
    <w:abstractNumId w:val="15"/>
  </w:num>
  <w:num w:numId="19">
    <w:abstractNumId w:val="28"/>
  </w:num>
  <w:num w:numId="20">
    <w:abstractNumId w:val="17"/>
  </w:num>
  <w:num w:numId="21">
    <w:abstractNumId w:val="9"/>
  </w:num>
  <w:num w:numId="22">
    <w:abstractNumId w:val="27"/>
  </w:num>
  <w:num w:numId="23">
    <w:abstractNumId w:val="7"/>
  </w:num>
  <w:num w:numId="24">
    <w:abstractNumId w:val="20"/>
  </w:num>
  <w:num w:numId="25">
    <w:abstractNumId w:val="10"/>
  </w:num>
  <w:num w:numId="26">
    <w:abstractNumId w:val="5"/>
  </w:num>
  <w:num w:numId="27">
    <w:abstractNumId w:val="22"/>
  </w:num>
  <w:num w:numId="28">
    <w:abstractNumId w:val="8"/>
  </w:num>
  <w:num w:numId="29">
    <w:abstractNumId w:val="16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4A18"/>
    <w:rsid w:val="00002752"/>
    <w:rsid w:val="00005A84"/>
    <w:rsid w:val="0001296A"/>
    <w:rsid w:val="000144B1"/>
    <w:rsid w:val="00014C6B"/>
    <w:rsid w:val="00022251"/>
    <w:rsid w:val="0002461B"/>
    <w:rsid w:val="00032478"/>
    <w:rsid w:val="00033029"/>
    <w:rsid w:val="00033928"/>
    <w:rsid w:val="0003756D"/>
    <w:rsid w:val="000378A6"/>
    <w:rsid w:val="000403EA"/>
    <w:rsid w:val="000409A9"/>
    <w:rsid w:val="000410AB"/>
    <w:rsid w:val="00042B94"/>
    <w:rsid w:val="00044168"/>
    <w:rsid w:val="00046621"/>
    <w:rsid w:val="0004785C"/>
    <w:rsid w:val="00051744"/>
    <w:rsid w:val="000518CD"/>
    <w:rsid w:val="0005335A"/>
    <w:rsid w:val="000534EE"/>
    <w:rsid w:val="00053C23"/>
    <w:rsid w:val="00056442"/>
    <w:rsid w:val="00060700"/>
    <w:rsid w:val="0006325F"/>
    <w:rsid w:val="00064796"/>
    <w:rsid w:val="000730C4"/>
    <w:rsid w:val="00074150"/>
    <w:rsid w:val="00074796"/>
    <w:rsid w:val="00076244"/>
    <w:rsid w:val="00077232"/>
    <w:rsid w:val="000822A5"/>
    <w:rsid w:val="0008406E"/>
    <w:rsid w:val="000853D7"/>
    <w:rsid w:val="00087AC5"/>
    <w:rsid w:val="00087FFE"/>
    <w:rsid w:val="00092449"/>
    <w:rsid w:val="000954F2"/>
    <w:rsid w:val="00096D99"/>
    <w:rsid w:val="00096EFF"/>
    <w:rsid w:val="000A0FC1"/>
    <w:rsid w:val="000A5846"/>
    <w:rsid w:val="000A6ABA"/>
    <w:rsid w:val="000A7B7E"/>
    <w:rsid w:val="000B70F0"/>
    <w:rsid w:val="000C00D1"/>
    <w:rsid w:val="000C069B"/>
    <w:rsid w:val="000C27E5"/>
    <w:rsid w:val="000C453B"/>
    <w:rsid w:val="000C51EA"/>
    <w:rsid w:val="000C6C7E"/>
    <w:rsid w:val="000D0302"/>
    <w:rsid w:val="000D1120"/>
    <w:rsid w:val="000D29AD"/>
    <w:rsid w:val="000D48D8"/>
    <w:rsid w:val="000D6F4A"/>
    <w:rsid w:val="000D71C7"/>
    <w:rsid w:val="000D7990"/>
    <w:rsid w:val="000D7FA9"/>
    <w:rsid w:val="000E3087"/>
    <w:rsid w:val="000E3155"/>
    <w:rsid w:val="000E3C85"/>
    <w:rsid w:val="000E421C"/>
    <w:rsid w:val="000E4F48"/>
    <w:rsid w:val="000E631C"/>
    <w:rsid w:val="000E756D"/>
    <w:rsid w:val="000F083D"/>
    <w:rsid w:val="000F0A04"/>
    <w:rsid w:val="000F0D14"/>
    <w:rsid w:val="000F176E"/>
    <w:rsid w:val="000F2B18"/>
    <w:rsid w:val="000F4D9F"/>
    <w:rsid w:val="000F625C"/>
    <w:rsid w:val="000F7780"/>
    <w:rsid w:val="00102A91"/>
    <w:rsid w:val="001059F0"/>
    <w:rsid w:val="001111A6"/>
    <w:rsid w:val="00113CD6"/>
    <w:rsid w:val="001219C4"/>
    <w:rsid w:val="001228FC"/>
    <w:rsid w:val="00122B0B"/>
    <w:rsid w:val="00125402"/>
    <w:rsid w:val="0012688E"/>
    <w:rsid w:val="001334D3"/>
    <w:rsid w:val="00135E78"/>
    <w:rsid w:val="001371F0"/>
    <w:rsid w:val="00137864"/>
    <w:rsid w:val="00143934"/>
    <w:rsid w:val="00152FA4"/>
    <w:rsid w:val="00153746"/>
    <w:rsid w:val="00154103"/>
    <w:rsid w:val="00154E72"/>
    <w:rsid w:val="001612C8"/>
    <w:rsid w:val="00164C73"/>
    <w:rsid w:val="001651AD"/>
    <w:rsid w:val="00170AA6"/>
    <w:rsid w:val="00170C10"/>
    <w:rsid w:val="00171DCE"/>
    <w:rsid w:val="001727F0"/>
    <w:rsid w:val="00173A7F"/>
    <w:rsid w:val="00173EF3"/>
    <w:rsid w:val="00173FF9"/>
    <w:rsid w:val="001756FC"/>
    <w:rsid w:val="00176C1C"/>
    <w:rsid w:val="00180D67"/>
    <w:rsid w:val="001821EB"/>
    <w:rsid w:val="001830C6"/>
    <w:rsid w:val="00191727"/>
    <w:rsid w:val="00191EF9"/>
    <w:rsid w:val="00191F7E"/>
    <w:rsid w:val="001920E4"/>
    <w:rsid w:val="001966EF"/>
    <w:rsid w:val="001A0C85"/>
    <w:rsid w:val="001A0DB9"/>
    <w:rsid w:val="001A4EE7"/>
    <w:rsid w:val="001A64CA"/>
    <w:rsid w:val="001B07EF"/>
    <w:rsid w:val="001B1527"/>
    <w:rsid w:val="001B31AD"/>
    <w:rsid w:val="001B3286"/>
    <w:rsid w:val="001B37C0"/>
    <w:rsid w:val="001B524D"/>
    <w:rsid w:val="001B5D9C"/>
    <w:rsid w:val="001C50E5"/>
    <w:rsid w:val="001C7163"/>
    <w:rsid w:val="001D0208"/>
    <w:rsid w:val="001D392B"/>
    <w:rsid w:val="001D4C63"/>
    <w:rsid w:val="001E11A0"/>
    <w:rsid w:val="001E1C34"/>
    <w:rsid w:val="001E3902"/>
    <w:rsid w:val="001E3D37"/>
    <w:rsid w:val="001E5DC1"/>
    <w:rsid w:val="001E6D4D"/>
    <w:rsid w:val="001F2F62"/>
    <w:rsid w:val="001F30DD"/>
    <w:rsid w:val="00203F39"/>
    <w:rsid w:val="0020567B"/>
    <w:rsid w:val="002069FF"/>
    <w:rsid w:val="0021003D"/>
    <w:rsid w:val="00211C0D"/>
    <w:rsid w:val="00217770"/>
    <w:rsid w:val="00221039"/>
    <w:rsid w:val="00221F85"/>
    <w:rsid w:val="0022389E"/>
    <w:rsid w:val="0022723C"/>
    <w:rsid w:val="00227326"/>
    <w:rsid w:val="0023308B"/>
    <w:rsid w:val="00233650"/>
    <w:rsid w:val="002408A5"/>
    <w:rsid w:val="0024364B"/>
    <w:rsid w:val="002446CF"/>
    <w:rsid w:val="00244833"/>
    <w:rsid w:val="00244B0F"/>
    <w:rsid w:val="00245DFB"/>
    <w:rsid w:val="00246DBE"/>
    <w:rsid w:val="0025016D"/>
    <w:rsid w:val="002559EA"/>
    <w:rsid w:val="002560B7"/>
    <w:rsid w:val="00257B15"/>
    <w:rsid w:val="00260FF2"/>
    <w:rsid w:val="00261D64"/>
    <w:rsid w:val="00263220"/>
    <w:rsid w:val="0026386C"/>
    <w:rsid w:val="00265B8A"/>
    <w:rsid w:val="0026678D"/>
    <w:rsid w:val="002671A5"/>
    <w:rsid w:val="002703EC"/>
    <w:rsid w:val="00271B53"/>
    <w:rsid w:val="00275DE5"/>
    <w:rsid w:val="00275FAD"/>
    <w:rsid w:val="002762E7"/>
    <w:rsid w:val="002766B4"/>
    <w:rsid w:val="002800C0"/>
    <w:rsid w:val="00280A4E"/>
    <w:rsid w:val="002855F1"/>
    <w:rsid w:val="00286D43"/>
    <w:rsid w:val="00286ED4"/>
    <w:rsid w:val="00294605"/>
    <w:rsid w:val="002961D6"/>
    <w:rsid w:val="002977B8"/>
    <w:rsid w:val="0029781E"/>
    <w:rsid w:val="002A03AD"/>
    <w:rsid w:val="002A0E45"/>
    <w:rsid w:val="002A1E54"/>
    <w:rsid w:val="002A3C29"/>
    <w:rsid w:val="002A3C58"/>
    <w:rsid w:val="002A472B"/>
    <w:rsid w:val="002A4951"/>
    <w:rsid w:val="002A6A7E"/>
    <w:rsid w:val="002B0DE3"/>
    <w:rsid w:val="002B1134"/>
    <w:rsid w:val="002B2342"/>
    <w:rsid w:val="002B4D68"/>
    <w:rsid w:val="002B52FA"/>
    <w:rsid w:val="002B6461"/>
    <w:rsid w:val="002B67B0"/>
    <w:rsid w:val="002B6B74"/>
    <w:rsid w:val="002B7962"/>
    <w:rsid w:val="002C0F06"/>
    <w:rsid w:val="002C3887"/>
    <w:rsid w:val="002C3B1F"/>
    <w:rsid w:val="002C796F"/>
    <w:rsid w:val="002D046F"/>
    <w:rsid w:val="002D054F"/>
    <w:rsid w:val="002D4CA8"/>
    <w:rsid w:val="002D5DA0"/>
    <w:rsid w:val="002D74E7"/>
    <w:rsid w:val="002D76A0"/>
    <w:rsid w:val="002E4F56"/>
    <w:rsid w:val="002E63CF"/>
    <w:rsid w:val="002F265E"/>
    <w:rsid w:val="002F3479"/>
    <w:rsid w:val="002F4148"/>
    <w:rsid w:val="00302394"/>
    <w:rsid w:val="003032E3"/>
    <w:rsid w:val="00306E16"/>
    <w:rsid w:val="00306FF9"/>
    <w:rsid w:val="003078F2"/>
    <w:rsid w:val="00311D6A"/>
    <w:rsid w:val="00312771"/>
    <w:rsid w:val="00316D26"/>
    <w:rsid w:val="00320320"/>
    <w:rsid w:val="0032285D"/>
    <w:rsid w:val="003266A6"/>
    <w:rsid w:val="003304A8"/>
    <w:rsid w:val="00331884"/>
    <w:rsid w:val="003333F3"/>
    <w:rsid w:val="00333D48"/>
    <w:rsid w:val="00334BBB"/>
    <w:rsid w:val="0033716E"/>
    <w:rsid w:val="00340BB8"/>
    <w:rsid w:val="003464C5"/>
    <w:rsid w:val="003474AA"/>
    <w:rsid w:val="003475EE"/>
    <w:rsid w:val="003476DB"/>
    <w:rsid w:val="003508E9"/>
    <w:rsid w:val="00353CDC"/>
    <w:rsid w:val="003541A2"/>
    <w:rsid w:val="00356F7C"/>
    <w:rsid w:val="0036046C"/>
    <w:rsid w:val="00361D75"/>
    <w:rsid w:val="00363F43"/>
    <w:rsid w:val="0036634B"/>
    <w:rsid w:val="003723A7"/>
    <w:rsid w:val="003726F5"/>
    <w:rsid w:val="00373C27"/>
    <w:rsid w:val="003759CD"/>
    <w:rsid w:val="00376DF8"/>
    <w:rsid w:val="00376EDF"/>
    <w:rsid w:val="00381DC6"/>
    <w:rsid w:val="003837F3"/>
    <w:rsid w:val="0038391B"/>
    <w:rsid w:val="00385F2C"/>
    <w:rsid w:val="0038652B"/>
    <w:rsid w:val="00386B65"/>
    <w:rsid w:val="003901F4"/>
    <w:rsid w:val="00392614"/>
    <w:rsid w:val="0039406D"/>
    <w:rsid w:val="003A08AB"/>
    <w:rsid w:val="003A4E5B"/>
    <w:rsid w:val="003B366B"/>
    <w:rsid w:val="003B414B"/>
    <w:rsid w:val="003B652D"/>
    <w:rsid w:val="003B689F"/>
    <w:rsid w:val="003B6F9B"/>
    <w:rsid w:val="003C3835"/>
    <w:rsid w:val="003C5DDF"/>
    <w:rsid w:val="003D0423"/>
    <w:rsid w:val="003D1B1B"/>
    <w:rsid w:val="003D20C8"/>
    <w:rsid w:val="003D41C0"/>
    <w:rsid w:val="003E069B"/>
    <w:rsid w:val="003E16EC"/>
    <w:rsid w:val="003E1FE6"/>
    <w:rsid w:val="003E272E"/>
    <w:rsid w:val="003E3A38"/>
    <w:rsid w:val="003E6478"/>
    <w:rsid w:val="003F36AE"/>
    <w:rsid w:val="003F4AD5"/>
    <w:rsid w:val="003F6B89"/>
    <w:rsid w:val="003F706A"/>
    <w:rsid w:val="00400893"/>
    <w:rsid w:val="00401119"/>
    <w:rsid w:val="00403AB2"/>
    <w:rsid w:val="00406519"/>
    <w:rsid w:val="00411586"/>
    <w:rsid w:val="00411D56"/>
    <w:rsid w:val="0041591F"/>
    <w:rsid w:val="00415A7A"/>
    <w:rsid w:val="00416040"/>
    <w:rsid w:val="004238AC"/>
    <w:rsid w:val="00423C3D"/>
    <w:rsid w:val="00430418"/>
    <w:rsid w:val="00431D5C"/>
    <w:rsid w:val="0043207D"/>
    <w:rsid w:val="0043349A"/>
    <w:rsid w:val="00433BC8"/>
    <w:rsid w:val="00434514"/>
    <w:rsid w:val="00435AF3"/>
    <w:rsid w:val="00437707"/>
    <w:rsid w:val="00440823"/>
    <w:rsid w:val="004439BE"/>
    <w:rsid w:val="00443BF8"/>
    <w:rsid w:val="00444C98"/>
    <w:rsid w:val="00447EA2"/>
    <w:rsid w:val="004500E9"/>
    <w:rsid w:val="00450DB7"/>
    <w:rsid w:val="0045166F"/>
    <w:rsid w:val="00453052"/>
    <w:rsid w:val="00453C41"/>
    <w:rsid w:val="004544BF"/>
    <w:rsid w:val="00457F25"/>
    <w:rsid w:val="00460E5E"/>
    <w:rsid w:val="00460FB6"/>
    <w:rsid w:val="00461C68"/>
    <w:rsid w:val="00462C31"/>
    <w:rsid w:val="004637AF"/>
    <w:rsid w:val="004675C8"/>
    <w:rsid w:val="00467FD9"/>
    <w:rsid w:val="0047021C"/>
    <w:rsid w:val="00471939"/>
    <w:rsid w:val="00473822"/>
    <w:rsid w:val="0047527A"/>
    <w:rsid w:val="00475457"/>
    <w:rsid w:val="0047729E"/>
    <w:rsid w:val="00486E62"/>
    <w:rsid w:val="00491323"/>
    <w:rsid w:val="004945BC"/>
    <w:rsid w:val="004A36D8"/>
    <w:rsid w:val="004B14D6"/>
    <w:rsid w:val="004B3051"/>
    <w:rsid w:val="004B640A"/>
    <w:rsid w:val="004C2689"/>
    <w:rsid w:val="004C352E"/>
    <w:rsid w:val="004C42BC"/>
    <w:rsid w:val="004C55B6"/>
    <w:rsid w:val="004C591E"/>
    <w:rsid w:val="004C5C81"/>
    <w:rsid w:val="004C6317"/>
    <w:rsid w:val="004C79AB"/>
    <w:rsid w:val="004D1A09"/>
    <w:rsid w:val="004D238C"/>
    <w:rsid w:val="004D3388"/>
    <w:rsid w:val="004D3CAB"/>
    <w:rsid w:val="004D528F"/>
    <w:rsid w:val="004D60A0"/>
    <w:rsid w:val="004D651C"/>
    <w:rsid w:val="004D7073"/>
    <w:rsid w:val="004D7550"/>
    <w:rsid w:val="004E11D5"/>
    <w:rsid w:val="004E25C6"/>
    <w:rsid w:val="004E4D21"/>
    <w:rsid w:val="004E626A"/>
    <w:rsid w:val="004E73B1"/>
    <w:rsid w:val="004F1493"/>
    <w:rsid w:val="004F2108"/>
    <w:rsid w:val="004F4CDA"/>
    <w:rsid w:val="004F6582"/>
    <w:rsid w:val="004F6DFF"/>
    <w:rsid w:val="005007F4"/>
    <w:rsid w:val="00500E1A"/>
    <w:rsid w:val="00501442"/>
    <w:rsid w:val="00501D7A"/>
    <w:rsid w:val="00502966"/>
    <w:rsid w:val="005069DF"/>
    <w:rsid w:val="00510313"/>
    <w:rsid w:val="00512064"/>
    <w:rsid w:val="00513E15"/>
    <w:rsid w:val="0052148B"/>
    <w:rsid w:val="0052169B"/>
    <w:rsid w:val="005230FE"/>
    <w:rsid w:val="00523C12"/>
    <w:rsid w:val="00523D1D"/>
    <w:rsid w:val="00524009"/>
    <w:rsid w:val="005256CD"/>
    <w:rsid w:val="00525B4C"/>
    <w:rsid w:val="00526FE3"/>
    <w:rsid w:val="005279FA"/>
    <w:rsid w:val="00533486"/>
    <w:rsid w:val="0053492F"/>
    <w:rsid w:val="00540198"/>
    <w:rsid w:val="0054042C"/>
    <w:rsid w:val="00540809"/>
    <w:rsid w:val="00542013"/>
    <w:rsid w:val="0054276A"/>
    <w:rsid w:val="00545E7C"/>
    <w:rsid w:val="00550033"/>
    <w:rsid w:val="00550B49"/>
    <w:rsid w:val="00550BD1"/>
    <w:rsid w:val="00551AF2"/>
    <w:rsid w:val="00552B4C"/>
    <w:rsid w:val="00553CF7"/>
    <w:rsid w:val="00557457"/>
    <w:rsid w:val="0056010E"/>
    <w:rsid w:val="00564F0E"/>
    <w:rsid w:val="0056683A"/>
    <w:rsid w:val="00567088"/>
    <w:rsid w:val="00571F5C"/>
    <w:rsid w:val="005739AD"/>
    <w:rsid w:val="005745DD"/>
    <w:rsid w:val="005756BC"/>
    <w:rsid w:val="00576F10"/>
    <w:rsid w:val="005813F7"/>
    <w:rsid w:val="0059051A"/>
    <w:rsid w:val="00592A63"/>
    <w:rsid w:val="00595254"/>
    <w:rsid w:val="00596E39"/>
    <w:rsid w:val="005979BB"/>
    <w:rsid w:val="005A083C"/>
    <w:rsid w:val="005A3773"/>
    <w:rsid w:val="005A5AF9"/>
    <w:rsid w:val="005A60A0"/>
    <w:rsid w:val="005A7B58"/>
    <w:rsid w:val="005A7DA2"/>
    <w:rsid w:val="005B368D"/>
    <w:rsid w:val="005B42C3"/>
    <w:rsid w:val="005B4E89"/>
    <w:rsid w:val="005B681E"/>
    <w:rsid w:val="005C0285"/>
    <w:rsid w:val="005C066F"/>
    <w:rsid w:val="005C265B"/>
    <w:rsid w:val="005C5A7D"/>
    <w:rsid w:val="005C679C"/>
    <w:rsid w:val="005D4156"/>
    <w:rsid w:val="005D574A"/>
    <w:rsid w:val="005D5A44"/>
    <w:rsid w:val="005D75CD"/>
    <w:rsid w:val="005D78C7"/>
    <w:rsid w:val="005E3836"/>
    <w:rsid w:val="005E3E95"/>
    <w:rsid w:val="005E40FB"/>
    <w:rsid w:val="005E5C25"/>
    <w:rsid w:val="005E5ED3"/>
    <w:rsid w:val="005F28D9"/>
    <w:rsid w:val="005F2BD5"/>
    <w:rsid w:val="005F482F"/>
    <w:rsid w:val="005F5275"/>
    <w:rsid w:val="005F5E0A"/>
    <w:rsid w:val="005F72F3"/>
    <w:rsid w:val="005F739E"/>
    <w:rsid w:val="00601E95"/>
    <w:rsid w:val="006063B0"/>
    <w:rsid w:val="006063C4"/>
    <w:rsid w:val="006072E1"/>
    <w:rsid w:val="00610DD3"/>
    <w:rsid w:val="00613E96"/>
    <w:rsid w:val="00613FAC"/>
    <w:rsid w:val="00615CD6"/>
    <w:rsid w:val="00617292"/>
    <w:rsid w:val="006235C3"/>
    <w:rsid w:val="0062399F"/>
    <w:rsid w:val="00624148"/>
    <w:rsid w:val="0062659A"/>
    <w:rsid w:val="006265A7"/>
    <w:rsid w:val="00630FED"/>
    <w:rsid w:val="00631CD4"/>
    <w:rsid w:val="00632695"/>
    <w:rsid w:val="00632E0F"/>
    <w:rsid w:val="00634E31"/>
    <w:rsid w:val="00635A10"/>
    <w:rsid w:val="00635F5A"/>
    <w:rsid w:val="006376E4"/>
    <w:rsid w:val="00641052"/>
    <w:rsid w:val="00644629"/>
    <w:rsid w:val="006453C6"/>
    <w:rsid w:val="00646D8F"/>
    <w:rsid w:val="006472EB"/>
    <w:rsid w:val="00650C45"/>
    <w:rsid w:val="006547C2"/>
    <w:rsid w:val="0065537D"/>
    <w:rsid w:val="0066049B"/>
    <w:rsid w:val="00661333"/>
    <w:rsid w:val="0066463B"/>
    <w:rsid w:val="006756D8"/>
    <w:rsid w:val="0068132D"/>
    <w:rsid w:val="0068185E"/>
    <w:rsid w:val="00681D27"/>
    <w:rsid w:val="00685F34"/>
    <w:rsid w:val="00686DB1"/>
    <w:rsid w:val="0069012A"/>
    <w:rsid w:val="00693B5F"/>
    <w:rsid w:val="00693D0C"/>
    <w:rsid w:val="006948F0"/>
    <w:rsid w:val="006965A7"/>
    <w:rsid w:val="00696BB1"/>
    <w:rsid w:val="006A13BA"/>
    <w:rsid w:val="006A43CD"/>
    <w:rsid w:val="006A5752"/>
    <w:rsid w:val="006A5781"/>
    <w:rsid w:val="006A63D7"/>
    <w:rsid w:val="006B0748"/>
    <w:rsid w:val="006B10A4"/>
    <w:rsid w:val="006B2362"/>
    <w:rsid w:val="006B2C98"/>
    <w:rsid w:val="006B5F44"/>
    <w:rsid w:val="006B63DF"/>
    <w:rsid w:val="006C088B"/>
    <w:rsid w:val="006C166F"/>
    <w:rsid w:val="006C2181"/>
    <w:rsid w:val="006C2F54"/>
    <w:rsid w:val="006C3609"/>
    <w:rsid w:val="006C4918"/>
    <w:rsid w:val="006C4EBB"/>
    <w:rsid w:val="006C58C4"/>
    <w:rsid w:val="006C5E26"/>
    <w:rsid w:val="006C7326"/>
    <w:rsid w:val="006D06BD"/>
    <w:rsid w:val="006D07C0"/>
    <w:rsid w:val="006D2037"/>
    <w:rsid w:val="006D3A7D"/>
    <w:rsid w:val="006D55BE"/>
    <w:rsid w:val="006D75F0"/>
    <w:rsid w:val="006D7DE9"/>
    <w:rsid w:val="006E339F"/>
    <w:rsid w:val="006E620F"/>
    <w:rsid w:val="006E62A8"/>
    <w:rsid w:val="006E79B8"/>
    <w:rsid w:val="006F4853"/>
    <w:rsid w:val="006F69A9"/>
    <w:rsid w:val="006F6CA3"/>
    <w:rsid w:val="007006CF"/>
    <w:rsid w:val="00705149"/>
    <w:rsid w:val="007056E1"/>
    <w:rsid w:val="0070583B"/>
    <w:rsid w:val="007144FC"/>
    <w:rsid w:val="00714514"/>
    <w:rsid w:val="00716441"/>
    <w:rsid w:val="00722E44"/>
    <w:rsid w:val="0072302A"/>
    <w:rsid w:val="00723452"/>
    <w:rsid w:val="00731320"/>
    <w:rsid w:val="007318EC"/>
    <w:rsid w:val="0073302B"/>
    <w:rsid w:val="00734866"/>
    <w:rsid w:val="00736123"/>
    <w:rsid w:val="007366E3"/>
    <w:rsid w:val="00737766"/>
    <w:rsid w:val="00743EB2"/>
    <w:rsid w:val="007454EC"/>
    <w:rsid w:val="007458BD"/>
    <w:rsid w:val="00745ADF"/>
    <w:rsid w:val="0074692F"/>
    <w:rsid w:val="007471FA"/>
    <w:rsid w:val="007472E8"/>
    <w:rsid w:val="00747B28"/>
    <w:rsid w:val="0075199E"/>
    <w:rsid w:val="00753870"/>
    <w:rsid w:val="007567B0"/>
    <w:rsid w:val="00763052"/>
    <w:rsid w:val="00763640"/>
    <w:rsid w:val="00764B1B"/>
    <w:rsid w:val="00764E4B"/>
    <w:rsid w:val="007658D4"/>
    <w:rsid w:val="00770CB5"/>
    <w:rsid w:val="00771183"/>
    <w:rsid w:val="00772F4D"/>
    <w:rsid w:val="0077466D"/>
    <w:rsid w:val="00776710"/>
    <w:rsid w:val="007777C5"/>
    <w:rsid w:val="00777E20"/>
    <w:rsid w:val="007830DC"/>
    <w:rsid w:val="00783257"/>
    <w:rsid w:val="00783660"/>
    <w:rsid w:val="00784009"/>
    <w:rsid w:val="00786C8F"/>
    <w:rsid w:val="00790099"/>
    <w:rsid w:val="00790517"/>
    <w:rsid w:val="0079100D"/>
    <w:rsid w:val="007941B2"/>
    <w:rsid w:val="00796632"/>
    <w:rsid w:val="00796754"/>
    <w:rsid w:val="007A4A72"/>
    <w:rsid w:val="007A4F50"/>
    <w:rsid w:val="007A5C55"/>
    <w:rsid w:val="007A5DB3"/>
    <w:rsid w:val="007A6FB8"/>
    <w:rsid w:val="007B2493"/>
    <w:rsid w:val="007B703B"/>
    <w:rsid w:val="007B7868"/>
    <w:rsid w:val="007C0494"/>
    <w:rsid w:val="007C0B34"/>
    <w:rsid w:val="007C11C9"/>
    <w:rsid w:val="007C26D7"/>
    <w:rsid w:val="007C2E02"/>
    <w:rsid w:val="007C352A"/>
    <w:rsid w:val="007C3761"/>
    <w:rsid w:val="007C3BA0"/>
    <w:rsid w:val="007C4A18"/>
    <w:rsid w:val="007C59E9"/>
    <w:rsid w:val="007C5E18"/>
    <w:rsid w:val="007C6406"/>
    <w:rsid w:val="007C7382"/>
    <w:rsid w:val="007C7429"/>
    <w:rsid w:val="007D0634"/>
    <w:rsid w:val="007D0C97"/>
    <w:rsid w:val="007D19D6"/>
    <w:rsid w:val="007D3555"/>
    <w:rsid w:val="007D4C09"/>
    <w:rsid w:val="007E1DA9"/>
    <w:rsid w:val="007E4CD9"/>
    <w:rsid w:val="007E55BA"/>
    <w:rsid w:val="007E5E23"/>
    <w:rsid w:val="007E6F5D"/>
    <w:rsid w:val="007F0631"/>
    <w:rsid w:val="007F17FF"/>
    <w:rsid w:val="007F305E"/>
    <w:rsid w:val="007F3364"/>
    <w:rsid w:val="007F6FD4"/>
    <w:rsid w:val="00800501"/>
    <w:rsid w:val="008021ED"/>
    <w:rsid w:val="0080369E"/>
    <w:rsid w:val="00803C2C"/>
    <w:rsid w:val="00806585"/>
    <w:rsid w:val="0080754F"/>
    <w:rsid w:val="00816D01"/>
    <w:rsid w:val="00817909"/>
    <w:rsid w:val="00820C98"/>
    <w:rsid w:val="008345DF"/>
    <w:rsid w:val="0083777E"/>
    <w:rsid w:val="008415E5"/>
    <w:rsid w:val="008436CD"/>
    <w:rsid w:val="008509CD"/>
    <w:rsid w:val="0085511F"/>
    <w:rsid w:val="0085587D"/>
    <w:rsid w:val="00857C69"/>
    <w:rsid w:val="00864568"/>
    <w:rsid w:val="008655E0"/>
    <w:rsid w:val="00865801"/>
    <w:rsid w:val="008679F5"/>
    <w:rsid w:val="00871A95"/>
    <w:rsid w:val="0087265D"/>
    <w:rsid w:val="00874F64"/>
    <w:rsid w:val="0087768E"/>
    <w:rsid w:val="00877FA5"/>
    <w:rsid w:val="00880D57"/>
    <w:rsid w:val="00882CCA"/>
    <w:rsid w:val="00884392"/>
    <w:rsid w:val="00885412"/>
    <w:rsid w:val="0089005A"/>
    <w:rsid w:val="008952FD"/>
    <w:rsid w:val="00895E02"/>
    <w:rsid w:val="00896017"/>
    <w:rsid w:val="008A20E8"/>
    <w:rsid w:val="008A2F27"/>
    <w:rsid w:val="008B0DD7"/>
    <w:rsid w:val="008B20A9"/>
    <w:rsid w:val="008B5D42"/>
    <w:rsid w:val="008B6C01"/>
    <w:rsid w:val="008B719E"/>
    <w:rsid w:val="008B76AE"/>
    <w:rsid w:val="008B7AFF"/>
    <w:rsid w:val="008C07B5"/>
    <w:rsid w:val="008C07DF"/>
    <w:rsid w:val="008C0B97"/>
    <w:rsid w:val="008C1B17"/>
    <w:rsid w:val="008C2BEA"/>
    <w:rsid w:val="008C32D3"/>
    <w:rsid w:val="008D3056"/>
    <w:rsid w:val="008D3362"/>
    <w:rsid w:val="008D3C16"/>
    <w:rsid w:val="008E0D1B"/>
    <w:rsid w:val="008E125C"/>
    <w:rsid w:val="008E2E22"/>
    <w:rsid w:val="008E2FF2"/>
    <w:rsid w:val="008F224E"/>
    <w:rsid w:val="008F2491"/>
    <w:rsid w:val="008F2856"/>
    <w:rsid w:val="008F2B60"/>
    <w:rsid w:val="008F490A"/>
    <w:rsid w:val="008F4D0A"/>
    <w:rsid w:val="008F628E"/>
    <w:rsid w:val="008F69E7"/>
    <w:rsid w:val="008F7F70"/>
    <w:rsid w:val="00902562"/>
    <w:rsid w:val="00902BE6"/>
    <w:rsid w:val="00902FC3"/>
    <w:rsid w:val="00906CB6"/>
    <w:rsid w:val="009140D0"/>
    <w:rsid w:val="00915B5D"/>
    <w:rsid w:val="00917D9E"/>
    <w:rsid w:val="009209F6"/>
    <w:rsid w:val="0092134A"/>
    <w:rsid w:val="0092378F"/>
    <w:rsid w:val="009255A8"/>
    <w:rsid w:val="0092660D"/>
    <w:rsid w:val="00927E90"/>
    <w:rsid w:val="00930151"/>
    <w:rsid w:val="00933ED8"/>
    <w:rsid w:val="00934600"/>
    <w:rsid w:val="009371A3"/>
    <w:rsid w:val="00937B15"/>
    <w:rsid w:val="009442FC"/>
    <w:rsid w:val="00945E40"/>
    <w:rsid w:val="009464A6"/>
    <w:rsid w:val="009467D9"/>
    <w:rsid w:val="009470EC"/>
    <w:rsid w:val="00950FB5"/>
    <w:rsid w:val="00951DC6"/>
    <w:rsid w:val="00952EE8"/>
    <w:rsid w:val="00953A47"/>
    <w:rsid w:val="00955322"/>
    <w:rsid w:val="0096068B"/>
    <w:rsid w:val="0096167D"/>
    <w:rsid w:val="009616DB"/>
    <w:rsid w:val="00962CCB"/>
    <w:rsid w:val="009644E9"/>
    <w:rsid w:val="00965358"/>
    <w:rsid w:val="00965483"/>
    <w:rsid w:val="00966F13"/>
    <w:rsid w:val="00973D29"/>
    <w:rsid w:val="00974EED"/>
    <w:rsid w:val="00975324"/>
    <w:rsid w:val="009829AB"/>
    <w:rsid w:val="0098448D"/>
    <w:rsid w:val="00984AD8"/>
    <w:rsid w:val="00986A11"/>
    <w:rsid w:val="00990E61"/>
    <w:rsid w:val="00991B18"/>
    <w:rsid w:val="009925A5"/>
    <w:rsid w:val="00994B35"/>
    <w:rsid w:val="009961BB"/>
    <w:rsid w:val="009A3877"/>
    <w:rsid w:val="009A4EC5"/>
    <w:rsid w:val="009A59A5"/>
    <w:rsid w:val="009A75C1"/>
    <w:rsid w:val="009B41B1"/>
    <w:rsid w:val="009B4BCC"/>
    <w:rsid w:val="009B7478"/>
    <w:rsid w:val="009B77E4"/>
    <w:rsid w:val="009C0944"/>
    <w:rsid w:val="009C20A4"/>
    <w:rsid w:val="009C3FE5"/>
    <w:rsid w:val="009C4019"/>
    <w:rsid w:val="009C7352"/>
    <w:rsid w:val="009D187D"/>
    <w:rsid w:val="009D4684"/>
    <w:rsid w:val="009D67B7"/>
    <w:rsid w:val="009D73ED"/>
    <w:rsid w:val="009E0DF6"/>
    <w:rsid w:val="009E3A52"/>
    <w:rsid w:val="009E73C2"/>
    <w:rsid w:val="009E7900"/>
    <w:rsid w:val="009F044E"/>
    <w:rsid w:val="009F35FD"/>
    <w:rsid w:val="009F5331"/>
    <w:rsid w:val="009F5B84"/>
    <w:rsid w:val="009F6263"/>
    <w:rsid w:val="009F6AA7"/>
    <w:rsid w:val="009F7289"/>
    <w:rsid w:val="009F7B18"/>
    <w:rsid w:val="00A0221F"/>
    <w:rsid w:val="00A022B0"/>
    <w:rsid w:val="00A02981"/>
    <w:rsid w:val="00A034AF"/>
    <w:rsid w:val="00A03846"/>
    <w:rsid w:val="00A0442B"/>
    <w:rsid w:val="00A0563C"/>
    <w:rsid w:val="00A05AC3"/>
    <w:rsid w:val="00A06289"/>
    <w:rsid w:val="00A07296"/>
    <w:rsid w:val="00A07492"/>
    <w:rsid w:val="00A11951"/>
    <w:rsid w:val="00A134FB"/>
    <w:rsid w:val="00A163D9"/>
    <w:rsid w:val="00A177AE"/>
    <w:rsid w:val="00A22855"/>
    <w:rsid w:val="00A24838"/>
    <w:rsid w:val="00A2689D"/>
    <w:rsid w:val="00A31F29"/>
    <w:rsid w:val="00A34616"/>
    <w:rsid w:val="00A35A70"/>
    <w:rsid w:val="00A35C17"/>
    <w:rsid w:val="00A450F4"/>
    <w:rsid w:val="00A456C2"/>
    <w:rsid w:val="00A475E0"/>
    <w:rsid w:val="00A54FD2"/>
    <w:rsid w:val="00A572C7"/>
    <w:rsid w:val="00A62208"/>
    <w:rsid w:val="00A63318"/>
    <w:rsid w:val="00A65091"/>
    <w:rsid w:val="00A654CA"/>
    <w:rsid w:val="00A662C4"/>
    <w:rsid w:val="00A67137"/>
    <w:rsid w:val="00A6721D"/>
    <w:rsid w:val="00A7173C"/>
    <w:rsid w:val="00A73184"/>
    <w:rsid w:val="00A73492"/>
    <w:rsid w:val="00A8014D"/>
    <w:rsid w:val="00A805D1"/>
    <w:rsid w:val="00A84D34"/>
    <w:rsid w:val="00A8767A"/>
    <w:rsid w:val="00A91284"/>
    <w:rsid w:val="00A92F51"/>
    <w:rsid w:val="00A945BB"/>
    <w:rsid w:val="00A953A9"/>
    <w:rsid w:val="00A95A78"/>
    <w:rsid w:val="00A96163"/>
    <w:rsid w:val="00A9750F"/>
    <w:rsid w:val="00AA6CC0"/>
    <w:rsid w:val="00AB02B6"/>
    <w:rsid w:val="00AB2F0B"/>
    <w:rsid w:val="00AB4144"/>
    <w:rsid w:val="00AB4DE6"/>
    <w:rsid w:val="00AB52CC"/>
    <w:rsid w:val="00AB5D3D"/>
    <w:rsid w:val="00AB5F86"/>
    <w:rsid w:val="00AC029A"/>
    <w:rsid w:val="00AC06E0"/>
    <w:rsid w:val="00AC1E01"/>
    <w:rsid w:val="00AC427F"/>
    <w:rsid w:val="00AC45E8"/>
    <w:rsid w:val="00AC5134"/>
    <w:rsid w:val="00AD054B"/>
    <w:rsid w:val="00AD083D"/>
    <w:rsid w:val="00AD24D6"/>
    <w:rsid w:val="00AD3BF2"/>
    <w:rsid w:val="00AD404B"/>
    <w:rsid w:val="00AD5B08"/>
    <w:rsid w:val="00AD7A5B"/>
    <w:rsid w:val="00AD7F9F"/>
    <w:rsid w:val="00AE6215"/>
    <w:rsid w:val="00AF002E"/>
    <w:rsid w:val="00AF194A"/>
    <w:rsid w:val="00AF19F2"/>
    <w:rsid w:val="00AF1CDF"/>
    <w:rsid w:val="00AF397E"/>
    <w:rsid w:val="00B0078D"/>
    <w:rsid w:val="00B01720"/>
    <w:rsid w:val="00B02028"/>
    <w:rsid w:val="00B02447"/>
    <w:rsid w:val="00B057CE"/>
    <w:rsid w:val="00B06AFD"/>
    <w:rsid w:val="00B06D04"/>
    <w:rsid w:val="00B101C8"/>
    <w:rsid w:val="00B129AB"/>
    <w:rsid w:val="00B12F8E"/>
    <w:rsid w:val="00B1475E"/>
    <w:rsid w:val="00B14CCC"/>
    <w:rsid w:val="00B15FAC"/>
    <w:rsid w:val="00B16332"/>
    <w:rsid w:val="00B202BA"/>
    <w:rsid w:val="00B20335"/>
    <w:rsid w:val="00B21D24"/>
    <w:rsid w:val="00B2308F"/>
    <w:rsid w:val="00B244DB"/>
    <w:rsid w:val="00B26D17"/>
    <w:rsid w:val="00B2712B"/>
    <w:rsid w:val="00B3224F"/>
    <w:rsid w:val="00B449EB"/>
    <w:rsid w:val="00B44BAF"/>
    <w:rsid w:val="00B45401"/>
    <w:rsid w:val="00B56E7A"/>
    <w:rsid w:val="00B63689"/>
    <w:rsid w:val="00B63969"/>
    <w:rsid w:val="00B650BA"/>
    <w:rsid w:val="00B67F29"/>
    <w:rsid w:val="00B700F4"/>
    <w:rsid w:val="00B70BB7"/>
    <w:rsid w:val="00B71AB1"/>
    <w:rsid w:val="00B74606"/>
    <w:rsid w:val="00B77A61"/>
    <w:rsid w:val="00B808C3"/>
    <w:rsid w:val="00B819F4"/>
    <w:rsid w:val="00B82610"/>
    <w:rsid w:val="00B83349"/>
    <w:rsid w:val="00B8352F"/>
    <w:rsid w:val="00B84EE9"/>
    <w:rsid w:val="00B86E27"/>
    <w:rsid w:val="00B87D9E"/>
    <w:rsid w:val="00B9609C"/>
    <w:rsid w:val="00BA01D0"/>
    <w:rsid w:val="00BA0723"/>
    <w:rsid w:val="00BA188E"/>
    <w:rsid w:val="00BA32C7"/>
    <w:rsid w:val="00BA3B7E"/>
    <w:rsid w:val="00BA4F4F"/>
    <w:rsid w:val="00BB0C7C"/>
    <w:rsid w:val="00BB3309"/>
    <w:rsid w:val="00BB4797"/>
    <w:rsid w:val="00BB4A9B"/>
    <w:rsid w:val="00BB7254"/>
    <w:rsid w:val="00BC0975"/>
    <w:rsid w:val="00BD183F"/>
    <w:rsid w:val="00BD3C0C"/>
    <w:rsid w:val="00BE122E"/>
    <w:rsid w:val="00BE20B8"/>
    <w:rsid w:val="00BE274B"/>
    <w:rsid w:val="00BF1AD1"/>
    <w:rsid w:val="00BF3F8E"/>
    <w:rsid w:val="00BF41F0"/>
    <w:rsid w:val="00BF516E"/>
    <w:rsid w:val="00BF53A6"/>
    <w:rsid w:val="00BF5D2D"/>
    <w:rsid w:val="00BF7144"/>
    <w:rsid w:val="00C01192"/>
    <w:rsid w:val="00C01EA5"/>
    <w:rsid w:val="00C0275A"/>
    <w:rsid w:val="00C04923"/>
    <w:rsid w:val="00C04931"/>
    <w:rsid w:val="00C06C6F"/>
    <w:rsid w:val="00C06DF2"/>
    <w:rsid w:val="00C10A6B"/>
    <w:rsid w:val="00C10DCB"/>
    <w:rsid w:val="00C159B5"/>
    <w:rsid w:val="00C16B65"/>
    <w:rsid w:val="00C171A7"/>
    <w:rsid w:val="00C17346"/>
    <w:rsid w:val="00C223D2"/>
    <w:rsid w:val="00C22861"/>
    <w:rsid w:val="00C22987"/>
    <w:rsid w:val="00C3000D"/>
    <w:rsid w:val="00C32319"/>
    <w:rsid w:val="00C32A34"/>
    <w:rsid w:val="00C3385E"/>
    <w:rsid w:val="00C35CE9"/>
    <w:rsid w:val="00C41765"/>
    <w:rsid w:val="00C42936"/>
    <w:rsid w:val="00C44473"/>
    <w:rsid w:val="00C47DF1"/>
    <w:rsid w:val="00C50B3B"/>
    <w:rsid w:val="00C518F6"/>
    <w:rsid w:val="00C53617"/>
    <w:rsid w:val="00C55089"/>
    <w:rsid w:val="00C605DC"/>
    <w:rsid w:val="00C61ABF"/>
    <w:rsid w:val="00C61C6C"/>
    <w:rsid w:val="00C624C8"/>
    <w:rsid w:val="00C6458E"/>
    <w:rsid w:val="00C658F2"/>
    <w:rsid w:val="00C66ABA"/>
    <w:rsid w:val="00C66F64"/>
    <w:rsid w:val="00C6732F"/>
    <w:rsid w:val="00C74A58"/>
    <w:rsid w:val="00C74B95"/>
    <w:rsid w:val="00C75F58"/>
    <w:rsid w:val="00C77B45"/>
    <w:rsid w:val="00C842CB"/>
    <w:rsid w:val="00C86107"/>
    <w:rsid w:val="00C86ACE"/>
    <w:rsid w:val="00C874E3"/>
    <w:rsid w:val="00C87593"/>
    <w:rsid w:val="00C87FDD"/>
    <w:rsid w:val="00C909C5"/>
    <w:rsid w:val="00C90F78"/>
    <w:rsid w:val="00C95EC2"/>
    <w:rsid w:val="00C97296"/>
    <w:rsid w:val="00C97709"/>
    <w:rsid w:val="00CA4980"/>
    <w:rsid w:val="00CA50AE"/>
    <w:rsid w:val="00CA62B1"/>
    <w:rsid w:val="00CB2072"/>
    <w:rsid w:val="00CB2C25"/>
    <w:rsid w:val="00CB5650"/>
    <w:rsid w:val="00CB7FB1"/>
    <w:rsid w:val="00CC0689"/>
    <w:rsid w:val="00CC14E3"/>
    <w:rsid w:val="00CC23C4"/>
    <w:rsid w:val="00CC473E"/>
    <w:rsid w:val="00CC55A6"/>
    <w:rsid w:val="00CC7F88"/>
    <w:rsid w:val="00CD099C"/>
    <w:rsid w:val="00CD6134"/>
    <w:rsid w:val="00CD6CED"/>
    <w:rsid w:val="00CD77C4"/>
    <w:rsid w:val="00CE0987"/>
    <w:rsid w:val="00CE1289"/>
    <w:rsid w:val="00CE4745"/>
    <w:rsid w:val="00CE7265"/>
    <w:rsid w:val="00CE7DE3"/>
    <w:rsid w:val="00CF15F6"/>
    <w:rsid w:val="00CF6D47"/>
    <w:rsid w:val="00CF7EF6"/>
    <w:rsid w:val="00D006D4"/>
    <w:rsid w:val="00D01362"/>
    <w:rsid w:val="00D01F1C"/>
    <w:rsid w:val="00D039B5"/>
    <w:rsid w:val="00D05197"/>
    <w:rsid w:val="00D06395"/>
    <w:rsid w:val="00D104D1"/>
    <w:rsid w:val="00D108F8"/>
    <w:rsid w:val="00D118CF"/>
    <w:rsid w:val="00D11A7D"/>
    <w:rsid w:val="00D12B41"/>
    <w:rsid w:val="00D14785"/>
    <w:rsid w:val="00D1496F"/>
    <w:rsid w:val="00D14F3F"/>
    <w:rsid w:val="00D17ED2"/>
    <w:rsid w:val="00D21435"/>
    <w:rsid w:val="00D21AA8"/>
    <w:rsid w:val="00D22714"/>
    <w:rsid w:val="00D2280C"/>
    <w:rsid w:val="00D25AAA"/>
    <w:rsid w:val="00D2732E"/>
    <w:rsid w:val="00D302D3"/>
    <w:rsid w:val="00D31245"/>
    <w:rsid w:val="00D3316E"/>
    <w:rsid w:val="00D42EFC"/>
    <w:rsid w:val="00D431EB"/>
    <w:rsid w:val="00D4364F"/>
    <w:rsid w:val="00D5029B"/>
    <w:rsid w:val="00D506E1"/>
    <w:rsid w:val="00D53010"/>
    <w:rsid w:val="00D53A14"/>
    <w:rsid w:val="00D62995"/>
    <w:rsid w:val="00D64430"/>
    <w:rsid w:val="00D64A60"/>
    <w:rsid w:val="00D65E76"/>
    <w:rsid w:val="00D65F94"/>
    <w:rsid w:val="00D6606C"/>
    <w:rsid w:val="00D66435"/>
    <w:rsid w:val="00D6765D"/>
    <w:rsid w:val="00D67D58"/>
    <w:rsid w:val="00D71276"/>
    <w:rsid w:val="00D718D3"/>
    <w:rsid w:val="00D71FA7"/>
    <w:rsid w:val="00D74E1C"/>
    <w:rsid w:val="00D751BF"/>
    <w:rsid w:val="00D77E51"/>
    <w:rsid w:val="00D84804"/>
    <w:rsid w:val="00D85078"/>
    <w:rsid w:val="00D90D9F"/>
    <w:rsid w:val="00D90E78"/>
    <w:rsid w:val="00D92E33"/>
    <w:rsid w:val="00D94356"/>
    <w:rsid w:val="00D949ED"/>
    <w:rsid w:val="00D96B83"/>
    <w:rsid w:val="00DA0663"/>
    <w:rsid w:val="00DA25E6"/>
    <w:rsid w:val="00DA2DDE"/>
    <w:rsid w:val="00DA657E"/>
    <w:rsid w:val="00DA6B0E"/>
    <w:rsid w:val="00DA71AF"/>
    <w:rsid w:val="00DB047D"/>
    <w:rsid w:val="00DB2807"/>
    <w:rsid w:val="00DC00CE"/>
    <w:rsid w:val="00DC093D"/>
    <w:rsid w:val="00DC2546"/>
    <w:rsid w:val="00DC2B70"/>
    <w:rsid w:val="00DC39EC"/>
    <w:rsid w:val="00DC4481"/>
    <w:rsid w:val="00DC5290"/>
    <w:rsid w:val="00DC59EE"/>
    <w:rsid w:val="00DC6EAF"/>
    <w:rsid w:val="00DD1536"/>
    <w:rsid w:val="00DD67B3"/>
    <w:rsid w:val="00DD7001"/>
    <w:rsid w:val="00DE04DE"/>
    <w:rsid w:val="00DE2AFC"/>
    <w:rsid w:val="00DE3A85"/>
    <w:rsid w:val="00DE3EB3"/>
    <w:rsid w:val="00DE658C"/>
    <w:rsid w:val="00DE75C9"/>
    <w:rsid w:val="00DF4555"/>
    <w:rsid w:val="00DF48DF"/>
    <w:rsid w:val="00DF4B23"/>
    <w:rsid w:val="00E01FBA"/>
    <w:rsid w:val="00E02828"/>
    <w:rsid w:val="00E0429A"/>
    <w:rsid w:val="00E047D1"/>
    <w:rsid w:val="00E04D34"/>
    <w:rsid w:val="00E04DEA"/>
    <w:rsid w:val="00E066B7"/>
    <w:rsid w:val="00E107AE"/>
    <w:rsid w:val="00E10A88"/>
    <w:rsid w:val="00E10CE8"/>
    <w:rsid w:val="00E1423B"/>
    <w:rsid w:val="00E214DE"/>
    <w:rsid w:val="00E226E8"/>
    <w:rsid w:val="00E247C1"/>
    <w:rsid w:val="00E24D05"/>
    <w:rsid w:val="00E24F5C"/>
    <w:rsid w:val="00E2577B"/>
    <w:rsid w:val="00E2617C"/>
    <w:rsid w:val="00E26730"/>
    <w:rsid w:val="00E27A5B"/>
    <w:rsid w:val="00E311E4"/>
    <w:rsid w:val="00E32C13"/>
    <w:rsid w:val="00E351C4"/>
    <w:rsid w:val="00E361A4"/>
    <w:rsid w:val="00E41122"/>
    <w:rsid w:val="00E41A21"/>
    <w:rsid w:val="00E41EEF"/>
    <w:rsid w:val="00E46D01"/>
    <w:rsid w:val="00E5150D"/>
    <w:rsid w:val="00E530E3"/>
    <w:rsid w:val="00E53995"/>
    <w:rsid w:val="00E53C3D"/>
    <w:rsid w:val="00E54D09"/>
    <w:rsid w:val="00E54FBA"/>
    <w:rsid w:val="00E56EA5"/>
    <w:rsid w:val="00E62D7F"/>
    <w:rsid w:val="00E63E2D"/>
    <w:rsid w:val="00E67FC2"/>
    <w:rsid w:val="00E70084"/>
    <w:rsid w:val="00E700C3"/>
    <w:rsid w:val="00E70331"/>
    <w:rsid w:val="00E73B89"/>
    <w:rsid w:val="00E75858"/>
    <w:rsid w:val="00E8499B"/>
    <w:rsid w:val="00E862F7"/>
    <w:rsid w:val="00E924C3"/>
    <w:rsid w:val="00E94F07"/>
    <w:rsid w:val="00E950D0"/>
    <w:rsid w:val="00E959A1"/>
    <w:rsid w:val="00E96173"/>
    <w:rsid w:val="00E96CFA"/>
    <w:rsid w:val="00E97431"/>
    <w:rsid w:val="00E974B3"/>
    <w:rsid w:val="00EA12B7"/>
    <w:rsid w:val="00EA3DA2"/>
    <w:rsid w:val="00EA5166"/>
    <w:rsid w:val="00EA5D0E"/>
    <w:rsid w:val="00EB10EC"/>
    <w:rsid w:val="00EB10ED"/>
    <w:rsid w:val="00EB16BE"/>
    <w:rsid w:val="00EB2059"/>
    <w:rsid w:val="00EB33EE"/>
    <w:rsid w:val="00EB635C"/>
    <w:rsid w:val="00EC007E"/>
    <w:rsid w:val="00EC1A7F"/>
    <w:rsid w:val="00EC21EC"/>
    <w:rsid w:val="00EC55E4"/>
    <w:rsid w:val="00ED0D0B"/>
    <w:rsid w:val="00ED14E2"/>
    <w:rsid w:val="00ED3599"/>
    <w:rsid w:val="00ED5495"/>
    <w:rsid w:val="00ED74B5"/>
    <w:rsid w:val="00EE4D7C"/>
    <w:rsid w:val="00EE561D"/>
    <w:rsid w:val="00EF1C8F"/>
    <w:rsid w:val="00EF219D"/>
    <w:rsid w:val="00EF36F9"/>
    <w:rsid w:val="00EF37DB"/>
    <w:rsid w:val="00F0414E"/>
    <w:rsid w:val="00F06D8F"/>
    <w:rsid w:val="00F143D3"/>
    <w:rsid w:val="00F1483F"/>
    <w:rsid w:val="00F2145B"/>
    <w:rsid w:val="00F21E0B"/>
    <w:rsid w:val="00F2774F"/>
    <w:rsid w:val="00F32C5F"/>
    <w:rsid w:val="00F349BE"/>
    <w:rsid w:val="00F35E7D"/>
    <w:rsid w:val="00F50219"/>
    <w:rsid w:val="00F6298F"/>
    <w:rsid w:val="00F6513C"/>
    <w:rsid w:val="00F65D9A"/>
    <w:rsid w:val="00F726D0"/>
    <w:rsid w:val="00F7308C"/>
    <w:rsid w:val="00F80A19"/>
    <w:rsid w:val="00F819C1"/>
    <w:rsid w:val="00F859A9"/>
    <w:rsid w:val="00F918A4"/>
    <w:rsid w:val="00F95742"/>
    <w:rsid w:val="00FA2528"/>
    <w:rsid w:val="00FA2CB5"/>
    <w:rsid w:val="00FA5821"/>
    <w:rsid w:val="00FA5F45"/>
    <w:rsid w:val="00FA6353"/>
    <w:rsid w:val="00FA660D"/>
    <w:rsid w:val="00FA72F3"/>
    <w:rsid w:val="00FA74D2"/>
    <w:rsid w:val="00FB0AEC"/>
    <w:rsid w:val="00FB2A2D"/>
    <w:rsid w:val="00FB2EB0"/>
    <w:rsid w:val="00FB40EA"/>
    <w:rsid w:val="00FB7C0E"/>
    <w:rsid w:val="00FC0A42"/>
    <w:rsid w:val="00FC107F"/>
    <w:rsid w:val="00FC1912"/>
    <w:rsid w:val="00FC2CC4"/>
    <w:rsid w:val="00FC426D"/>
    <w:rsid w:val="00FC4E68"/>
    <w:rsid w:val="00FC5871"/>
    <w:rsid w:val="00FC66D2"/>
    <w:rsid w:val="00FC78F2"/>
    <w:rsid w:val="00FD094C"/>
    <w:rsid w:val="00FD09A5"/>
    <w:rsid w:val="00FD10DF"/>
    <w:rsid w:val="00FD23CA"/>
    <w:rsid w:val="00FD3986"/>
    <w:rsid w:val="00FD5AF2"/>
    <w:rsid w:val="00FE0055"/>
    <w:rsid w:val="00FE10D1"/>
    <w:rsid w:val="00FE67BE"/>
    <w:rsid w:val="00FE693C"/>
    <w:rsid w:val="00FE78E7"/>
    <w:rsid w:val="00FE7FAF"/>
    <w:rsid w:val="00FF2CE8"/>
    <w:rsid w:val="00FF4581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9D02378"/>
  <w15:chartTrackingRefBased/>
  <w15:docId w15:val="{62788E60-3A51-4985-B39A-3455FD87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F17FF"/>
    <w:pPr>
      <w:keepNext/>
      <w:spacing w:before="600" w:line="48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4785C"/>
    <w:pPr>
      <w:keepNext/>
      <w:spacing w:before="240" w:line="480" w:lineRule="auto"/>
      <w:ind w:left="3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7E55BA"/>
    <w:pPr>
      <w:keepNext/>
      <w:spacing w:before="480" w:after="60" w:line="480" w:lineRule="auto"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A195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A195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A195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A195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A195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1A195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A1955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A195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A1955"/>
    <w:rPr>
      <w:rFonts w:ascii="Cambria" w:eastAsia="Times New Roman" w:hAnsi="Cambria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A1955"/>
    <w:rPr>
      <w:sz w:val="24"/>
    </w:rPr>
  </w:style>
  <w:style w:type="character" w:styleId="PageNumber">
    <w:name w:val="page number"/>
    <w:uiPriority w:val="99"/>
    <w:rPr>
      <w:rFonts w:cs="Times New Roman"/>
    </w:rPr>
  </w:style>
  <w:style w:type="paragraph" w:styleId="BodyText">
    <w:name w:val="Body Text"/>
    <w:basedOn w:val="Normal"/>
    <w:link w:val="BodyTextChar1"/>
    <w:rsid w:val="004C79AB"/>
    <w:pPr>
      <w:spacing w:line="480" w:lineRule="auto"/>
      <w:ind w:firstLine="720"/>
    </w:pPr>
  </w:style>
  <w:style w:type="character" w:customStyle="1" w:styleId="BodyTextChar1">
    <w:name w:val="Body Text Char1"/>
    <w:link w:val="BodyText"/>
    <w:uiPriority w:val="99"/>
    <w:locked/>
    <w:rsid w:val="004C79AB"/>
    <w:rPr>
      <w:rFonts w:cs="Times New Roman"/>
      <w:sz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pPr>
      <w:spacing w:line="480" w:lineRule="auto"/>
      <w:ind w:firstLine="720"/>
    </w:pPr>
  </w:style>
  <w:style w:type="character" w:customStyle="1" w:styleId="BodyTextIndentChar">
    <w:name w:val="Body Text Indent Char"/>
    <w:link w:val="BodyTextIndent"/>
    <w:uiPriority w:val="99"/>
    <w:semiHidden/>
    <w:rsid w:val="001A1955"/>
    <w:rPr>
      <w:sz w:val="2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1A1955"/>
    <w:rPr>
      <w:sz w:val="0"/>
      <w:szCs w:val="0"/>
    </w:rPr>
  </w:style>
  <w:style w:type="paragraph" w:styleId="BodyText3">
    <w:name w:val="Body Text 3"/>
    <w:basedOn w:val="Normal"/>
    <w:link w:val="BodyText3Char"/>
    <w:uiPriority w:val="99"/>
    <w:pPr>
      <w:tabs>
        <w:tab w:val="left" w:pos="-1440"/>
        <w:tab w:val="left" w:pos="72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960"/>
        <w:tab w:val="left" w:pos="14400"/>
        <w:tab w:val="left" w:pos="15840"/>
        <w:tab w:val="left" w:pos="17280"/>
        <w:tab w:val="left" w:pos="18720"/>
      </w:tabs>
      <w:suppressAutoHyphens/>
      <w:spacing w:line="480" w:lineRule="auto"/>
      <w:ind w:right="720"/>
    </w:pPr>
  </w:style>
  <w:style w:type="character" w:customStyle="1" w:styleId="BodyText3Char">
    <w:name w:val="Body Text 3 Char"/>
    <w:link w:val="BodyText3"/>
    <w:uiPriority w:val="99"/>
    <w:semiHidden/>
    <w:rsid w:val="001A1955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705149"/>
    <w:pPr>
      <w:spacing w:after="240"/>
    </w:pPr>
  </w:style>
  <w:style w:type="character" w:customStyle="1" w:styleId="BodyText2Char">
    <w:name w:val="Body Text 2 Char"/>
    <w:link w:val="BodyText2"/>
    <w:uiPriority w:val="99"/>
    <w:semiHidden/>
    <w:rsid w:val="001A1955"/>
    <w:rPr>
      <w:sz w:val="24"/>
    </w:rPr>
  </w:style>
  <w:style w:type="paragraph" w:styleId="BodyTextIndent3">
    <w:name w:val="Body Text Indent 3"/>
    <w:basedOn w:val="Normal"/>
    <w:link w:val="BodyTextIndent3Char"/>
    <w:uiPriority w:val="99"/>
    <w:pPr>
      <w:spacing w:line="480" w:lineRule="auto"/>
      <w:ind w:firstLine="720"/>
    </w:pPr>
  </w:style>
  <w:style w:type="character" w:customStyle="1" w:styleId="BodyTextIndent3Char">
    <w:name w:val="Body Text Indent 3 Char"/>
    <w:link w:val="BodyTextIndent3"/>
    <w:uiPriority w:val="99"/>
    <w:semiHidden/>
    <w:rsid w:val="001A1955"/>
    <w:rPr>
      <w:sz w:val="16"/>
      <w:szCs w:val="16"/>
    </w:rPr>
  </w:style>
  <w:style w:type="paragraph" w:styleId="TOC6">
    <w:name w:val="toc 6"/>
    <w:basedOn w:val="Normal"/>
    <w:next w:val="Normal"/>
    <w:autoRedefine/>
    <w:uiPriority w:val="39"/>
    <w:semiHidden/>
    <w:rsid w:val="00E0429A"/>
    <w:pPr>
      <w:numPr>
        <w:numId w:val="15"/>
      </w:numPr>
      <w:spacing w:line="480" w:lineRule="auto"/>
    </w:p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customStyle="1" w:styleId="tiny1">
    <w:name w:val="tiny1"/>
    <w:rPr>
      <w:rFonts w:ascii="Verdana" w:hAnsi="Verdana" w:cs="Times New Roman"/>
      <w:sz w:val="15"/>
      <w:szCs w:val="15"/>
    </w:rPr>
  </w:style>
  <w:style w:type="paragraph" w:styleId="BodyTextIndent2">
    <w:name w:val="Body Text Indent 2"/>
    <w:basedOn w:val="Normal"/>
    <w:link w:val="BodyTextIndent2Char"/>
    <w:uiPriority w:val="99"/>
    <w:pPr>
      <w:spacing w:line="480" w:lineRule="auto"/>
      <w:ind w:firstLine="720"/>
    </w:pPr>
  </w:style>
  <w:style w:type="character" w:customStyle="1" w:styleId="BodyTextIndent2Char">
    <w:name w:val="Body Text Indent 2 Char"/>
    <w:link w:val="BodyTextIndent2"/>
    <w:uiPriority w:val="99"/>
    <w:semiHidden/>
    <w:rsid w:val="001A1955"/>
    <w:rPr>
      <w:sz w:val="24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</w:rPr>
  </w:style>
  <w:style w:type="character" w:customStyle="1" w:styleId="PlainTextChar">
    <w:name w:val="Plain Text Char"/>
    <w:link w:val="PlainText"/>
    <w:uiPriority w:val="99"/>
    <w:semiHidden/>
    <w:rsid w:val="001A1955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1955"/>
    <w:rPr>
      <w:sz w:val="0"/>
      <w:szCs w:val="0"/>
    </w:rPr>
  </w:style>
  <w:style w:type="paragraph" w:styleId="TOC2">
    <w:name w:val="toc 2"/>
    <w:basedOn w:val="Normal"/>
    <w:next w:val="Normal"/>
    <w:autoRedefine/>
    <w:uiPriority w:val="39"/>
    <w:semiHidden/>
    <w:rsid w:val="00E56EA5"/>
    <w:pPr>
      <w:ind w:left="240"/>
    </w:pPr>
  </w:style>
  <w:style w:type="paragraph" w:styleId="Header">
    <w:name w:val="header"/>
    <w:basedOn w:val="Normal"/>
    <w:link w:val="HeaderChar"/>
    <w:uiPriority w:val="99"/>
    <w:rsid w:val="00770CB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1A1955"/>
    <w:rPr>
      <w:sz w:val="24"/>
    </w:rPr>
  </w:style>
  <w:style w:type="paragraph" w:customStyle="1" w:styleId="NormalFirstline05">
    <w:name w:val="Normal + First line:  0.5&quot;"/>
    <w:aliases w:val="Line spacing:  Double"/>
    <w:basedOn w:val="BodyTextIndent2"/>
    <w:rsid w:val="00051744"/>
    <w:pPr>
      <w:ind w:firstLine="0"/>
    </w:pPr>
  </w:style>
  <w:style w:type="paragraph" w:customStyle="1" w:styleId="StyleHeading3NotBoldItalicLeft05Firstline0">
    <w:name w:val="Style Heading 3 + Not Bold Italic Left:  0.5&quot; First line:  0&quot;"/>
    <w:basedOn w:val="Heading3"/>
    <w:rsid w:val="007E55BA"/>
    <w:rPr>
      <w:b/>
      <w:i w:val="0"/>
      <w:iCs/>
    </w:rPr>
  </w:style>
  <w:style w:type="paragraph" w:customStyle="1" w:styleId="StyleHeading3NotBoldItalicLeft05Firstline0L">
    <w:name w:val="Style Heading 3 + Not Bold Italic Left:  0.5&quot; First line:  0&quot; L..."/>
    <w:basedOn w:val="Heading3"/>
    <w:rsid w:val="007E55BA"/>
    <w:pPr>
      <w:ind w:left="720"/>
    </w:pPr>
    <w:rPr>
      <w:b/>
      <w:i w:val="0"/>
      <w:iCs/>
    </w:rPr>
  </w:style>
  <w:style w:type="character" w:customStyle="1" w:styleId="CharChar">
    <w:name w:val="Char Char"/>
    <w:rsid w:val="002A3C58"/>
    <w:rPr>
      <w:rFonts w:cs="Times New Roman"/>
      <w:sz w:val="24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ED359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955"/>
  </w:style>
  <w:style w:type="character" w:styleId="FootnoteReference">
    <w:name w:val="footnote reference"/>
    <w:uiPriority w:val="99"/>
    <w:semiHidden/>
    <w:rsid w:val="00ED3599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70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Bold">
    <w:name w:val="Body Text + Bold"/>
    <w:basedOn w:val="BodyText"/>
    <w:next w:val="BodyText"/>
    <w:rsid w:val="00705149"/>
    <w:pPr>
      <w:spacing w:line="240" w:lineRule="auto"/>
      <w:ind w:firstLine="0"/>
    </w:pPr>
    <w:rPr>
      <w:b/>
      <w:bCs/>
    </w:rPr>
  </w:style>
  <w:style w:type="paragraph" w:customStyle="1" w:styleId="PictureHeading">
    <w:name w:val="Picture Heading"/>
    <w:basedOn w:val="Normal"/>
    <w:rsid w:val="009B41B1"/>
    <w:pPr>
      <w:spacing w:after="240"/>
    </w:pPr>
    <w:rPr>
      <w:b/>
    </w:rPr>
  </w:style>
  <w:style w:type="paragraph" w:customStyle="1" w:styleId="PictureDescription">
    <w:name w:val="Picture Description"/>
    <w:basedOn w:val="Normal"/>
    <w:rsid w:val="009B41B1"/>
    <w:pPr>
      <w:spacing w:before="240" w:after="240"/>
      <w:jc w:val="center"/>
    </w:pPr>
    <w:rPr>
      <w:b/>
    </w:rPr>
  </w:style>
  <w:style w:type="paragraph" w:customStyle="1" w:styleId="BackgroundTable">
    <w:name w:val="Background Table"/>
    <w:basedOn w:val="BodyTextBold"/>
    <w:rsid w:val="004C79AB"/>
  </w:style>
  <w:style w:type="paragraph" w:customStyle="1" w:styleId="BackgroundInfo">
    <w:name w:val="Background Info"/>
    <w:basedOn w:val="BodyText"/>
    <w:rsid w:val="0004785C"/>
    <w:pPr>
      <w:spacing w:line="240" w:lineRule="auto"/>
      <w:ind w:firstLine="0"/>
    </w:pPr>
  </w:style>
  <w:style w:type="paragraph" w:customStyle="1" w:styleId="TableTextCentered">
    <w:name w:val="Table Text Centered"/>
    <w:basedOn w:val="BodyText"/>
    <w:rsid w:val="00D64430"/>
    <w:pPr>
      <w:spacing w:line="240" w:lineRule="auto"/>
      <w:ind w:firstLine="0"/>
      <w:jc w:val="center"/>
    </w:pPr>
    <w:rPr>
      <w:sz w:val="20"/>
    </w:rPr>
  </w:style>
  <w:style w:type="paragraph" w:customStyle="1" w:styleId="Heading2Left">
    <w:name w:val="Heading 2 + Left"/>
    <w:basedOn w:val="Heading2"/>
    <w:rsid w:val="00C10DCB"/>
    <w:pPr>
      <w:ind w:left="0"/>
    </w:pPr>
    <w:rPr>
      <w:bCs/>
    </w:rPr>
  </w:style>
  <w:style w:type="paragraph" w:customStyle="1" w:styleId="StyleBodyTextLeft025">
    <w:name w:val="Style Body Text + Left:  0.25&quot;"/>
    <w:basedOn w:val="BodyText"/>
    <w:rsid w:val="0004785C"/>
  </w:style>
  <w:style w:type="paragraph" w:customStyle="1" w:styleId="BodyTextLeft">
    <w:name w:val="Body Text + Left"/>
    <w:basedOn w:val="BodyText"/>
    <w:rsid w:val="0004785C"/>
    <w:pPr>
      <w:ind w:left="144" w:firstLine="0"/>
    </w:pPr>
  </w:style>
  <w:style w:type="character" w:styleId="FollowedHyperlink">
    <w:name w:val="FollowedHyperlink"/>
    <w:uiPriority w:val="99"/>
    <w:rsid w:val="00FA72F3"/>
    <w:rPr>
      <w:rFonts w:cs="Times New Roman"/>
      <w:color w:val="800080"/>
      <w:u w:val="single"/>
    </w:rPr>
  </w:style>
  <w:style w:type="paragraph" w:customStyle="1" w:styleId="StyleBodyTextLeft011Firstline0">
    <w:name w:val="Style Body Text + Left:  0.11&quot; First line:  0&quot;"/>
    <w:basedOn w:val="BodyText"/>
    <w:rsid w:val="001B524D"/>
    <w:pPr>
      <w:spacing w:before="240"/>
      <w:ind w:left="158" w:firstLine="0"/>
    </w:pPr>
  </w:style>
  <w:style w:type="numbering" w:customStyle="1" w:styleId="StyleNumbered">
    <w:name w:val="Style Numbered"/>
    <w:rsid w:val="001A1955"/>
    <w:pPr>
      <w:numPr>
        <w:numId w:val="6"/>
      </w:numPr>
    </w:pPr>
  </w:style>
  <w:style w:type="character" w:customStyle="1" w:styleId="BodyTextChar">
    <w:name w:val="Body Text Char"/>
    <w:rsid w:val="000D71C7"/>
    <w:rPr>
      <w:sz w:val="24"/>
      <w:lang w:val="en-US" w:eastAsia="en-US" w:bidi="ar-SA"/>
    </w:rPr>
  </w:style>
  <w:style w:type="character" w:customStyle="1" w:styleId="BodyTextChar2">
    <w:name w:val="Body Text Char2"/>
    <w:rsid w:val="00280A4E"/>
    <w:rPr>
      <w:sz w:val="24"/>
    </w:rPr>
  </w:style>
  <w:style w:type="character" w:customStyle="1" w:styleId="BackgroundBoldedDescriptors">
    <w:name w:val="Background Bolded Descriptors"/>
    <w:rsid w:val="00540198"/>
    <w:rPr>
      <w:b/>
      <w:bCs/>
    </w:rPr>
  </w:style>
  <w:style w:type="paragraph" w:customStyle="1" w:styleId="References">
    <w:name w:val="References"/>
    <w:basedOn w:val="Normal"/>
    <w:qFormat/>
    <w:rsid w:val="001F30DD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10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0AD32-3A7E-4DAD-9BF6-6646F658B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INDOOR AIR QUALITY PRE-OCCUPANCY ASSESSMENT</vt:lpstr>
    </vt:vector>
  </TitlesOfParts>
  <Company>MDPH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INDOOR AIR QUALITY PRE-OCCUPANCY ASSESSMENT</dc:title>
  <dc:subject>MSRB One Winter Street</dc:subject>
  <dc:creator>Indoor Air Quality Program</dc:creator>
  <cp:keywords/>
  <cp:lastModifiedBy>Woo, Karl (EHS)</cp:lastModifiedBy>
  <cp:revision>2</cp:revision>
  <cp:lastPrinted>2020-02-04T20:53:00Z</cp:lastPrinted>
  <dcterms:created xsi:type="dcterms:W3CDTF">2021-09-09T17:06:00Z</dcterms:created>
  <dcterms:modified xsi:type="dcterms:W3CDTF">2021-09-09T17:06:00Z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1524588269</vt:i4>
  </property>
</Properties>
</file>