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880" w:rsidRDefault="002E780C" w:rsidP="00D52B76">
      <w:pPr>
        <w:pStyle w:val="Title"/>
        <w:rPr>
          <w:rFonts w:eastAsia="Times New Roman"/>
        </w:rPr>
      </w:pPr>
      <w:bookmarkStart w:id="0" w:name="OLE_LINK1"/>
      <w:bookmarkStart w:id="1" w:name="OLE_LINK2"/>
      <w:r>
        <w:rPr>
          <w:rFonts w:eastAsia="Times New Roman"/>
          <w:noProof/>
          <w:lang w:eastAsia="zh-CN" w:bidi="km-K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-320040</wp:posOffset>
            </wp:positionV>
            <wp:extent cx="1543050" cy="746760"/>
            <wp:effectExtent l="19050" t="0" r="0" b="0"/>
            <wp:wrapSquare wrapText="bothSides"/>
            <wp:docPr id="4" name="Picture 1" descr="ESE Sta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E Sta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139" w:rsidRPr="000241DC">
        <w:rPr>
          <w:rFonts w:eastAsia="Times New Roman"/>
        </w:rPr>
        <w:t>Massachusetts Transfer Goals</w:t>
      </w:r>
    </w:p>
    <w:p w:rsidR="00B10C5A" w:rsidRPr="00D52B76" w:rsidRDefault="00B10C5A" w:rsidP="00B10C5A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i/>
          <w:color w:val="17365D" w:themeColor="text2" w:themeShade="BF"/>
        </w:rPr>
      </w:pPr>
      <w:r w:rsidRPr="00D52B76">
        <w:rPr>
          <w:rFonts w:asciiTheme="majorHAnsi" w:eastAsia="Times New Roman" w:hAnsiTheme="majorHAnsi" w:cstheme="minorHAnsi"/>
          <w:i/>
          <w:color w:val="17365D" w:themeColor="text2" w:themeShade="BF"/>
        </w:rPr>
        <w:t>Massachusetts transfe</w:t>
      </w:r>
      <w:r w:rsidR="0041390C" w:rsidRPr="00D52B76">
        <w:rPr>
          <w:rFonts w:asciiTheme="majorHAnsi" w:eastAsia="Times New Roman" w:hAnsiTheme="majorHAnsi" w:cstheme="minorHAnsi"/>
          <w:i/>
          <w:color w:val="17365D" w:themeColor="text2" w:themeShade="BF"/>
        </w:rPr>
        <w:t>r goals were written to provide an explicit connection</w:t>
      </w:r>
      <w:r w:rsidR="00BC0BB0" w:rsidRPr="00D52B76">
        <w:rPr>
          <w:rFonts w:asciiTheme="majorHAnsi" w:eastAsia="Times New Roman" w:hAnsiTheme="majorHAnsi" w:cstheme="minorHAnsi"/>
          <w:i/>
          <w:color w:val="17365D" w:themeColor="text2" w:themeShade="BF"/>
        </w:rPr>
        <w:t xml:space="preserve"> between the standards-based Model Curriculum Units and </w:t>
      </w:r>
      <w:r w:rsidR="00F14FE8" w:rsidRPr="00D52B76">
        <w:rPr>
          <w:rFonts w:asciiTheme="majorHAnsi" w:eastAsia="Times New Roman" w:hAnsiTheme="majorHAnsi" w:cstheme="minorHAnsi"/>
          <w:i/>
          <w:color w:val="17365D" w:themeColor="text2" w:themeShade="BF"/>
        </w:rPr>
        <w:t>College and Career Readiness</w:t>
      </w:r>
      <w:r w:rsidR="0041390C" w:rsidRPr="00D52B76">
        <w:rPr>
          <w:rFonts w:asciiTheme="majorHAnsi" w:eastAsia="Times New Roman" w:hAnsiTheme="majorHAnsi" w:cstheme="minorHAnsi"/>
          <w:i/>
          <w:color w:val="17365D" w:themeColor="text2" w:themeShade="BF"/>
        </w:rPr>
        <w:t>.</w:t>
      </w:r>
      <w:r w:rsidR="00F14FE8" w:rsidRPr="00D52B76">
        <w:rPr>
          <w:rFonts w:asciiTheme="majorHAnsi" w:eastAsia="Times New Roman" w:hAnsiTheme="majorHAnsi" w:cstheme="minorHAnsi"/>
          <w:i/>
          <w:color w:val="17365D" w:themeColor="text2" w:themeShade="BF"/>
        </w:rPr>
        <w:t xml:space="preserve"> These are long range goals that a student will work towards over the course of their PK-12 academic experience.* </w:t>
      </w:r>
    </w:p>
    <w:p w:rsidR="00B16B56" w:rsidRPr="00D52B76" w:rsidRDefault="00025139" w:rsidP="000241DC">
      <w:pPr>
        <w:spacing w:after="0" w:line="240" w:lineRule="auto"/>
        <w:rPr>
          <w:rFonts w:ascii="Cambria" w:hAnsi="Cambria" w:cstheme="minorHAnsi"/>
          <w:b/>
          <w:color w:val="17365D" w:themeColor="text2" w:themeShade="BF"/>
        </w:rPr>
      </w:pPr>
      <w:r w:rsidRPr="00D52B76">
        <w:rPr>
          <w:rFonts w:ascii="Cambria" w:hAnsi="Cambria" w:cstheme="minorHAnsi"/>
          <w:b/>
          <w:color w:val="17365D" w:themeColor="text2" w:themeShade="BF"/>
        </w:rPr>
        <w:t xml:space="preserve">ELA </w:t>
      </w:r>
    </w:p>
    <w:p w:rsidR="00025139" w:rsidRPr="00D52B76" w:rsidRDefault="00025139" w:rsidP="000241DC">
      <w:pPr>
        <w:spacing w:after="0" w:line="240" w:lineRule="auto"/>
        <w:rPr>
          <w:rFonts w:ascii="Cambria" w:hAnsi="Cambria" w:cstheme="minorHAnsi"/>
          <w:b/>
          <w:i/>
          <w:color w:val="17365D" w:themeColor="text2" w:themeShade="BF"/>
        </w:rPr>
      </w:pPr>
      <w:r w:rsidRPr="00D52B76">
        <w:rPr>
          <w:rFonts w:ascii="Cambria" w:hAnsi="Cambria" w:cstheme="minorHAnsi"/>
          <w:b/>
          <w:i/>
          <w:color w:val="17365D" w:themeColor="text2" w:themeShade="BF"/>
        </w:rPr>
        <w:t xml:space="preserve">Students will be able to </w:t>
      </w:r>
      <w:r w:rsidR="00B16B56" w:rsidRPr="00D52B76">
        <w:rPr>
          <w:rFonts w:ascii="Cambria" w:hAnsi="Cambria" w:cstheme="minorHAnsi"/>
          <w:b/>
          <w:i/>
          <w:color w:val="17365D" w:themeColor="text2" w:themeShade="BF"/>
        </w:rPr>
        <w:t xml:space="preserve">independently </w:t>
      </w:r>
      <w:r w:rsidRPr="00D52B76">
        <w:rPr>
          <w:rFonts w:ascii="Cambria" w:hAnsi="Cambria" w:cstheme="minorHAnsi"/>
          <w:b/>
          <w:i/>
          <w:color w:val="17365D" w:themeColor="text2" w:themeShade="BF"/>
        </w:rPr>
        <w:t>use their learning to:</w:t>
      </w:r>
    </w:p>
    <w:p w:rsidR="00025139" w:rsidRPr="00D52B76" w:rsidRDefault="00025139" w:rsidP="000241DC">
      <w:pPr>
        <w:numPr>
          <w:ilvl w:val="0"/>
          <w:numId w:val="3"/>
        </w:numPr>
        <w:spacing w:after="0" w:line="240" w:lineRule="auto"/>
        <w:rPr>
          <w:rFonts w:ascii="Cambria" w:hAnsi="Cambria" w:cstheme="minorHAnsi"/>
          <w:i/>
          <w:iCs/>
          <w:color w:val="17365D" w:themeColor="text2" w:themeShade="BF"/>
        </w:rPr>
      </w:pPr>
      <w:r w:rsidRPr="00D52B76">
        <w:rPr>
          <w:rFonts w:ascii="Cambria" w:hAnsi="Cambria" w:cstheme="minorHAnsi"/>
          <w:color w:val="17365D" w:themeColor="text2" w:themeShade="BF"/>
        </w:rPr>
        <w:t>Understand the power of words and images to transform lives and provide insight into the experiences of others and understanding of cultures and historical periods.</w:t>
      </w:r>
    </w:p>
    <w:p w:rsidR="00025139" w:rsidRPr="00D52B76" w:rsidRDefault="00025139" w:rsidP="000241DC">
      <w:pPr>
        <w:numPr>
          <w:ilvl w:val="0"/>
          <w:numId w:val="3"/>
        </w:numPr>
        <w:spacing w:after="0" w:line="240" w:lineRule="auto"/>
        <w:rPr>
          <w:rFonts w:ascii="Cambria" w:hAnsi="Cambria" w:cstheme="minorHAnsi"/>
          <w:i/>
          <w:iCs/>
          <w:color w:val="17365D" w:themeColor="text2" w:themeShade="BF"/>
        </w:rPr>
      </w:pPr>
      <w:r w:rsidRPr="00D52B76">
        <w:rPr>
          <w:rFonts w:ascii="Cambria" w:hAnsi="Cambria" w:cstheme="minorHAnsi"/>
          <w:color w:val="17365D" w:themeColor="text2" w:themeShade="BF"/>
        </w:rPr>
        <w:t>Read and comprehend a range of increasingly complex texts and media wri</w:t>
      </w:r>
      <w:r w:rsidR="00B16B56" w:rsidRPr="00D52B76">
        <w:rPr>
          <w:rFonts w:ascii="Cambria" w:hAnsi="Cambria" w:cstheme="minorHAnsi"/>
          <w:color w:val="17365D" w:themeColor="text2" w:themeShade="BF"/>
        </w:rPr>
        <w:t>tten for various audiences and </w:t>
      </w:r>
      <w:r w:rsidRPr="00D52B76">
        <w:rPr>
          <w:rFonts w:ascii="Cambria" w:hAnsi="Cambria" w:cstheme="minorHAnsi"/>
          <w:color w:val="17365D" w:themeColor="text2" w:themeShade="BF"/>
        </w:rPr>
        <w:t>purposes.</w:t>
      </w:r>
    </w:p>
    <w:p w:rsidR="00025139" w:rsidRPr="00D52B76" w:rsidRDefault="00025139" w:rsidP="000241DC">
      <w:pPr>
        <w:numPr>
          <w:ilvl w:val="0"/>
          <w:numId w:val="3"/>
        </w:numPr>
        <w:spacing w:after="0" w:line="240" w:lineRule="auto"/>
        <w:rPr>
          <w:rFonts w:ascii="Cambria" w:hAnsi="Cambria" w:cstheme="minorHAnsi"/>
          <w:color w:val="17365D" w:themeColor="text2" w:themeShade="BF"/>
        </w:rPr>
      </w:pPr>
      <w:r w:rsidRPr="00D52B76">
        <w:rPr>
          <w:rFonts w:ascii="Cambria" w:hAnsi="Cambria" w:cstheme="minorHAnsi"/>
          <w:color w:val="17365D" w:themeColor="text2" w:themeShade="BF"/>
        </w:rPr>
        <w:t>Generate open ended questions and seek answers through critical analysis of text, media, interviews, and/or observations.</w:t>
      </w:r>
    </w:p>
    <w:p w:rsidR="00025139" w:rsidRPr="00D52B76" w:rsidRDefault="00025139" w:rsidP="000241DC">
      <w:pPr>
        <w:numPr>
          <w:ilvl w:val="0"/>
          <w:numId w:val="3"/>
        </w:numPr>
        <w:spacing w:after="0" w:line="240" w:lineRule="auto"/>
        <w:rPr>
          <w:rFonts w:ascii="Cambria" w:hAnsi="Cambria" w:cstheme="minorHAnsi"/>
          <w:color w:val="17365D" w:themeColor="text2" w:themeShade="BF"/>
        </w:rPr>
      </w:pPr>
      <w:r w:rsidRPr="00D52B76">
        <w:rPr>
          <w:rFonts w:ascii="Cambria" w:hAnsi="Cambria" w:cstheme="minorHAnsi"/>
          <w:color w:val="17365D" w:themeColor="text2" w:themeShade="BF"/>
        </w:rPr>
        <w:t>Communicate ideas effectively in writing to suit a particular audience and purpose.</w:t>
      </w:r>
    </w:p>
    <w:p w:rsidR="00025139" w:rsidRPr="00D52B76" w:rsidRDefault="00025139" w:rsidP="000241DC">
      <w:pPr>
        <w:numPr>
          <w:ilvl w:val="0"/>
          <w:numId w:val="3"/>
        </w:numPr>
        <w:spacing w:after="0" w:line="240" w:lineRule="auto"/>
        <w:rPr>
          <w:rFonts w:ascii="Cambria" w:hAnsi="Cambria" w:cstheme="minorHAnsi"/>
          <w:color w:val="17365D" w:themeColor="text2" w:themeShade="BF"/>
        </w:rPr>
      </w:pPr>
      <w:r w:rsidRPr="00D52B76">
        <w:rPr>
          <w:rFonts w:ascii="Cambria" w:hAnsi="Cambria" w:cstheme="minorHAnsi"/>
          <w:color w:val="17365D" w:themeColor="text2" w:themeShade="BF"/>
        </w:rPr>
        <w:t>Communicate ideas effectively in discourse and oral presentations to suit various audiences and purposes.</w:t>
      </w:r>
    </w:p>
    <w:p w:rsidR="00025139" w:rsidRPr="00D52B76" w:rsidRDefault="00025139" w:rsidP="000241DC">
      <w:pPr>
        <w:numPr>
          <w:ilvl w:val="0"/>
          <w:numId w:val="3"/>
        </w:numPr>
        <w:spacing w:after="0" w:line="240" w:lineRule="auto"/>
        <w:rPr>
          <w:rFonts w:ascii="Cambria" w:hAnsi="Cambria" w:cstheme="minorHAnsi"/>
          <w:color w:val="17365D" w:themeColor="text2" w:themeShade="BF"/>
        </w:rPr>
      </w:pPr>
      <w:r w:rsidRPr="00D52B76">
        <w:rPr>
          <w:rFonts w:ascii="Cambria" w:hAnsi="Cambria" w:cstheme="minorHAnsi"/>
          <w:color w:val="17365D" w:themeColor="text2" w:themeShade="BF"/>
        </w:rPr>
        <w:t>Expand their vocabulary and knowledge of English conventions in ord</w:t>
      </w:r>
      <w:r w:rsidR="00B8696F" w:rsidRPr="00D52B76">
        <w:rPr>
          <w:rFonts w:ascii="Cambria" w:hAnsi="Cambria" w:cstheme="minorHAnsi"/>
          <w:color w:val="17365D" w:themeColor="text2" w:themeShade="BF"/>
        </w:rPr>
        <w:t xml:space="preserve">er to learn and convey precise </w:t>
      </w:r>
      <w:r w:rsidRPr="00D52B76">
        <w:rPr>
          <w:rFonts w:ascii="Cambria" w:hAnsi="Cambria" w:cstheme="minorHAnsi"/>
          <w:color w:val="17365D" w:themeColor="text2" w:themeShade="BF"/>
        </w:rPr>
        <w:t xml:space="preserve">understandings of concepts. </w:t>
      </w:r>
    </w:p>
    <w:p w:rsidR="00025139" w:rsidRPr="00D52B76" w:rsidRDefault="00025139" w:rsidP="000241DC">
      <w:pPr>
        <w:numPr>
          <w:ilvl w:val="0"/>
          <w:numId w:val="3"/>
        </w:numPr>
        <w:spacing w:after="0" w:line="240" w:lineRule="auto"/>
        <w:rPr>
          <w:rFonts w:ascii="Cambria" w:hAnsi="Cambria" w:cstheme="minorHAnsi"/>
          <w:color w:val="17365D" w:themeColor="text2" w:themeShade="BF"/>
        </w:rPr>
      </w:pPr>
      <w:r w:rsidRPr="00D52B76">
        <w:rPr>
          <w:rFonts w:ascii="Cambria" w:hAnsi="Cambria" w:cstheme="minorHAnsi"/>
          <w:color w:val="17365D" w:themeColor="text2" w:themeShade="BF"/>
        </w:rPr>
        <w:t xml:space="preserve">Develop the habit of reading for </w:t>
      </w:r>
      <w:r w:rsidR="00B16B56" w:rsidRPr="00D52B76">
        <w:rPr>
          <w:rFonts w:ascii="Cambria" w:hAnsi="Cambria" w:cstheme="minorHAnsi"/>
          <w:color w:val="17365D" w:themeColor="text2" w:themeShade="BF"/>
        </w:rPr>
        <w:t>enjoyment</w:t>
      </w:r>
      <w:r w:rsidR="00740F86" w:rsidRPr="00D52B76">
        <w:rPr>
          <w:rFonts w:ascii="Cambria" w:hAnsi="Cambria" w:cstheme="minorHAnsi"/>
          <w:color w:val="17365D" w:themeColor="text2" w:themeShade="BF"/>
        </w:rPr>
        <w:t>.</w:t>
      </w:r>
    </w:p>
    <w:p w:rsidR="003D1B6A" w:rsidRPr="00D52B76" w:rsidRDefault="003D1B6A" w:rsidP="000241DC">
      <w:pPr>
        <w:spacing w:after="0" w:line="240" w:lineRule="auto"/>
        <w:rPr>
          <w:rFonts w:ascii="Cambria" w:hAnsi="Cambria" w:cstheme="minorHAnsi"/>
          <w:color w:val="17365D" w:themeColor="text2" w:themeShade="BF"/>
        </w:rPr>
      </w:pPr>
    </w:p>
    <w:p w:rsidR="003D1B6A" w:rsidRPr="00D52B76" w:rsidRDefault="00EB3008" w:rsidP="000241DC">
      <w:pPr>
        <w:spacing w:after="0" w:line="240" w:lineRule="auto"/>
        <w:rPr>
          <w:rFonts w:ascii="Cambria" w:hAnsi="Cambria" w:cstheme="minorHAnsi"/>
          <w:b/>
          <w:color w:val="17365D" w:themeColor="text2" w:themeShade="BF"/>
        </w:rPr>
      </w:pPr>
      <w:r w:rsidRPr="00D52B76">
        <w:rPr>
          <w:rFonts w:ascii="Cambria" w:hAnsi="Cambria" w:cstheme="minorHAnsi"/>
          <w:b/>
          <w:color w:val="17365D" w:themeColor="text2" w:themeShade="BF"/>
        </w:rPr>
        <w:t xml:space="preserve">History &amp; </w:t>
      </w:r>
      <w:r w:rsidR="003D1B6A" w:rsidRPr="00D52B76">
        <w:rPr>
          <w:rFonts w:ascii="Cambria" w:hAnsi="Cambria" w:cstheme="minorHAnsi"/>
          <w:b/>
          <w:color w:val="17365D" w:themeColor="text2" w:themeShade="BF"/>
        </w:rPr>
        <w:t>Social Science</w:t>
      </w:r>
    </w:p>
    <w:p w:rsidR="003D1B6A" w:rsidRPr="00D52B76" w:rsidRDefault="003D1B6A" w:rsidP="000241DC">
      <w:pPr>
        <w:spacing w:after="0" w:line="240" w:lineRule="auto"/>
        <w:rPr>
          <w:rFonts w:ascii="Cambria" w:hAnsi="Cambria" w:cstheme="minorHAnsi"/>
          <w:b/>
          <w:i/>
          <w:color w:val="17365D" w:themeColor="text2" w:themeShade="BF"/>
        </w:rPr>
      </w:pPr>
      <w:r w:rsidRPr="00D52B76">
        <w:rPr>
          <w:rFonts w:ascii="Cambria" w:hAnsi="Cambria" w:cstheme="minorHAnsi"/>
          <w:b/>
          <w:i/>
          <w:color w:val="17365D" w:themeColor="text2" w:themeShade="BF"/>
        </w:rPr>
        <w:t xml:space="preserve">Students will be able to </w:t>
      </w:r>
      <w:r w:rsidR="00B16B56" w:rsidRPr="00D52B76">
        <w:rPr>
          <w:rFonts w:ascii="Cambria" w:hAnsi="Cambria" w:cstheme="minorHAnsi"/>
          <w:b/>
          <w:i/>
          <w:color w:val="17365D" w:themeColor="text2" w:themeShade="BF"/>
        </w:rPr>
        <w:t xml:space="preserve">independently </w:t>
      </w:r>
      <w:r w:rsidRPr="00D52B76">
        <w:rPr>
          <w:rFonts w:ascii="Cambria" w:hAnsi="Cambria" w:cstheme="minorHAnsi"/>
          <w:b/>
          <w:i/>
          <w:color w:val="17365D" w:themeColor="text2" w:themeShade="BF"/>
        </w:rPr>
        <w:t>use their learning to:</w:t>
      </w:r>
    </w:p>
    <w:p w:rsidR="003D1B6A" w:rsidRPr="00D52B76" w:rsidRDefault="003D1B6A" w:rsidP="000241DC">
      <w:pPr>
        <w:pStyle w:val="ListParagraph"/>
        <w:numPr>
          <w:ilvl w:val="0"/>
          <w:numId w:val="2"/>
        </w:numPr>
        <w:rPr>
          <w:rFonts w:ascii="Cambria" w:hAnsi="Cambria" w:cstheme="minorHAnsi"/>
          <w:color w:val="17365D" w:themeColor="text2" w:themeShade="BF"/>
          <w:sz w:val="22"/>
          <w:szCs w:val="22"/>
        </w:rPr>
      </w:pPr>
      <w:r w:rsidRPr="00D52B76">
        <w:rPr>
          <w:rFonts w:ascii="Cambria" w:hAnsi="Cambria" w:cstheme="minorHAnsi"/>
          <w:bCs/>
          <w:color w:val="17365D" w:themeColor="text2" w:themeShade="BF"/>
          <w:sz w:val="22"/>
          <w:szCs w:val="22"/>
        </w:rPr>
        <w:t>Understand how recurring</w:t>
      </w:r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 xml:space="preserve"> patterns </w:t>
      </w:r>
      <w:r w:rsidRPr="00D52B76">
        <w:rPr>
          <w:rFonts w:ascii="Cambria" w:hAnsi="Cambria" w:cstheme="minorHAnsi"/>
          <w:bCs/>
          <w:color w:val="17365D" w:themeColor="text2" w:themeShade="BF"/>
          <w:sz w:val="22"/>
          <w:szCs w:val="22"/>
        </w:rPr>
        <w:t>in</w:t>
      </w:r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 xml:space="preserve"> history</w:t>
      </w:r>
      <w:r w:rsidRPr="00D52B76">
        <w:rPr>
          <w:rFonts w:ascii="Cambria" w:hAnsi="Cambria" w:cstheme="minorHAnsi"/>
          <w:strike/>
          <w:color w:val="17365D" w:themeColor="text2" w:themeShade="BF"/>
          <w:sz w:val="22"/>
          <w:szCs w:val="22"/>
        </w:rPr>
        <w:t xml:space="preserve"> </w:t>
      </w:r>
      <w:r w:rsidRPr="00D52B76">
        <w:rPr>
          <w:rFonts w:ascii="Cambria" w:hAnsi="Cambria" w:cstheme="minorHAnsi"/>
          <w:bCs/>
          <w:color w:val="17365D" w:themeColor="text2" w:themeShade="BF"/>
          <w:sz w:val="22"/>
          <w:szCs w:val="22"/>
        </w:rPr>
        <w:t>can inform judgments about</w:t>
      </w:r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 xml:space="preserve"> current events and other issues. </w:t>
      </w:r>
    </w:p>
    <w:p w:rsidR="00366B22" w:rsidRPr="00D52B76" w:rsidRDefault="003D1B6A" w:rsidP="000241DC">
      <w:pPr>
        <w:pStyle w:val="ListParagraph"/>
        <w:numPr>
          <w:ilvl w:val="0"/>
          <w:numId w:val="2"/>
        </w:numPr>
        <w:rPr>
          <w:rFonts w:ascii="Cambria" w:hAnsi="Cambria" w:cstheme="minorHAnsi"/>
          <w:color w:val="17365D" w:themeColor="text2" w:themeShade="BF"/>
          <w:sz w:val="22"/>
          <w:szCs w:val="22"/>
        </w:rPr>
      </w:pPr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 xml:space="preserve">Analyze and resolve conflicts in order to work and live </w:t>
      </w:r>
      <w:r w:rsidR="007C7C0C"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in an inter-connected world</w:t>
      </w:r>
      <w:r w:rsidR="00366B22"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 xml:space="preserve"> society.</w:t>
      </w:r>
    </w:p>
    <w:p w:rsidR="003D1B6A" w:rsidRPr="00D52B76" w:rsidRDefault="003D1B6A" w:rsidP="000241DC">
      <w:pPr>
        <w:pStyle w:val="ListParagraph"/>
        <w:numPr>
          <w:ilvl w:val="0"/>
          <w:numId w:val="2"/>
        </w:numPr>
        <w:rPr>
          <w:rFonts w:ascii="Cambria" w:hAnsi="Cambria" w:cstheme="minorHAnsi"/>
          <w:color w:val="17365D" w:themeColor="text2" w:themeShade="BF"/>
          <w:sz w:val="22"/>
          <w:szCs w:val="22"/>
        </w:rPr>
      </w:pPr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 xml:space="preserve">Understand how physical and human geography can inform responsible interactions with environment. </w:t>
      </w:r>
    </w:p>
    <w:p w:rsidR="003D1B6A" w:rsidRPr="00D52B76" w:rsidRDefault="003D1B6A" w:rsidP="000241DC">
      <w:pPr>
        <w:pStyle w:val="ListParagraph"/>
        <w:numPr>
          <w:ilvl w:val="0"/>
          <w:numId w:val="2"/>
        </w:numPr>
        <w:rPr>
          <w:rFonts w:ascii="Cambria" w:hAnsi="Cambria" w:cstheme="minorHAnsi"/>
          <w:color w:val="17365D" w:themeColor="text2" w:themeShade="BF"/>
          <w:sz w:val="22"/>
          <w:szCs w:val="22"/>
        </w:rPr>
      </w:pPr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Apply knowledge of political and social systems to participate actively as an informed citizen of a democracy.</w:t>
      </w:r>
    </w:p>
    <w:p w:rsidR="003D1B6A" w:rsidRPr="00D52B76" w:rsidRDefault="003D1B6A" w:rsidP="000241DC">
      <w:pPr>
        <w:pStyle w:val="ListParagraph"/>
        <w:numPr>
          <w:ilvl w:val="0"/>
          <w:numId w:val="2"/>
        </w:numPr>
        <w:rPr>
          <w:rFonts w:ascii="Cambria" w:hAnsi="Cambria" w:cstheme="minorHAnsi"/>
          <w:color w:val="17365D" w:themeColor="text2" w:themeShade="BF"/>
          <w:sz w:val="22"/>
          <w:szCs w:val="22"/>
        </w:rPr>
      </w:pPr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Critically appraise historical an</w:t>
      </w:r>
      <w:r w:rsidR="00FB6563"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d contemporary claims/decisions</w:t>
      </w:r>
      <w:r w:rsidR="00740F86"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.</w:t>
      </w:r>
    </w:p>
    <w:p w:rsidR="003D1B6A" w:rsidRPr="00D52B76" w:rsidRDefault="003D1B6A" w:rsidP="000241DC">
      <w:pPr>
        <w:pStyle w:val="ListParagraph"/>
        <w:numPr>
          <w:ilvl w:val="0"/>
          <w:numId w:val="2"/>
        </w:numPr>
        <w:rPr>
          <w:rFonts w:ascii="Cambria" w:hAnsi="Cambria" w:cstheme="minorHAnsi"/>
          <w:color w:val="17365D" w:themeColor="text2" w:themeShade="BF"/>
          <w:sz w:val="22"/>
          <w:szCs w:val="22"/>
        </w:rPr>
      </w:pPr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Apply</w:t>
      </w:r>
      <w:r w:rsidR="00D067CA"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 xml:space="preserve"> </w:t>
      </w:r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 xml:space="preserve">concepts and systems of economics to participate productively in a </w:t>
      </w:r>
      <w:r w:rsidR="007C7C0C"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world</w:t>
      </w:r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 xml:space="preserve"> economy.</w:t>
      </w:r>
    </w:p>
    <w:bookmarkEnd w:id="0"/>
    <w:bookmarkEnd w:id="1"/>
    <w:p w:rsidR="00DB0F94" w:rsidRPr="00D52B76" w:rsidRDefault="0005387F" w:rsidP="000241DC">
      <w:pPr>
        <w:pStyle w:val="ListParagraph"/>
        <w:numPr>
          <w:ilvl w:val="0"/>
          <w:numId w:val="2"/>
        </w:numPr>
        <w:tabs>
          <w:tab w:val="right" w:pos="8388"/>
        </w:tabs>
        <w:rPr>
          <w:rFonts w:ascii="Cambria" w:hAnsi="Cambria"/>
          <w:color w:val="17365D" w:themeColor="text2" w:themeShade="BF"/>
          <w:sz w:val="22"/>
          <w:szCs w:val="22"/>
        </w:rPr>
      </w:pPr>
      <w:r w:rsidRPr="00D52B76">
        <w:rPr>
          <w:rFonts w:ascii="Cambria" w:hAnsi="Cambria"/>
          <w:color w:val="17365D" w:themeColor="text2" w:themeShade="BF"/>
          <w:sz w:val="22"/>
          <w:szCs w:val="22"/>
        </w:rPr>
        <w:t>I</w:t>
      </w:r>
      <w:r w:rsidR="00DB0F94" w:rsidRPr="00D52B76">
        <w:rPr>
          <w:rFonts w:ascii="Cambria" w:hAnsi="Cambria"/>
          <w:color w:val="17365D" w:themeColor="text2" w:themeShade="BF"/>
          <w:sz w:val="22"/>
          <w:szCs w:val="22"/>
        </w:rPr>
        <w:t>ntegrate and evaluate multiple sources of information pr</w:t>
      </w:r>
      <w:r w:rsidRPr="00D52B76">
        <w:rPr>
          <w:rFonts w:ascii="Cambria" w:hAnsi="Cambria"/>
          <w:color w:val="17365D" w:themeColor="text2" w:themeShade="BF"/>
          <w:sz w:val="22"/>
          <w:szCs w:val="22"/>
        </w:rPr>
        <w:t>esented in diverse formats and m</w:t>
      </w:r>
      <w:r w:rsidR="00DB0F94" w:rsidRPr="00D52B76">
        <w:rPr>
          <w:rFonts w:ascii="Cambria" w:hAnsi="Cambria"/>
          <w:color w:val="17365D" w:themeColor="text2" w:themeShade="BF"/>
          <w:sz w:val="22"/>
          <w:szCs w:val="22"/>
        </w:rPr>
        <w:t>edia in order to address a question, form an opinion, or to solve a problem</w:t>
      </w:r>
    </w:p>
    <w:p w:rsidR="0005387F" w:rsidRPr="00D52B76" w:rsidRDefault="00366B22" w:rsidP="000241DC">
      <w:pPr>
        <w:pStyle w:val="ListParagraph"/>
        <w:numPr>
          <w:ilvl w:val="0"/>
          <w:numId w:val="2"/>
        </w:numPr>
        <w:rPr>
          <w:rFonts w:ascii="Cambria" w:hAnsi="Cambria" w:cstheme="minorHAnsi"/>
          <w:b/>
          <w:color w:val="17365D" w:themeColor="text2" w:themeShade="BF"/>
          <w:sz w:val="22"/>
          <w:szCs w:val="22"/>
        </w:rPr>
      </w:pPr>
      <w:r w:rsidRPr="00D52B76">
        <w:rPr>
          <w:rFonts w:ascii="Cambria" w:hAnsi="Cambria"/>
          <w:color w:val="17365D" w:themeColor="text2" w:themeShade="BF"/>
          <w:sz w:val="22"/>
          <w:szCs w:val="22"/>
        </w:rPr>
        <w:t>W</w:t>
      </w:r>
      <w:r w:rsidR="00DB0F94" w:rsidRPr="00D52B76">
        <w:rPr>
          <w:rFonts w:ascii="Cambria" w:hAnsi="Cambria"/>
          <w:color w:val="17365D" w:themeColor="text2" w:themeShade="BF"/>
          <w:sz w:val="22"/>
          <w:szCs w:val="22"/>
        </w:rPr>
        <w:t>rite to inform</w:t>
      </w:r>
      <w:r w:rsidR="008E262D" w:rsidRPr="00D52B76">
        <w:rPr>
          <w:rFonts w:ascii="Cambria" w:hAnsi="Cambria"/>
          <w:color w:val="17365D" w:themeColor="text2" w:themeShade="BF"/>
          <w:sz w:val="22"/>
          <w:szCs w:val="22"/>
        </w:rPr>
        <w:t xml:space="preserve"> and explain </w:t>
      </w:r>
      <w:r w:rsidR="00DB0F94" w:rsidRPr="00D52B76">
        <w:rPr>
          <w:rFonts w:ascii="Cambria" w:hAnsi="Cambria"/>
          <w:color w:val="17365D" w:themeColor="text2" w:themeShade="BF"/>
          <w:sz w:val="22"/>
          <w:szCs w:val="22"/>
        </w:rPr>
        <w:t>a topic, concept, or process to a variety of audiences.</w:t>
      </w:r>
    </w:p>
    <w:p w:rsidR="00F01FE5" w:rsidRPr="00D52B76" w:rsidRDefault="00F01FE5" w:rsidP="000241D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</w:pPr>
      <w:r w:rsidRPr="00D52B76">
        <w:rPr>
          <w:rFonts w:ascii="Cambria" w:hAnsi="Cambria"/>
          <w:color w:val="17365D" w:themeColor="text2" w:themeShade="BF"/>
          <w:sz w:val="22"/>
          <w:szCs w:val="22"/>
        </w:rPr>
        <w:t>Research and evaluate the credibility of sources</w:t>
      </w:r>
      <w:r w:rsidR="008E262D" w:rsidRPr="00D52B76">
        <w:rPr>
          <w:rFonts w:ascii="Cambria" w:hAnsi="Cambria"/>
          <w:color w:val="17365D" w:themeColor="text2" w:themeShade="BF"/>
          <w:sz w:val="22"/>
          <w:szCs w:val="22"/>
        </w:rPr>
        <w:t xml:space="preserve"> and develop and/or defend an argument</w:t>
      </w:r>
      <w:r w:rsidRPr="00D52B76">
        <w:rPr>
          <w:rFonts w:ascii="Cambria" w:hAnsi="Cambria"/>
          <w:color w:val="17365D" w:themeColor="text2" w:themeShade="BF"/>
          <w:sz w:val="22"/>
          <w:szCs w:val="22"/>
        </w:rPr>
        <w:t xml:space="preserve">, </w:t>
      </w:r>
      <w:r w:rsidR="008E262D" w:rsidRPr="00D52B76">
        <w:rPr>
          <w:rFonts w:ascii="Cambria" w:hAnsi="Cambria"/>
          <w:color w:val="17365D" w:themeColor="text2" w:themeShade="BF"/>
          <w:sz w:val="22"/>
          <w:szCs w:val="22"/>
        </w:rPr>
        <w:t>or</w:t>
      </w:r>
      <w:r w:rsidRPr="00D52B76">
        <w:rPr>
          <w:rFonts w:ascii="Cambria" w:hAnsi="Cambria"/>
          <w:color w:val="17365D" w:themeColor="text2" w:themeShade="BF"/>
          <w:sz w:val="22"/>
          <w:szCs w:val="22"/>
        </w:rPr>
        <w:t xml:space="preserve"> </w:t>
      </w:r>
      <w:r w:rsidR="008E262D" w:rsidRPr="00D52B76">
        <w:rPr>
          <w:rFonts w:ascii="Cambria" w:hAnsi="Cambria"/>
          <w:color w:val="17365D" w:themeColor="text2" w:themeShade="BF"/>
          <w:sz w:val="22"/>
          <w:szCs w:val="22"/>
        </w:rPr>
        <w:t>claim.</w:t>
      </w:r>
      <w:r w:rsidRPr="00D52B76">
        <w:rPr>
          <w:rFonts w:ascii="Cambria" w:hAnsi="Cambria"/>
          <w:color w:val="17365D" w:themeColor="text2" w:themeShade="BF"/>
          <w:sz w:val="22"/>
          <w:szCs w:val="22"/>
        </w:rPr>
        <w:t xml:space="preserve"> </w:t>
      </w:r>
    </w:p>
    <w:p w:rsidR="000241DC" w:rsidRPr="00D52B76" w:rsidRDefault="000241DC" w:rsidP="000241DC">
      <w:pPr>
        <w:spacing w:after="0" w:line="240" w:lineRule="auto"/>
        <w:rPr>
          <w:rFonts w:ascii="Cambria" w:hAnsi="Cambria" w:cstheme="minorHAnsi"/>
          <w:b/>
          <w:bCs/>
          <w:color w:val="17365D" w:themeColor="text2" w:themeShade="BF"/>
        </w:rPr>
      </w:pPr>
    </w:p>
    <w:p w:rsidR="00B16B56" w:rsidRPr="00D52B76" w:rsidRDefault="00B16B56" w:rsidP="000241DC">
      <w:pPr>
        <w:spacing w:after="0" w:line="240" w:lineRule="auto"/>
        <w:rPr>
          <w:rFonts w:ascii="Cambria" w:hAnsi="Cambria" w:cstheme="minorHAnsi"/>
          <w:b/>
          <w:bCs/>
          <w:color w:val="17365D" w:themeColor="text2" w:themeShade="BF"/>
        </w:rPr>
      </w:pPr>
      <w:r w:rsidRPr="00D52B76">
        <w:rPr>
          <w:rFonts w:ascii="Cambria" w:hAnsi="Cambria" w:cstheme="minorHAnsi"/>
          <w:b/>
          <w:bCs/>
          <w:color w:val="17365D" w:themeColor="text2" w:themeShade="BF"/>
        </w:rPr>
        <w:t xml:space="preserve">Mathematics </w:t>
      </w:r>
    </w:p>
    <w:p w:rsidR="00B16B56" w:rsidRPr="00D52B76" w:rsidRDefault="00B16B56" w:rsidP="000241DC">
      <w:pPr>
        <w:spacing w:after="0" w:line="240" w:lineRule="auto"/>
        <w:rPr>
          <w:rFonts w:ascii="Cambria" w:hAnsi="Cambria" w:cstheme="minorHAnsi"/>
          <w:b/>
          <w:i/>
          <w:color w:val="17365D" w:themeColor="text2" w:themeShade="BF"/>
        </w:rPr>
      </w:pPr>
      <w:r w:rsidRPr="00D52B76">
        <w:rPr>
          <w:rFonts w:ascii="Cambria" w:hAnsi="Cambria" w:cstheme="minorHAnsi"/>
          <w:b/>
          <w:i/>
          <w:color w:val="17365D" w:themeColor="text2" w:themeShade="BF"/>
        </w:rPr>
        <w:t>Students will be able to independently use their learning to:</w:t>
      </w:r>
    </w:p>
    <w:p w:rsidR="00B16B56" w:rsidRPr="00D52B76" w:rsidRDefault="00B16B56" w:rsidP="000241DC">
      <w:pPr>
        <w:pStyle w:val="ListParagraph"/>
        <w:numPr>
          <w:ilvl w:val="0"/>
          <w:numId w:val="7"/>
        </w:numPr>
        <w:rPr>
          <w:rFonts w:ascii="Cambria" w:hAnsi="Cambria" w:cstheme="minorHAnsi"/>
          <w:color w:val="17365D" w:themeColor="text2" w:themeShade="BF"/>
          <w:sz w:val="22"/>
          <w:szCs w:val="22"/>
        </w:rPr>
      </w:pPr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Interpret and persevere in solving complex mathematical problems using strategic thinking and expressing answers with a degree of precision appropriate for the problem context.</w:t>
      </w:r>
    </w:p>
    <w:p w:rsidR="00B16B56" w:rsidRPr="00D52B76" w:rsidRDefault="00B16B56" w:rsidP="000241DC">
      <w:pPr>
        <w:pStyle w:val="ListParagraph"/>
        <w:numPr>
          <w:ilvl w:val="0"/>
          <w:numId w:val="7"/>
        </w:numPr>
        <w:rPr>
          <w:rFonts w:ascii="Cambria" w:hAnsi="Cambria" w:cstheme="minorHAnsi"/>
          <w:color w:val="17365D" w:themeColor="text2" w:themeShade="BF"/>
          <w:sz w:val="22"/>
          <w:szCs w:val="22"/>
        </w:rPr>
      </w:pPr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 xml:space="preserve">Express appropriate mathematical reasoning by constructing viable arguments, critiquing the reasoning of others, and attending to precision when making mathematical statements. </w:t>
      </w:r>
    </w:p>
    <w:p w:rsidR="00B16B56" w:rsidRPr="00D52B76" w:rsidRDefault="00B16B56" w:rsidP="000241DC">
      <w:pPr>
        <w:pStyle w:val="ListParagraph"/>
        <w:numPr>
          <w:ilvl w:val="0"/>
          <w:numId w:val="7"/>
        </w:numPr>
        <w:rPr>
          <w:rFonts w:ascii="Cambria" w:hAnsi="Cambria" w:cstheme="minorHAnsi"/>
          <w:color w:val="17365D" w:themeColor="text2" w:themeShade="BF"/>
          <w:sz w:val="22"/>
          <w:szCs w:val="22"/>
        </w:rPr>
      </w:pPr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Apply mathematical knowledge to analyze and model mathematical relationships in the context of a situation in order to make decisions, draw conclusions, and solve problems.</w:t>
      </w:r>
    </w:p>
    <w:p w:rsidR="000241DC" w:rsidRPr="00D52B76" w:rsidRDefault="000241DC" w:rsidP="000241DC">
      <w:pPr>
        <w:spacing w:after="0" w:line="240" w:lineRule="auto"/>
        <w:rPr>
          <w:rFonts w:ascii="Cambria" w:hAnsi="Cambria" w:cstheme="minorHAnsi"/>
          <w:b/>
          <w:color w:val="17365D" w:themeColor="text2" w:themeShade="BF"/>
        </w:rPr>
      </w:pPr>
    </w:p>
    <w:p w:rsidR="000241DC" w:rsidRPr="00D52B76" w:rsidRDefault="000241DC" w:rsidP="000241DC">
      <w:pPr>
        <w:spacing w:after="0" w:line="240" w:lineRule="auto"/>
        <w:rPr>
          <w:rFonts w:ascii="Cambria" w:hAnsi="Cambria" w:cstheme="minorHAnsi"/>
          <w:b/>
          <w:color w:val="17365D" w:themeColor="text2" w:themeShade="BF"/>
        </w:rPr>
      </w:pPr>
      <w:r w:rsidRPr="00D52B76">
        <w:rPr>
          <w:rFonts w:ascii="Cambria" w:hAnsi="Cambria" w:cstheme="minorHAnsi"/>
          <w:b/>
          <w:color w:val="17365D" w:themeColor="text2" w:themeShade="BF"/>
        </w:rPr>
        <w:t xml:space="preserve">Science, Technology &amp; Engineering </w:t>
      </w:r>
    </w:p>
    <w:p w:rsidR="000241DC" w:rsidRPr="00D52B76" w:rsidRDefault="000241DC" w:rsidP="000241DC">
      <w:pPr>
        <w:spacing w:after="0" w:line="240" w:lineRule="auto"/>
        <w:rPr>
          <w:rFonts w:ascii="Cambria" w:hAnsi="Cambria" w:cstheme="minorHAnsi"/>
          <w:b/>
          <w:i/>
          <w:color w:val="17365D" w:themeColor="text2" w:themeShade="BF"/>
        </w:rPr>
      </w:pPr>
      <w:r w:rsidRPr="00D52B76">
        <w:rPr>
          <w:rFonts w:ascii="Cambria" w:hAnsi="Cambria" w:cstheme="minorHAnsi"/>
          <w:b/>
          <w:i/>
          <w:color w:val="17365D" w:themeColor="text2" w:themeShade="BF"/>
        </w:rPr>
        <w:t>Students will independently be able to use their learning to:</w:t>
      </w:r>
    </w:p>
    <w:p w:rsidR="000241DC" w:rsidRPr="00D52B76" w:rsidRDefault="000241DC" w:rsidP="003F0283">
      <w:pPr>
        <w:pStyle w:val="ListParagraph"/>
        <w:numPr>
          <w:ilvl w:val="0"/>
          <w:numId w:val="8"/>
        </w:numPr>
        <w:contextualSpacing/>
        <w:rPr>
          <w:rFonts w:ascii="Cambria" w:hAnsi="Cambria" w:cstheme="minorHAnsi"/>
          <w:color w:val="17365D" w:themeColor="text2" w:themeShade="BF"/>
          <w:sz w:val="22"/>
          <w:szCs w:val="22"/>
        </w:rPr>
      </w:pPr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Engage in sustained, complex and successful scientific inquiry.</w:t>
      </w:r>
    </w:p>
    <w:p w:rsidR="000241DC" w:rsidRPr="00D52B76" w:rsidRDefault="000241DC" w:rsidP="003F0283">
      <w:pPr>
        <w:pStyle w:val="ListParagraph"/>
        <w:numPr>
          <w:ilvl w:val="0"/>
          <w:numId w:val="8"/>
        </w:numPr>
        <w:contextualSpacing/>
        <w:rPr>
          <w:rFonts w:ascii="Cambria" w:hAnsi="Cambria" w:cstheme="minorHAnsi"/>
          <w:color w:val="17365D" w:themeColor="text2" w:themeShade="BF"/>
          <w:sz w:val="22"/>
          <w:szCs w:val="22"/>
        </w:rPr>
      </w:pPr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Engage in public discourse of scientific and technical issues in the news or the community.</w:t>
      </w:r>
    </w:p>
    <w:p w:rsidR="000241DC" w:rsidRPr="00D52B76" w:rsidRDefault="000241DC" w:rsidP="003F0283">
      <w:pPr>
        <w:pStyle w:val="ListParagraph"/>
        <w:numPr>
          <w:ilvl w:val="0"/>
          <w:numId w:val="8"/>
        </w:numPr>
        <w:contextualSpacing/>
        <w:rPr>
          <w:rFonts w:ascii="Cambria" w:hAnsi="Cambria" w:cstheme="minorHAnsi"/>
          <w:color w:val="17365D" w:themeColor="text2" w:themeShade="BF"/>
          <w:sz w:val="22"/>
          <w:szCs w:val="22"/>
        </w:rPr>
      </w:pPr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Use principles of the physical world and genetic programming to analyze living systems. (</w:t>
      </w:r>
      <w:proofErr w:type="spellStart"/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ls</w:t>
      </w:r>
      <w:proofErr w:type="spellEnd"/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)</w:t>
      </w:r>
    </w:p>
    <w:p w:rsidR="000241DC" w:rsidRPr="00D52B76" w:rsidRDefault="000241DC" w:rsidP="003F0283">
      <w:pPr>
        <w:pStyle w:val="ListParagraph"/>
        <w:numPr>
          <w:ilvl w:val="0"/>
          <w:numId w:val="8"/>
        </w:numPr>
        <w:contextualSpacing/>
        <w:rPr>
          <w:rFonts w:ascii="Cambria" w:hAnsi="Cambria" w:cstheme="minorHAnsi"/>
          <w:color w:val="17365D" w:themeColor="text2" w:themeShade="BF"/>
          <w:sz w:val="22"/>
          <w:szCs w:val="22"/>
        </w:rPr>
      </w:pPr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Analyze mechanisms of cause and effect in natural and designed systems based on physical and chemical principles. (ps)</w:t>
      </w:r>
    </w:p>
    <w:p w:rsidR="000241DC" w:rsidRPr="00D52B76" w:rsidRDefault="000241DC" w:rsidP="003F0283">
      <w:pPr>
        <w:pStyle w:val="ListParagraph"/>
        <w:numPr>
          <w:ilvl w:val="0"/>
          <w:numId w:val="8"/>
        </w:numPr>
        <w:contextualSpacing/>
        <w:rPr>
          <w:rFonts w:ascii="Cambria" w:hAnsi="Cambria" w:cstheme="minorHAnsi"/>
          <w:color w:val="17365D" w:themeColor="text2" w:themeShade="BF"/>
          <w:sz w:val="22"/>
          <w:szCs w:val="22"/>
        </w:rPr>
      </w:pPr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lastRenderedPageBreak/>
        <w:t>Analyze the implications of earth as a set of interconnected systems -- atmosphere, hydrosphere, geosphere, and biosphere -- when making personal and civic decisions. (</w:t>
      </w:r>
      <w:proofErr w:type="spellStart"/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ess</w:t>
      </w:r>
      <w:proofErr w:type="spellEnd"/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)</w:t>
      </w:r>
    </w:p>
    <w:p w:rsidR="000241DC" w:rsidRPr="00D52B76" w:rsidRDefault="000241DC" w:rsidP="003F0283">
      <w:pPr>
        <w:pStyle w:val="ListParagraph"/>
        <w:numPr>
          <w:ilvl w:val="0"/>
          <w:numId w:val="8"/>
        </w:numPr>
        <w:contextualSpacing/>
        <w:rPr>
          <w:rFonts w:ascii="Cambria" w:hAnsi="Cambria" w:cstheme="minorHAnsi"/>
          <w:color w:val="17365D" w:themeColor="text2" w:themeShade="BF"/>
          <w:sz w:val="22"/>
          <w:szCs w:val="22"/>
        </w:rPr>
      </w:pPr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Use principles of the physical world to assess designed products and systems based on social needs and wants. (t/e)</w:t>
      </w:r>
    </w:p>
    <w:p w:rsidR="000241DC" w:rsidRPr="00D52B76" w:rsidRDefault="000241DC" w:rsidP="003F0283">
      <w:pPr>
        <w:pStyle w:val="ListParagraph"/>
        <w:numPr>
          <w:ilvl w:val="0"/>
          <w:numId w:val="8"/>
        </w:numPr>
        <w:contextualSpacing/>
        <w:rPr>
          <w:rFonts w:ascii="Cambria" w:hAnsi="Cambria" w:cstheme="minorHAnsi"/>
          <w:color w:val="17365D" w:themeColor="text2" w:themeShade="BF"/>
          <w:sz w:val="22"/>
          <w:szCs w:val="22"/>
        </w:rPr>
      </w:pPr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Argue for and act on the importance of energy to life. (</w:t>
      </w:r>
      <w:proofErr w:type="spellStart"/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ls</w:t>
      </w:r>
      <w:proofErr w:type="spellEnd"/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)</w:t>
      </w:r>
    </w:p>
    <w:p w:rsidR="000241DC" w:rsidRPr="00D52B76" w:rsidRDefault="000241DC" w:rsidP="003F0283">
      <w:pPr>
        <w:pStyle w:val="ListParagraph"/>
        <w:numPr>
          <w:ilvl w:val="0"/>
          <w:numId w:val="8"/>
        </w:numPr>
        <w:contextualSpacing/>
        <w:rPr>
          <w:rFonts w:ascii="Cambria" w:hAnsi="Cambria" w:cstheme="minorHAnsi"/>
          <w:color w:val="17365D" w:themeColor="text2" w:themeShade="BF"/>
          <w:sz w:val="22"/>
          <w:szCs w:val="22"/>
        </w:rPr>
      </w:pPr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Assess the energy use of biological and physical systems. (</w:t>
      </w:r>
      <w:proofErr w:type="spellStart"/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ls</w:t>
      </w:r>
      <w:proofErr w:type="spellEnd"/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)</w:t>
      </w:r>
    </w:p>
    <w:p w:rsidR="000241DC" w:rsidRPr="00D52B76" w:rsidRDefault="000241DC" w:rsidP="003F0283">
      <w:pPr>
        <w:pStyle w:val="ListParagraph"/>
        <w:numPr>
          <w:ilvl w:val="0"/>
          <w:numId w:val="8"/>
        </w:numPr>
        <w:contextualSpacing/>
        <w:rPr>
          <w:rFonts w:ascii="Cambria" w:hAnsi="Cambria" w:cstheme="minorHAnsi"/>
          <w:color w:val="17365D" w:themeColor="text2" w:themeShade="BF"/>
          <w:sz w:val="22"/>
          <w:szCs w:val="22"/>
        </w:rPr>
      </w:pPr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Make personal and civic decisions that respect how living systems maintain balance and stability, minimizing impact on factors that disturb stability. (</w:t>
      </w:r>
      <w:proofErr w:type="spellStart"/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ls</w:t>
      </w:r>
      <w:proofErr w:type="spellEnd"/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)</w:t>
      </w:r>
    </w:p>
    <w:p w:rsidR="000241DC" w:rsidRPr="00D52B76" w:rsidRDefault="000241DC" w:rsidP="003F0283">
      <w:pPr>
        <w:pStyle w:val="ListParagraph"/>
        <w:numPr>
          <w:ilvl w:val="0"/>
          <w:numId w:val="8"/>
        </w:numPr>
        <w:contextualSpacing/>
        <w:rPr>
          <w:rFonts w:ascii="Cambria" w:hAnsi="Cambria" w:cstheme="minorHAnsi"/>
          <w:color w:val="17365D" w:themeColor="text2" w:themeShade="BF"/>
          <w:sz w:val="22"/>
          <w:szCs w:val="22"/>
        </w:rPr>
      </w:pPr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Make informed decisions about personal and societal use of energy. (ps)</w:t>
      </w:r>
    </w:p>
    <w:p w:rsidR="000241DC" w:rsidRPr="00D52B76" w:rsidRDefault="000241DC" w:rsidP="003F0283">
      <w:pPr>
        <w:pStyle w:val="ListParagraph"/>
        <w:numPr>
          <w:ilvl w:val="0"/>
          <w:numId w:val="8"/>
        </w:numPr>
        <w:contextualSpacing/>
        <w:rPr>
          <w:rFonts w:ascii="Cambria" w:hAnsi="Cambria" w:cstheme="minorHAnsi"/>
          <w:color w:val="17365D" w:themeColor="text2" w:themeShade="BF"/>
          <w:sz w:val="22"/>
          <w:szCs w:val="22"/>
        </w:rPr>
      </w:pPr>
      <w:r w:rsidRPr="00D52B76">
        <w:rPr>
          <w:rFonts w:ascii="Cambria" w:hAnsi="Cambria" w:cstheme="minorHAnsi"/>
          <w:color w:val="17365D" w:themeColor="text2" w:themeShade="BF"/>
          <w:sz w:val="22"/>
          <w:szCs w:val="22"/>
        </w:rPr>
        <w:t>Interpret and critique claims about the use of energy from public and private sources. (ps)</w:t>
      </w:r>
    </w:p>
    <w:p w:rsidR="000241DC" w:rsidRPr="00D52B76" w:rsidRDefault="000241DC" w:rsidP="000241DC">
      <w:pPr>
        <w:spacing w:after="0" w:line="240" w:lineRule="auto"/>
        <w:rPr>
          <w:rFonts w:ascii="Cambria" w:hAnsi="Cambria" w:cstheme="minorHAnsi"/>
          <w:i/>
          <w:color w:val="17365D" w:themeColor="text2" w:themeShade="BF"/>
        </w:rPr>
      </w:pPr>
      <w:r w:rsidRPr="00D52B76">
        <w:rPr>
          <w:rFonts w:ascii="Cambria" w:hAnsi="Cambria" w:cstheme="minorHAnsi"/>
          <w:i/>
          <w:color w:val="17365D" w:themeColor="text2" w:themeShade="BF"/>
        </w:rPr>
        <w:t xml:space="preserve">These refer to the 5 different science disciplines - Life science/Biology </w:t>
      </w:r>
      <w:proofErr w:type="spellStart"/>
      <w:r w:rsidR="00BC0BB0" w:rsidRPr="00D52B76">
        <w:rPr>
          <w:rFonts w:ascii="Cambria" w:hAnsi="Cambria" w:cstheme="minorHAnsi"/>
          <w:i/>
          <w:color w:val="17365D" w:themeColor="text2" w:themeShade="BF"/>
        </w:rPr>
        <w:t>l</w:t>
      </w:r>
      <w:r w:rsidRPr="00D52B76">
        <w:rPr>
          <w:rFonts w:ascii="Cambria" w:hAnsi="Cambria" w:cstheme="minorHAnsi"/>
          <w:i/>
          <w:color w:val="17365D" w:themeColor="text2" w:themeShade="BF"/>
        </w:rPr>
        <w:t>LS</w:t>
      </w:r>
      <w:proofErr w:type="spellEnd"/>
      <w:r w:rsidRPr="00D52B76">
        <w:rPr>
          <w:rFonts w:ascii="Cambria" w:hAnsi="Cambria" w:cstheme="minorHAnsi"/>
          <w:i/>
          <w:color w:val="17365D" w:themeColor="text2" w:themeShade="BF"/>
        </w:rPr>
        <w:t>), Physical sc</w:t>
      </w:r>
      <w:r w:rsidR="00BC0BB0" w:rsidRPr="00D52B76">
        <w:rPr>
          <w:rFonts w:ascii="Cambria" w:hAnsi="Cambria" w:cstheme="minorHAnsi"/>
          <w:i/>
          <w:color w:val="17365D" w:themeColor="text2" w:themeShade="BF"/>
        </w:rPr>
        <w:t>ience (Chemistry and Physics</w:t>
      </w:r>
      <w:proofErr w:type="gramStart"/>
      <w:r w:rsidR="00BC0BB0" w:rsidRPr="00D52B76">
        <w:rPr>
          <w:rFonts w:ascii="Cambria" w:hAnsi="Cambria" w:cstheme="minorHAnsi"/>
          <w:i/>
          <w:color w:val="17365D" w:themeColor="text2" w:themeShade="BF"/>
        </w:rPr>
        <w:t>)(</w:t>
      </w:r>
      <w:proofErr w:type="gramEnd"/>
      <w:r w:rsidR="00BC0BB0" w:rsidRPr="00D52B76">
        <w:rPr>
          <w:rFonts w:ascii="Cambria" w:hAnsi="Cambria" w:cstheme="minorHAnsi"/>
          <w:i/>
          <w:color w:val="17365D" w:themeColor="text2" w:themeShade="BF"/>
        </w:rPr>
        <w:t>ps), Earth &amp; Space Science(</w:t>
      </w:r>
      <w:proofErr w:type="spellStart"/>
      <w:r w:rsidR="00BC0BB0" w:rsidRPr="00D52B76">
        <w:rPr>
          <w:rFonts w:ascii="Cambria" w:hAnsi="Cambria" w:cstheme="minorHAnsi"/>
          <w:i/>
          <w:color w:val="17365D" w:themeColor="text2" w:themeShade="BF"/>
        </w:rPr>
        <w:t>ess</w:t>
      </w:r>
      <w:proofErr w:type="spellEnd"/>
      <w:r w:rsidRPr="00D52B76">
        <w:rPr>
          <w:rFonts w:ascii="Cambria" w:hAnsi="Cambria" w:cstheme="minorHAnsi"/>
          <w:i/>
          <w:color w:val="17365D" w:themeColor="text2" w:themeShade="BF"/>
        </w:rPr>
        <w:t>)</w:t>
      </w:r>
      <w:r w:rsidR="00BC0BB0" w:rsidRPr="00D52B76">
        <w:rPr>
          <w:rFonts w:ascii="Cambria" w:hAnsi="Cambria" w:cstheme="minorHAnsi"/>
          <w:i/>
          <w:color w:val="17365D" w:themeColor="text2" w:themeShade="BF"/>
        </w:rPr>
        <w:t>, and Technology/Engineering(t/e</w:t>
      </w:r>
      <w:r w:rsidRPr="00D52B76">
        <w:rPr>
          <w:rFonts w:ascii="Cambria" w:hAnsi="Cambria" w:cstheme="minorHAnsi"/>
          <w:i/>
          <w:color w:val="17365D" w:themeColor="text2" w:themeShade="BF"/>
        </w:rPr>
        <w:t>).</w:t>
      </w:r>
    </w:p>
    <w:p w:rsidR="00F14FE8" w:rsidRDefault="00F14FE8" w:rsidP="000241DC">
      <w:pPr>
        <w:rPr>
          <w:rFonts w:cstheme="minorHAnsi"/>
        </w:rPr>
      </w:pPr>
    </w:p>
    <w:p w:rsidR="002E780C" w:rsidRDefault="00BC0BB0" w:rsidP="000241DC">
      <w:pPr>
        <w:rPr>
          <w:rFonts w:ascii="Cambria" w:hAnsi="Cambria" w:cstheme="minorHAnsi"/>
          <w:i/>
          <w:sz w:val="20"/>
          <w:szCs w:val="20"/>
        </w:rPr>
      </w:pPr>
      <w:r>
        <w:rPr>
          <w:rFonts w:ascii="Cambria" w:hAnsi="Cambria" w:cstheme="minorHAnsi"/>
          <w:i/>
          <w:sz w:val="20"/>
          <w:szCs w:val="20"/>
        </w:rPr>
        <w:t>It is</w:t>
      </w:r>
      <w:r w:rsidR="00F14FE8" w:rsidRPr="00BC0BB0">
        <w:rPr>
          <w:rFonts w:ascii="Cambria" w:hAnsi="Cambria" w:cstheme="minorHAnsi"/>
          <w:i/>
          <w:sz w:val="20"/>
          <w:szCs w:val="20"/>
        </w:rPr>
        <w:t xml:space="preserve"> not recommend that educators use these goals as a </w:t>
      </w:r>
      <w:r w:rsidRPr="00BC0BB0">
        <w:rPr>
          <w:rFonts w:ascii="Cambria" w:hAnsi="Cambria" w:cstheme="minorHAnsi"/>
          <w:i/>
          <w:sz w:val="20"/>
          <w:szCs w:val="20"/>
        </w:rPr>
        <w:t>checklist</w:t>
      </w:r>
      <w:r>
        <w:rPr>
          <w:rFonts w:ascii="Cambria" w:hAnsi="Cambria" w:cstheme="minorHAnsi"/>
          <w:i/>
          <w:sz w:val="20"/>
          <w:szCs w:val="20"/>
        </w:rPr>
        <w:t xml:space="preserve">, </w:t>
      </w:r>
      <w:r w:rsidR="00F14FE8" w:rsidRPr="00BC0BB0">
        <w:rPr>
          <w:rFonts w:ascii="Cambria" w:hAnsi="Cambria" w:cstheme="minorHAnsi"/>
          <w:i/>
          <w:sz w:val="20"/>
          <w:szCs w:val="20"/>
        </w:rPr>
        <w:t xml:space="preserve">evaluation tool, or </w:t>
      </w:r>
      <w:r w:rsidR="001D235C">
        <w:rPr>
          <w:rFonts w:ascii="Cambria" w:hAnsi="Cambria" w:cstheme="minorHAnsi"/>
          <w:i/>
          <w:sz w:val="20"/>
          <w:szCs w:val="20"/>
        </w:rPr>
        <w:t xml:space="preserve">as an </w:t>
      </w:r>
      <w:r w:rsidR="00F14FE8" w:rsidRPr="00BC0BB0">
        <w:rPr>
          <w:rFonts w:ascii="Cambria" w:hAnsi="Cambria" w:cstheme="minorHAnsi"/>
          <w:i/>
          <w:sz w:val="20"/>
          <w:szCs w:val="20"/>
        </w:rPr>
        <w:t xml:space="preserve">assessment tool. </w:t>
      </w:r>
      <w:r>
        <w:rPr>
          <w:rFonts w:ascii="Cambria" w:hAnsi="Cambria" w:cstheme="minorHAnsi"/>
          <w:i/>
          <w:sz w:val="20"/>
          <w:szCs w:val="20"/>
        </w:rPr>
        <w:t xml:space="preserve">We encourage use of these goals as </w:t>
      </w:r>
      <w:r w:rsidR="001D235C">
        <w:rPr>
          <w:rFonts w:ascii="Cambria" w:hAnsi="Cambria" w:cstheme="minorHAnsi"/>
          <w:i/>
          <w:sz w:val="20"/>
          <w:szCs w:val="20"/>
        </w:rPr>
        <w:t xml:space="preserve">a connection </w:t>
      </w:r>
      <w:r>
        <w:rPr>
          <w:rFonts w:ascii="Cambria" w:hAnsi="Cambria" w:cstheme="minorHAnsi"/>
          <w:i/>
          <w:sz w:val="20"/>
          <w:szCs w:val="20"/>
        </w:rPr>
        <w:t>reminder to educators of the</w:t>
      </w:r>
      <w:r w:rsidR="001D235C">
        <w:rPr>
          <w:rFonts w:ascii="Cambria" w:hAnsi="Cambria" w:cstheme="minorHAnsi"/>
          <w:i/>
          <w:sz w:val="20"/>
          <w:szCs w:val="20"/>
        </w:rPr>
        <w:t xml:space="preserve"> “big picture” of preparing students for college, careers, and citizenship. </w:t>
      </w:r>
    </w:p>
    <w:sectPr w:rsidR="002E780C" w:rsidSect="005F0783">
      <w:footerReference w:type="default" r:id="rId9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853" w:rsidRDefault="00810853" w:rsidP="00700F9A">
      <w:pPr>
        <w:spacing w:after="0" w:line="240" w:lineRule="auto"/>
      </w:pPr>
      <w:r>
        <w:separator/>
      </w:r>
    </w:p>
  </w:endnote>
  <w:endnote w:type="continuationSeparator" w:id="0">
    <w:p w:rsidR="00810853" w:rsidRDefault="00810853" w:rsidP="0070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783" w:rsidRPr="002E6FA6" w:rsidRDefault="005F0783" w:rsidP="005F0783">
    <w:pPr>
      <w:pStyle w:val="Footer"/>
      <w:rPr>
        <w:rFonts w:ascii="Arial Narrow" w:hAnsi="Arial Narrow"/>
      </w:rPr>
    </w:pPr>
    <w:r>
      <w:rPr>
        <w:rFonts w:ascii="Arial Narrow" w:hAnsi="Arial Narrow"/>
        <w:noProof/>
        <w:color w:val="000000"/>
        <w:lang w:eastAsia="zh-CN" w:bidi="km-KH"/>
      </w:rPr>
      <w:drawing>
        <wp:inline distT="0" distB="0" distL="0" distR="0">
          <wp:extent cx="859155" cy="304800"/>
          <wp:effectExtent l="19050" t="0" r="0" b="0"/>
          <wp:docPr id="2" name="Picture 2" descr="Creative Commons Licen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eative Commons Licens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color w:val="000000"/>
      </w:rPr>
      <w:t xml:space="preserve"> </w:t>
    </w:r>
    <w:r w:rsidRPr="00DE7AB4">
      <w:rPr>
        <w:rFonts w:ascii="Arial Narrow" w:hAnsi="Arial Narrow"/>
        <w:color w:val="000000"/>
        <w:sz w:val="20"/>
        <w:szCs w:val="20"/>
      </w:rPr>
      <w:t xml:space="preserve">This work is licensed by the MA Department of Elementary &amp; Secondary Education under the Creative Commons </w:t>
    </w:r>
    <w:r w:rsidRPr="00DE7AB4">
      <w:rPr>
        <w:rFonts w:ascii="Arial Narrow" w:hAnsi="Arial Narrow"/>
        <w:sz w:val="20"/>
        <w:szCs w:val="20"/>
      </w:rPr>
      <w:t>Attribution-NonCommercial-ShareAlike 3.0 Unported License (CC BY-NC-SA 3.0)</w:t>
    </w:r>
    <w:r w:rsidRPr="00DE7AB4">
      <w:rPr>
        <w:rFonts w:ascii="Arial Narrow" w:hAnsi="Arial Narrow"/>
        <w:color w:val="000000"/>
        <w:sz w:val="20"/>
        <w:szCs w:val="20"/>
      </w:rPr>
      <w:t xml:space="preserve">. </w:t>
    </w:r>
    <w:r w:rsidRPr="00DE7AB4">
      <w:rPr>
        <w:rFonts w:ascii="Arial Narrow" w:hAnsi="Arial Narrow"/>
        <w:sz w:val="20"/>
        <w:szCs w:val="20"/>
      </w:rPr>
      <w:t>Educators may use, adapt, and/or share. Not for commercial use.</w:t>
    </w:r>
    <w:r w:rsidRPr="00DE7AB4">
      <w:rPr>
        <w:rFonts w:ascii="Arial Narrow" w:hAnsi="Arial Narrow"/>
        <w:b/>
        <w:bCs/>
        <w:sz w:val="20"/>
        <w:szCs w:val="20"/>
      </w:rPr>
      <w:t xml:space="preserve"> </w:t>
    </w:r>
    <w:r w:rsidRPr="00DE7AB4">
      <w:rPr>
        <w:rFonts w:ascii="Arial Narrow" w:hAnsi="Arial Narrow"/>
        <w:color w:val="000000"/>
        <w:sz w:val="20"/>
        <w:szCs w:val="20"/>
      </w:rPr>
      <w:t xml:space="preserve">To view a copy of the license, visit </w:t>
    </w:r>
    <w:hyperlink r:id="rId2" w:history="1">
      <w:r w:rsidRPr="00DE7AB4">
        <w:rPr>
          <w:rStyle w:val="Hyperlink"/>
          <w:rFonts w:ascii="Arial Narrow" w:hAnsi="Arial Narrow"/>
          <w:b/>
          <w:bCs/>
          <w:sz w:val="20"/>
          <w:szCs w:val="20"/>
        </w:rPr>
        <w:t>http://creativecommons.org/licenses/by-nc-sa/3.0/</w:t>
      </w:r>
    </w:hyperlink>
    <w:r w:rsidRPr="00B5007B">
      <w:rPr>
        <w:rFonts w:ascii="Arial Narrow" w:hAnsi="Arial Narrow"/>
        <w:b/>
        <w:bCs/>
      </w:rPr>
      <w:t>     </w:t>
    </w:r>
    <w:r>
      <w:rPr>
        <w:rFonts w:ascii="Arial Narrow" w:hAnsi="Arial Narrow"/>
        <w:b/>
        <w:bCs/>
      </w:rPr>
      <w:t xml:space="preserve">       </w:t>
    </w:r>
    <w:r>
      <w:rPr>
        <w:rFonts w:ascii="Arial Narrow" w:hAnsi="Arial Narrow"/>
        <w:sz w:val="18"/>
        <w:szCs w:val="18"/>
      </w:rP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853" w:rsidRDefault="00810853" w:rsidP="00700F9A">
      <w:pPr>
        <w:spacing w:after="0" w:line="240" w:lineRule="auto"/>
      </w:pPr>
      <w:r>
        <w:separator/>
      </w:r>
    </w:p>
  </w:footnote>
  <w:footnote w:type="continuationSeparator" w:id="0">
    <w:p w:rsidR="00810853" w:rsidRDefault="00810853" w:rsidP="00700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3A25"/>
    <w:multiLevelType w:val="hybridMultilevel"/>
    <w:tmpl w:val="D2D84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BB6534D"/>
    <w:multiLevelType w:val="hybridMultilevel"/>
    <w:tmpl w:val="FE941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913706B"/>
    <w:multiLevelType w:val="hybridMultilevel"/>
    <w:tmpl w:val="198C75F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956392A"/>
    <w:multiLevelType w:val="hybridMultilevel"/>
    <w:tmpl w:val="780E3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411B4"/>
    <w:multiLevelType w:val="multilevel"/>
    <w:tmpl w:val="771A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032028"/>
    <w:multiLevelType w:val="hybridMultilevel"/>
    <w:tmpl w:val="A316E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FD67C4"/>
    <w:rsid w:val="00006BAE"/>
    <w:rsid w:val="000241DC"/>
    <w:rsid w:val="00025139"/>
    <w:rsid w:val="00026D02"/>
    <w:rsid w:val="000331CC"/>
    <w:rsid w:val="00044E94"/>
    <w:rsid w:val="0005387F"/>
    <w:rsid w:val="000C218F"/>
    <w:rsid w:val="00103D62"/>
    <w:rsid w:val="00140DF3"/>
    <w:rsid w:val="001D235C"/>
    <w:rsid w:val="002161BE"/>
    <w:rsid w:val="0022596D"/>
    <w:rsid w:val="00243A8D"/>
    <w:rsid w:val="00293023"/>
    <w:rsid w:val="002A249E"/>
    <w:rsid w:val="002C38DA"/>
    <w:rsid w:val="002E0E8B"/>
    <w:rsid w:val="002E780C"/>
    <w:rsid w:val="00302880"/>
    <w:rsid w:val="00326658"/>
    <w:rsid w:val="00366B22"/>
    <w:rsid w:val="00374478"/>
    <w:rsid w:val="003D1B6A"/>
    <w:rsid w:val="003F0283"/>
    <w:rsid w:val="0041390C"/>
    <w:rsid w:val="00456126"/>
    <w:rsid w:val="00457EDC"/>
    <w:rsid w:val="004B0EA3"/>
    <w:rsid w:val="004F31A4"/>
    <w:rsid w:val="004F64D7"/>
    <w:rsid w:val="005102A9"/>
    <w:rsid w:val="005F0783"/>
    <w:rsid w:val="00601A06"/>
    <w:rsid w:val="00623A29"/>
    <w:rsid w:val="00687769"/>
    <w:rsid w:val="006B3160"/>
    <w:rsid w:val="00700F9A"/>
    <w:rsid w:val="00727279"/>
    <w:rsid w:val="00740F86"/>
    <w:rsid w:val="007654D9"/>
    <w:rsid w:val="00775156"/>
    <w:rsid w:val="007C7C0C"/>
    <w:rsid w:val="00810853"/>
    <w:rsid w:val="00846964"/>
    <w:rsid w:val="008E262D"/>
    <w:rsid w:val="00925C19"/>
    <w:rsid w:val="00964BB4"/>
    <w:rsid w:val="009C4DA4"/>
    <w:rsid w:val="009E4B97"/>
    <w:rsid w:val="00A27172"/>
    <w:rsid w:val="00B10C5A"/>
    <w:rsid w:val="00B16B56"/>
    <w:rsid w:val="00B73462"/>
    <w:rsid w:val="00B74621"/>
    <w:rsid w:val="00B8696F"/>
    <w:rsid w:val="00BC0BB0"/>
    <w:rsid w:val="00CB7C85"/>
    <w:rsid w:val="00CE2295"/>
    <w:rsid w:val="00D067CA"/>
    <w:rsid w:val="00D52B76"/>
    <w:rsid w:val="00D53B69"/>
    <w:rsid w:val="00DB0F94"/>
    <w:rsid w:val="00E55260"/>
    <w:rsid w:val="00EB3008"/>
    <w:rsid w:val="00F01FE5"/>
    <w:rsid w:val="00F14FE8"/>
    <w:rsid w:val="00F237F2"/>
    <w:rsid w:val="00F97F82"/>
    <w:rsid w:val="00FB6563"/>
    <w:rsid w:val="00FD5214"/>
    <w:rsid w:val="00FD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E94"/>
  </w:style>
  <w:style w:type="paragraph" w:styleId="Heading1">
    <w:name w:val="heading 1"/>
    <w:basedOn w:val="Normal"/>
    <w:next w:val="Normal"/>
    <w:link w:val="Heading1Char"/>
    <w:uiPriority w:val="9"/>
    <w:qFormat/>
    <w:rsid w:val="00D52B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B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2B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2B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B6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D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0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F9A"/>
  </w:style>
  <w:style w:type="paragraph" w:styleId="Footer">
    <w:name w:val="footer"/>
    <w:basedOn w:val="Normal"/>
    <w:link w:val="FooterChar"/>
    <w:uiPriority w:val="99"/>
    <w:unhideWhenUsed/>
    <w:rsid w:val="00700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9A"/>
  </w:style>
  <w:style w:type="character" w:styleId="PageNumber">
    <w:name w:val="page number"/>
    <w:basedOn w:val="DefaultParagraphFont"/>
    <w:uiPriority w:val="99"/>
    <w:rsid w:val="005F0783"/>
  </w:style>
  <w:style w:type="character" w:styleId="Hyperlink">
    <w:name w:val="Hyperlink"/>
    <w:uiPriority w:val="99"/>
    <w:unhideWhenUsed/>
    <w:rsid w:val="005F0783"/>
    <w:rPr>
      <w:color w:val="004B91"/>
      <w:u w:val="single"/>
    </w:rPr>
  </w:style>
  <w:style w:type="paragraph" w:styleId="NoSpacing">
    <w:name w:val="No Spacing"/>
    <w:uiPriority w:val="1"/>
    <w:qFormat/>
    <w:rsid w:val="00D52B7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52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2B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2B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52B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52B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2B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footer" Target="footer1.xml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image" Target="media/image2.png"/>
  <Relationship Id="rId2" Type="http://schemas.openxmlformats.org/officeDocument/2006/relationships/hyperlink" TargetMode="External" Target="http://creativecommons.org/licenses/by-nc-sa/3.0/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F8427-D323-4A53-B98A-941BFF8E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672</Words>
  <Characters>3757</Characters>
  <Application>Microsoft Office Word</Application>
  <DocSecurity>0</DocSecurity>
  <Lines>63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2013-11-21T19:41:00Z</dcterms:created>
  <dc:creator>ESE</dc:creator>
  <lastModifiedBy>dzou</lastModifiedBy>
  <lastPrinted>2013-07-15T19:49:00Z</lastPrinted>
  <dcterms:modified xsi:type="dcterms:W3CDTF">2013-11-22T16:59:00Z</dcterms:modified>
  <revision>8</revision>
  <dc:title>Massachusetts Transfer Goals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Nov 22 2013</vt:lpwstr>
  </property>
</Properties>
</file>