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CF13E" w14:textId="77777777" w:rsidR="00062F86" w:rsidRPr="00B143ED" w:rsidRDefault="00062F86" w:rsidP="00062F86">
      <w:pPr>
        <w:pBdr>
          <w:top w:val="thinThickSmallGap" w:sz="24" w:space="1" w:color="auto"/>
          <w:left w:val="thinThickSmallGap" w:sz="24" w:space="4" w:color="auto"/>
          <w:bottom w:val="thickThinSmallGap" w:sz="24" w:space="1" w:color="auto"/>
          <w:right w:val="thickThinSmallGap" w:sz="24" w:space="4" w:color="auto"/>
        </w:pBdr>
        <w:jc w:val="center"/>
        <w:rPr>
          <w:rFonts w:ascii="Garamond" w:hAnsi="Garamond"/>
          <w:b/>
          <w:sz w:val="36"/>
          <w:szCs w:val="36"/>
        </w:rPr>
      </w:pPr>
      <w:smartTag w:uri="urn:schemas-microsoft-com:office:smarttags" w:element="place">
        <w:smartTag w:uri="urn:schemas-microsoft-com:office:smarttags" w:element="State">
          <w:r w:rsidRPr="00B143ED">
            <w:rPr>
              <w:rFonts w:ascii="Garamond" w:hAnsi="Garamond"/>
              <w:b/>
              <w:sz w:val="36"/>
              <w:szCs w:val="36"/>
            </w:rPr>
            <w:t>MASSACHUSETTS</w:t>
          </w:r>
        </w:smartTag>
      </w:smartTag>
      <w:r w:rsidRPr="00B143ED">
        <w:rPr>
          <w:rFonts w:ascii="Garamond" w:hAnsi="Garamond"/>
          <w:b/>
          <w:sz w:val="36"/>
          <w:szCs w:val="36"/>
        </w:rPr>
        <w:t xml:space="preserve"> VETERANS’ TENURE ACT GUIDELINES</w:t>
      </w:r>
    </w:p>
    <w:p w14:paraId="5E2FA107" w14:textId="77777777" w:rsidR="00062F86" w:rsidRDefault="00062F86" w:rsidP="00062F86">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u w:val="single"/>
        </w:rPr>
      </w:pPr>
      <w:r w:rsidRPr="00062F86">
        <w:rPr>
          <w:b/>
          <w:sz w:val="36"/>
          <w:szCs w:val="36"/>
          <w:u w:val="single"/>
        </w:rPr>
        <w:t>__________</w:t>
      </w:r>
      <w:r>
        <w:rPr>
          <w:b/>
          <w:sz w:val="36"/>
          <w:szCs w:val="36"/>
          <w:u w:val="single"/>
        </w:rPr>
        <w:t>______________________________________</w:t>
      </w:r>
    </w:p>
    <w:p w14:paraId="22C9202F" w14:textId="7BD11F0C" w:rsidR="00062F86" w:rsidRPr="00225FA7" w:rsidRDefault="00062F86" w:rsidP="00062F86">
      <w:pPr>
        <w:pBdr>
          <w:top w:val="thinThickSmallGap" w:sz="24" w:space="1" w:color="auto"/>
          <w:left w:val="thinThickSmallGap" w:sz="24" w:space="4" w:color="auto"/>
          <w:bottom w:val="thickThinSmallGap" w:sz="24" w:space="1" w:color="auto"/>
          <w:right w:val="thickThinSmallGap" w:sz="24" w:space="4" w:color="auto"/>
        </w:pBdr>
        <w:rPr>
          <w:b/>
          <w:sz w:val="36"/>
          <w:szCs w:val="36"/>
        </w:rPr>
      </w:pPr>
    </w:p>
    <w:p w14:paraId="18E47A80" w14:textId="77777777" w:rsidR="00062F86" w:rsidRDefault="00062F86" w:rsidP="00062F86">
      <w:pPr>
        <w:pBdr>
          <w:top w:val="thinThickSmallGap" w:sz="24" w:space="1" w:color="auto"/>
          <w:left w:val="thinThickSmallGap" w:sz="24" w:space="4" w:color="auto"/>
          <w:bottom w:val="thickThinSmallGap" w:sz="24" w:space="1" w:color="auto"/>
          <w:right w:val="thickThinSmallGap" w:sz="24" w:space="4" w:color="auto"/>
        </w:pBdr>
        <w:rPr>
          <w:b/>
          <w:sz w:val="36"/>
          <w:szCs w:val="36"/>
        </w:rPr>
      </w:pPr>
    </w:p>
    <w:p w14:paraId="14E917FD" w14:textId="77777777" w:rsidR="00062F86" w:rsidRPr="00B143ED" w:rsidRDefault="00964398" w:rsidP="00062F86">
      <w:pPr>
        <w:pBdr>
          <w:top w:val="thinThickSmallGap" w:sz="24" w:space="1" w:color="auto"/>
          <w:left w:val="thinThickSmallGap" w:sz="24" w:space="4" w:color="auto"/>
          <w:bottom w:val="thickThinSmallGap" w:sz="24" w:space="1" w:color="auto"/>
          <w:right w:val="thickThinSmallGap" w:sz="24" w:space="4" w:color="auto"/>
        </w:pBdr>
        <w:jc w:val="center"/>
        <w:rPr>
          <w:rFonts w:ascii="Garamond" w:hAnsi="Garamond"/>
          <w:b/>
          <w:sz w:val="32"/>
          <w:szCs w:val="32"/>
        </w:rPr>
      </w:pPr>
      <w:r w:rsidRPr="00B143ED">
        <w:rPr>
          <w:rFonts w:ascii="Garamond" w:hAnsi="Garamond"/>
          <w:b/>
          <w:sz w:val="32"/>
          <w:szCs w:val="32"/>
        </w:rPr>
        <w:t>Massachusetts General Laws, Chapter 30, Section 9A:</w:t>
      </w:r>
    </w:p>
    <w:p w14:paraId="4D4A0785" w14:textId="77777777" w:rsidR="00062F86" w:rsidRPr="00B143ED" w:rsidRDefault="00964398" w:rsidP="00964398">
      <w:pPr>
        <w:pBdr>
          <w:top w:val="thinThickSmallGap" w:sz="24" w:space="1" w:color="auto"/>
          <w:left w:val="thinThickSmallGap" w:sz="24" w:space="4" w:color="auto"/>
          <w:bottom w:val="thickThinSmallGap" w:sz="24" w:space="1" w:color="auto"/>
          <w:right w:val="thickThinSmallGap" w:sz="24" w:space="4" w:color="auto"/>
        </w:pBdr>
        <w:jc w:val="center"/>
        <w:rPr>
          <w:rFonts w:ascii="Garamond" w:hAnsi="Garamond"/>
          <w:b/>
          <w:sz w:val="36"/>
          <w:szCs w:val="36"/>
        </w:rPr>
      </w:pPr>
      <w:r w:rsidRPr="00B143ED">
        <w:rPr>
          <w:rFonts w:ascii="Garamond" w:hAnsi="Garamond"/>
          <w:b/>
          <w:bCs/>
          <w:sz w:val="32"/>
          <w:szCs w:val="32"/>
        </w:rPr>
        <w:t>Veterans Holding Unclassified Positions; Separation from State Service</w:t>
      </w:r>
    </w:p>
    <w:p w14:paraId="2C0F6584" w14:textId="77777777" w:rsidR="00062F86" w:rsidRPr="00B143ED" w:rsidRDefault="00062F86" w:rsidP="00062F86">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36"/>
          <w:szCs w:val="36"/>
        </w:rPr>
      </w:pPr>
    </w:p>
    <w:p w14:paraId="65B63784" w14:textId="77777777" w:rsidR="00062F86" w:rsidRPr="00B143ED" w:rsidRDefault="00062F86" w:rsidP="00062F86">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36"/>
          <w:szCs w:val="36"/>
        </w:rPr>
      </w:pPr>
    </w:p>
    <w:p w14:paraId="1A7CB67F" w14:textId="77777777" w:rsidR="00012568" w:rsidRPr="00B143ED" w:rsidRDefault="00012568" w:rsidP="00062F86">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28"/>
          <w:szCs w:val="28"/>
        </w:rPr>
      </w:pPr>
    </w:p>
    <w:p w14:paraId="3D71DD0F" w14:textId="77777777" w:rsidR="00964398" w:rsidRPr="00B143ED" w:rsidRDefault="00964398" w:rsidP="00062F86">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28"/>
          <w:szCs w:val="28"/>
        </w:rPr>
      </w:pPr>
    </w:p>
    <w:p w14:paraId="543A67C2" w14:textId="77777777" w:rsidR="00062F86" w:rsidRPr="00B143ED" w:rsidRDefault="00964398" w:rsidP="00964398">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28"/>
          <w:szCs w:val="28"/>
        </w:rPr>
      </w:pPr>
      <w:r w:rsidRPr="00B143ED">
        <w:rPr>
          <w:rFonts w:ascii="Garamond" w:hAnsi="Garamond"/>
          <w:b/>
          <w:sz w:val="28"/>
          <w:szCs w:val="28"/>
        </w:rPr>
        <w:t>Human Resources Division</w:t>
      </w:r>
    </w:p>
    <w:p w14:paraId="5FAB591D" w14:textId="77777777" w:rsidR="00964398" w:rsidRPr="00B143ED" w:rsidRDefault="00964398" w:rsidP="00964398">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28"/>
          <w:szCs w:val="28"/>
        </w:rPr>
      </w:pPr>
      <w:smartTag w:uri="urn:schemas-microsoft-com:office:smarttags" w:element="address">
        <w:smartTag w:uri="urn:schemas-microsoft-com:office:smarttags" w:element="Street">
          <w:r w:rsidRPr="00B143ED">
            <w:rPr>
              <w:rFonts w:ascii="Garamond" w:hAnsi="Garamond"/>
              <w:b/>
              <w:sz w:val="28"/>
              <w:szCs w:val="28"/>
            </w:rPr>
            <w:t>One Ashburton Place</w:t>
          </w:r>
        </w:smartTag>
      </w:smartTag>
    </w:p>
    <w:p w14:paraId="4B868CFE" w14:textId="77777777" w:rsidR="00062F86" w:rsidRPr="00B143ED" w:rsidRDefault="00964398" w:rsidP="00964398">
      <w:pPr>
        <w:pBdr>
          <w:top w:val="thinThickSmallGap" w:sz="24" w:space="1" w:color="auto"/>
          <w:left w:val="thinThickSmallGap" w:sz="24" w:space="4" w:color="auto"/>
          <w:bottom w:val="thickThinSmallGap" w:sz="24" w:space="1" w:color="auto"/>
          <w:right w:val="thickThinSmallGap" w:sz="24" w:space="4" w:color="auto"/>
        </w:pBdr>
        <w:rPr>
          <w:rFonts w:ascii="Garamond" w:hAnsi="Garamond"/>
          <w:b/>
          <w:sz w:val="36"/>
          <w:szCs w:val="36"/>
        </w:rPr>
      </w:pPr>
      <w:smartTag w:uri="urn:schemas-microsoft-com:office:smarttags" w:element="place">
        <w:smartTag w:uri="urn:schemas-microsoft-com:office:smarttags" w:element="City">
          <w:r w:rsidRPr="00B143ED">
            <w:rPr>
              <w:rFonts w:ascii="Garamond" w:hAnsi="Garamond"/>
              <w:b/>
              <w:sz w:val="28"/>
              <w:szCs w:val="28"/>
            </w:rPr>
            <w:t>Boston</w:t>
          </w:r>
        </w:smartTag>
        <w:r w:rsidRPr="00B143ED">
          <w:rPr>
            <w:rFonts w:ascii="Garamond" w:hAnsi="Garamond"/>
            <w:b/>
            <w:sz w:val="28"/>
            <w:szCs w:val="28"/>
          </w:rPr>
          <w:t xml:space="preserve">, </w:t>
        </w:r>
        <w:smartTag w:uri="urn:schemas-microsoft-com:office:smarttags" w:element="State">
          <w:r w:rsidRPr="00B143ED">
            <w:rPr>
              <w:rFonts w:ascii="Garamond" w:hAnsi="Garamond"/>
              <w:b/>
              <w:sz w:val="28"/>
              <w:szCs w:val="28"/>
            </w:rPr>
            <w:t>Massachusetts</w:t>
          </w:r>
        </w:smartTag>
        <w:r w:rsidRPr="00B143ED">
          <w:rPr>
            <w:rFonts w:ascii="Garamond" w:hAnsi="Garamond"/>
            <w:b/>
            <w:sz w:val="28"/>
            <w:szCs w:val="28"/>
          </w:rPr>
          <w:t xml:space="preserve"> </w:t>
        </w:r>
        <w:smartTag w:uri="urn:schemas-microsoft-com:office:smarttags" w:element="PostalCode">
          <w:r w:rsidRPr="00B143ED">
            <w:rPr>
              <w:rFonts w:ascii="Garamond" w:hAnsi="Garamond"/>
              <w:b/>
              <w:sz w:val="28"/>
              <w:szCs w:val="28"/>
            </w:rPr>
            <w:t>02108</w:t>
          </w:r>
        </w:smartTag>
      </w:smartTag>
    </w:p>
    <w:p w14:paraId="03DBD5DA" w14:textId="77777777" w:rsidR="003638BF" w:rsidRDefault="00964398" w:rsidP="003638BF">
      <w:pPr>
        <w:autoSpaceDE w:val="0"/>
        <w:autoSpaceDN w:val="0"/>
        <w:adjustRightInd w:val="0"/>
        <w:jc w:val="center"/>
        <w:rPr>
          <w:rFonts w:ascii="Garamond" w:hAnsi="Garamond" w:cs="Garamond-Bold"/>
          <w:b/>
          <w:bCs/>
        </w:rPr>
      </w:pPr>
      <w:r>
        <w:rPr>
          <w:sz w:val="36"/>
          <w:szCs w:val="36"/>
        </w:rPr>
        <w:br w:type="page"/>
      </w:r>
      <w:r w:rsidR="003638BF">
        <w:rPr>
          <w:rFonts w:ascii="Garamond" w:hAnsi="Garamond" w:cs="Garamond-Bold"/>
          <w:b/>
          <w:bCs/>
        </w:rPr>
        <w:lastRenderedPageBreak/>
        <w:t xml:space="preserve">THE </w:t>
      </w:r>
      <w:smartTag w:uri="urn:schemas-microsoft-com:office:smarttags" w:element="State">
        <w:smartTag w:uri="urn:schemas-microsoft-com:office:smarttags" w:element="place">
          <w:r w:rsidR="003638BF">
            <w:rPr>
              <w:rFonts w:ascii="Garamond" w:hAnsi="Garamond" w:cs="Garamond-Bold"/>
              <w:b/>
              <w:bCs/>
            </w:rPr>
            <w:t>MASSACHUSETTS</w:t>
          </w:r>
        </w:smartTag>
      </w:smartTag>
      <w:r w:rsidR="003638BF">
        <w:rPr>
          <w:rFonts w:ascii="Garamond" w:hAnsi="Garamond" w:cs="Garamond-Bold"/>
          <w:b/>
          <w:bCs/>
        </w:rPr>
        <w:t xml:space="preserve"> VETERANS’ TENURE ACT GUIDELINES</w:t>
      </w:r>
    </w:p>
    <w:p w14:paraId="23A7BD0D" w14:textId="77777777" w:rsidR="003638BF" w:rsidRDefault="003638BF" w:rsidP="003638BF">
      <w:pPr>
        <w:autoSpaceDE w:val="0"/>
        <w:autoSpaceDN w:val="0"/>
        <w:adjustRightInd w:val="0"/>
        <w:jc w:val="center"/>
        <w:rPr>
          <w:rFonts w:ascii="Garamond" w:hAnsi="Garamond" w:cs="Garamond-Bold"/>
          <w:b/>
          <w:bCs/>
        </w:rPr>
      </w:pPr>
    </w:p>
    <w:p w14:paraId="750C5FAE" w14:textId="77777777" w:rsidR="003638BF" w:rsidRDefault="003638BF" w:rsidP="003638BF">
      <w:pPr>
        <w:autoSpaceDE w:val="0"/>
        <w:autoSpaceDN w:val="0"/>
        <w:adjustRightInd w:val="0"/>
        <w:jc w:val="center"/>
        <w:rPr>
          <w:rFonts w:ascii="Garamond" w:hAnsi="Garamond" w:cs="Garamond-Bold"/>
          <w:b/>
          <w:bCs/>
        </w:rPr>
      </w:pPr>
      <w:r>
        <w:rPr>
          <w:rFonts w:ascii="Garamond" w:hAnsi="Garamond" w:cs="Garamond-Bold"/>
          <w:b/>
          <w:bCs/>
        </w:rPr>
        <w:t>INTRODUCTION</w:t>
      </w:r>
    </w:p>
    <w:p w14:paraId="76BF8CBF" w14:textId="77777777" w:rsidR="003638BF" w:rsidRDefault="003638BF" w:rsidP="003638BF">
      <w:pPr>
        <w:rPr>
          <w:rFonts w:ascii="Garamond" w:hAnsi="Garamond" w:cs="Garamond-Bold"/>
          <w:b/>
          <w:bCs/>
        </w:rPr>
      </w:pPr>
    </w:p>
    <w:p w14:paraId="2D876304" w14:textId="77777777" w:rsidR="003638BF" w:rsidRDefault="003638BF" w:rsidP="001C015B">
      <w:pPr>
        <w:ind w:firstLine="720"/>
        <w:rPr>
          <w:rFonts w:ascii="Garamond" w:hAnsi="Garamond"/>
        </w:rPr>
      </w:pPr>
      <w:r>
        <w:rPr>
          <w:rFonts w:ascii="Garamond" w:hAnsi="Garamond" w:cs="Garamond-Bold"/>
          <w:bCs/>
        </w:rPr>
        <w:t xml:space="preserve">The Massachusetts Veterans’ Tenure Act </w:t>
      </w:r>
      <w:r w:rsidR="001C015B">
        <w:rPr>
          <w:rFonts w:ascii="Garamond" w:hAnsi="Garamond" w:cs="Garamond-Bold"/>
          <w:bCs/>
        </w:rPr>
        <w:t xml:space="preserve">(the “Act”) </w:t>
      </w:r>
      <w:r>
        <w:rPr>
          <w:rFonts w:ascii="Garamond" w:hAnsi="Garamond" w:cs="Garamond-Bold"/>
          <w:bCs/>
        </w:rPr>
        <w:t>applies to governmental agencies</w:t>
      </w:r>
      <w:r w:rsidR="001C015B">
        <w:rPr>
          <w:rFonts w:ascii="Garamond" w:hAnsi="Garamond" w:cs="Garamond-Bold"/>
          <w:bCs/>
        </w:rPr>
        <w:t>.</w:t>
      </w:r>
      <w:r>
        <w:rPr>
          <w:rFonts w:ascii="Garamond" w:hAnsi="Garamond" w:cs="Garamond-Bold"/>
          <w:bCs/>
        </w:rPr>
        <w:t xml:space="preserve">  In </w:t>
      </w:r>
      <w:proofErr w:type="gramStart"/>
      <w:r>
        <w:rPr>
          <w:rFonts w:ascii="Garamond" w:hAnsi="Garamond" w:cs="Garamond-Bold"/>
          <w:bCs/>
        </w:rPr>
        <w:t>general</w:t>
      </w:r>
      <w:proofErr w:type="gramEnd"/>
      <w:r>
        <w:rPr>
          <w:rFonts w:ascii="Garamond" w:hAnsi="Garamond" w:cs="Garamond-Bold"/>
          <w:bCs/>
        </w:rPr>
        <w:t xml:space="preserve"> the Law provides that veterans who hold state non-civil service positions for more than three (3) years may not be involuntarily separated </w:t>
      </w:r>
      <w:r w:rsidR="001C015B">
        <w:rPr>
          <w:rFonts w:ascii="Garamond" w:hAnsi="Garamond" w:cs="Garamond-Bold"/>
          <w:bCs/>
        </w:rPr>
        <w:t>from such position</w:t>
      </w:r>
      <w:r w:rsidR="005E4C6C">
        <w:rPr>
          <w:rFonts w:ascii="Garamond" w:hAnsi="Garamond" w:cs="Garamond-Bold"/>
          <w:bCs/>
        </w:rPr>
        <w:t xml:space="preserve">s </w:t>
      </w:r>
      <w:r>
        <w:rPr>
          <w:rFonts w:ascii="Garamond" w:hAnsi="Garamond" w:cs="Garamond-Bold"/>
          <w:bCs/>
        </w:rPr>
        <w:t xml:space="preserve">without a hearing before the appointing authority </w:t>
      </w:r>
      <w:r w:rsidR="001C015B">
        <w:rPr>
          <w:rFonts w:ascii="Garamond" w:hAnsi="Garamond" w:cs="Garamond-Bold"/>
          <w:bCs/>
        </w:rPr>
        <w:t xml:space="preserve">or </w:t>
      </w:r>
      <w:r w:rsidR="005E4C6C">
        <w:rPr>
          <w:rFonts w:ascii="Garamond" w:hAnsi="Garamond" w:cs="Garamond-Bold"/>
          <w:bCs/>
        </w:rPr>
        <w:t xml:space="preserve">a </w:t>
      </w:r>
      <w:r w:rsidR="001C015B">
        <w:rPr>
          <w:rFonts w:ascii="Garamond" w:hAnsi="Garamond" w:cs="Garamond-Bold"/>
          <w:bCs/>
        </w:rPr>
        <w:t>disinterested third party</w:t>
      </w:r>
      <w:r>
        <w:rPr>
          <w:rFonts w:ascii="Garamond" w:hAnsi="Garamond" w:cs="Garamond-Bold"/>
          <w:bCs/>
        </w:rPr>
        <w:t xml:space="preserve">.  Furthermore, a veteran may not be laid off for lack of work or funds when similar offices or positions </w:t>
      </w:r>
      <w:r w:rsidR="001C015B">
        <w:rPr>
          <w:rFonts w:ascii="Garamond" w:hAnsi="Garamond" w:cs="Garamond-Bold"/>
          <w:bCs/>
        </w:rPr>
        <w:t>in the same group or grade exis</w:t>
      </w:r>
      <w:r>
        <w:rPr>
          <w:rFonts w:ascii="Garamond" w:hAnsi="Garamond" w:cs="Garamond-Bold"/>
          <w:bCs/>
        </w:rPr>
        <w:t xml:space="preserve">t, unless such </w:t>
      </w:r>
      <w:r w:rsidR="001C015B">
        <w:rPr>
          <w:rFonts w:ascii="Garamond" w:hAnsi="Garamond" w:cs="Garamond-Bold"/>
          <w:bCs/>
        </w:rPr>
        <w:t xml:space="preserve">offices or </w:t>
      </w:r>
      <w:r>
        <w:rPr>
          <w:rFonts w:ascii="Garamond" w:hAnsi="Garamond" w:cs="Garamond-Bold"/>
          <w:bCs/>
        </w:rPr>
        <w:t xml:space="preserve">positions are held by </w:t>
      </w:r>
      <w:r w:rsidRPr="00511534">
        <w:rPr>
          <w:rFonts w:ascii="Garamond" w:hAnsi="Garamond"/>
        </w:rPr>
        <w:t xml:space="preserve">veterans, in which case separation shall occur in </w:t>
      </w:r>
      <w:r w:rsidR="005E4C6C">
        <w:rPr>
          <w:rFonts w:ascii="Garamond" w:hAnsi="Garamond"/>
        </w:rPr>
        <w:t>inverse</w:t>
      </w:r>
      <w:r w:rsidRPr="00511534">
        <w:rPr>
          <w:rFonts w:ascii="Garamond" w:hAnsi="Garamond"/>
        </w:rPr>
        <w:t xml:space="preserve"> order of their </w:t>
      </w:r>
      <w:r w:rsidR="005E4C6C">
        <w:rPr>
          <w:rFonts w:ascii="Garamond" w:hAnsi="Garamond"/>
        </w:rPr>
        <w:t>seniority</w:t>
      </w:r>
      <w:r w:rsidRPr="00511534">
        <w:rPr>
          <w:rFonts w:ascii="Garamond" w:hAnsi="Garamond"/>
        </w:rPr>
        <w:t>.</w:t>
      </w:r>
    </w:p>
    <w:p w14:paraId="3DEE4C06" w14:textId="77777777" w:rsidR="001C015B" w:rsidRDefault="001C015B" w:rsidP="003638BF">
      <w:pPr>
        <w:rPr>
          <w:rFonts w:ascii="Garamond" w:hAnsi="Garamond"/>
        </w:rPr>
      </w:pPr>
    </w:p>
    <w:p w14:paraId="79E7452A" w14:textId="77777777" w:rsidR="003638BF" w:rsidRDefault="003638BF" w:rsidP="001C015B">
      <w:pPr>
        <w:ind w:firstLine="720"/>
        <w:rPr>
          <w:rFonts w:ascii="Garamond" w:hAnsi="Garamond"/>
        </w:rPr>
      </w:pPr>
      <w:r>
        <w:rPr>
          <w:rFonts w:ascii="Garamond" w:hAnsi="Garamond"/>
        </w:rPr>
        <w:t xml:space="preserve">The information contained in these Guidelines </w:t>
      </w:r>
      <w:r w:rsidR="001C015B">
        <w:rPr>
          <w:rFonts w:ascii="Garamond" w:hAnsi="Garamond"/>
        </w:rPr>
        <w:t xml:space="preserve">is intended </w:t>
      </w:r>
      <w:r>
        <w:rPr>
          <w:rFonts w:ascii="Garamond" w:hAnsi="Garamond"/>
        </w:rPr>
        <w:t>as a</w:t>
      </w:r>
      <w:r w:rsidR="001C015B">
        <w:rPr>
          <w:rFonts w:ascii="Garamond" w:hAnsi="Garamond"/>
        </w:rPr>
        <w:t xml:space="preserve"> general guide.  It does not </w:t>
      </w:r>
      <w:r>
        <w:rPr>
          <w:rFonts w:ascii="Garamond" w:hAnsi="Garamond"/>
        </w:rPr>
        <w:t>provide complete detail</w:t>
      </w:r>
      <w:r w:rsidR="001C015B">
        <w:rPr>
          <w:rFonts w:ascii="Garamond" w:hAnsi="Garamond"/>
        </w:rPr>
        <w:t>s</w:t>
      </w:r>
      <w:r>
        <w:rPr>
          <w:rFonts w:ascii="Garamond" w:hAnsi="Garamond"/>
        </w:rPr>
        <w:t xml:space="preserve"> on all aspects of the </w:t>
      </w:r>
      <w:r>
        <w:rPr>
          <w:rFonts w:ascii="Garamond" w:hAnsi="Garamond" w:cs="Garamond-Bold"/>
          <w:bCs/>
        </w:rPr>
        <w:t>Act.  For detail</w:t>
      </w:r>
      <w:r w:rsidR="001C015B">
        <w:rPr>
          <w:rFonts w:ascii="Garamond" w:hAnsi="Garamond" w:cs="Garamond-Bold"/>
          <w:bCs/>
        </w:rPr>
        <w:t>ed information</w:t>
      </w:r>
      <w:r>
        <w:rPr>
          <w:rFonts w:ascii="Garamond" w:hAnsi="Garamond" w:cs="Garamond-Bold"/>
          <w:bCs/>
        </w:rPr>
        <w:t xml:space="preserve"> on all aspects of</w:t>
      </w:r>
      <w:r w:rsidR="005E4C6C">
        <w:rPr>
          <w:rFonts w:ascii="Garamond" w:hAnsi="Garamond" w:cs="Garamond-Bold"/>
          <w:bCs/>
        </w:rPr>
        <w:t xml:space="preserve"> the Act, readers are encouraged</w:t>
      </w:r>
      <w:r>
        <w:rPr>
          <w:rFonts w:ascii="Garamond" w:hAnsi="Garamond" w:cs="Garamond-Bold"/>
          <w:bCs/>
        </w:rPr>
        <w:t xml:space="preserve"> to review the provisions of M.G.L</w:t>
      </w:r>
      <w:proofErr w:type="gramStart"/>
      <w:r>
        <w:rPr>
          <w:rFonts w:ascii="Garamond" w:hAnsi="Garamond" w:cs="Garamond-Bold"/>
          <w:bCs/>
        </w:rPr>
        <w:t>.c</w:t>
      </w:r>
      <w:proofErr w:type="gramEnd"/>
      <w:r>
        <w:rPr>
          <w:rFonts w:ascii="Garamond" w:hAnsi="Garamond" w:cs="Garamond-Bold"/>
          <w:bCs/>
        </w:rPr>
        <w:t>.</w:t>
      </w:r>
      <w:r w:rsidRPr="001861B7">
        <w:rPr>
          <w:rFonts w:ascii="Garamond" w:hAnsi="Garamond" w:cs="Garamond-Bold"/>
          <w:bCs/>
        </w:rPr>
        <w:t>30</w:t>
      </w:r>
      <w:r>
        <w:rPr>
          <w:rFonts w:ascii="Garamond" w:hAnsi="Garamond" w:cs="Garamond-Bold"/>
          <w:bCs/>
        </w:rPr>
        <w:t xml:space="preserve">, </w:t>
      </w:r>
      <w:r w:rsidRPr="001861B7">
        <w:rPr>
          <w:rFonts w:ascii="Garamond" w:hAnsi="Garamond"/>
        </w:rPr>
        <w:t>§ 9A</w:t>
      </w:r>
      <w:r>
        <w:rPr>
          <w:rFonts w:ascii="Garamond" w:hAnsi="Garamond"/>
        </w:rPr>
        <w:t>.</w:t>
      </w:r>
    </w:p>
    <w:p w14:paraId="385544EF" w14:textId="77777777" w:rsidR="001C015B" w:rsidRDefault="001C015B" w:rsidP="001C015B">
      <w:pPr>
        <w:ind w:firstLine="720"/>
        <w:rPr>
          <w:rFonts w:ascii="Garamond" w:hAnsi="Garamond"/>
        </w:rPr>
      </w:pPr>
    </w:p>
    <w:p w14:paraId="3A425539" w14:textId="77777777" w:rsidR="001C015B" w:rsidRDefault="001C015B" w:rsidP="001C015B">
      <w:pPr>
        <w:ind w:firstLine="720"/>
        <w:rPr>
          <w:rFonts w:ascii="Garamond" w:hAnsi="Garamond"/>
        </w:rPr>
      </w:pPr>
    </w:p>
    <w:p w14:paraId="1DCC41BA" w14:textId="77777777" w:rsidR="001C015B" w:rsidRDefault="001C015B" w:rsidP="001C015B">
      <w:pPr>
        <w:jc w:val="center"/>
        <w:rPr>
          <w:rFonts w:ascii="Garamond" w:hAnsi="Garamond"/>
        </w:rPr>
      </w:pPr>
      <w:r w:rsidRPr="001C015B">
        <w:rPr>
          <w:rFonts w:ascii="Garamond" w:hAnsi="Garamond"/>
          <w:b/>
        </w:rPr>
        <w:t xml:space="preserve">LANGUAGE OF M.G.L.c. </w:t>
      </w:r>
      <w:r w:rsidRPr="001C015B">
        <w:rPr>
          <w:rFonts w:ascii="Garamond" w:hAnsi="Garamond" w:cs="Garamond-Bold"/>
          <w:b/>
          <w:bCs/>
        </w:rPr>
        <w:t xml:space="preserve">30, </w:t>
      </w:r>
      <w:r w:rsidRPr="001C015B">
        <w:rPr>
          <w:rFonts w:ascii="Garamond" w:hAnsi="Garamond"/>
          <w:b/>
        </w:rPr>
        <w:t>§ 9A</w:t>
      </w:r>
    </w:p>
    <w:p w14:paraId="40024421" w14:textId="77777777" w:rsidR="00F63562" w:rsidRPr="00F63562" w:rsidRDefault="00F63562" w:rsidP="00F63562">
      <w:pPr>
        <w:pStyle w:val="NormalWeb"/>
        <w:ind w:firstLine="720"/>
        <w:rPr>
          <w:rFonts w:ascii="Garamond" w:hAnsi="Garamond"/>
        </w:rPr>
      </w:pPr>
      <w:r w:rsidRPr="00F63562">
        <w:rPr>
          <w:rFonts w:ascii="Garamond" w:hAnsi="Garamond"/>
        </w:rPr>
        <w:t xml:space="preserve">A veteran, as defined in section one of chapter thirty-one, who holds an office or position in the service of the commonwealth not classified under said chapter thirty-one, other than an elective office, an appointive office for a fixed term or an office or position under section seven of this chapter, and has held such office or position for not less than three years, shall not be involuntarily separated from such office or position except subject to and in accordance with the provisions of sections forty-one to forty-five, inclusive, of said chapter thirty-one to the same extent as if said office or position were classified under said chapter. If the separation in the case of such unclassified offices or positions results from lack of work or lack of money, such a veteran shall not be separated from his office or position while similar offices or positions in the same group or grade, as defined in section forty-five of this chapter, exist unless all such offices or positions are held by such veterans, in which case such separation shall occur in the inverse order of their respective original appointments. </w:t>
      </w:r>
    </w:p>
    <w:p w14:paraId="31FC6B60" w14:textId="77777777" w:rsidR="00F63562" w:rsidRDefault="00F63562" w:rsidP="00B143ED">
      <w:pPr>
        <w:rPr>
          <w:rFonts w:ascii="Garamond" w:hAnsi="Garamond"/>
          <w:b/>
        </w:rPr>
      </w:pPr>
      <w:r>
        <w:rPr>
          <w:rFonts w:ascii="Garamond" w:hAnsi="Garamond"/>
          <w:b/>
          <w:u w:val="single"/>
        </w:rPr>
        <w:br w:type="page"/>
      </w:r>
      <w:r>
        <w:rPr>
          <w:rFonts w:ascii="Garamond" w:hAnsi="Garamond"/>
          <w:b/>
        </w:rPr>
        <w:lastRenderedPageBreak/>
        <w:t xml:space="preserve">WHO IS PROTECTED UNDER THE ACT: </w:t>
      </w:r>
    </w:p>
    <w:p w14:paraId="3BAFFCFE" w14:textId="77777777" w:rsidR="00F63562" w:rsidRDefault="00F63562" w:rsidP="00B143ED">
      <w:pPr>
        <w:rPr>
          <w:rFonts w:ascii="Garamond" w:hAnsi="Garamond"/>
          <w:b/>
        </w:rPr>
      </w:pPr>
    </w:p>
    <w:p w14:paraId="6989822C" w14:textId="77777777" w:rsidR="00F63562" w:rsidRDefault="00F63562" w:rsidP="00B143ED">
      <w:pPr>
        <w:rPr>
          <w:rFonts w:ascii="Garamond" w:hAnsi="Garamond"/>
        </w:rPr>
      </w:pPr>
      <w:r>
        <w:rPr>
          <w:rFonts w:ascii="Garamond" w:hAnsi="Garamond"/>
        </w:rPr>
        <w:tab/>
        <w:t>The Act applies to “</w:t>
      </w:r>
      <w:r w:rsidRPr="00AA3CDE">
        <w:rPr>
          <w:rFonts w:ascii="Garamond" w:hAnsi="Garamond"/>
          <w:b/>
          <w:i/>
        </w:rPr>
        <w:t>Veterans</w:t>
      </w:r>
      <w:r w:rsidR="00AA3CDE">
        <w:rPr>
          <w:rFonts w:ascii="Garamond" w:hAnsi="Garamond"/>
        </w:rPr>
        <w:t>.</w:t>
      </w:r>
      <w:r>
        <w:rPr>
          <w:rFonts w:ascii="Garamond" w:hAnsi="Garamond"/>
        </w:rPr>
        <w:t xml:space="preserve">” </w:t>
      </w:r>
      <w:r w:rsidR="00AA3CDE">
        <w:rPr>
          <w:rFonts w:ascii="Garamond" w:hAnsi="Garamond"/>
        </w:rPr>
        <w:t xml:space="preserve"> </w:t>
      </w:r>
      <w:r>
        <w:rPr>
          <w:rFonts w:ascii="Garamond" w:hAnsi="Garamond"/>
        </w:rPr>
        <w:t xml:space="preserve">For a definition of </w:t>
      </w:r>
      <w:r w:rsidR="00AA3CDE">
        <w:rPr>
          <w:rFonts w:ascii="Garamond" w:hAnsi="Garamond"/>
        </w:rPr>
        <w:t>“</w:t>
      </w:r>
      <w:r>
        <w:rPr>
          <w:rFonts w:ascii="Garamond" w:hAnsi="Garamond"/>
        </w:rPr>
        <w:t>Veteran,</w:t>
      </w:r>
      <w:r w:rsidR="00AA3CDE">
        <w:rPr>
          <w:rFonts w:ascii="Garamond" w:hAnsi="Garamond"/>
        </w:rPr>
        <w:t>”</w:t>
      </w:r>
      <w:r>
        <w:rPr>
          <w:rFonts w:ascii="Garamond" w:hAnsi="Garamond"/>
        </w:rPr>
        <w:t xml:space="preserve"> please see the definition section of the Guidelines. </w:t>
      </w:r>
    </w:p>
    <w:p w14:paraId="5B53D362" w14:textId="77777777" w:rsidR="00F63562" w:rsidRDefault="00F63562" w:rsidP="00B143ED">
      <w:pPr>
        <w:rPr>
          <w:rFonts w:ascii="Garamond" w:hAnsi="Garamond"/>
        </w:rPr>
      </w:pPr>
    </w:p>
    <w:p w14:paraId="39E14B0A" w14:textId="77777777" w:rsidR="00F63562" w:rsidRDefault="00F63562" w:rsidP="00B143ED">
      <w:pPr>
        <w:rPr>
          <w:rFonts w:ascii="Garamond" w:hAnsi="Garamond"/>
          <w:b/>
        </w:rPr>
      </w:pPr>
      <w:r>
        <w:rPr>
          <w:rFonts w:ascii="Garamond" w:hAnsi="Garamond"/>
          <w:b/>
        </w:rPr>
        <w:t>VETERANS COVERED BY THE ACT:</w:t>
      </w:r>
    </w:p>
    <w:p w14:paraId="1308A2D1" w14:textId="77777777" w:rsidR="00F63562" w:rsidRDefault="00F63562" w:rsidP="00B143ED">
      <w:pPr>
        <w:rPr>
          <w:rFonts w:ascii="Garamond" w:hAnsi="Garamond"/>
          <w:b/>
        </w:rPr>
      </w:pPr>
    </w:p>
    <w:p w14:paraId="4D5AD9C8" w14:textId="77777777" w:rsidR="00F63562" w:rsidRPr="00CB2EFF" w:rsidRDefault="00F63562" w:rsidP="00B143ED">
      <w:pPr>
        <w:rPr>
          <w:rFonts w:ascii="Garamond" w:hAnsi="Garamond"/>
        </w:rPr>
      </w:pPr>
      <w:r>
        <w:rPr>
          <w:rFonts w:ascii="Garamond" w:hAnsi="Garamond"/>
          <w:b/>
        </w:rPr>
        <w:tab/>
      </w:r>
      <w:r w:rsidRPr="00CB2EFF">
        <w:rPr>
          <w:rFonts w:ascii="Garamond" w:hAnsi="Garamond"/>
        </w:rPr>
        <w:t xml:space="preserve">The Act applies to veterans who hold </w:t>
      </w:r>
      <w:r w:rsidR="00DB1A3A" w:rsidRPr="00CB2EFF">
        <w:rPr>
          <w:rFonts w:ascii="Garamond" w:hAnsi="Garamond"/>
        </w:rPr>
        <w:t xml:space="preserve">specific </w:t>
      </w:r>
      <w:r w:rsidRPr="00CB2EFF">
        <w:rPr>
          <w:rFonts w:ascii="Garamond" w:hAnsi="Garamond"/>
          <w:b/>
          <w:i/>
        </w:rPr>
        <w:t>non-</w:t>
      </w:r>
      <w:r w:rsidR="007D2DB5">
        <w:rPr>
          <w:rFonts w:ascii="Garamond" w:hAnsi="Garamond"/>
          <w:b/>
          <w:i/>
        </w:rPr>
        <w:t xml:space="preserve">classified </w:t>
      </w:r>
      <w:r w:rsidRPr="00CB2EFF">
        <w:rPr>
          <w:rFonts w:ascii="Garamond" w:hAnsi="Garamond"/>
          <w:b/>
          <w:i/>
        </w:rPr>
        <w:t>positions</w:t>
      </w:r>
      <w:r w:rsidRPr="00CB2EFF">
        <w:rPr>
          <w:rFonts w:ascii="Garamond" w:hAnsi="Garamond"/>
        </w:rPr>
        <w:t xml:space="preserve"> or offices. </w:t>
      </w:r>
      <w:r w:rsidR="007253F1" w:rsidRPr="00CB2EFF">
        <w:rPr>
          <w:rFonts w:ascii="Garamond" w:hAnsi="Garamond"/>
          <w:u w:val="single"/>
        </w:rPr>
        <w:t xml:space="preserve">See </w:t>
      </w:r>
      <w:r w:rsidR="007D2DB5">
        <w:rPr>
          <w:rFonts w:ascii="Garamond" w:hAnsi="Garamond"/>
          <w:u w:val="single"/>
        </w:rPr>
        <w:t>M.</w:t>
      </w:r>
      <w:r w:rsidR="007253F1" w:rsidRPr="00CB2EFF">
        <w:rPr>
          <w:rFonts w:ascii="Garamond" w:hAnsi="Garamond"/>
          <w:u w:val="single"/>
        </w:rPr>
        <w:t xml:space="preserve">G.L.c. 31, § 48. </w:t>
      </w:r>
      <w:r w:rsidR="007253F1" w:rsidRPr="00CB2EFF">
        <w:rPr>
          <w:rFonts w:ascii="Garamond" w:hAnsi="Garamond"/>
        </w:rPr>
        <w:t xml:space="preserve"> </w:t>
      </w:r>
      <w:r w:rsidRPr="00CB2EFF">
        <w:rPr>
          <w:rFonts w:ascii="Garamond" w:hAnsi="Garamond"/>
        </w:rPr>
        <w:t xml:space="preserve">Please see the list attached to the Guidelines as </w:t>
      </w:r>
      <w:r w:rsidRPr="00CB2EFF">
        <w:rPr>
          <w:rFonts w:ascii="Garamond" w:hAnsi="Garamond"/>
          <w:u w:val="single"/>
        </w:rPr>
        <w:t>Exhibit A</w:t>
      </w:r>
      <w:r w:rsidRPr="00CB2EFF">
        <w:rPr>
          <w:rFonts w:ascii="Garamond" w:hAnsi="Garamond"/>
        </w:rPr>
        <w:t xml:space="preserve"> for a list of positions/offices protected </w:t>
      </w:r>
      <w:r w:rsidR="00AA3CDE" w:rsidRPr="00CB2EFF">
        <w:rPr>
          <w:rFonts w:ascii="Garamond" w:hAnsi="Garamond"/>
        </w:rPr>
        <w:t>under</w:t>
      </w:r>
      <w:r w:rsidRPr="00CB2EFF">
        <w:rPr>
          <w:rFonts w:ascii="Garamond" w:hAnsi="Garamond"/>
        </w:rPr>
        <w:t xml:space="preserve"> the Act.  </w:t>
      </w:r>
    </w:p>
    <w:p w14:paraId="3161ADCA" w14:textId="77777777" w:rsidR="00F63562" w:rsidRPr="00CB2EFF" w:rsidRDefault="00F63562" w:rsidP="00B143ED">
      <w:pPr>
        <w:rPr>
          <w:rFonts w:ascii="Garamond" w:hAnsi="Garamond"/>
        </w:rPr>
      </w:pPr>
      <w:r w:rsidRPr="00CB2EFF">
        <w:rPr>
          <w:rFonts w:ascii="Garamond" w:hAnsi="Garamond"/>
          <w:b/>
        </w:rPr>
        <w:tab/>
      </w:r>
    </w:p>
    <w:p w14:paraId="0B54F9F3" w14:textId="77777777" w:rsidR="00CB77CD" w:rsidRPr="00CB2EFF" w:rsidRDefault="00CB77CD" w:rsidP="00B143ED">
      <w:pPr>
        <w:rPr>
          <w:rFonts w:ascii="Garamond" w:hAnsi="Garamond"/>
          <w:b/>
        </w:rPr>
      </w:pPr>
      <w:r w:rsidRPr="00CB2EFF">
        <w:rPr>
          <w:rFonts w:ascii="Garamond" w:hAnsi="Garamond"/>
          <w:b/>
        </w:rPr>
        <w:t>DURATION OF SERVICE</w:t>
      </w:r>
      <w:r w:rsidR="002B63F0" w:rsidRPr="00CB2EFF">
        <w:rPr>
          <w:rFonts w:ascii="Garamond" w:hAnsi="Garamond"/>
          <w:b/>
        </w:rPr>
        <w:t xml:space="preserve"> REQUIREMENT</w:t>
      </w:r>
      <w:r w:rsidRPr="00CB2EFF">
        <w:rPr>
          <w:rFonts w:ascii="Garamond" w:hAnsi="Garamond"/>
          <w:b/>
        </w:rPr>
        <w:t>:</w:t>
      </w:r>
    </w:p>
    <w:p w14:paraId="56059167" w14:textId="77777777" w:rsidR="00CB77CD" w:rsidRPr="00CB2EFF" w:rsidRDefault="00CB77CD" w:rsidP="00B143ED">
      <w:pPr>
        <w:rPr>
          <w:rFonts w:ascii="Garamond" w:hAnsi="Garamond"/>
          <w:b/>
        </w:rPr>
      </w:pPr>
    </w:p>
    <w:p w14:paraId="2EA80A1D" w14:textId="77777777" w:rsidR="00CB77CD" w:rsidRPr="00CB2EFF" w:rsidRDefault="00CB77CD" w:rsidP="00B143ED">
      <w:pPr>
        <w:rPr>
          <w:rFonts w:ascii="Garamond" w:hAnsi="Garamond"/>
        </w:rPr>
      </w:pPr>
      <w:r w:rsidRPr="00CB2EFF">
        <w:rPr>
          <w:rFonts w:ascii="Garamond" w:hAnsi="Garamond"/>
        </w:rPr>
        <w:tab/>
      </w:r>
      <w:proofErr w:type="gramStart"/>
      <w:r w:rsidRPr="00CB2EFF">
        <w:rPr>
          <w:rFonts w:ascii="Garamond" w:hAnsi="Garamond"/>
        </w:rPr>
        <w:t>In order to</w:t>
      </w:r>
      <w:proofErr w:type="gramEnd"/>
      <w:r w:rsidRPr="00CB2EFF">
        <w:rPr>
          <w:rFonts w:ascii="Garamond" w:hAnsi="Garamond"/>
        </w:rPr>
        <w:t xml:space="preserve"> be protected </w:t>
      </w:r>
      <w:r w:rsidR="002B63F0" w:rsidRPr="00CB2EFF">
        <w:rPr>
          <w:rFonts w:ascii="Garamond" w:hAnsi="Garamond"/>
        </w:rPr>
        <w:t>under</w:t>
      </w:r>
      <w:r w:rsidRPr="00CB2EFF">
        <w:rPr>
          <w:rFonts w:ascii="Garamond" w:hAnsi="Garamond"/>
        </w:rPr>
        <w:t xml:space="preserve"> the Act, the Veteran must be in such position for not less than </w:t>
      </w:r>
      <w:r w:rsidRPr="00CB2EFF">
        <w:rPr>
          <w:rFonts w:ascii="Garamond" w:hAnsi="Garamond"/>
          <w:b/>
          <w:i/>
        </w:rPr>
        <w:t>three (3) years</w:t>
      </w:r>
      <w:r w:rsidRPr="00CB2EFF">
        <w:rPr>
          <w:rFonts w:ascii="Garamond" w:hAnsi="Garamond"/>
        </w:rPr>
        <w:t xml:space="preserve">.  </w:t>
      </w:r>
      <w:proofErr w:type="gramStart"/>
      <w:r w:rsidRPr="00CB2EFF">
        <w:rPr>
          <w:rFonts w:ascii="Garamond" w:hAnsi="Garamond"/>
        </w:rPr>
        <w:t>Thus</w:t>
      </w:r>
      <w:proofErr w:type="gramEnd"/>
      <w:r w:rsidRPr="00CB2EFF">
        <w:rPr>
          <w:rFonts w:ascii="Garamond" w:hAnsi="Garamond"/>
        </w:rPr>
        <w:t xml:space="preserve"> the Act does not apply to Veterans</w:t>
      </w:r>
      <w:r w:rsidR="007253F1" w:rsidRPr="00CB2EFF">
        <w:rPr>
          <w:rFonts w:ascii="Garamond" w:hAnsi="Garamond"/>
        </w:rPr>
        <w:t xml:space="preserve"> in protected positions/offices</w:t>
      </w:r>
      <w:r w:rsidRPr="00CB2EFF">
        <w:rPr>
          <w:rFonts w:ascii="Garamond" w:hAnsi="Garamond"/>
        </w:rPr>
        <w:t xml:space="preserve"> who have been in such positions/offices for less than three (3) years. </w:t>
      </w:r>
    </w:p>
    <w:p w14:paraId="7F98D160" w14:textId="77777777" w:rsidR="00002071" w:rsidRPr="00CB2EFF" w:rsidRDefault="00002071" w:rsidP="00B143ED">
      <w:pPr>
        <w:rPr>
          <w:rFonts w:ascii="Garamond" w:hAnsi="Garamond"/>
        </w:rPr>
      </w:pPr>
    </w:p>
    <w:p w14:paraId="24A53DB9" w14:textId="77777777" w:rsidR="00002071" w:rsidRPr="00CB2EFF" w:rsidRDefault="00002071" w:rsidP="00B143ED">
      <w:pPr>
        <w:rPr>
          <w:rFonts w:ascii="Garamond" w:hAnsi="Garamond"/>
          <w:b/>
        </w:rPr>
      </w:pPr>
      <w:r w:rsidRPr="00CB2EFF">
        <w:rPr>
          <w:rFonts w:ascii="Garamond" w:hAnsi="Garamond"/>
          <w:b/>
        </w:rPr>
        <w:t>PROTECTION UNDER THE ACT:</w:t>
      </w:r>
    </w:p>
    <w:p w14:paraId="723DA0C5" w14:textId="77777777" w:rsidR="00002071" w:rsidRPr="00CB2EFF" w:rsidRDefault="00002071" w:rsidP="00B143ED">
      <w:pPr>
        <w:rPr>
          <w:rFonts w:ascii="Garamond" w:hAnsi="Garamond"/>
          <w:b/>
        </w:rPr>
      </w:pPr>
    </w:p>
    <w:p w14:paraId="414D991B" w14:textId="77777777" w:rsidR="00002071" w:rsidRPr="00CB2EFF" w:rsidRDefault="00002071" w:rsidP="00B143ED">
      <w:pPr>
        <w:rPr>
          <w:rFonts w:ascii="Garamond" w:hAnsi="Garamond"/>
        </w:rPr>
      </w:pPr>
      <w:r w:rsidRPr="00CB2EFF">
        <w:rPr>
          <w:rFonts w:ascii="Garamond" w:hAnsi="Garamond"/>
        </w:rPr>
        <w:tab/>
        <w:t xml:space="preserve">Veterans who hold protected positions/offices listed in </w:t>
      </w:r>
      <w:r w:rsidRPr="00CB2EFF">
        <w:rPr>
          <w:rFonts w:ascii="Garamond" w:hAnsi="Garamond"/>
          <w:u w:val="single"/>
        </w:rPr>
        <w:t>Exhibit A</w:t>
      </w:r>
      <w:r w:rsidRPr="00CB2EFF">
        <w:rPr>
          <w:rFonts w:ascii="Garamond" w:hAnsi="Garamond"/>
        </w:rPr>
        <w:t xml:space="preserve"> for no less than three years </w:t>
      </w:r>
      <w:r w:rsidRPr="00CB2EFF">
        <w:rPr>
          <w:rFonts w:ascii="Garamond" w:hAnsi="Garamond"/>
          <w:b/>
          <w:i/>
        </w:rPr>
        <w:t xml:space="preserve">cannot be involuntarily separated from such positions/offices </w:t>
      </w:r>
      <w:r w:rsidR="004639A3" w:rsidRPr="00CB2EFF">
        <w:rPr>
          <w:rFonts w:ascii="Garamond" w:hAnsi="Garamond"/>
          <w:b/>
          <w:i/>
        </w:rPr>
        <w:t xml:space="preserve">without </w:t>
      </w:r>
      <w:proofErr w:type="gramStart"/>
      <w:r w:rsidR="004639A3" w:rsidRPr="00CB2EFF">
        <w:rPr>
          <w:rFonts w:ascii="Garamond" w:hAnsi="Garamond"/>
          <w:b/>
          <w:i/>
        </w:rPr>
        <w:t>a hearing</w:t>
      </w:r>
      <w:proofErr w:type="gramEnd"/>
      <w:r w:rsidR="004639A3" w:rsidRPr="00CB2EFF">
        <w:rPr>
          <w:rFonts w:ascii="Garamond" w:hAnsi="Garamond"/>
          <w:b/>
          <w:i/>
        </w:rPr>
        <w:t xml:space="preserve"> </w:t>
      </w:r>
      <w:r w:rsidR="004639A3" w:rsidRPr="00CB2EFF">
        <w:rPr>
          <w:rFonts w:ascii="Garamond" w:hAnsi="Garamond"/>
        </w:rPr>
        <w:t>before the appointing authority or a disinterested party</w:t>
      </w:r>
      <w:r w:rsidRPr="00CB2EFF">
        <w:rPr>
          <w:rFonts w:ascii="Garamond" w:hAnsi="Garamond"/>
        </w:rPr>
        <w:t xml:space="preserve">. </w:t>
      </w:r>
      <w:r w:rsidR="00C70854">
        <w:rPr>
          <w:rFonts w:ascii="Garamond" w:hAnsi="Garamond"/>
        </w:rPr>
        <w:t xml:space="preserve"> The appointing authority must have just cause for the separation.</w:t>
      </w:r>
    </w:p>
    <w:p w14:paraId="58F77E3E" w14:textId="77777777" w:rsidR="00002071" w:rsidRPr="00CB2EFF" w:rsidRDefault="00002071" w:rsidP="00B143ED">
      <w:pPr>
        <w:rPr>
          <w:rFonts w:ascii="Garamond" w:hAnsi="Garamond"/>
        </w:rPr>
      </w:pPr>
    </w:p>
    <w:p w14:paraId="29B2FDC5" w14:textId="77777777" w:rsidR="00A15785" w:rsidRPr="00CB2EFF" w:rsidRDefault="00A15785" w:rsidP="00B143ED">
      <w:pPr>
        <w:rPr>
          <w:rFonts w:ascii="Garamond" w:hAnsi="Garamond"/>
          <w:b/>
        </w:rPr>
      </w:pPr>
      <w:r w:rsidRPr="00CB2EFF">
        <w:rPr>
          <w:rFonts w:ascii="Garamond" w:hAnsi="Garamond"/>
          <w:b/>
        </w:rPr>
        <w:t xml:space="preserve">PROCEDURES REQUIRED IN CASE OF SEPARATION FOR LACK OF WORK OR MONEY: </w:t>
      </w:r>
    </w:p>
    <w:p w14:paraId="52BE41F6" w14:textId="77777777" w:rsidR="00A15785" w:rsidRPr="00CB2EFF" w:rsidRDefault="00A15785" w:rsidP="00B143ED">
      <w:pPr>
        <w:rPr>
          <w:rFonts w:ascii="Garamond" w:hAnsi="Garamond"/>
        </w:rPr>
      </w:pPr>
    </w:p>
    <w:p w14:paraId="67F55A93" w14:textId="77777777" w:rsidR="00BE4D7D" w:rsidRPr="00CB2EFF" w:rsidRDefault="00A15785" w:rsidP="00AA3CDE">
      <w:pPr>
        <w:ind w:firstLine="720"/>
        <w:rPr>
          <w:rFonts w:ascii="Garamond" w:hAnsi="Garamond"/>
        </w:rPr>
      </w:pPr>
      <w:r w:rsidRPr="00CB2EFF">
        <w:rPr>
          <w:rFonts w:ascii="Garamond" w:hAnsi="Garamond"/>
        </w:rPr>
        <w:t>If the separation results fro</w:t>
      </w:r>
      <w:r w:rsidR="00BE4D7D" w:rsidRPr="00CB2EFF">
        <w:rPr>
          <w:rFonts w:ascii="Garamond" w:hAnsi="Garamond"/>
        </w:rPr>
        <w:t>m lack of work or lack of money:</w:t>
      </w:r>
    </w:p>
    <w:p w14:paraId="4AA09BEF" w14:textId="77777777" w:rsidR="00BE4D7D" w:rsidRPr="00CB2EFF" w:rsidRDefault="007A3721" w:rsidP="00AA3CDE">
      <w:pPr>
        <w:numPr>
          <w:ilvl w:val="0"/>
          <w:numId w:val="6"/>
        </w:numPr>
        <w:ind w:left="1440"/>
        <w:rPr>
          <w:rFonts w:ascii="Garamond" w:hAnsi="Garamond"/>
        </w:rPr>
      </w:pPr>
      <w:r w:rsidRPr="00CB2EFF">
        <w:rPr>
          <w:rFonts w:ascii="Garamond" w:hAnsi="Garamond"/>
        </w:rPr>
        <w:t xml:space="preserve">Such </w:t>
      </w:r>
      <w:r w:rsidR="00A15785" w:rsidRPr="00CB2EFF">
        <w:rPr>
          <w:rFonts w:ascii="Garamond" w:hAnsi="Garamond"/>
        </w:rPr>
        <w:t>veteran</w:t>
      </w:r>
      <w:r w:rsidRPr="00CB2EFF">
        <w:rPr>
          <w:rFonts w:ascii="Garamond" w:hAnsi="Garamond"/>
        </w:rPr>
        <w:t>s</w:t>
      </w:r>
      <w:r w:rsidR="00A15785" w:rsidRPr="00CB2EFF">
        <w:rPr>
          <w:rFonts w:ascii="Garamond" w:hAnsi="Garamond"/>
        </w:rPr>
        <w:t xml:space="preserve"> </w:t>
      </w:r>
      <w:r w:rsidR="004639A3" w:rsidRPr="00CB2EFF">
        <w:rPr>
          <w:rFonts w:ascii="Garamond" w:hAnsi="Garamond"/>
        </w:rPr>
        <w:t>can</w:t>
      </w:r>
      <w:r w:rsidR="00A15785" w:rsidRPr="00CB2EFF">
        <w:rPr>
          <w:rFonts w:ascii="Garamond" w:hAnsi="Garamond"/>
        </w:rPr>
        <w:t>not be separated from his</w:t>
      </w:r>
      <w:r w:rsidRPr="00CB2EFF">
        <w:rPr>
          <w:rFonts w:ascii="Garamond" w:hAnsi="Garamond"/>
        </w:rPr>
        <w:t>/her</w:t>
      </w:r>
      <w:r w:rsidR="00A15785" w:rsidRPr="00CB2EFF">
        <w:rPr>
          <w:rFonts w:ascii="Garamond" w:hAnsi="Garamond"/>
        </w:rPr>
        <w:t xml:space="preserve"> office or position while similar offices or positi</w:t>
      </w:r>
      <w:r w:rsidR="00BE4D7D" w:rsidRPr="00CB2EFF">
        <w:rPr>
          <w:rFonts w:ascii="Garamond" w:hAnsi="Garamond"/>
        </w:rPr>
        <w:t xml:space="preserve">ons in the same group or grade </w:t>
      </w:r>
      <w:r w:rsidR="00A15785" w:rsidRPr="00CB2EFF">
        <w:rPr>
          <w:rFonts w:ascii="Garamond" w:hAnsi="Garamond"/>
        </w:rPr>
        <w:t>exist</w:t>
      </w:r>
      <w:r w:rsidR="00BE4D7D" w:rsidRPr="00CB2EFF">
        <w:rPr>
          <w:rFonts w:ascii="Garamond" w:hAnsi="Garamond"/>
        </w:rPr>
        <w:t xml:space="preserve">, </w:t>
      </w:r>
    </w:p>
    <w:p w14:paraId="0E8AF432" w14:textId="77777777" w:rsidR="00A15785" w:rsidRPr="00CB2EFF" w:rsidRDefault="00BE4D7D" w:rsidP="007A3721">
      <w:pPr>
        <w:ind w:left="720" w:firstLine="720"/>
        <w:rPr>
          <w:rFonts w:ascii="Garamond" w:hAnsi="Garamond"/>
        </w:rPr>
      </w:pPr>
      <w:r w:rsidRPr="00CB2EFF">
        <w:rPr>
          <w:rFonts w:ascii="Garamond" w:hAnsi="Garamond"/>
        </w:rPr>
        <w:t>unless all such offices or positions are held by other protected veterans</w:t>
      </w:r>
    </w:p>
    <w:p w14:paraId="03C6E9E0" w14:textId="77777777" w:rsidR="00BE4D7D" w:rsidRPr="00CB2EFF" w:rsidRDefault="00BE4D7D" w:rsidP="007A3721">
      <w:pPr>
        <w:ind w:left="1440"/>
        <w:rPr>
          <w:rFonts w:ascii="Garamond" w:hAnsi="Garamond"/>
        </w:rPr>
      </w:pPr>
      <w:r w:rsidRPr="00CB2EFF">
        <w:rPr>
          <w:rFonts w:ascii="Garamond" w:hAnsi="Garamond"/>
        </w:rPr>
        <w:t xml:space="preserve">in which case such separation must be made in inverse order of seniority. </w:t>
      </w:r>
    </w:p>
    <w:p w14:paraId="0106E356" w14:textId="77777777" w:rsidR="00BE4D7D" w:rsidRPr="00CB2EFF" w:rsidRDefault="00BE4D7D" w:rsidP="00AA3CDE">
      <w:pPr>
        <w:ind w:left="360"/>
        <w:rPr>
          <w:rFonts w:ascii="Garamond" w:hAnsi="Garamond"/>
        </w:rPr>
      </w:pPr>
    </w:p>
    <w:p w14:paraId="004C0D1F" w14:textId="77777777" w:rsidR="00A15785" w:rsidRPr="00CB2EFF" w:rsidRDefault="00BE4D7D" w:rsidP="007A3721">
      <w:pPr>
        <w:ind w:left="360" w:firstLine="360"/>
        <w:rPr>
          <w:rFonts w:ascii="Garamond" w:hAnsi="Garamond"/>
        </w:rPr>
      </w:pPr>
      <w:r w:rsidRPr="00CB2EFF">
        <w:rPr>
          <w:rFonts w:ascii="Garamond" w:hAnsi="Garamond"/>
        </w:rPr>
        <w:t xml:space="preserve">In </w:t>
      </w:r>
      <w:r w:rsidR="00C96976" w:rsidRPr="00CB2EFF">
        <w:rPr>
          <w:rFonts w:ascii="Garamond" w:hAnsi="Garamond"/>
        </w:rPr>
        <w:t xml:space="preserve">case of </w:t>
      </w:r>
      <w:r w:rsidR="00A15785" w:rsidRPr="00CB2EFF">
        <w:rPr>
          <w:rFonts w:ascii="Garamond" w:hAnsi="Garamond"/>
        </w:rPr>
        <w:t>separation because of lack of work, money, or abolition of position:</w:t>
      </w:r>
    </w:p>
    <w:p w14:paraId="00A01E8E" w14:textId="77777777" w:rsidR="00CB77CD" w:rsidRPr="00CB2EFF" w:rsidRDefault="00C96976" w:rsidP="007A3721">
      <w:pPr>
        <w:numPr>
          <w:ilvl w:val="0"/>
          <w:numId w:val="6"/>
        </w:numPr>
        <w:ind w:left="1440"/>
        <w:rPr>
          <w:rFonts w:ascii="Garamond" w:hAnsi="Garamond"/>
          <w:b/>
          <w:u w:val="single"/>
        </w:rPr>
      </w:pPr>
      <w:r w:rsidRPr="00CB2EFF">
        <w:rPr>
          <w:rFonts w:ascii="Garamond" w:hAnsi="Garamond"/>
        </w:rPr>
        <w:t>Appointing authority</w:t>
      </w:r>
      <w:r w:rsidR="00A15785" w:rsidRPr="00CB2EFF">
        <w:rPr>
          <w:rFonts w:ascii="Garamond" w:hAnsi="Garamond"/>
        </w:rPr>
        <w:t xml:space="preserve"> must provide the </w:t>
      </w:r>
      <w:proofErr w:type="gramStart"/>
      <w:r w:rsidR="00A15785" w:rsidRPr="00CB2EFF">
        <w:rPr>
          <w:rFonts w:ascii="Garamond" w:hAnsi="Garamond"/>
        </w:rPr>
        <w:t>veteran</w:t>
      </w:r>
      <w:proofErr w:type="gramEnd"/>
      <w:r w:rsidR="00A15785" w:rsidRPr="00CB2EFF">
        <w:rPr>
          <w:rFonts w:ascii="Garamond" w:hAnsi="Garamond"/>
        </w:rPr>
        <w:t xml:space="preserve"> </w:t>
      </w:r>
      <w:r w:rsidRPr="00CB2EFF">
        <w:rPr>
          <w:rFonts w:ascii="Garamond" w:hAnsi="Garamond"/>
        </w:rPr>
        <w:t xml:space="preserve">a </w:t>
      </w:r>
      <w:r w:rsidR="00A15785" w:rsidRPr="00CB2EFF">
        <w:rPr>
          <w:rFonts w:ascii="Garamond" w:hAnsi="Garamond"/>
        </w:rPr>
        <w:t xml:space="preserve">notice of hearing at least 7 </w:t>
      </w:r>
      <w:r w:rsidR="007A3721" w:rsidRPr="00CB2EFF">
        <w:rPr>
          <w:rFonts w:ascii="Garamond" w:hAnsi="Garamond"/>
        </w:rPr>
        <w:t xml:space="preserve">calendar </w:t>
      </w:r>
      <w:r w:rsidR="00A15785" w:rsidRPr="00CB2EFF">
        <w:rPr>
          <w:rFonts w:ascii="Garamond" w:hAnsi="Garamond"/>
        </w:rPr>
        <w:t xml:space="preserve">days prior to the </w:t>
      </w:r>
      <w:proofErr w:type="gramStart"/>
      <w:r w:rsidR="00A15785" w:rsidRPr="00CB2EFF">
        <w:rPr>
          <w:rFonts w:ascii="Garamond" w:hAnsi="Garamond"/>
        </w:rPr>
        <w:t>hearing</w:t>
      </w:r>
      <w:r w:rsidRPr="00CB2EFF">
        <w:rPr>
          <w:rFonts w:ascii="Garamond" w:hAnsi="Garamond"/>
        </w:rPr>
        <w:t>, and</w:t>
      </w:r>
      <w:proofErr w:type="gramEnd"/>
      <w:r w:rsidRPr="00CB2EFF">
        <w:rPr>
          <w:rFonts w:ascii="Garamond" w:hAnsi="Garamond"/>
        </w:rPr>
        <w:t xml:space="preserve"> i</w:t>
      </w:r>
      <w:r w:rsidR="00A15785" w:rsidRPr="00CB2EFF">
        <w:rPr>
          <w:rFonts w:ascii="Garamond" w:hAnsi="Garamond"/>
        </w:rPr>
        <w:t xml:space="preserve">nclude in </w:t>
      </w:r>
      <w:r w:rsidRPr="00CB2EFF">
        <w:rPr>
          <w:rFonts w:ascii="Garamond" w:hAnsi="Garamond"/>
        </w:rPr>
        <w:t>the notice</w:t>
      </w:r>
      <w:r w:rsidR="00A15785" w:rsidRPr="00CB2EFF">
        <w:rPr>
          <w:rFonts w:ascii="Garamond" w:hAnsi="Garamond"/>
        </w:rPr>
        <w:t xml:space="preserve"> a copy of Section</w:t>
      </w:r>
      <w:r w:rsidRPr="00CB2EFF">
        <w:rPr>
          <w:rFonts w:ascii="Garamond" w:hAnsi="Garamond"/>
        </w:rPr>
        <w:t>s</w:t>
      </w:r>
      <w:r w:rsidR="00A15785" w:rsidRPr="00CB2EFF">
        <w:rPr>
          <w:rFonts w:ascii="Garamond" w:hAnsi="Garamond"/>
        </w:rPr>
        <w:t xml:space="preserve"> 39</w:t>
      </w:r>
      <w:r w:rsidRPr="00CB2EFF">
        <w:rPr>
          <w:rFonts w:ascii="Garamond" w:hAnsi="Garamond"/>
        </w:rPr>
        <w:t xml:space="preserve"> </w:t>
      </w:r>
      <w:r w:rsidR="00A15785" w:rsidRPr="00CB2EFF">
        <w:rPr>
          <w:rFonts w:ascii="Garamond" w:hAnsi="Garamond"/>
        </w:rPr>
        <w:t>-</w:t>
      </w:r>
      <w:r w:rsidRPr="00CB2EFF">
        <w:rPr>
          <w:rFonts w:ascii="Garamond" w:hAnsi="Garamond"/>
        </w:rPr>
        <w:t xml:space="preserve"> </w:t>
      </w:r>
      <w:r w:rsidR="00A15785" w:rsidRPr="00CB2EFF">
        <w:rPr>
          <w:rFonts w:ascii="Garamond" w:hAnsi="Garamond"/>
        </w:rPr>
        <w:t>40</w:t>
      </w:r>
      <w:r w:rsidRPr="00CB2EFF">
        <w:rPr>
          <w:rFonts w:ascii="Garamond" w:hAnsi="Garamond"/>
        </w:rPr>
        <w:t xml:space="preserve"> of M.G.L.c. 31</w:t>
      </w:r>
      <w:r w:rsidR="00A15785" w:rsidRPr="00CB2EFF">
        <w:rPr>
          <w:rFonts w:ascii="Garamond" w:hAnsi="Garamond"/>
        </w:rPr>
        <w:t>.</w:t>
      </w:r>
    </w:p>
    <w:p w14:paraId="19C0E6B8" w14:textId="77777777" w:rsidR="007253F1" w:rsidRPr="00CB2EFF" w:rsidRDefault="007253F1" w:rsidP="007253F1">
      <w:pPr>
        <w:rPr>
          <w:rFonts w:ascii="Garamond" w:hAnsi="Garamond"/>
        </w:rPr>
      </w:pPr>
    </w:p>
    <w:p w14:paraId="185FE69A" w14:textId="77777777" w:rsidR="007253F1" w:rsidRPr="00CB2EFF" w:rsidRDefault="007253F1" w:rsidP="007253F1">
      <w:pPr>
        <w:rPr>
          <w:rFonts w:ascii="Garamond" w:hAnsi="Garamond"/>
        </w:rPr>
      </w:pPr>
    </w:p>
    <w:p w14:paraId="321E68E7" w14:textId="77777777" w:rsidR="007253F1" w:rsidRPr="00CB2EFF" w:rsidRDefault="007253F1" w:rsidP="007253F1">
      <w:pPr>
        <w:rPr>
          <w:rFonts w:ascii="Garamond" w:hAnsi="Garamond"/>
          <w:b/>
        </w:rPr>
      </w:pPr>
      <w:r w:rsidRPr="00CB2EFF">
        <w:rPr>
          <w:rFonts w:ascii="Garamond" w:hAnsi="Garamond"/>
          <w:b/>
        </w:rPr>
        <w:t>PROCEDURES REQUIRED IN CASE OF AN INVOLUNTARY SEPARATION:</w:t>
      </w:r>
    </w:p>
    <w:p w14:paraId="53AB4048" w14:textId="77777777" w:rsidR="007253F1" w:rsidRPr="00CB2EFF" w:rsidRDefault="007253F1" w:rsidP="007253F1">
      <w:pPr>
        <w:rPr>
          <w:rFonts w:ascii="Garamond" w:hAnsi="Garamond"/>
        </w:rPr>
      </w:pPr>
    </w:p>
    <w:p w14:paraId="6BCDE63E" w14:textId="77777777" w:rsidR="007253F1" w:rsidRPr="00CB2EFF" w:rsidRDefault="007253F1" w:rsidP="007253F1">
      <w:pPr>
        <w:ind w:firstLine="720"/>
        <w:rPr>
          <w:rFonts w:ascii="Garamond" w:hAnsi="Garamond"/>
        </w:rPr>
      </w:pPr>
      <w:r w:rsidRPr="00CB2EFF">
        <w:rPr>
          <w:rFonts w:ascii="Garamond" w:hAnsi="Garamond"/>
        </w:rPr>
        <w:t xml:space="preserve">In case of an involuntary separation, the employer needs to follow </w:t>
      </w:r>
      <w:proofErr w:type="gramStart"/>
      <w:r w:rsidRPr="00CB2EFF">
        <w:rPr>
          <w:rFonts w:ascii="Garamond" w:hAnsi="Garamond"/>
        </w:rPr>
        <w:t>all of</w:t>
      </w:r>
      <w:proofErr w:type="gramEnd"/>
      <w:r w:rsidRPr="00CB2EFF">
        <w:rPr>
          <w:rFonts w:ascii="Garamond" w:hAnsi="Garamond"/>
        </w:rPr>
        <w:t xml:space="preserve"> the following procedures:</w:t>
      </w:r>
    </w:p>
    <w:p w14:paraId="5506BB6E" w14:textId="77777777" w:rsidR="007253F1" w:rsidRPr="00CB2EFF" w:rsidRDefault="007253F1" w:rsidP="007253F1">
      <w:pPr>
        <w:numPr>
          <w:ilvl w:val="1"/>
          <w:numId w:val="4"/>
        </w:numPr>
        <w:rPr>
          <w:rFonts w:ascii="Garamond" w:hAnsi="Garamond"/>
        </w:rPr>
      </w:pPr>
      <w:r w:rsidRPr="00CB2EFF">
        <w:rPr>
          <w:rFonts w:ascii="Garamond" w:hAnsi="Garamond"/>
        </w:rPr>
        <w:t xml:space="preserve">Give the veteran a written notice: </w:t>
      </w:r>
    </w:p>
    <w:p w14:paraId="7E513BCE" w14:textId="77777777" w:rsidR="007253F1" w:rsidRPr="00CB2EFF" w:rsidRDefault="007253F1" w:rsidP="007253F1">
      <w:pPr>
        <w:numPr>
          <w:ilvl w:val="2"/>
          <w:numId w:val="4"/>
        </w:numPr>
        <w:rPr>
          <w:rFonts w:ascii="Garamond" w:hAnsi="Garamond"/>
        </w:rPr>
      </w:pPr>
      <w:r w:rsidRPr="00CB2EFF">
        <w:rPr>
          <w:rFonts w:ascii="Garamond" w:hAnsi="Garamond"/>
        </w:rPr>
        <w:t>include the action contemplated, and</w:t>
      </w:r>
    </w:p>
    <w:p w14:paraId="0D704DAB" w14:textId="77777777" w:rsidR="007253F1" w:rsidRPr="00CB2EFF" w:rsidRDefault="007253F1" w:rsidP="007253F1">
      <w:pPr>
        <w:numPr>
          <w:ilvl w:val="2"/>
          <w:numId w:val="4"/>
        </w:numPr>
        <w:rPr>
          <w:rFonts w:ascii="Garamond" w:hAnsi="Garamond"/>
        </w:rPr>
      </w:pPr>
      <w:r w:rsidRPr="00CB2EFF">
        <w:rPr>
          <w:rFonts w:ascii="Garamond" w:hAnsi="Garamond"/>
        </w:rPr>
        <w:t>the specific reasons for such action.</w:t>
      </w:r>
    </w:p>
    <w:p w14:paraId="2860481A" w14:textId="77777777" w:rsidR="007253F1" w:rsidRPr="00CB2EFF" w:rsidRDefault="007253F1" w:rsidP="007253F1">
      <w:pPr>
        <w:numPr>
          <w:ilvl w:val="1"/>
          <w:numId w:val="4"/>
        </w:numPr>
        <w:rPr>
          <w:rFonts w:ascii="Garamond" w:hAnsi="Garamond"/>
        </w:rPr>
      </w:pPr>
      <w:r w:rsidRPr="00CB2EFF">
        <w:rPr>
          <w:rFonts w:ascii="Garamond" w:hAnsi="Garamond"/>
        </w:rPr>
        <w:t>Give the veteran a copy of sections 41 - 45 of M.G.L.c. 31, and</w:t>
      </w:r>
    </w:p>
    <w:p w14:paraId="10BAE304" w14:textId="77777777" w:rsidR="007253F1" w:rsidRPr="00CB2EFF" w:rsidRDefault="007253F1" w:rsidP="007253F1">
      <w:pPr>
        <w:numPr>
          <w:ilvl w:val="1"/>
          <w:numId w:val="4"/>
        </w:numPr>
        <w:rPr>
          <w:rFonts w:ascii="Garamond" w:hAnsi="Garamond"/>
        </w:rPr>
      </w:pPr>
      <w:r w:rsidRPr="00CB2EFF">
        <w:rPr>
          <w:rFonts w:ascii="Garamond" w:hAnsi="Garamond"/>
        </w:rPr>
        <w:lastRenderedPageBreak/>
        <w:t xml:space="preserve">Hold a full hearing concerning reasons for involuntary dismissal: </w:t>
      </w:r>
    </w:p>
    <w:p w14:paraId="6CA3D48F" w14:textId="77777777" w:rsidR="007253F1" w:rsidRPr="00CB2EFF" w:rsidRDefault="007253F1" w:rsidP="007253F1">
      <w:pPr>
        <w:numPr>
          <w:ilvl w:val="2"/>
          <w:numId w:val="4"/>
        </w:numPr>
        <w:rPr>
          <w:rFonts w:ascii="Garamond" w:hAnsi="Garamond"/>
        </w:rPr>
      </w:pPr>
      <w:r w:rsidRPr="00CB2EFF">
        <w:rPr>
          <w:rFonts w:ascii="Garamond" w:hAnsi="Garamond"/>
        </w:rPr>
        <w:t>hearing must be before the appointing authority or a disinterested party if the veteran or appointing authority so request</w:t>
      </w:r>
      <w:r w:rsidR="007A3721" w:rsidRPr="00CB2EFF">
        <w:rPr>
          <w:rFonts w:ascii="Garamond" w:hAnsi="Garamond"/>
        </w:rPr>
        <w:t>s</w:t>
      </w:r>
      <w:r w:rsidRPr="00CB2EFF">
        <w:rPr>
          <w:rFonts w:ascii="Garamond" w:hAnsi="Garamond"/>
        </w:rPr>
        <w:t>.</w:t>
      </w:r>
    </w:p>
    <w:p w14:paraId="641E766C" w14:textId="77777777" w:rsidR="007253F1" w:rsidRPr="00CB2EFF" w:rsidRDefault="007253F1" w:rsidP="007253F1">
      <w:pPr>
        <w:ind w:left="1800"/>
        <w:rPr>
          <w:rFonts w:ascii="Garamond" w:hAnsi="Garamond"/>
        </w:rPr>
      </w:pPr>
    </w:p>
    <w:p w14:paraId="7FB1EC77" w14:textId="77777777" w:rsidR="007253F1" w:rsidRPr="00CB2EFF" w:rsidRDefault="007253F1" w:rsidP="007253F1">
      <w:pPr>
        <w:rPr>
          <w:rFonts w:ascii="Garamond" w:hAnsi="Garamond"/>
        </w:rPr>
      </w:pPr>
      <w:r w:rsidRPr="00CB2EFF">
        <w:rPr>
          <w:rFonts w:ascii="Garamond" w:hAnsi="Garamond"/>
        </w:rPr>
        <w:t xml:space="preserve">Procedures concerning the hearing are set forth in sections 41 – 45 of M.G.L.c. 31.  Appointing authorities are required to follow the procedures set forth in those sections when conducting a hearing. </w:t>
      </w:r>
    </w:p>
    <w:p w14:paraId="67C98C43" w14:textId="77777777" w:rsidR="007253F1" w:rsidRPr="00CB2EFF" w:rsidRDefault="007253F1" w:rsidP="007253F1">
      <w:pPr>
        <w:rPr>
          <w:rFonts w:ascii="Garamond" w:hAnsi="Garamond"/>
          <w:b/>
          <w:u w:val="single"/>
        </w:rPr>
      </w:pPr>
    </w:p>
    <w:p w14:paraId="3A16CA12" w14:textId="77777777" w:rsidR="00CB77CD" w:rsidRPr="00CB2EFF" w:rsidRDefault="00CB77CD" w:rsidP="00B143ED">
      <w:pPr>
        <w:rPr>
          <w:rFonts w:ascii="Garamond" w:hAnsi="Garamond"/>
          <w:b/>
          <w:u w:val="single"/>
        </w:rPr>
      </w:pPr>
    </w:p>
    <w:p w14:paraId="1752E551" w14:textId="77777777" w:rsidR="00CB77CD" w:rsidRPr="00CB2EFF" w:rsidRDefault="00CB77CD" w:rsidP="00B143ED">
      <w:pPr>
        <w:rPr>
          <w:rFonts w:ascii="Garamond" w:hAnsi="Garamond"/>
          <w:b/>
          <w:u w:val="single"/>
        </w:rPr>
      </w:pPr>
    </w:p>
    <w:p w14:paraId="6234008F" w14:textId="77777777" w:rsidR="00C96976" w:rsidRPr="00CB2EFF" w:rsidRDefault="00C96976" w:rsidP="00B143ED">
      <w:pPr>
        <w:rPr>
          <w:rFonts w:ascii="Garamond" w:hAnsi="Garamond"/>
          <w:b/>
          <w:u w:val="single"/>
        </w:rPr>
      </w:pPr>
    </w:p>
    <w:p w14:paraId="00064745" w14:textId="77777777" w:rsidR="00C96976" w:rsidRPr="00CB2EFF" w:rsidRDefault="00C96976" w:rsidP="00B143ED">
      <w:pPr>
        <w:rPr>
          <w:rFonts w:ascii="Garamond" w:hAnsi="Garamond"/>
          <w:b/>
        </w:rPr>
      </w:pPr>
      <w:r w:rsidRPr="00CB2EFF">
        <w:rPr>
          <w:rFonts w:ascii="Garamond" w:hAnsi="Garamond"/>
          <w:b/>
          <w:u w:val="single"/>
        </w:rPr>
        <w:br w:type="page"/>
      </w:r>
      <w:r w:rsidRPr="00CB2EFF">
        <w:rPr>
          <w:rFonts w:ascii="Garamond" w:hAnsi="Garamond"/>
          <w:b/>
        </w:rPr>
        <w:lastRenderedPageBreak/>
        <w:t xml:space="preserve">DEFINITIONS: </w:t>
      </w:r>
    </w:p>
    <w:p w14:paraId="0BE8C2F7" w14:textId="77777777" w:rsidR="00B143ED" w:rsidRPr="00CB2EFF" w:rsidRDefault="00B143ED" w:rsidP="00B143ED">
      <w:pPr>
        <w:rPr>
          <w:rFonts w:ascii="Garamond" w:hAnsi="Garamond"/>
          <w:sz w:val="36"/>
          <w:szCs w:val="36"/>
        </w:rPr>
      </w:pPr>
    </w:p>
    <w:p w14:paraId="7B8C273D" w14:textId="77777777" w:rsidR="00983AF8" w:rsidRPr="00CB2EFF" w:rsidRDefault="00B143ED" w:rsidP="00B143ED">
      <w:pPr>
        <w:rPr>
          <w:rFonts w:ascii="Garamond" w:hAnsi="Garamond"/>
          <w:b/>
        </w:rPr>
      </w:pPr>
      <w:r w:rsidRPr="00CB2EFF">
        <w:rPr>
          <w:rFonts w:ascii="Garamond" w:hAnsi="Garamond"/>
          <w:b/>
        </w:rPr>
        <w:t>A veteran, as defined in section one of chapter thirty-one</w:t>
      </w:r>
      <w:r w:rsidR="00C96976" w:rsidRPr="00CB2EFF">
        <w:rPr>
          <w:rFonts w:ascii="Garamond" w:hAnsi="Garamond"/>
          <w:b/>
        </w:rPr>
        <w:t>:</w:t>
      </w:r>
    </w:p>
    <w:p w14:paraId="4ACA4EC8" w14:textId="77777777" w:rsidR="00C96976" w:rsidRPr="00CB2EFF" w:rsidRDefault="00C96976" w:rsidP="00C96976">
      <w:pPr>
        <w:pStyle w:val="NormalWeb"/>
        <w:spacing w:before="0" w:beforeAutospacing="0" w:after="0" w:afterAutospacing="0"/>
        <w:rPr>
          <w:rFonts w:ascii="Garamond" w:hAnsi="Garamond"/>
        </w:rPr>
      </w:pPr>
      <w:r w:rsidRPr="00CB2EFF">
        <w:rPr>
          <w:rFonts w:ascii="Garamond" w:hAnsi="Garamond"/>
        </w:rPr>
        <w:t>A</w:t>
      </w:r>
      <w:r w:rsidR="00983AF8" w:rsidRPr="00CB2EFF">
        <w:rPr>
          <w:rFonts w:ascii="Garamond" w:hAnsi="Garamond"/>
        </w:rPr>
        <w:t xml:space="preserve">ny person: </w:t>
      </w:r>
      <w:r w:rsidRPr="00CB2EFF">
        <w:rPr>
          <w:rFonts w:ascii="Garamond" w:hAnsi="Garamond"/>
        </w:rPr>
        <w:t>(</w:t>
      </w:r>
      <w:r w:rsidR="00983AF8" w:rsidRPr="00CB2EFF">
        <w:rPr>
          <w:rFonts w:ascii="Garamond" w:hAnsi="Garamond"/>
        </w:rPr>
        <w:t>a) whose last discharge or release from his wartime service</w:t>
      </w:r>
      <w:r w:rsidR="00983AF8" w:rsidRPr="00CB2EFF">
        <w:rPr>
          <w:rStyle w:val="FootnoteReference"/>
          <w:rFonts w:ascii="Garamond" w:hAnsi="Garamond"/>
        </w:rPr>
        <w:footnoteReference w:id="1"/>
      </w:r>
      <w:r w:rsidR="00EE4FF4" w:rsidRPr="00CB2EFF">
        <w:rPr>
          <w:rFonts w:ascii="Garamond" w:hAnsi="Garamond"/>
        </w:rPr>
        <w:t xml:space="preserve"> </w:t>
      </w:r>
      <w:r w:rsidR="00983AF8" w:rsidRPr="00CB2EFF">
        <w:rPr>
          <w:rFonts w:ascii="Garamond" w:hAnsi="Garamond"/>
        </w:rPr>
        <w:t>was under honorable conditions and who (b) served in the army, navy, marine corps, coast guard, or air force of the United States, or on full time national guard duty under Titles 10 or 32 of the United States Code or under sections 38, 40 and 41 of chapter 33 for not less than 90 days active service, at least 1 day of which was for wartime service; provided, however, than any person who so served in wartime and was awarded a service-connected disability or a Purple Heart, or who died in such service under conditions other than dishonorable, shall be deemed to be a veteran notwithstanding his failure to complete 90 days of active service; (2) a member of the American Merchant Marine who served in armed conflict between December 7, 1941 and December 31, 1946, and who has received honorable discharges from the United States Coast Guard, Army, or Navy; (3) any person (a) whose last discharge from active service was under honorable conditions, and who (b) served in the army, navy, marine corps, coast guard, or air force of the United States for not less than 180 days active service; provided, however, that any person who so served and was awarded a service-connected disability or who died in such service under conditions other than dishonorable, shall be deemed to be a veteran notwithstanding his failure to complete 180 days of active service.</w:t>
      </w:r>
    </w:p>
    <w:p w14:paraId="4E3D2D97" w14:textId="77777777" w:rsidR="00983AF8" w:rsidRPr="00CB2EFF" w:rsidRDefault="00983AF8" w:rsidP="00C96976">
      <w:pPr>
        <w:pStyle w:val="NormalWeb"/>
        <w:spacing w:before="0" w:beforeAutospacing="0" w:after="0" w:afterAutospacing="0"/>
        <w:rPr>
          <w:rFonts w:ascii="Garamond" w:hAnsi="Garamond"/>
        </w:rPr>
      </w:pPr>
      <w:r w:rsidRPr="00CB2EFF">
        <w:rPr>
          <w:rFonts w:ascii="Garamond" w:hAnsi="Garamond"/>
        </w:rPr>
        <w:t xml:space="preserve">or, </w:t>
      </w:r>
    </w:p>
    <w:p w14:paraId="1C0AD904" w14:textId="77777777" w:rsidR="00983AF8" w:rsidRPr="00CB2EFF" w:rsidRDefault="00983AF8" w:rsidP="00C96976">
      <w:pPr>
        <w:pStyle w:val="NormalWeb"/>
        <w:numPr>
          <w:ilvl w:val="0"/>
          <w:numId w:val="2"/>
        </w:numPr>
        <w:spacing w:before="0" w:beforeAutospacing="0" w:after="0" w:afterAutospacing="0"/>
        <w:rPr>
          <w:rFonts w:ascii="Garamond" w:hAnsi="Garamond"/>
        </w:rPr>
      </w:pPr>
      <w:r w:rsidRPr="00CB2EFF">
        <w:rPr>
          <w:rFonts w:ascii="Garamond" w:hAnsi="Garamond"/>
        </w:rPr>
        <w:t xml:space="preserve">comes within </w:t>
      </w:r>
      <w:r w:rsidR="00EE4FF4" w:rsidRPr="00CB2EFF">
        <w:rPr>
          <w:rFonts w:ascii="Garamond" w:hAnsi="Garamond"/>
        </w:rPr>
        <w:t>the above</w:t>
      </w:r>
      <w:r w:rsidRPr="00CB2EFF">
        <w:rPr>
          <w:rFonts w:ascii="Garamond" w:hAnsi="Garamond"/>
        </w:rPr>
        <w:t xml:space="preserve"> definition except that instead of having performed </w:t>
      </w:r>
      <w:r w:rsidR="00EE4FF4" w:rsidRPr="00CB2EFF">
        <w:rPr>
          <w:rFonts w:ascii="Garamond" w:hAnsi="Garamond"/>
        </w:rPr>
        <w:t>“wartime service</w:t>
      </w:r>
      <w:r w:rsidRPr="00CB2EFF">
        <w:rPr>
          <w:rFonts w:ascii="Garamond" w:hAnsi="Garamond"/>
        </w:rPr>
        <w:t>,</w:t>
      </w:r>
      <w:r w:rsidR="00EE4FF4" w:rsidRPr="00CB2EFF">
        <w:rPr>
          <w:rFonts w:ascii="Garamond" w:hAnsi="Garamond"/>
        </w:rPr>
        <w:t>”</w:t>
      </w:r>
      <w:r w:rsidRPr="00CB2EFF">
        <w:rPr>
          <w:rFonts w:ascii="Garamond" w:hAnsi="Garamond"/>
        </w:rPr>
        <w:t xml:space="preserve"> he has been awarded the Congressional Medal of Honor or one of the following campaign badges: Second Nicaraguan Campaign, Yangtze Service, Navy Occupation Service, Army of Occupation or Medal for Humane Action; or, </w:t>
      </w:r>
    </w:p>
    <w:p w14:paraId="67343C27" w14:textId="77777777" w:rsidR="00983AF8" w:rsidRPr="00CB2EFF" w:rsidRDefault="00983AF8" w:rsidP="00C96976">
      <w:pPr>
        <w:pStyle w:val="NormalWeb"/>
        <w:numPr>
          <w:ilvl w:val="0"/>
          <w:numId w:val="2"/>
        </w:numPr>
        <w:spacing w:before="0" w:beforeAutospacing="0" w:after="0" w:afterAutospacing="0"/>
        <w:rPr>
          <w:rFonts w:ascii="Garamond" w:hAnsi="Garamond"/>
        </w:rPr>
      </w:pPr>
      <w:r w:rsidRPr="00CB2EFF">
        <w:rPr>
          <w:rFonts w:ascii="Garamond" w:hAnsi="Garamond"/>
        </w:rPr>
        <w:t xml:space="preserve">is a person eligible to receive the Congressional Medal of Honor or one of the campaign badges enumerated </w:t>
      </w:r>
      <w:r w:rsidR="00EE4FF4" w:rsidRPr="00CB2EFF">
        <w:rPr>
          <w:rFonts w:ascii="Garamond" w:hAnsi="Garamond"/>
        </w:rPr>
        <w:t>above</w:t>
      </w:r>
      <w:r w:rsidRPr="00CB2EFF">
        <w:rPr>
          <w:rFonts w:ascii="Garamond" w:hAnsi="Garamond"/>
        </w:rPr>
        <w:t xml:space="preserve"> and who presents proof of such eligibility which is satisfactory to the administrator. </w:t>
      </w:r>
    </w:p>
    <w:p w14:paraId="59F48BDE" w14:textId="77777777" w:rsidR="00983AF8" w:rsidRPr="00CB2EFF" w:rsidRDefault="00983AF8" w:rsidP="00983AF8">
      <w:pPr>
        <w:pStyle w:val="NormalWeb"/>
        <w:numPr>
          <w:ilvl w:val="0"/>
          <w:numId w:val="2"/>
        </w:numPr>
        <w:rPr>
          <w:rFonts w:ascii="Garamond" w:hAnsi="Garamond"/>
        </w:rPr>
      </w:pPr>
      <w:r w:rsidRPr="00CB2EFF">
        <w:rPr>
          <w:rFonts w:ascii="Garamond" w:hAnsi="Garamond"/>
        </w:rPr>
        <w:t xml:space="preserve">A veteran shall not include active duty for training in the army national guard or air national guard or active duty for training as a reservist in the armed forces of the </w:t>
      </w:r>
      <w:smartTag w:uri="urn:schemas-microsoft-com:office:smarttags" w:element="country-region">
        <w:smartTag w:uri="urn:schemas-microsoft-com:office:smarttags" w:element="place">
          <w:r w:rsidRPr="00CB2EFF">
            <w:rPr>
              <w:rFonts w:ascii="Garamond" w:hAnsi="Garamond"/>
            </w:rPr>
            <w:t>United States</w:t>
          </w:r>
        </w:smartTag>
      </w:smartTag>
      <w:r w:rsidRPr="00CB2EFF">
        <w:rPr>
          <w:rFonts w:ascii="Garamond" w:hAnsi="Garamond"/>
        </w:rPr>
        <w:t xml:space="preserve">. </w:t>
      </w:r>
    </w:p>
    <w:p w14:paraId="15A6AC7A" w14:textId="77777777" w:rsidR="00964398" w:rsidRPr="00CB2EFF" w:rsidRDefault="00C96976" w:rsidP="00C96976">
      <w:pPr>
        <w:jc w:val="center"/>
        <w:rPr>
          <w:rFonts w:ascii="Garamond" w:hAnsi="Garamond"/>
          <w:b/>
          <w:u w:val="single"/>
        </w:rPr>
      </w:pPr>
      <w:r w:rsidRPr="00CB2EFF">
        <w:rPr>
          <w:rFonts w:ascii="Garamond" w:hAnsi="Garamond"/>
        </w:rPr>
        <w:br w:type="page"/>
      </w:r>
      <w:r w:rsidRPr="00CB2EFF">
        <w:rPr>
          <w:rFonts w:ascii="Garamond" w:hAnsi="Garamond"/>
          <w:b/>
          <w:u w:val="single"/>
        </w:rPr>
        <w:lastRenderedPageBreak/>
        <w:t>EXHIBIT A</w:t>
      </w:r>
    </w:p>
    <w:p w14:paraId="36337C38" w14:textId="77777777" w:rsidR="00C96976" w:rsidRPr="00CB2EFF" w:rsidRDefault="00C96976" w:rsidP="00C96976">
      <w:pPr>
        <w:jc w:val="center"/>
        <w:rPr>
          <w:rFonts w:ascii="Garamond" w:hAnsi="Garamond"/>
          <w:b/>
          <w:u w:val="single"/>
        </w:rPr>
      </w:pPr>
    </w:p>
    <w:p w14:paraId="70313726" w14:textId="77777777" w:rsidR="00C96976" w:rsidRPr="00CB2EFF" w:rsidRDefault="00C96976" w:rsidP="00C96976">
      <w:pPr>
        <w:jc w:val="center"/>
        <w:rPr>
          <w:rFonts w:ascii="Garamond" w:hAnsi="Garamond"/>
          <w:b/>
        </w:rPr>
      </w:pPr>
      <w:r w:rsidRPr="00CB2EFF">
        <w:rPr>
          <w:rFonts w:ascii="Garamond" w:hAnsi="Garamond"/>
          <w:b/>
        </w:rPr>
        <w:t>LIST OF NON-CIVIL SERVICE POSITIONS PURSUANT TO G.L.c. 31, § 48</w:t>
      </w:r>
    </w:p>
    <w:p w14:paraId="2B1D9F99" w14:textId="77777777" w:rsidR="00964398" w:rsidRDefault="00964398" w:rsidP="00062F86"/>
    <w:p w14:paraId="2A806E8D" w14:textId="77777777" w:rsidR="003C0FCB" w:rsidRDefault="003C0FCB" w:rsidP="00062F86"/>
    <w:p w14:paraId="1C1DD305" w14:textId="77777777" w:rsidR="003C0FCB" w:rsidRDefault="003C0FCB" w:rsidP="00062F86"/>
    <w:p w14:paraId="3F351858" w14:textId="77777777" w:rsidR="00772E46" w:rsidRDefault="003C0FCB" w:rsidP="00062F86">
      <w:r>
        <w:t>Chapl</w:t>
      </w:r>
      <w:r w:rsidR="00D40553">
        <w:t>a</w:t>
      </w:r>
      <w:r>
        <w:t>in</w:t>
      </w:r>
      <w:r>
        <w:tab/>
      </w:r>
      <w:r>
        <w:tab/>
      </w:r>
      <w:r>
        <w:tab/>
      </w:r>
    </w:p>
    <w:p w14:paraId="72F3C447" w14:textId="77777777" w:rsidR="003C0FCB" w:rsidRDefault="003C0FCB" w:rsidP="00062F86">
      <w:r>
        <w:t>Counsel</w:t>
      </w:r>
    </w:p>
    <w:p w14:paraId="0CBDCF9B" w14:textId="77777777" w:rsidR="003C0FCB" w:rsidRDefault="003C0FCB" w:rsidP="00062F86">
      <w:r>
        <w:t>License Practical Nurse</w:t>
      </w:r>
    </w:p>
    <w:p w14:paraId="68D231DE" w14:textId="77777777" w:rsidR="003C0FCB" w:rsidRDefault="003C0FCB" w:rsidP="00062F86">
      <w:r>
        <w:t>Physician</w:t>
      </w:r>
    </w:p>
    <w:p w14:paraId="62CFF334" w14:textId="77777777" w:rsidR="003C0FCB" w:rsidRDefault="003C0FCB" w:rsidP="00062F86">
      <w:r>
        <w:t>Physician Specialist</w:t>
      </w:r>
    </w:p>
    <w:p w14:paraId="5EB1FEC3" w14:textId="77777777" w:rsidR="003C0FCB" w:rsidRDefault="003C0FCB" w:rsidP="00062F86">
      <w:r>
        <w:t>Registered Nurse</w:t>
      </w:r>
    </w:p>
    <w:p w14:paraId="6D8755C1" w14:textId="77777777" w:rsidR="003C0FCB" w:rsidRDefault="003C0FCB" w:rsidP="00062F86">
      <w:r>
        <w:t>Teacher</w:t>
      </w:r>
      <w:r>
        <w:tab/>
      </w:r>
      <w:r>
        <w:tab/>
      </w:r>
      <w:r>
        <w:tab/>
        <w:t>DOC only</w:t>
      </w:r>
    </w:p>
    <w:sectPr w:rsidR="003C0FCB">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FE6E9" w14:textId="77777777" w:rsidR="00D83408" w:rsidRDefault="00D83408">
      <w:r>
        <w:separator/>
      </w:r>
    </w:p>
  </w:endnote>
  <w:endnote w:type="continuationSeparator" w:id="0">
    <w:p w14:paraId="73B49DA7" w14:textId="77777777" w:rsidR="00D83408" w:rsidRDefault="00D8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8012" w14:textId="77777777" w:rsidR="00D173E7" w:rsidRDefault="00D173E7" w:rsidP="00F16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C01C90" w14:textId="77777777" w:rsidR="00D173E7" w:rsidRDefault="00D17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D1A4B" w14:textId="77777777" w:rsidR="00D173E7" w:rsidRDefault="00D173E7" w:rsidP="00F16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1E63">
      <w:rPr>
        <w:rStyle w:val="PageNumber"/>
        <w:noProof/>
      </w:rPr>
      <w:t>1</w:t>
    </w:r>
    <w:r>
      <w:rPr>
        <w:rStyle w:val="PageNumber"/>
      </w:rPr>
      <w:fldChar w:fldCharType="end"/>
    </w:r>
  </w:p>
  <w:p w14:paraId="5636572F" w14:textId="77777777" w:rsidR="00D173E7" w:rsidRDefault="00D17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5EFD" w14:textId="77777777" w:rsidR="00D83408" w:rsidRDefault="00D83408">
      <w:r>
        <w:separator/>
      </w:r>
    </w:p>
  </w:footnote>
  <w:footnote w:type="continuationSeparator" w:id="0">
    <w:p w14:paraId="0B98BBBD" w14:textId="77777777" w:rsidR="00D83408" w:rsidRDefault="00D83408">
      <w:r>
        <w:continuationSeparator/>
      </w:r>
    </w:p>
  </w:footnote>
  <w:footnote w:id="1">
    <w:p w14:paraId="3027806C" w14:textId="77777777" w:rsidR="00D173E7" w:rsidRPr="00EE4FF4" w:rsidRDefault="00D173E7">
      <w:pPr>
        <w:pStyle w:val="FootnoteText"/>
        <w:rPr>
          <w:rFonts w:ascii="Garamond" w:hAnsi="Garamond"/>
          <w:sz w:val="16"/>
          <w:szCs w:val="16"/>
        </w:rPr>
      </w:pPr>
      <w:r w:rsidRPr="00983AF8">
        <w:rPr>
          <w:rStyle w:val="FootnoteReference"/>
          <w:rFonts w:ascii="Garamond" w:hAnsi="Garamond"/>
          <w:sz w:val="16"/>
          <w:szCs w:val="16"/>
        </w:rPr>
        <w:footnoteRef/>
      </w:r>
      <w:r w:rsidRPr="00983AF8">
        <w:rPr>
          <w:rFonts w:ascii="Garamond" w:hAnsi="Garamond"/>
          <w:sz w:val="16"/>
          <w:szCs w:val="16"/>
        </w:rPr>
        <w:t xml:space="preserve"> </w:t>
      </w:r>
      <w:r w:rsidRPr="00EE4FF4">
        <w:rPr>
          <w:rFonts w:ascii="Garamond" w:hAnsi="Garamond"/>
          <w:sz w:val="16"/>
          <w:szCs w:val="16"/>
        </w:rPr>
        <w:t>Wartime service'' shall mean service performed by a "Spanish War veteran'', a "World War I veteran'', a "World War II veteran'', a "Korean veteran'', a "Vietnam veteran'', a "Lebanese peace keeping force veteran'', a "Grenada rescue mission veteran'', a "Panamanian intervention force veteran'', a "Persian Gulf veteran'', or a member of the “WAAC” (any woman who was discharged and so served in any corps or unit of the United States established for the purpose of enabling women to serve with, or as auxiliary to, the armed forces of the United States) during any of the periods of time described in Chapter 4, Section 7, Clause 43 or for which medals described in said clause are awarded.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6E9"/>
    <w:multiLevelType w:val="hybridMultilevel"/>
    <w:tmpl w:val="03646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50156"/>
    <w:multiLevelType w:val="hybridMultilevel"/>
    <w:tmpl w:val="B8E252C4"/>
    <w:lvl w:ilvl="0" w:tplc="544076E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116EF8"/>
    <w:multiLevelType w:val="hybridMultilevel"/>
    <w:tmpl w:val="130053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6D83B79"/>
    <w:multiLevelType w:val="hybridMultilevel"/>
    <w:tmpl w:val="A872CF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0F64E74"/>
    <w:multiLevelType w:val="hybridMultilevel"/>
    <w:tmpl w:val="144894E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8745E69"/>
    <w:multiLevelType w:val="hybridMultilevel"/>
    <w:tmpl w:val="4740D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A32946"/>
    <w:multiLevelType w:val="hybridMultilevel"/>
    <w:tmpl w:val="59800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42476C"/>
    <w:multiLevelType w:val="hybridMultilevel"/>
    <w:tmpl w:val="7EFE78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5555230">
    <w:abstractNumId w:val="5"/>
  </w:num>
  <w:num w:numId="2" w16cid:durableId="1258296208">
    <w:abstractNumId w:val="7"/>
  </w:num>
  <w:num w:numId="3" w16cid:durableId="732852656">
    <w:abstractNumId w:val="1"/>
  </w:num>
  <w:num w:numId="4" w16cid:durableId="1078404884">
    <w:abstractNumId w:val="0"/>
  </w:num>
  <w:num w:numId="5" w16cid:durableId="1941834720">
    <w:abstractNumId w:val="6"/>
  </w:num>
  <w:num w:numId="6" w16cid:durableId="1428651883">
    <w:abstractNumId w:val="2"/>
  </w:num>
  <w:num w:numId="7" w16cid:durableId="2050379128">
    <w:abstractNumId w:val="4"/>
  </w:num>
  <w:num w:numId="8" w16cid:durableId="1240166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86"/>
    <w:rsid w:val="00002071"/>
    <w:rsid w:val="00007DB0"/>
    <w:rsid w:val="00012568"/>
    <w:rsid w:val="00017C1A"/>
    <w:rsid w:val="00036017"/>
    <w:rsid w:val="00062F86"/>
    <w:rsid w:val="00091E63"/>
    <w:rsid w:val="000C49C3"/>
    <w:rsid w:val="001861B7"/>
    <w:rsid w:val="001C015B"/>
    <w:rsid w:val="00225FA7"/>
    <w:rsid w:val="002B63F0"/>
    <w:rsid w:val="00346FEB"/>
    <w:rsid w:val="003638BF"/>
    <w:rsid w:val="00385C8D"/>
    <w:rsid w:val="003C0FCB"/>
    <w:rsid w:val="004639A3"/>
    <w:rsid w:val="00511534"/>
    <w:rsid w:val="0051509A"/>
    <w:rsid w:val="005E4C6C"/>
    <w:rsid w:val="00665099"/>
    <w:rsid w:val="00723B0F"/>
    <w:rsid w:val="007253F1"/>
    <w:rsid w:val="00772E46"/>
    <w:rsid w:val="007A00D8"/>
    <w:rsid w:val="007A1D08"/>
    <w:rsid w:val="007A3721"/>
    <w:rsid w:val="007B39B6"/>
    <w:rsid w:val="007D2DB5"/>
    <w:rsid w:val="008B02DF"/>
    <w:rsid w:val="00964398"/>
    <w:rsid w:val="00983AF8"/>
    <w:rsid w:val="009D00BA"/>
    <w:rsid w:val="00A005E6"/>
    <w:rsid w:val="00A15785"/>
    <w:rsid w:val="00AA3CDE"/>
    <w:rsid w:val="00B143ED"/>
    <w:rsid w:val="00B35B46"/>
    <w:rsid w:val="00BC0284"/>
    <w:rsid w:val="00BC3316"/>
    <w:rsid w:val="00BE4D7D"/>
    <w:rsid w:val="00C06441"/>
    <w:rsid w:val="00C70854"/>
    <w:rsid w:val="00C96976"/>
    <w:rsid w:val="00CB2EFF"/>
    <w:rsid w:val="00CB77CD"/>
    <w:rsid w:val="00D04949"/>
    <w:rsid w:val="00D173E7"/>
    <w:rsid w:val="00D40553"/>
    <w:rsid w:val="00D83408"/>
    <w:rsid w:val="00DB1A3A"/>
    <w:rsid w:val="00E22A53"/>
    <w:rsid w:val="00E4313A"/>
    <w:rsid w:val="00E77DB2"/>
    <w:rsid w:val="00EE4FF4"/>
    <w:rsid w:val="00EE650B"/>
    <w:rsid w:val="00F16B2B"/>
    <w:rsid w:val="00F53B0B"/>
    <w:rsid w:val="00F63562"/>
    <w:rsid w:val="00FB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country-region"/>
  <w:shapeDefaults>
    <o:shapedefaults v:ext="edit" spidmax="2050"/>
    <o:shapelayout v:ext="edit">
      <o:idmap v:ext="edit" data="1"/>
    </o:shapelayout>
  </w:shapeDefaults>
  <w:decimalSymbol w:val="."/>
  <w:listSeparator w:val=","/>
  <w14:docId w14:val="5F93B775"/>
  <w15:chartTrackingRefBased/>
  <w15:docId w15:val="{AE71C15A-83CD-47CB-8542-DDE22AA7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83AF8"/>
    <w:pPr>
      <w:spacing w:before="100" w:beforeAutospacing="1" w:after="100" w:afterAutospacing="1"/>
    </w:pPr>
  </w:style>
  <w:style w:type="paragraph" w:styleId="FootnoteText">
    <w:name w:val="footnote text"/>
    <w:basedOn w:val="Normal"/>
    <w:semiHidden/>
    <w:rsid w:val="00983AF8"/>
    <w:rPr>
      <w:sz w:val="20"/>
      <w:szCs w:val="20"/>
    </w:rPr>
  </w:style>
  <w:style w:type="character" w:styleId="FootnoteReference">
    <w:name w:val="footnote reference"/>
    <w:basedOn w:val="DefaultParagraphFont"/>
    <w:semiHidden/>
    <w:rsid w:val="00983AF8"/>
    <w:rPr>
      <w:vertAlign w:val="superscript"/>
    </w:rPr>
  </w:style>
  <w:style w:type="paragraph" w:styleId="Footer">
    <w:name w:val="footer"/>
    <w:basedOn w:val="Normal"/>
    <w:rsid w:val="00A15785"/>
    <w:pPr>
      <w:tabs>
        <w:tab w:val="center" w:pos="4320"/>
        <w:tab w:val="right" w:pos="8640"/>
      </w:tabs>
    </w:pPr>
  </w:style>
  <w:style w:type="character" w:styleId="PageNumber">
    <w:name w:val="page number"/>
    <w:basedOn w:val="DefaultParagraphFont"/>
    <w:rsid w:val="00A1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080">
      <w:bodyDiv w:val="1"/>
      <w:marLeft w:val="0"/>
      <w:marRight w:val="0"/>
      <w:marTop w:val="0"/>
      <w:marBottom w:val="0"/>
      <w:divBdr>
        <w:top w:val="none" w:sz="0" w:space="0" w:color="auto"/>
        <w:left w:val="none" w:sz="0" w:space="0" w:color="auto"/>
        <w:bottom w:val="none" w:sz="0" w:space="0" w:color="auto"/>
        <w:right w:val="none" w:sz="0" w:space="0" w:color="auto"/>
      </w:divBdr>
      <w:divsChild>
        <w:div w:id="1307323299">
          <w:marLeft w:val="0"/>
          <w:marRight w:val="0"/>
          <w:marTop w:val="0"/>
          <w:marBottom w:val="0"/>
          <w:divBdr>
            <w:top w:val="none" w:sz="0" w:space="0" w:color="auto"/>
            <w:left w:val="none" w:sz="0" w:space="0" w:color="auto"/>
            <w:bottom w:val="none" w:sz="0" w:space="0" w:color="auto"/>
            <w:right w:val="none" w:sz="0" w:space="0" w:color="auto"/>
          </w:divBdr>
        </w:div>
      </w:divsChild>
    </w:div>
    <w:div w:id="1252936361">
      <w:bodyDiv w:val="1"/>
      <w:marLeft w:val="0"/>
      <w:marRight w:val="0"/>
      <w:marTop w:val="0"/>
      <w:marBottom w:val="0"/>
      <w:divBdr>
        <w:top w:val="none" w:sz="0" w:space="0" w:color="auto"/>
        <w:left w:val="none" w:sz="0" w:space="0" w:color="auto"/>
        <w:bottom w:val="none" w:sz="0" w:space="0" w:color="auto"/>
        <w:right w:val="none" w:sz="0" w:space="0" w:color="auto"/>
      </w:divBdr>
      <w:divsChild>
        <w:div w:id="284655006">
          <w:marLeft w:val="0"/>
          <w:marRight w:val="0"/>
          <w:marTop w:val="0"/>
          <w:marBottom w:val="0"/>
          <w:divBdr>
            <w:top w:val="none" w:sz="0" w:space="0" w:color="auto"/>
            <w:left w:val="none" w:sz="0" w:space="0" w:color="auto"/>
            <w:bottom w:val="none" w:sz="0" w:space="0" w:color="auto"/>
            <w:right w:val="none" w:sz="0" w:space="0" w:color="auto"/>
          </w:divBdr>
        </w:div>
      </w:divsChild>
    </w:div>
    <w:div w:id="1472090695">
      <w:bodyDiv w:val="1"/>
      <w:marLeft w:val="0"/>
      <w:marRight w:val="0"/>
      <w:marTop w:val="0"/>
      <w:marBottom w:val="0"/>
      <w:divBdr>
        <w:top w:val="none" w:sz="0" w:space="0" w:color="auto"/>
        <w:left w:val="none" w:sz="0" w:space="0" w:color="auto"/>
        <w:bottom w:val="none" w:sz="0" w:space="0" w:color="auto"/>
        <w:right w:val="none" w:sz="0" w:space="0" w:color="auto"/>
      </w:divBdr>
      <w:divsChild>
        <w:div w:id="1288657185">
          <w:marLeft w:val="0"/>
          <w:marRight w:val="0"/>
          <w:marTop w:val="0"/>
          <w:marBottom w:val="0"/>
          <w:divBdr>
            <w:top w:val="none" w:sz="0" w:space="0" w:color="auto"/>
            <w:left w:val="none" w:sz="0" w:space="0" w:color="auto"/>
            <w:bottom w:val="none" w:sz="0" w:space="0" w:color="auto"/>
            <w:right w:val="none" w:sz="0" w:space="0" w:color="auto"/>
          </w:divBdr>
          <w:divsChild>
            <w:div w:id="4758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70184">
      <w:bodyDiv w:val="1"/>
      <w:marLeft w:val="0"/>
      <w:marRight w:val="0"/>
      <w:marTop w:val="0"/>
      <w:marBottom w:val="0"/>
      <w:divBdr>
        <w:top w:val="none" w:sz="0" w:space="0" w:color="auto"/>
        <w:left w:val="none" w:sz="0" w:space="0" w:color="auto"/>
        <w:bottom w:val="none" w:sz="0" w:space="0" w:color="auto"/>
        <w:right w:val="none" w:sz="0" w:space="0" w:color="auto"/>
      </w:divBdr>
      <w:divsChild>
        <w:div w:id="1420297946">
          <w:marLeft w:val="0"/>
          <w:marRight w:val="0"/>
          <w:marTop w:val="0"/>
          <w:marBottom w:val="0"/>
          <w:divBdr>
            <w:top w:val="none" w:sz="0" w:space="0" w:color="auto"/>
            <w:left w:val="none" w:sz="0" w:space="0" w:color="auto"/>
            <w:bottom w:val="none" w:sz="0" w:space="0" w:color="auto"/>
            <w:right w:val="none" w:sz="0" w:space="0" w:color="auto"/>
          </w:divBdr>
          <w:divsChild>
            <w:div w:id="6402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1170</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MASSACHUSETTS VETERANS’ TENURE ACT GUIDELINES</vt:lpstr>
    </vt:vector>
  </TitlesOfParts>
  <Company>Human Resources Division</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VETERANS’ TENURE ACT GUIDELINES</dc:title>
  <dc:subject/>
  <dc:creator>Administrator</dc:creator>
  <cp:keywords/>
  <dc:description/>
  <cp:lastModifiedBy>Lee, Sharon R. (HRD)</cp:lastModifiedBy>
  <cp:revision>2</cp:revision>
  <cp:lastPrinted>2009-12-03T18:20:00Z</cp:lastPrinted>
  <dcterms:created xsi:type="dcterms:W3CDTF">2025-09-17T14:24:00Z</dcterms:created>
  <dcterms:modified xsi:type="dcterms:W3CDTF">2025-09-17T14:24:00Z</dcterms:modified>
</cp:coreProperties>
</file>