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A22D9" w14:textId="77777777" w:rsidR="00A52637" w:rsidRDefault="00A52637">
      <w:pPr>
        <w:pStyle w:val="Header"/>
        <w:tabs>
          <w:tab w:val="clear" w:pos="4320"/>
          <w:tab w:val="clear" w:pos="8640"/>
        </w:tabs>
      </w:pPr>
    </w:p>
    <w:p w14:paraId="7CF7C04F" w14:textId="28EC8D8F" w:rsidR="006704C0" w:rsidRDefault="000A5750">
      <w:pPr>
        <w:pStyle w:val="Header"/>
        <w:tabs>
          <w:tab w:val="clear" w:pos="4320"/>
          <w:tab w:val="clear" w:pos="8640"/>
        </w:tabs>
      </w:pPr>
      <w:r>
        <w:rPr>
          <w:noProof/>
        </w:rPr>
        <mc:AlternateContent>
          <mc:Choice Requires="wps">
            <w:drawing>
              <wp:anchor distT="0" distB="0" distL="114300" distR="114300" simplePos="0" relativeHeight="251658240" behindDoc="0" locked="0" layoutInCell="1" allowOverlap="1" wp14:anchorId="70C8326D" wp14:editId="3054311A">
                <wp:simplePos x="0" y="0"/>
                <wp:positionH relativeFrom="column">
                  <wp:posOffset>1257300</wp:posOffset>
                </wp:positionH>
                <wp:positionV relativeFrom="paragraph">
                  <wp:posOffset>114300</wp:posOffset>
                </wp:positionV>
                <wp:extent cx="4991100" cy="1054100"/>
                <wp:effectExtent l="0" t="3175" r="0" b="0"/>
                <wp:wrapNone/>
                <wp:docPr id="14029921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1054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E66B8" w14:textId="77777777" w:rsidR="00835206" w:rsidRPr="003B7B08" w:rsidRDefault="00835206" w:rsidP="00835206">
                            <w:pPr>
                              <w:pStyle w:val="Heading1"/>
                              <w:jc w:val="center"/>
                              <w:rPr>
                                <w:rFonts w:ascii="Tahoma" w:hAnsi="Tahoma"/>
                                <w:color w:val="000080"/>
                                <w:sz w:val="36"/>
                                <w:szCs w:val="36"/>
                              </w:rPr>
                            </w:pPr>
                            <w:r w:rsidRPr="003B7B08">
                              <w:rPr>
                                <w:rFonts w:ascii="Tahoma" w:hAnsi="Tahoma"/>
                                <w:color w:val="000080"/>
                                <w:sz w:val="36"/>
                                <w:szCs w:val="36"/>
                              </w:rPr>
                              <w:t>MASSACHUSETTS WATER POLLUTION</w:t>
                            </w:r>
                          </w:p>
                          <w:p w14:paraId="647765C7" w14:textId="77777777" w:rsidR="00835206" w:rsidRPr="003B7B08" w:rsidRDefault="00835206" w:rsidP="00835206">
                            <w:pPr>
                              <w:pStyle w:val="Heading1"/>
                              <w:jc w:val="center"/>
                              <w:rPr>
                                <w:rFonts w:ascii="Tahoma" w:hAnsi="Tahoma"/>
                                <w:color w:val="000080"/>
                                <w:sz w:val="36"/>
                                <w:szCs w:val="36"/>
                              </w:rPr>
                            </w:pPr>
                            <w:r w:rsidRPr="003B7B08">
                              <w:rPr>
                                <w:rFonts w:ascii="Tahoma" w:hAnsi="Tahoma"/>
                                <w:color w:val="000080"/>
                                <w:sz w:val="36"/>
                                <w:szCs w:val="36"/>
                              </w:rPr>
                              <w:t>ABATEMENT TRUST</w:t>
                            </w:r>
                          </w:p>
                          <w:p w14:paraId="53886154" w14:textId="77777777" w:rsidR="00835206" w:rsidRPr="003B7B08" w:rsidRDefault="00835206" w:rsidP="00835206">
                            <w:pPr>
                              <w:jc w:val="center"/>
                              <w:rPr>
                                <w:rFonts w:ascii="Trebuchet MS" w:hAnsi="Trebuchet MS"/>
                                <w:i/>
                                <w:color w:val="000080"/>
                              </w:rPr>
                            </w:pPr>
                            <w:r w:rsidRPr="003B7B08">
                              <w:rPr>
                                <w:rFonts w:ascii="Trebuchet MS" w:hAnsi="Trebuchet MS"/>
                                <w:i/>
                                <w:color w:val="000080"/>
                              </w:rPr>
                              <w:t>Steven Grossman, Chair</w:t>
                            </w:r>
                          </w:p>
                          <w:p w14:paraId="320AABC8" w14:textId="77777777" w:rsidR="00835206" w:rsidRPr="003B7B08" w:rsidRDefault="00835206" w:rsidP="008352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C8326D" id="_x0000_t202" coordsize="21600,21600" o:spt="202" path="m,l,21600r21600,l21600,xe">
                <v:stroke joinstyle="miter"/>
                <v:path gradientshapeok="t" o:connecttype="rect"/>
              </v:shapetype>
              <v:shape id="Text Box 4" o:spid="_x0000_s1026" type="#_x0000_t202" style="position:absolute;margin-left:99pt;margin-top:9pt;width:393pt;height: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" filled="f" stroked="f">
                <v:textbox>
                  <w:txbxContent>
                    <w:p w14:paraId="35BE66B8" w14:textId="77777777" w:rsidR="00835206" w:rsidRPr="003B7B08" w:rsidRDefault="00835206" w:rsidP="00835206">
                      <w:pPr>
                        <w:pStyle w:val="Heading1"/>
                        <w:jc w:val="center"/>
                        <w:rPr>
                          <w:rFonts w:ascii="Tahoma" w:hAnsi="Tahoma"/>
                          <w:color w:val="000080"/>
                          <w:sz w:val="36"/>
                          <w:szCs w:val="36"/>
                        </w:rPr>
                      </w:pPr>
                      <w:r w:rsidRPr="003B7B08">
                        <w:rPr>
                          <w:rFonts w:ascii="Tahoma" w:hAnsi="Tahoma"/>
                          <w:color w:val="000080"/>
                          <w:sz w:val="36"/>
                          <w:szCs w:val="36"/>
                        </w:rPr>
                        <w:t>MASSACHUSETTS WATER POLLUTION</w:t>
                      </w:r>
                    </w:p>
                    <w:p w14:paraId="647765C7" w14:textId="77777777" w:rsidR="00835206" w:rsidRPr="003B7B08" w:rsidRDefault="00835206" w:rsidP="00835206">
                      <w:pPr>
                        <w:pStyle w:val="Heading1"/>
                        <w:jc w:val="center"/>
                        <w:rPr>
                          <w:rFonts w:ascii="Tahoma" w:hAnsi="Tahoma"/>
                          <w:color w:val="000080"/>
                          <w:sz w:val="36"/>
                          <w:szCs w:val="36"/>
                        </w:rPr>
                      </w:pPr>
                      <w:r w:rsidRPr="003B7B08">
                        <w:rPr>
                          <w:rFonts w:ascii="Tahoma" w:hAnsi="Tahoma"/>
                          <w:color w:val="000080"/>
                          <w:sz w:val="36"/>
                          <w:szCs w:val="36"/>
                        </w:rPr>
                        <w:t>ABATEMENT TRUST</w:t>
                      </w:r>
                    </w:p>
                    <w:p w14:paraId="53886154" w14:textId="77777777" w:rsidR="00835206" w:rsidRPr="003B7B08" w:rsidRDefault="00835206" w:rsidP="00835206">
                      <w:pPr>
                        <w:jc w:val="center"/>
                        <w:rPr>
                          <w:rFonts w:ascii="Trebuchet MS" w:hAnsi="Trebuchet MS"/>
                          <w:i/>
                          <w:color w:val="000080"/>
                        </w:rPr>
                      </w:pPr>
                      <w:r w:rsidRPr="003B7B08">
                        <w:rPr>
                          <w:rFonts w:ascii="Trebuchet MS" w:hAnsi="Trebuchet MS"/>
                          <w:i/>
                          <w:color w:val="000080"/>
                        </w:rPr>
                        <w:t>Steven Grossman, Chair</w:t>
                      </w:r>
                    </w:p>
                    <w:p w14:paraId="320AABC8" w14:textId="77777777" w:rsidR="00835206" w:rsidRPr="003B7B08" w:rsidRDefault="00835206" w:rsidP="00835206"/>
                  </w:txbxContent>
                </v:textbox>
              </v:shape>
            </w:pict>
          </mc:Fallback>
        </mc:AlternateContent>
      </w:r>
      <w:r>
        <w:rPr>
          <w:noProof/>
        </w:rPr>
        <w:drawing>
          <wp:anchor distT="0" distB="0" distL="114300" distR="114300" simplePos="0" relativeHeight="251657216" behindDoc="0" locked="0" layoutInCell="1" allowOverlap="1" wp14:anchorId="4B4384F8" wp14:editId="28C7E1FF">
            <wp:simplePos x="0" y="0"/>
            <wp:positionH relativeFrom="column">
              <wp:align>left</wp:align>
            </wp:positionH>
            <wp:positionV relativeFrom="paragraph">
              <wp:posOffset>-199390</wp:posOffset>
            </wp:positionV>
            <wp:extent cx="1362075" cy="1371600"/>
            <wp:effectExtent l="0" t="0" r="0" b="0"/>
            <wp:wrapNone/>
            <wp:docPr id="3" name="Picture 1" descr="Massachusetts Water Pollurion Abatement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Massachusetts Water Pollurion Abatement Trust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2075"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99A2F7" w14:textId="77777777" w:rsidR="006704C0" w:rsidRDefault="006704C0">
      <w:pPr>
        <w:pStyle w:val="Header"/>
        <w:tabs>
          <w:tab w:val="clear" w:pos="4320"/>
          <w:tab w:val="clear" w:pos="8640"/>
        </w:tabs>
      </w:pPr>
    </w:p>
    <w:p w14:paraId="6C0DB8C4" w14:textId="77777777" w:rsidR="006704C0" w:rsidRDefault="006704C0">
      <w:pPr>
        <w:pStyle w:val="Header"/>
        <w:tabs>
          <w:tab w:val="clear" w:pos="4320"/>
          <w:tab w:val="clear" w:pos="8640"/>
        </w:tabs>
      </w:pPr>
    </w:p>
    <w:p w14:paraId="65762BA4" w14:textId="77777777" w:rsidR="006704C0" w:rsidRDefault="006704C0">
      <w:pPr>
        <w:suppressAutoHyphens/>
      </w:pPr>
      <w:r>
        <w:t xml:space="preserve">   </w:t>
      </w:r>
    </w:p>
    <w:p w14:paraId="017516E9" w14:textId="77777777" w:rsidR="006704C0" w:rsidRDefault="006704C0">
      <w:pPr>
        <w:suppressAutoHyphens/>
      </w:pPr>
    </w:p>
    <w:p w14:paraId="03FCA471" w14:textId="77777777" w:rsidR="00394DDB" w:rsidRDefault="006704C0" w:rsidP="00BF5113">
      <w:pPr>
        <w:suppressAutoHyphens/>
        <w:rPr>
          <w:sz w:val="20"/>
        </w:rPr>
      </w:pPr>
      <w:r>
        <w:tab/>
      </w:r>
      <w:r>
        <w:tab/>
      </w:r>
      <w:r>
        <w:tab/>
      </w:r>
      <w:r>
        <w:tab/>
      </w:r>
      <w:r>
        <w:tab/>
      </w:r>
      <w:r>
        <w:tab/>
      </w:r>
      <w:r>
        <w:tab/>
      </w:r>
      <w:r>
        <w:tab/>
      </w:r>
      <w:r>
        <w:tab/>
      </w:r>
      <w:r>
        <w:tab/>
      </w:r>
      <w:r>
        <w:tab/>
      </w:r>
      <w:r>
        <w:br/>
      </w:r>
    </w:p>
    <w:p w14:paraId="0E3D3495" w14:textId="77777777" w:rsidR="00A270C4" w:rsidRDefault="00A270C4" w:rsidP="00394DDB">
      <w:pPr>
        <w:suppressAutoHyphens/>
        <w:jc w:val="both"/>
        <w:rPr>
          <w:sz w:val="20"/>
        </w:rPr>
      </w:pPr>
    </w:p>
    <w:p w14:paraId="5D16F993" w14:textId="77777777" w:rsidR="00A270C4" w:rsidRPr="00A270C4" w:rsidRDefault="00465EDF" w:rsidP="00A270C4">
      <w:pPr>
        <w:jc w:val="center"/>
        <w:rPr>
          <w:b/>
          <w:sz w:val="32"/>
          <w:szCs w:val="32"/>
        </w:rPr>
      </w:pPr>
      <w:r>
        <w:rPr>
          <w:b/>
          <w:sz w:val="32"/>
          <w:szCs w:val="32"/>
        </w:rPr>
        <w:t>DEBT MANAGEMENT</w:t>
      </w:r>
      <w:r w:rsidR="00A270C4" w:rsidRPr="00A270C4">
        <w:rPr>
          <w:b/>
          <w:sz w:val="32"/>
          <w:szCs w:val="32"/>
        </w:rPr>
        <w:t xml:space="preserve"> PROCEDURES</w:t>
      </w:r>
    </w:p>
    <w:p w14:paraId="557154DF" w14:textId="77777777" w:rsidR="00A270C4" w:rsidRDefault="00A270C4" w:rsidP="00A270C4">
      <w:pPr>
        <w:jc w:val="center"/>
      </w:pPr>
    </w:p>
    <w:p w14:paraId="77D1E492" w14:textId="77777777" w:rsidR="00465EDF" w:rsidRDefault="00465EDF" w:rsidP="00A270C4">
      <w:pPr>
        <w:jc w:val="center"/>
      </w:pPr>
    </w:p>
    <w:p w14:paraId="4A3AB504" w14:textId="77777777" w:rsidR="007A48C2" w:rsidRDefault="007A48C2" w:rsidP="000C6A90">
      <w:pPr>
        <w:pStyle w:val="NoSpacing"/>
        <w:jc w:val="both"/>
        <w:rPr>
          <w:rFonts w:ascii="Times New Roman" w:hAnsi="Times New Roman"/>
          <w:sz w:val="24"/>
          <w:szCs w:val="24"/>
        </w:rPr>
      </w:pPr>
      <w:r w:rsidRPr="00B855DC">
        <w:rPr>
          <w:rFonts w:ascii="Times New Roman" w:hAnsi="Times New Roman"/>
          <w:b/>
          <w:sz w:val="24"/>
          <w:szCs w:val="24"/>
        </w:rPr>
        <w:t>Procedures for Implementation:</w:t>
      </w:r>
      <w:r w:rsidRPr="00B855DC">
        <w:rPr>
          <w:rFonts w:ascii="Times New Roman" w:hAnsi="Times New Roman"/>
          <w:sz w:val="24"/>
          <w:szCs w:val="24"/>
        </w:rPr>
        <w:t xml:space="preserve">  </w:t>
      </w:r>
      <w:r>
        <w:rPr>
          <w:rFonts w:ascii="Times New Roman" w:hAnsi="Times New Roman"/>
          <w:sz w:val="24"/>
          <w:szCs w:val="24"/>
        </w:rPr>
        <w:t>Th</w:t>
      </w:r>
      <w:r w:rsidR="00B44901">
        <w:rPr>
          <w:rFonts w:ascii="Times New Roman" w:hAnsi="Times New Roman"/>
          <w:sz w:val="24"/>
          <w:szCs w:val="24"/>
        </w:rPr>
        <w:t>e Trust’s Debt Management</w:t>
      </w:r>
      <w:r>
        <w:rPr>
          <w:rFonts w:ascii="Times New Roman" w:hAnsi="Times New Roman"/>
          <w:sz w:val="24"/>
          <w:szCs w:val="24"/>
        </w:rPr>
        <w:t xml:space="preserve"> Policy</w:t>
      </w:r>
      <w:r w:rsidR="00B44901">
        <w:rPr>
          <w:rFonts w:ascii="Times New Roman" w:hAnsi="Times New Roman"/>
          <w:sz w:val="24"/>
          <w:szCs w:val="24"/>
        </w:rPr>
        <w:t xml:space="preserve"> </w:t>
      </w:r>
      <w:r w:rsidR="0044574A">
        <w:rPr>
          <w:rFonts w:ascii="Times New Roman" w:hAnsi="Times New Roman"/>
          <w:sz w:val="24"/>
          <w:szCs w:val="24"/>
        </w:rPr>
        <w:t xml:space="preserve">as revised and </w:t>
      </w:r>
      <w:r w:rsidR="00B44901">
        <w:rPr>
          <w:rFonts w:ascii="Times New Roman" w:hAnsi="Times New Roman"/>
          <w:sz w:val="24"/>
          <w:szCs w:val="24"/>
        </w:rPr>
        <w:t xml:space="preserve">adopted </w:t>
      </w:r>
      <w:r w:rsidR="0044574A">
        <w:rPr>
          <w:rFonts w:ascii="Times New Roman" w:hAnsi="Times New Roman"/>
          <w:sz w:val="24"/>
          <w:szCs w:val="24"/>
        </w:rPr>
        <w:t xml:space="preserve">on </w:t>
      </w:r>
      <w:r w:rsidR="00300898">
        <w:rPr>
          <w:rFonts w:ascii="Times New Roman" w:hAnsi="Times New Roman"/>
          <w:sz w:val="24"/>
          <w:szCs w:val="24"/>
        </w:rPr>
        <w:t xml:space="preserve">March  </w:t>
      </w:r>
      <w:r w:rsidR="00491D08">
        <w:rPr>
          <w:rFonts w:ascii="Times New Roman" w:hAnsi="Times New Roman"/>
          <w:sz w:val="24"/>
          <w:szCs w:val="24"/>
        </w:rPr>
        <w:t>5,</w:t>
      </w:r>
      <w:r w:rsidR="00B44901">
        <w:rPr>
          <w:rFonts w:ascii="Times New Roman" w:hAnsi="Times New Roman"/>
          <w:sz w:val="24"/>
          <w:szCs w:val="24"/>
        </w:rPr>
        <w:t xml:space="preserve"> 2014 (the “Policy”)</w:t>
      </w:r>
      <w:r>
        <w:rPr>
          <w:rFonts w:ascii="Times New Roman" w:hAnsi="Times New Roman"/>
          <w:sz w:val="24"/>
          <w:szCs w:val="24"/>
        </w:rPr>
        <w:t xml:space="preserve"> shall be </w:t>
      </w:r>
      <w:r w:rsidR="00B44901">
        <w:rPr>
          <w:rFonts w:ascii="Times New Roman" w:hAnsi="Times New Roman"/>
          <w:sz w:val="24"/>
          <w:szCs w:val="24"/>
        </w:rPr>
        <w:t>applied</w:t>
      </w:r>
      <w:r>
        <w:rPr>
          <w:rFonts w:ascii="Times New Roman" w:hAnsi="Times New Roman"/>
          <w:sz w:val="24"/>
          <w:szCs w:val="24"/>
        </w:rPr>
        <w:t xml:space="preserve"> in accordance with the following </w:t>
      </w:r>
      <w:r w:rsidR="00BB1D53">
        <w:rPr>
          <w:rFonts w:ascii="Times New Roman" w:hAnsi="Times New Roman"/>
          <w:sz w:val="24"/>
          <w:szCs w:val="24"/>
        </w:rPr>
        <w:t>p</w:t>
      </w:r>
      <w:r>
        <w:rPr>
          <w:rFonts w:ascii="Times New Roman" w:hAnsi="Times New Roman"/>
          <w:sz w:val="24"/>
          <w:szCs w:val="24"/>
        </w:rPr>
        <w:t xml:space="preserve">rocedures under the direction of the Executive Director of the Trust, to whom the Board </w:t>
      </w:r>
      <w:r w:rsidR="00B44901">
        <w:rPr>
          <w:rFonts w:ascii="Times New Roman" w:hAnsi="Times New Roman"/>
          <w:sz w:val="24"/>
          <w:szCs w:val="24"/>
        </w:rPr>
        <w:t xml:space="preserve">has, by the adoption of the Policy, </w:t>
      </w:r>
      <w:r>
        <w:rPr>
          <w:rFonts w:ascii="Times New Roman" w:hAnsi="Times New Roman"/>
          <w:sz w:val="24"/>
          <w:szCs w:val="24"/>
        </w:rPr>
        <w:t>delegate</w:t>
      </w:r>
      <w:r w:rsidR="00B44901">
        <w:rPr>
          <w:rFonts w:ascii="Times New Roman" w:hAnsi="Times New Roman"/>
          <w:sz w:val="24"/>
          <w:szCs w:val="24"/>
        </w:rPr>
        <w:t>d</w:t>
      </w:r>
      <w:r>
        <w:rPr>
          <w:rFonts w:ascii="Times New Roman" w:hAnsi="Times New Roman"/>
          <w:sz w:val="24"/>
          <w:szCs w:val="24"/>
        </w:rPr>
        <w:t xml:space="preserve"> </w:t>
      </w:r>
      <w:r w:rsidR="00B44901">
        <w:rPr>
          <w:rFonts w:ascii="Times New Roman" w:hAnsi="Times New Roman"/>
          <w:sz w:val="24"/>
          <w:szCs w:val="24"/>
        </w:rPr>
        <w:t xml:space="preserve">the </w:t>
      </w:r>
      <w:r w:rsidR="00C30B61">
        <w:rPr>
          <w:rFonts w:ascii="Times New Roman" w:hAnsi="Times New Roman"/>
          <w:sz w:val="24"/>
          <w:szCs w:val="24"/>
        </w:rPr>
        <w:t>responsibility for Policy Implementation</w:t>
      </w:r>
      <w:r w:rsidR="00E775E9">
        <w:rPr>
          <w:rFonts w:ascii="Times New Roman" w:hAnsi="Times New Roman"/>
          <w:sz w:val="24"/>
          <w:szCs w:val="24"/>
        </w:rPr>
        <w:t>, as defined in the Policy</w:t>
      </w:r>
      <w:r>
        <w:rPr>
          <w:rFonts w:ascii="Times New Roman" w:hAnsi="Times New Roman"/>
          <w:sz w:val="24"/>
          <w:szCs w:val="24"/>
        </w:rPr>
        <w:t>.</w:t>
      </w:r>
      <w:r w:rsidR="00BF5113">
        <w:rPr>
          <w:rFonts w:ascii="Times New Roman" w:hAnsi="Times New Roman"/>
          <w:sz w:val="24"/>
          <w:szCs w:val="24"/>
        </w:rPr>
        <w:t xml:space="preserve">  Defined terms in these procedures shall have the meanings given such terms in the “Definitions” section of the Policy</w:t>
      </w:r>
      <w:r w:rsidR="00BB1D53">
        <w:rPr>
          <w:rFonts w:ascii="Times New Roman" w:hAnsi="Times New Roman"/>
          <w:sz w:val="24"/>
          <w:szCs w:val="24"/>
        </w:rPr>
        <w:t>, including the term “Policy,” which when used herein shall mean the Policy and these procedures</w:t>
      </w:r>
      <w:r w:rsidR="00BF5113">
        <w:rPr>
          <w:rFonts w:ascii="Times New Roman" w:hAnsi="Times New Roman"/>
          <w:sz w:val="24"/>
          <w:szCs w:val="24"/>
        </w:rPr>
        <w:t>.</w:t>
      </w:r>
    </w:p>
    <w:tbl>
      <w:tblPr>
        <w:tblW w:w="0" w:type="auto"/>
        <w:tblInd w:w="378" w:type="dxa"/>
        <w:tblLook w:val="04A0" w:firstRow="1" w:lastRow="0" w:firstColumn="1" w:lastColumn="0" w:noHBand="0" w:noVBand="1"/>
      </w:tblPr>
      <w:tblGrid>
        <w:gridCol w:w="625"/>
        <w:gridCol w:w="8357"/>
      </w:tblGrid>
      <w:tr w:rsidR="007A48C2" w:rsidRPr="003B174D" w14:paraId="67204533" w14:textId="77777777" w:rsidTr="009A155E">
        <w:tc>
          <w:tcPr>
            <w:tcW w:w="630" w:type="dxa"/>
          </w:tcPr>
          <w:p w14:paraId="493F3D95" w14:textId="77777777" w:rsidR="007A48C2" w:rsidRPr="009A155E" w:rsidRDefault="007A48C2" w:rsidP="000C6A90">
            <w:pPr>
              <w:pStyle w:val="NoSpacing"/>
              <w:jc w:val="both"/>
              <w:rPr>
                <w:rFonts w:ascii="Times New Roman" w:hAnsi="Times New Roman"/>
                <w:sz w:val="24"/>
                <w:szCs w:val="24"/>
              </w:rPr>
            </w:pPr>
          </w:p>
        </w:tc>
        <w:tc>
          <w:tcPr>
            <w:tcW w:w="8568" w:type="dxa"/>
          </w:tcPr>
          <w:p w14:paraId="1A2A62E2" w14:textId="77777777" w:rsidR="007A48C2" w:rsidRPr="009A155E" w:rsidRDefault="007A48C2" w:rsidP="000C6A90">
            <w:pPr>
              <w:pStyle w:val="NoSpacing"/>
              <w:jc w:val="both"/>
              <w:rPr>
                <w:rFonts w:ascii="Times New Roman" w:hAnsi="Times New Roman"/>
                <w:sz w:val="24"/>
                <w:szCs w:val="24"/>
              </w:rPr>
            </w:pPr>
          </w:p>
        </w:tc>
      </w:tr>
      <w:tr w:rsidR="007A48C2" w:rsidRPr="003B174D" w14:paraId="3EC8DAD6" w14:textId="77777777" w:rsidTr="009A155E">
        <w:tc>
          <w:tcPr>
            <w:tcW w:w="630" w:type="dxa"/>
          </w:tcPr>
          <w:p w14:paraId="5C0BB235" w14:textId="77777777" w:rsidR="007A48C2" w:rsidRPr="009A155E" w:rsidRDefault="007A48C2" w:rsidP="000C6A90">
            <w:pPr>
              <w:pStyle w:val="NoSpacing"/>
              <w:jc w:val="both"/>
              <w:rPr>
                <w:rFonts w:ascii="Times New Roman" w:hAnsi="Times New Roman"/>
                <w:sz w:val="24"/>
                <w:szCs w:val="24"/>
              </w:rPr>
            </w:pPr>
            <w:r w:rsidRPr="009A155E">
              <w:rPr>
                <w:rFonts w:ascii="Times New Roman" w:hAnsi="Times New Roman"/>
                <w:sz w:val="24"/>
                <w:szCs w:val="24"/>
              </w:rPr>
              <w:t>1.</w:t>
            </w:r>
          </w:p>
        </w:tc>
        <w:tc>
          <w:tcPr>
            <w:tcW w:w="8568" w:type="dxa"/>
          </w:tcPr>
          <w:p w14:paraId="47C07EAF" w14:textId="77777777" w:rsidR="007A48C2" w:rsidRPr="0044574A" w:rsidRDefault="007A48C2" w:rsidP="000C6A90">
            <w:pPr>
              <w:pStyle w:val="NoSpacing"/>
              <w:jc w:val="both"/>
              <w:rPr>
                <w:rFonts w:ascii="Times New Roman" w:hAnsi="Times New Roman"/>
                <w:b/>
                <w:sz w:val="24"/>
                <w:szCs w:val="24"/>
              </w:rPr>
            </w:pPr>
            <w:r w:rsidRPr="0044574A">
              <w:rPr>
                <w:rFonts w:ascii="Times New Roman" w:hAnsi="Times New Roman"/>
                <w:b/>
                <w:sz w:val="24"/>
                <w:szCs w:val="24"/>
              </w:rPr>
              <w:t xml:space="preserve">Use of Debt Proceeds / Purpose for Debt. </w:t>
            </w:r>
          </w:p>
        </w:tc>
      </w:tr>
      <w:tr w:rsidR="00147003" w:rsidRPr="003B174D" w14:paraId="62FC3E85" w14:textId="77777777" w:rsidTr="009A155E">
        <w:tc>
          <w:tcPr>
            <w:tcW w:w="630" w:type="dxa"/>
          </w:tcPr>
          <w:p w14:paraId="3A8026B9" w14:textId="77777777" w:rsidR="00147003" w:rsidRPr="009A155E" w:rsidRDefault="00147003" w:rsidP="000C6A90">
            <w:pPr>
              <w:pStyle w:val="NoSpacing"/>
              <w:jc w:val="both"/>
              <w:rPr>
                <w:rFonts w:ascii="Times New Roman" w:hAnsi="Times New Roman"/>
                <w:sz w:val="24"/>
                <w:szCs w:val="24"/>
              </w:rPr>
            </w:pPr>
          </w:p>
        </w:tc>
        <w:tc>
          <w:tcPr>
            <w:tcW w:w="8568" w:type="dxa"/>
          </w:tcPr>
          <w:p w14:paraId="615A5F05" w14:textId="77777777" w:rsidR="00147003" w:rsidRPr="009A155E" w:rsidRDefault="00147003" w:rsidP="000C6A90">
            <w:pPr>
              <w:pStyle w:val="NoSpacing"/>
              <w:jc w:val="both"/>
              <w:rPr>
                <w:rFonts w:ascii="Times New Roman" w:hAnsi="Times New Roman"/>
                <w:sz w:val="24"/>
                <w:szCs w:val="24"/>
              </w:rPr>
            </w:pPr>
          </w:p>
        </w:tc>
      </w:tr>
      <w:tr w:rsidR="0044574A" w:rsidRPr="003B174D" w14:paraId="0CB2A68A" w14:textId="77777777" w:rsidTr="009A155E">
        <w:tc>
          <w:tcPr>
            <w:tcW w:w="630" w:type="dxa"/>
          </w:tcPr>
          <w:p w14:paraId="01F77040" w14:textId="77777777" w:rsidR="0044574A" w:rsidRPr="009A155E" w:rsidRDefault="0044574A" w:rsidP="000C6A90">
            <w:pPr>
              <w:pStyle w:val="NoSpacing"/>
              <w:jc w:val="both"/>
              <w:rPr>
                <w:rFonts w:ascii="Times New Roman" w:hAnsi="Times New Roman"/>
                <w:sz w:val="24"/>
                <w:szCs w:val="24"/>
              </w:rPr>
            </w:pPr>
          </w:p>
        </w:tc>
        <w:tc>
          <w:tcPr>
            <w:tcW w:w="8568" w:type="dxa"/>
          </w:tcPr>
          <w:p w14:paraId="0C9A0B5D" w14:textId="77777777" w:rsidR="0044574A" w:rsidRPr="009A155E" w:rsidRDefault="0044574A" w:rsidP="000C6A90">
            <w:pPr>
              <w:pStyle w:val="NoSpacing"/>
              <w:jc w:val="both"/>
              <w:rPr>
                <w:rFonts w:ascii="Times New Roman" w:hAnsi="Times New Roman"/>
                <w:sz w:val="24"/>
                <w:szCs w:val="24"/>
              </w:rPr>
            </w:pPr>
            <w:r w:rsidRPr="009A155E">
              <w:rPr>
                <w:rFonts w:ascii="Times New Roman" w:hAnsi="Times New Roman"/>
                <w:sz w:val="24"/>
                <w:szCs w:val="24"/>
              </w:rPr>
              <w:t xml:space="preserve">The Trust issues debt to finance loans to governmental units and other eligible borrowers in the Commonwealth to finance water pollution abatement and drinking water projects.  The program, the State Revolving Fund (SRF), is jointly managed with the Massachusetts Department of Environmental Protection (“DEP”) which must approve all projects financed by the Trust.    </w:t>
            </w:r>
          </w:p>
        </w:tc>
      </w:tr>
      <w:tr w:rsidR="007A48C2" w:rsidRPr="003B174D" w14:paraId="724DC9AC" w14:textId="77777777" w:rsidTr="009A155E">
        <w:tc>
          <w:tcPr>
            <w:tcW w:w="630" w:type="dxa"/>
          </w:tcPr>
          <w:p w14:paraId="3CABA5A2" w14:textId="77777777" w:rsidR="007A48C2" w:rsidRPr="009A155E" w:rsidRDefault="007A48C2" w:rsidP="000C6A90">
            <w:pPr>
              <w:pStyle w:val="NoSpacing"/>
              <w:jc w:val="both"/>
              <w:rPr>
                <w:rFonts w:ascii="Times New Roman" w:hAnsi="Times New Roman"/>
                <w:sz w:val="24"/>
                <w:szCs w:val="24"/>
              </w:rPr>
            </w:pPr>
          </w:p>
        </w:tc>
        <w:tc>
          <w:tcPr>
            <w:tcW w:w="8568" w:type="dxa"/>
          </w:tcPr>
          <w:p w14:paraId="1FFE1A90" w14:textId="77777777" w:rsidR="007A48C2" w:rsidRPr="009A155E" w:rsidRDefault="007A48C2" w:rsidP="000C6A90">
            <w:pPr>
              <w:pStyle w:val="NoSpacing"/>
              <w:jc w:val="both"/>
              <w:rPr>
                <w:rFonts w:ascii="Times New Roman" w:hAnsi="Times New Roman"/>
                <w:sz w:val="24"/>
                <w:szCs w:val="24"/>
              </w:rPr>
            </w:pPr>
          </w:p>
        </w:tc>
      </w:tr>
      <w:tr w:rsidR="007A48C2" w:rsidRPr="003B174D" w14:paraId="1F8DD747" w14:textId="77777777" w:rsidTr="009A155E">
        <w:tc>
          <w:tcPr>
            <w:tcW w:w="630" w:type="dxa"/>
          </w:tcPr>
          <w:p w14:paraId="2D3EB0A4" w14:textId="77777777" w:rsidR="007A48C2" w:rsidRPr="009A155E" w:rsidRDefault="007A48C2" w:rsidP="000C6A90">
            <w:pPr>
              <w:pStyle w:val="NoSpacing"/>
              <w:jc w:val="both"/>
              <w:rPr>
                <w:rFonts w:ascii="Times New Roman" w:hAnsi="Times New Roman"/>
                <w:sz w:val="24"/>
                <w:szCs w:val="24"/>
              </w:rPr>
            </w:pPr>
            <w:r w:rsidRPr="009A155E">
              <w:rPr>
                <w:rFonts w:ascii="Times New Roman" w:hAnsi="Times New Roman"/>
                <w:sz w:val="24"/>
                <w:szCs w:val="24"/>
              </w:rPr>
              <w:t>2.</w:t>
            </w:r>
          </w:p>
        </w:tc>
        <w:tc>
          <w:tcPr>
            <w:tcW w:w="8568" w:type="dxa"/>
          </w:tcPr>
          <w:p w14:paraId="590B3F72" w14:textId="77777777" w:rsidR="007A48C2" w:rsidRPr="0044574A" w:rsidRDefault="007A48C2" w:rsidP="000C6A90">
            <w:pPr>
              <w:pStyle w:val="NoSpacing"/>
              <w:jc w:val="both"/>
              <w:rPr>
                <w:rFonts w:ascii="Times New Roman" w:hAnsi="Times New Roman"/>
                <w:b/>
                <w:sz w:val="24"/>
                <w:szCs w:val="24"/>
              </w:rPr>
            </w:pPr>
            <w:r w:rsidRPr="0044574A">
              <w:rPr>
                <w:rFonts w:ascii="Times New Roman" w:hAnsi="Times New Roman"/>
                <w:b/>
                <w:sz w:val="24"/>
                <w:szCs w:val="24"/>
              </w:rPr>
              <w:t>Debt Management Responsibilities; Qualification of Personnel; Training</w:t>
            </w:r>
          </w:p>
        </w:tc>
      </w:tr>
      <w:tr w:rsidR="00147003" w:rsidRPr="003B174D" w14:paraId="74C11C74" w14:textId="77777777" w:rsidTr="009A155E">
        <w:tc>
          <w:tcPr>
            <w:tcW w:w="630" w:type="dxa"/>
          </w:tcPr>
          <w:p w14:paraId="1F88709F" w14:textId="77777777" w:rsidR="00147003" w:rsidRPr="009A155E" w:rsidRDefault="00147003" w:rsidP="000C6A90">
            <w:pPr>
              <w:pStyle w:val="NoSpacing"/>
              <w:jc w:val="both"/>
              <w:rPr>
                <w:rFonts w:ascii="Times New Roman" w:hAnsi="Times New Roman"/>
                <w:sz w:val="24"/>
                <w:szCs w:val="24"/>
              </w:rPr>
            </w:pPr>
          </w:p>
        </w:tc>
        <w:tc>
          <w:tcPr>
            <w:tcW w:w="8568" w:type="dxa"/>
          </w:tcPr>
          <w:p w14:paraId="50555595" w14:textId="77777777" w:rsidR="00147003" w:rsidRPr="009A155E" w:rsidRDefault="00147003" w:rsidP="000C6A90">
            <w:pPr>
              <w:pStyle w:val="NoSpacing"/>
              <w:jc w:val="both"/>
              <w:rPr>
                <w:rFonts w:ascii="Times New Roman" w:hAnsi="Times New Roman"/>
                <w:sz w:val="24"/>
                <w:szCs w:val="24"/>
              </w:rPr>
            </w:pPr>
          </w:p>
        </w:tc>
      </w:tr>
      <w:tr w:rsidR="0044574A" w:rsidRPr="003B174D" w14:paraId="39BA6AAF" w14:textId="77777777" w:rsidTr="009A155E">
        <w:tc>
          <w:tcPr>
            <w:tcW w:w="630" w:type="dxa"/>
          </w:tcPr>
          <w:p w14:paraId="2F6D7A7D" w14:textId="77777777" w:rsidR="0044574A" w:rsidRPr="009A155E" w:rsidRDefault="0044574A" w:rsidP="000C6A90">
            <w:pPr>
              <w:pStyle w:val="NoSpacing"/>
              <w:jc w:val="both"/>
              <w:rPr>
                <w:rFonts w:ascii="Times New Roman" w:hAnsi="Times New Roman"/>
                <w:sz w:val="24"/>
                <w:szCs w:val="24"/>
              </w:rPr>
            </w:pPr>
          </w:p>
        </w:tc>
        <w:tc>
          <w:tcPr>
            <w:tcW w:w="8568" w:type="dxa"/>
          </w:tcPr>
          <w:p w14:paraId="1600DA11" w14:textId="77777777" w:rsidR="0044574A" w:rsidRPr="0044574A" w:rsidRDefault="0044574A" w:rsidP="004D1F38">
            <w:pPr>
              <w:pStyle w:val="NoSpacing"/>
              <w:jc w:val="both"/>
              <w:rPr>
                <w:rFonts w:ascii="Times New Roman" w:hAnsi="Times New Roman"/>
                <w:sz w:val="24"/>
                <w:szCs w:val="24"/>
              </w:rPr>
            </w:pPr>
            <w:r w:rsidRPr="009A155E">
              <w:rPr>
                <w:rFonts w:ascii="Times New Roman" w:hAnsi="Times New Roman"/>
                <w:sz w:val="24"/>
                <w:szCs w:val="24"/>
              </w:rPr>
              <w:t xml:space="preserve">Debt issuance and management </w:t>
            </w:r>
            <w:proofErr w:type="gramStart"/>
            <w:r w:rsidRPr="009A155E">
              <w:rPr>
                <w:rFonts w:ascii="Times New Roman" w:hAnsi="Times New Roman"/>
                <w:sz w:val="24"/>
                <w:szCs w:val="24"/>
              </w:rPr>
              <w:t>is</w:t>
            </w:r>
            <w:proofErr w:type="gramEnd"/>
            <w:r w:rsidRPr="009A155E">
              <w:rPr>
                <w:rFonts w:ascii="Times New Roman" w:hAnsi="Times New Roman"/>
                <w:sz w:val="24"/>
                <w:szCs w:val="24"/>
              </w:rPr>
              <w:t xml:space="preserve"> a core function of the Trust.  The </w:t>
            </w:r>
            <w:r>
              <w:rPr>
                <w:rFonts w:ascii="Times New Roman" w:hAnsi="Times New Roman"/>
                <w:sz w:val="24"/>
                <w:szCs w:val="24"/>
              </w:rPr>
              <w:t>e</w:t>
            </w:r>
            <w:r w:rsidRPr="009A155E">
              <w:rPr>
                <w:rFonts w:ascii="Times New Roman" w:hAnsi="Times New Roman"/>
                <w:sz w:val="24"/>
                <w:szCs w:val="24"/>
              </w:rPr>
              <w:t xml:space="preserve">xecutive </w:t>
            </w:r>
            <w:r>
              <w:rPr>
                <w:rFonts w:ascii="Times New Roman" w:hAnsi="Times New Roman"/>
                <w:sz w:val="24"/>
                <w:szCs w:val="24"/>
              </w:rPr>
              <w:t>d</w:t>
            </w:r>
            <w:r w:rsidRPr="009A155E">
              <w:rPr>
                <w:rFonts w:ascii="Times New Roman" w:hAnsi="Times New Roman"/>
                <w:sz w:val="24"/>
                <w:szCs w:val="24"/>
              </w:rPr>
              <w:t>irector</w:t>
            </w:r>
            <w:r>
              <w:rPr>
                <w:rFonts w:ascii="Times New Roman" w:hAnsi="Times New Roman"/>
                <w:sz w:val="24"/>
                <w:szCs w:val="24"/>
              </w:rPr>
              <w:t xml:space="preserve"> </w:t>
            </w:r>
            <w:r w:rsidRPr="009A155E">
              <w:rPr>
                <w:rFonts w:ascii="Times New Roman" w:hAnsi="Times New Roman"/>
                <w:sz w:val="24"/>
                <w:szCs w:val="24"/>
              </w:rPr>
              <w:t xml:space="preserve">and </w:t>
            </w:r>
            <w:r>
              <w:rPr>
                <w:rFonts w:ascii="Times New Roman" w:hAnsi="Times New Roman"/>
                <w:sz w:val="24"/>
                <w:szCs w:val="24"/>
              </w:rPr>
              <w:t>t</w:t>
            </w:r>
            <w:r w:rsidRPr="009A155E">
              <w:rPr>
                <w:rFonts w:ascii="Times New Roman" w:hAnsi="Times New Roman"/>
                <w:sz w:val="24"/>
                <w:szCs w:val="24"/>
              </w:rPr>
              <w:t>reasurer of the Trust</w:t>
            </w:r>
            <w:r>
              <w:rPr>
                <w:rFonts w:ascii="Times New Roman" w:hAnsi="Times New Roman"/>
                <w:sz w:val="24"/>
                <w:szCs w:val="24"/>
              </w:rPr>
              <w:t xml:space="preserve"> shall have primary responsibility for managing the </w:t>
            </w:r>
            <w:r w:rsidRPr="0044574A">
              <w:rPr>
                <w:rFonts w:ascii="Times New Roman" w:hAnsi="Times New Roman"/>
                <w:sz w:val="24"/>
                <w:szCs w:val="24"/>
              </w:rPr>
              <w:t xml:space="preserve">issuance of </w:t>
            </w:r>
            <w:r>
              <w:rPr>
                <w:rFonts w:ascii="Times New Roman" w:hAnsi="Times New Roman"/>
                <w:sz w:val="24"/>
                <w:szCs w:val="24"/>
              </w:rPr>
              <w:t xml:space="preserve">Trust </w:t>
            </w:r>
            <w:r w:rsidRPr="0044574A">
              <w:rPr>
                <w:rFonts w:ascii="Times New Roman" w:hAnsi="Times New Roman"/>
                <w:sz w:val="24"/>
                <w:szCs w:val="24"/>
              </w:rPr>
              <w:t>debt</w:t>
            </w:r>
            <w:r w:rsidRPr="009A155E">
              <w:rPr>
                <w:rFonts w:ascii="Times New Roman" w:hAnsi="Times New Roman"/>
                <w:sz w:val="24"/>
                <w:szCs w:val="24"/>
              </w:rPr>
              <w:t xml:space="preserve">.  The </w:t>
            </w:r>
            <w:r>
              <w:rPr>
                <w:rFonts w:ascii="Times New Roman" w:hAnsi="Times New Roman"/>
                <w:sz w:val="24"/>
                <w:szCs w:val="24"/>
              </w:rPr>
              <w:t>Trust’s l</w:t>
            </w:r>
            <w:r w:rsidRPr="009A155E">
              <w:rPr>
                <w:rFonts w:ascii="Times New Roman" w:hAnsi="Times New Roman"/>
                <w:sz w:val="24"/>
                <w:szCs w:val="24"/>
              </w:rPr>
              <w:t>ending</w:t>
            </w:r>
            <w:r>
              <w:rPr>
                <w:rFonts w:ascii="Times New Roman" w:hAnsi="Times New Roman"/>
                <w:sz w:val="24"/>
                <w:szCs w:val="24"/>
              </w:rPr>
              <w:t>,</w:t>
            </w:r>
            <w:r w:rsidRPr="009A155E">
              <w:rPr>
                <w:rFonts w:ascii="Times New Roman" w:hAnsi="Times New Roman"/>
                <w:sz w:val="24"/>
                <w:szCs w:val="24"/>
              </w:rPr>
              <w:t xml:space="preserve"> </w:t>
            </w:r>
            <w:r>
              <w:rPr>
                <w:rFonts w:ascii="Times New Roman" w:hAnsi="Times New Roman"/>
                <w:sz w:val="24"/>
                <w:szCs w:val="24"/>
              </w:rPr>
              <w:t>a</w:t>
            </w:r>
            <w:r w:rsidRPr="009A155E">
              <w:rPr>
                <w:rFonts w:ascii="Times New Roman" w:hAnsi="Times New Roman"/>
                <w:sz w:val="24"/>
                <w:szCs w:val="24"/>
              </w:rPr>
              <w:t>ccounting</w:t>
            </w:r>
            <w:r>
              <w:rPr>
                <w:rFonts w:ascii="Times New Roman" w:hAnsi="Times New Roman"/>
                <w:sz w:val="24"/>
                <w:szCs w:val="24"/>
              </w:rPr>
              <w:t>, and legal</w:t>
            </w:r>
            <w:r w:rsidRPr="009A155E">
              <w:rPr>
                <w:rFonts w:ascii="Times New Roman" w:hAnsi="Times New Roman"/>
                <w:sz w:val="24"/>
                <w:szCs w:val="24"/>
              </w:rPr>
              <w:t xml:space="preserve"> groups </w:t>
            </w:r>
            <w:r>
              <w:rPr>
                <w:rFonts w:ascii="Times New Roman" w:hAnsi="Times New Roman"/>
                <w:sz w:val="24"/>
                <w:szCs w:val="24"/>
              </w:rPr>
              <w:t>sha</w:t>
            </w:r>
            <w:r w:rsidRPr="009A155E">
              <w:rPr>
                <w:rFonts w:ascii="Times New Roman" w:hAnsi="Times New Roman"/>
                <w:sz w:val="24"/>
                <w:szCs w:val="24"/>
              </w:rPr>
              <w:t xml:space="preserve">ll also play </w:t>
            </w:r>
            <w:r>
              <w:rPr>
                <w:rFonts w:ascii="Times New Roman" w:hAnsi="Times New Roman"/>
                <w:sz w:val="24"/>
                <w:szCs w:val="24"/>
              </w:rPr>
              <w:t xml:space="preserve">key </w:t>
            </w:r>
            <w:r w:rsidRPr="009A155E">
              <w:rPr>
                <w:rFonts w:ascii="Times New Roman" w:hAnsi="Times New Roman"/>
                <w:sz w:val="24"/>
                <w:szCs w:val="24"/>
              </w:rPr>
              <w:t>role</w:t>
            </w:r>
            <w:r>
              <w:rPr>
                <w:rFonts w:ascii="Times New Roman" w:hAnsi="Times New Roman"/>
                <w:sz w:val="24"/>
                <w:szCs w:val="24"/>
              </w:rPr>
              <w:t>s</w:t>
            </w:r>
            <w:r w:rsidRPr="009A155E">
              <w:rPr>
                <w:rFonts w:ascii="Times New Roman" w:hAnsi="Times New Roman"/>
                <w:sz w:val="24"/>
                <w:szCs w:val="24"/>
              </w:rPr>
              <w:t xml:space="preserve"> in the issuance</w:t>
            </w:r>
            <w:r>
              <w:rPr>
                <w:rFonts w:ascii="Times New Roman" w:hAnsi="Times New Roman"/>
                <w:sz w:val="24"/>
                <w:szCs w:val="24"/>
              </w:rPr>
              <w:t xml:space="preserve">, </w:t>
            </w:r>
            <w:r w:rsidRPr="009A155E">
              <w:rPr>
                <w:rFonts w:ascii="Times New Roman" w:hAnsi="Times New Roman"/>
                <w:sz w:val="24"/>
                <w:szCs w:val="24"/>
              </w:rPr>
              <w:t>management</w:t>
            </w:r>
            <w:r>
              <w:rPr>
                <w:rFonts w:ascii="Times New Roman" w:hAnsi="Times New Roman"/>
                <w:sz w:val="24"/>
                <w:szCs w:val="24"/>
              </w:rPr>
              <w:t>, and follow-up responsibilities related to the issuance o</w:t>
            </w:r>
            <w:r w:rsidRPr="009A155E">
              <w:rPr>
                <w:rFonts w:ascii="Times New Roman" w:hAnsi="Times New Roman"/>
                <w:sz w:val="24"/>
                <w:szCs w:val="24"/>
              </w:rPr>
              <w:t xml:space="preserve">f </w:t>
            </w:r>
            <w:r>
              <w:rPr>
                <w:rFonts w:ascii="Times New Roman" w:hAnsi="Times New Roman"/>
                <w:sz w:val="24"/>
                <w:szCs w:val="24"/>
              </w:rPr>
              <w:t>debt</w:t>
            </w:r>
            <w:r w:rsidRPr="009A155E">
              <w:rPr>
                <w:rFonts w:ascii="Times New Roman" w:hAnsi="Times New Roman"/>
                <w:sz w:val="24"/>
                <w:szCs w:val="24"/>
              </w:rPr>
              <w:t xml:space="preserve">.  The </w:t>
            </w:r>
            <w:r w:rsidR="004D1F38">
              <w:rPr>
                <w:rFonts w:ascii="Times New Roman" w:hAnsi="Times New Roman"/>
                <w:sz w:val="24"/>
                <w:szCs w:val="24"/>
              </w:rPr>
              <w:t>t</w:t>
            </w:r>
            <w:r w:rsidRPr="009A155E">
              <w:rPr>
                <w:rFonts w:ascii="Times New Roman" w:hAnsi="Times New Roman"/>
                <w:sz w:val="24"/>
                <w:szCs w:val="24"/>
              </w:rPr>
              <w:t xml:space="preserve">reasury department of the Trust is responsible for coordinating the repayment of Trust bonds.  </w:t>
            </w:r>
          </w:p>
        </w:tc>
      </w:tr>
      <w:tr w:rsidR="0044574A" w:rsidRPr="003B174D" w14:paraId="6D87C901" w14:textId="77777777" w:rsidTr="009A155E">
        <w:tc>
          <w:tcPr>
            <w:tcW w:w="630" w:type="dxa"/>
          </w:tcPr>
          <w:p w14:paraId="3F9B915E" w14:textId="77777777" w:rsidR="0044574A" w:rsidRPr="009A155E" w:rsidRDefault="0044574A" w:rsidP="000C6A90">
            <w:pPr>
              <w:pStyle w:val="NoSpacing"/>
              <w:jc w:val="both"/>
              <w:rPr>
                <w:rFonts w:ascii="Times New Roman" w:hAnsi="Times New Roman"/>
                <w:sz w:val="24"/>
                <w:szCs w:val="24"/>
              </w:rPr>
            </w:pPr>
          </w:p>
        </w:tc>
        <w:tc>
          <w:tcPr>
            <w:tcW w:w="8568" w:type="dxa"/>
          </w:tcPr>
          <w:p w14:paraId="4E249C2A" w14:textId="77777777" w:rsidR="0044574A" w:rsidRPr="009A155E" w:rsidRDefault="0044574A" w:rsidP="000C6A90">
            <w:pPr>
              <w:pStyle w:val="NoSpacing"/>
              <w:jc w:val="both"/>
              <w:rPr>
                <w:rFonts w:ascii="Times New Roman" w:hAnsi="Times New Roman"/>
                <w:sz w:val="24"/>
                <w:szCs w:val="24"/>
              </w:rPr>
            </w:pPr>
          </w:p>
        </w:tc>
      </w:tr>
      <w:tr w:rsidR="0044574A" w:rsidRPr="003B174D" w14:paraId="349EC2EF" w14:textId="77777777" w:rsidTr="009A155E">
        <w:tc>
          <w:tcPr>
            <w:tcW w:w="630" w:type="dxa"/>
          </w:tcPr>
          <w:p w14:paraId="0D370BB9" w14:textId="77777777" w:rsidR="0044574A" w:rsidRPr="009A155E" w:rsidRDefault="0044574A" w:rsidP="000C6A90">
            <w:pPr>
              <w:pStyle w:val="NoSpacing"/>
              <w:jc w:val="both"/>
              <w:rPr>
                <w:rFonts w:ascii="Times New Roman" w:hAnsi="Times New Roman"/>
                <w:sz w:val="24"/>
                <w:szCs w:val="24"/>
              </w:rPr>
            </w:pPr>
          </w:p>
        </w:tc>
        <w:tc>
          <w:tcPr>
            <w:tcW w:w="8568" w:type="dxa"/>
          </w:tcPr>
          <w:p w14:paraId="13C98277" w14:textId="77777777" w:rsidR="0044574A" w:rsidRPr="009A155E" w:rsidRDefault="0044574A" w:rsidP="00DC534B">
            <w:pPr>
              <w:pStyle w:val="NoSpacing"/>
              <w:jc w:val="both"/>
              <w:rPr>
                <w:rFonts w:ascii="Times New Roman" w:hAnsi="Times New Roman"/>
                <w:sz w:val="24"/>
                <w:szCs w:val="24"/>
              </w:rPr>
            </w:pPr>
            <w:r w:rsidRPr="009A155E">
              <w:rPr>
                <w:rFonts w:ascii="Times New Roman" w:hAnsi="Times New Roman"/>
                <w:sz w:val="24"/>
                <w:szCs w:val="24"/>
              </w:rPr>
              <w:t xml:space="preserve">Knowledge of municipal finance is a primary </w:t>
            </w:r>
            <w:r>
              <w:rPr>
                <w:rFonts w:ascii="Times New Roman" w:hAnsi="Times New Roman"/>
                <w:sz w:val="24"/>
                <w:szCs w:val="24"/>
              </w:rPr>
              <w:t>responsibility</w:t>
            </w:r>
            <w:r w:rsidRPr="009A155E">
              <w:rPr>
                <w:rFonts w:ascii="Times New Roman" w:hAnsi="Times New Roman"/>
                <w:sz w:val="24"/>
                <w:szCs w:val="24"/>
              </w:rPr>
              <w:t xml:space="preserve"> of the </w:t>
            </w:r>
            <w:r>
              <w:rPr>
                <w:rFonts w:ascii="Times New Roman" w:hAnsi="Times New Roman"/>
                <w:sz w:val="24"/>
                <w:szCs w:val="24"/>
              </w:rPr>
              <w:t>e</w:t>
            </w:r>
            <w:r w:rsidRPr="009A155E">
              <w:rPr>
                <w:rFonts w:ascii="Times New Roman" w:hAnsi="Times New Roman"/>
                <w:sz w:val="24"/>
                <w:szCs w:val="24"/>
              </w:rPr>
              <w:t xml:space="preserve">xecutive </w:t>
            </w:r>
            <w:r>
              <w:rPr>
                <w:rFonts w:ascii="Times New Roman" w:hAnsi="Times New Roman"/>
                <w:sz w:val="24"/>
                <w:szCs w:val="24"/>
              </w:rPr>
              <w:t>d</w:t>
            </w:r>
            <w:r w:rsidRPr="009A155E">
              <w:rPr>
                <w:rFonts w:ascii="Times New Roman" w:hAnsi="Times New Roman"/>
                <w:sz w:val="24"/>
                <w:szCs w:val="24"/>
              </w:rPr>
              <w:t>irector</w:t>
            </w:r>
            <w:r>
              <w:rPr>
                <w:rFonts w:ascii="Times New Roman" w:hAnsi="Times New Roman"/>
                <w:sz w:val="24"/>
                <w:szCs w:val="24"/>
              </w:rPr>
              <w:t>,</w:t>
            </w:r>
            <w:r w:rsidRPr="009A155E">
              <w:rPr>
                <w:rFonts w:ascii="Times New Roman" w:hAnsi="Times New Roman"/>
                <w:sz w:val="24"/>
                <w:szCs w:val="24"/>
              </w:rPr>
              <w:t xml:space="preserve"> the </w:t>
            </w:r>
            <w:r>
              <w:rPr>
                <w:rFonts w:ascii="Times New Roman" w:hAnsi="Times New Roman"/>
                <w:sz w:val="24"/>
                <w:szCs w:val="24"/>
              </w:rPr>
              <w:t>t</w:t>
            </w:r>
            <w:r w:rsidRPr="009A155E">
              <w:rPr>
                <w:rFonts w:ascii="Times New Roman" w:hAnsi="Times New Roman"/>
                <w:sz w:val="24"/>
                <w:szCs w:val="24"/>
              </w:rPr>
              <w:t>reasurer</w:t>
            </w:r>
            <w:r>
              <w:rPr>
                <w:rFonts w:ascii="Times New Roman" w:hAnsi="Times New Roman"/>
                <w:sz w:val="24"/>
                <w:szCs w:val="24"/>
              </w:rPr>
              <w:t xml:space="preserve">, and the general counsel of the Trust who, along with other staff members, as appropriate, shall </w:t>
            </w:r>
            <w:r w:rsidRPr="009A155E">
              <w:rPr>
                <w:rFonts w:ascii="Times New Roman" w:hAnsi="Times New Roman"/>
                <w:sz w:val="24"/>
                <w:szCs w:val="24"/>
              </w:rPr>
              <w:t xml:space="preserve">participate in </w:t>
            </w:r>
            <w:r>
              <w:rPr>
                <w:rFonts w:ascii="Times New Roman" w:hAnsi="Times New Roman"/>
                <w:sz w:val="24"/>
                <w:szCs w:val="24"/>
              </w:rPr>
              <w:t xml:space="preserve">related </w:t>
            </w:r>
            <w:r w:rsidRPr="009A155E">
              <w:rPr>
                <w:rFonts w:ascii="Times New Roman" w:hAnsi="Times New Roman"/>
                <w:sz w:val="24"/>
                <w:szCs w:val="24"/>
              </w:rPr>
              <w:t xml:space="preserve">continuing education and training to support their professional development.  </w:t>
            </w:r>
            <w:r>
              <w:rPr>
                <w:rFonts w:ascii="Times New Roman" w:hAnsi="Times New Roman"/>
                <w:sz w:val="24"/>
                <w:szCs w:val="24"/>
              </w:rPr>
              <w:t xml:space="preserve">The Trust currently supports staff in relevant programs provided by the Council of Infrastructure </w:t>
            </w:r>
            <w:r w:rsidR="004A08E6">
              <w:rPr>
                <w:rFonts w:ascii="Times New Roman" w:hAnsi="Times New Roman"/>
                <w:sz w:val="24"/>
                <w:szCs w:val="24"/>
              </w:rPr>
              <w:t>Financing</w:t>
            </w:r>
            <w:r>
              <w:rPr>
                <w:rFonts w:ascii="Times New Roman" w:hAnsi="Times New Roman"/>
                <w:sz w:val="24"/>
                <w:szCs w:val="24"/>
              </w:rPr>
              <w:t xml:space="preserve"> Authorities and the National Association of Bond </w:t>
            </w:r>
            <w:r w:rsidR="00DC534B">
              <w:rPr>
                <w:rFonts w:ascii="Times New Roman" w:hAnsi="Times New Roman"/>
                <w:sz w:val="24"/>
                <w:szCs w:val="24"/>
              </w:rPr>
              <w:t>Lawyers</w:t>
            </w:r>
            <w:r>
              <w:rPr>
                <w:rFonts w:ascii="Times New Roman" w:hAnsi="Times New Roman"/>
                <w:sz w:val="24"/>
                <w:szCs w:val="24"/>
              </w:rPr>
              <w:t xml:space="preserve">.  The Trust also </w:t>
            </w:r>
            <w:r w:rsidR="00EA7CBC">
              <w:rPr>
                <w:rFonts w:ascii="Times New Roman" w:hAnsi="Times New Roman"/>
                <w:sz w:val="24"/>
                <w:szCs w:val="24"/>
              </w:rPr>
              <w:t>supports</w:t>
            </w:r>
            <w:r>
              <w:rPr>
                <w:rFonts w:ascii="Times New Roman" w:hAnsi="Times New Roman"/>
                <w:sz w:val="24"/>
                <w:szCs w:val="24"/>
              </w:rPr>
              <w:t xml:space="preserve"> staff </w:t>
            </w:r>
            <w:r w:rsidR="00EA7CBC">
              <w:rPr>
                <w:rFonts w:ascii="Times New Roman" w:hAnsi="Times New Roman"/>
                <w:sz w:val="24"/>
                <w:szCs w:val="24"/>
              </w:rPr>
              <w:t xml:space="preserve">participation </w:t>
            </w:r>
            <w:r>
              <w:rPr>
                <w:rFonts w:ascii="Times New Roman" w:hAnsi="Times New Roman"/>
                <w:sz w:val="24"/>
                <w:szCs w:val="24"/>
              </w:rPr>
              <w:t xml:space="preserve">in various local programs provided by </w:t>
            </w:r>
            <w:proofErr w:type="gramStart"/>
            <w:r w:rsidR="00EA7CBC">
              <w:rPr>
                <w:rFonts w:ascii="Times New Roman" w:hAnsi="Times New Roman"/>
                <w:sz w:val="24"/>
                <w:szCs w:val="24"/>
              </w:rPr>
              <w:t>Region</w:t>
            </w:r>
            <w:proofErr w:type="gramEnd"/>
            <w:r w:rsidR="00EA7CBC">
              <w:rPr>
                <w:rFonts w:ascii="Times New Roman" w:hAnsi="Times New Roman"/>
                <w:sz w:val="24"/>
                <w:szCs w:val="24"/>
              </w:rPr>
              <w:t xml:space="preserve"> 1 of the </w:t>
            </w:r>
            <w:r w:rsidR="00F523C7">
              <w:rPr>
                <w:rFonts w:ascii="Times New Roman" w:hAnsi="Times New Roman"/>
                <w:sz w:val="24"/>
                <w:szCs w:val="24"/>
              </w:rPr>
              <w:t xml:space="preserve">United States </w:t>
            </w:r>
            <w:r w:rsidR="00EA7CBC">
              <w:rPr>
                <w:rFonts w:ascii="Times New Roman" w:hAnsi="Times New Roman"/>
                <w:sz w:val="24"/>
                <w:szCs w:val="24"/>
              </w:rPr>
              <w:t>Environmental Protection Agency</w:t>
            </w:r>
            <w:r w:rsidR="00F523C7">
              <w:rPr>
                <w:rFonts w:ascii="Times New Roman" w:hAnsi="Times New Roman"/>
                <w:sz w:val="24"/>
                <w:szCs w:val="24"/>
              </w:rPr>
              <w:t xml:space="preserve"> (the “EPA”) </w:t>
            </w:r>
            <w:r>
              <w:rPr>
                <w:rFonts w:ascii="Times New Roman" w:hAnsi="Times New Roman"/>
                <w:sz w:val="24"/>
                <w:szCs w:val="24"/>
              </w:rPr>
              <w:t>and commonwealth agencies and departments.</w:t>
            </w:r>
          </w:p>
        </w:tc>
      </w:tr>
      <w:tr w:rsidR="00EA7CBC" w:rsidRPr="003B174D" w14:paraId="667861BE" w14:textId="77777777" w:rsidTr="009A155E">
        <w:tc>
          <w:tcPr>
            <w:tcW w:w="630" w:type="dxa"/>
          </w:tcPr>
          <w:p w14:paraId="49A90B0A" w14:textId="77777777" w:rsidR="00EA7CBC" w:rsidRPr="009A155E" w:rsidRDefault="00EA7CBC" w:rsidP="000C6A90">
            <w:pPr>
              <w:pStyle w:val="NoSpacing"/>
              <w:jc w:val="both"/>
              <w:rPr>
                <w:rFonts w:ascii="Times New Roman" w:hAnsi="Times New Roman"/>
                <w:sz w:val="24"/>
                <w:szCs w:val="24"/>
              </w:rPr>
            </w:pPr>
          </w:p>
        </w:tc>
        <w:tc>
          <w:tcPr>
            <w:tcW w:w="8568" w:type="dxa"/>
          </w:tcPr>
          <w:p w14:paraId="75194BA8" w14:textId="77777777" w:rsidR="00EA7CBC" w:rsidRPr="009A155E" w:rsidRDefault="00EA7CBC" w:rsidP="0044574A">
            <w:pPr>
              <w:pStyle w:val="NoSpacing"/>
              <w:jc w:val="both"/>
              <w:rPr>
                <w:rFonts w:ascii="Times New Roman" w:hAnsi="Times New Roman"/>
                <w:sz w:val="24"/>
                <w:szCs w:val="24"/>
              </w:rPr>
            </w:pPr>
          </w:p>
        </w:tc>
      </w:tr>
      <w:tr w:rsidR="0044574A" w:rsidRPr="003B174D" w14:paraId="1114C647" w14:textId="77777777" w:rsidTr="009A155E">
        <w:tc>
          <w:tcPr>
            <w:tcW w:w="630" w:type="dxa"/>
          </w:tcPr>
          <w:p w14:paraId="334A9DA6" w14:textId="77777777" w:rsidR="0044574A" w:rsidRPr="009A155E" w:rsidRDefault="0044574A" w:rsidP="000C6A90">
            <w:pPr>
              <w:pStyle w:val="NoSpacing"/>
              <w:jc w:val="both"/>
              <w:rPr>
                <w:rFonts w:ascii="Times New Roman" w:hAnsi="Times New Roman"/>
                <w:sz w:val="24"/>
                <w:szCs w:val="24"/>
              </w:rPr>
            </w:pPr>
          </w:p>
        </w:tc>
        <w:tc>
          <w:tcPr>
            <w:tcW w:w="8568" w:type="dxa"/>
          </w:tcPr>
          <w:p w14:paraId="508ECB29" w14:textId="77777777" w:rsidR="0044574A" w:rsidRPr="0044574A" w:rsidRDefault="0044574A" w:rsidP="00BB1D53">
            <w:pPr>
              <w:pStyle w:val="NoSpacing"/>
              <w:jc w:val="both"/>
              <w:rPr>
                <w:rFonts w:ascii="Times New Roman" w:hAnsi="Times New Roman"/>
                <w:b/>
                <w:sz w:val="24"/>
                <w:szCs w:val="24"/>
              </w:rPr>
            </w:pPr>
            <w:r w:rsidRPr="00EA7CBC">
              <w:rPr>
                <w:rFonts w:ascii="Times New Roman" w:hAnsi="Times New Roman"/>
                <w:sz w:val="24"/>
                <w:szCs w:val="24"/>
                <w:u w:val="single"/>
              </w:rPr>
              <w:t>Board of Trustees</w:t>
            </w:r>
            <w:r w:rsidRPr="009A155E">
              <w:rPr>
                <w:rFonts w:ascii="Times New Roman" w:hAnsi="Times New Roman"/>
                <w:sz w:val="24"/>
                <w:szCs w:val="24"/>
              </w:rPr>
              <w:t>.  The ultimate responsibility for th</w:t>
            </w:r>
            <w:r w:rsidR="004A08E6">
              <w:rPr>
                <w:rFonts w:ascii="Times New Roman" w:hAnsi="Times New Roman"/>
                <w:sz w:val="24"/>
                <w:szCs w:val="24"/>
              </w:rPr>
              <w:t>e</w:t>
            </w:r>
            <w:r w:rsidRPr="009A155E">
              <w:rPr>
                <w:rFonts w:ascii="Times New Roman" w:hAnsi="Times New Roman"/>
                <w:sz w:val="24"/>
                <w:szCs w:val="24"/>
              </w:rPr>
              <w:t xml:space="preserve"> Policy rests with the </w:t>
            </w:r>
            <w:r w:rsidR="004A08E6">
              <w:rPr>
                <w:rFonts w:ascii="Times New Roman" w:hAnsi="Times New Roman"/>
                <w:sz w:val="24"/>
                <w:szCs w:val="24"/>
              </w:rPr>
              <w:t>B</w:t>
            </w:r>
            <w:r w:rsidRPr="009A155E">
              <w:rPr>
                <w:rFonts w:ascii="Times New Roman" w:hAnsi="Times New Roman"/>
                <w:sz w:val="24"/>
                <w:szCs w:val="24"/>
              </w:rPr>
              <w:t xml:space="preserve">oard.  The </w:t>
            </w:r>
            <w:r w:rsidR="004A08E6">
              <w:rPr>
                <w:rFonts w:ascii="Times New Roman" w:hAnsi="Times New Roman"/>
                <w:sz w:val="24"/>
                <w:szCs w:val="24"/>
              </w:rPr>
              <w:t>B</w:t>
            </w:r>
            <w:r w:rsidRPr="009A155E">
              <w:rPr>
                <w:rFonts w:ascii="Times New Roman" w:hAnsi="Times New Roman"/>
                <w:sz w:val="24"/>
                <w:szCs w:val="24"/>
              </w:rPr>
              <w:t>oard review</w:t>
            </w:r>
            <w:r w:rsidR="00EA7CBC">
              <w:rPr>
                <w:rFonts w:ascii="Times New Roman" w:hAnsi="Times New Roman"/>
                <w:sz w:val="24"/>
                <w:szCs w:val="24"/>
              </w:rPr>
              <w:t>s</w:t>
            </w:r>
            <w:r w:rsidRPr="009A155E">
              <w:rPr>
                <w:rFonts w:ascii="Times New Roman" w:hAnsi="Times New Roman"/>
                <w:sz w:val="24"/>
                <w:szCs w:val="24"/>
              </w:rPr>
              <w:t xml:space="preserve"> and approve</w:t>
            </w:r>
            <w:r w:rsidR="00EA7CBC">
              <w:rPr>
                <w:rFonts w:ascii="Times New Roman" w:hAnsi="Times New Roman"/>
                <w:sz w:val="24"/>
                <w:szCs w:val="24"/>
              </w:rPr>
              <w:t>s</w:t>
            </w:r>
            <w:r w:rsidRPr="009A155E">
              <w:rPr>
                <w:rFonts w:ascii="Times New Roman" w:hAnsi="Times New Roman"/>
                <w:sz w:val="24"/>
                <w:szCs w:val="24"/>
              </w:rPr>
              <w:t xml:space="preserve"> </w:t>
            </w:r>
            <w:r>
              <w:rPr>
                <w:rFonts w:ascii="Times New Roman" w:hAnsi="Times New Roman"/>
                <w:sz w:val="24"/>
                <w:szCs w:val="24"/>
              </w:rPr>
              <w:t>the P</w:t>
            </w:r>
            <w:r w:rsidRPr="009A155E">
              <w:rPr>
                <w:rFonts w:ascii="Times New Roman" w:hAnsi="Times New Roman"/>
                <w:sz w:val="24"/>
                <w:szCs w:val="24"/>
              </w:rPr>
              <w:t>olicy</w:t>
            </w:r>
            <w:r w:rsidR="00EA7CBC">
              <w:rPr>
                <w:rFonts w:ascii="Times New Roman" w:hAnsi="Times New Roman"/>
                <w:sz w:val="24"/>
                <w:szCs w:val="24"/>
              </w:rPr>
              <w:t>, and any revisions proposed by the executive director,</w:t>
            </w:r>
            <w:r>
              <w:rPr>
                <w:rFonts w:ascii="Times New Roman" w:hAnsi="Times New Roman"/>
                <w:sz w:val="24"/>
                <w:szCs w:val="24"/>
              </w:rPr>
              <w:t xml:space="preserve"> </w:t>
            </w:r>
            <w:r w:rsidRPr="009A155E">
              <w:rPr>
                <w:rFonts w:ascii="Times New Roman" w:hAnsi="Times New Roman"/>
                <w:sz w:val="24"/>
                <w:szCs w:val="24"/>
              </w:rPr>
              <w:t>in connection with the</w:t>
            </w:r>
            <w:r>
              <w:rPr>
                <w:rFonts w:ascii="Times New Roman" w:hAnsi="Times New Roman"/>
                <w:sz w:val="24"/>
                <w:szCs w:val="24"/>
              </w:rPr>
              <w:t xml:space="preserve"> bi-annual submission of the Policy to the Finance and Governance Board</w:t>
            </w:r>
            <w:r w:rsidR="00EA7CBC">
              <w:rPr>
                <w:rFonts w:ascii="Times New Roman" w:hAnsi="Times New Roman"/>
                <w:sz w:val="24"/>
                <w:szCs w:val="24"/>
              </w:rPr>
              <w:t xml:space="preserve"> </w:t>
            </w:r>
            <w:r w:rsidR="004A08E6">
              <w:rPr>
                <w:rFonts w:ascii="Times New Roman" w:hAnsi="Times New Roman"/>
                <w:sz w:val="24"/>
                <w:szCs w:val="24"/>
              </w:rPr>
              <w:t>or</w:t>
            </w:r>
            <w:r w:rsidR="00EA7CBC">
              <w:rPr>
                <w:rFonts w:ascii="Times New Roman" w:hAnsi="Times New Roman"/>
                <w:sz w:val="24"/>
                <w:szCs w:val="24"/>
              </w:rPr>
              <w:t xml:space="preserve"> other time</w:t>
            </w:r>
            <w:r w:rsidR="004A08E6">
              <w:rPr>
                <w:rFonts w:ascii="Times New Roman" w:hAnsi="Times New Roman"/>
                <w:sz w:val="24"/>
                <w:szCs w:val="24"/>
              </w:rPr>
              <w:t>s</w:t>
            </w:r>
            <w:r w:rsidR="00EA7CBC">
              <w:rPr>
                <w:rFonts w:ascii="Times New Roman" w:hAnsi="Times New Roman"/>
                <w:sz w:val="24"/>
                <w:szCs w:val="24"/>
              </w:rPr>
              <w:t xml:space="preserve"> that the executive director proposes revisions</w:t>
            </w:r>
            <w:r w:rsidRPr="009A155E">
              <w:rPr>
                <w:rFonts w:ascii="Times New Roman" w:hAnsi="Times New Roman"/>
                <w:sz w:val="24"/>
                <w:szCs w:val="24"/>
              </w:rPr>
              <w:t xml:space="preserve">.  </w:t>
            </w:r>
          </w:p>
        </w:tc>
      </w:tr>
      <w:tr w:rsidR="00EA7CBC" w:rsidRPr="003B174D" w14:paraId="09BF8764" w14:textId="77777777" w:rsidTr="009A155E">
        <w:tc>
          <w:tcPr>
            <w:tcW w:w="630" w:type="dxa"/>
          </w:tcPr>
          <w:p w14:paraId="65075839" w14:textId="77777777" w:rsidR="00EA7CBC" w:rsidRPr="009A155E" w:rsidRDefault="00EA7CBC" w:rsidP="000C6A90">
            <w:pPr>
              <w:pStyle w:val="NoSpacing"/>
              <w:jc w:val="both"/>
              <w:rPr>
                <w:rFonts w:ascii="Times New Roman" w:hAnsi="Times New Roman"/>
                <w:sz w:val="24"/>
                <w:szCs w:val="24"/>
              </w:rPr>
            </w:pPr>
          </w:p>
        </w:tc>
        <w:tc>
          <w:tcPr>
            <w:tcW w:w="8568" w:type="dxa"/>
          </w:tcPr>
          <w:p w14:paraId="65D07904" w14:textId="77777777" w:rsidR="00EA7CBC" w:rsidRPr="009A155E" w:rsidRDefault="00EA7CBC" w:rsidP="00EA7CBC">
            <w:pPr>
              <w:pStyle w:val="NoSpacing"/>
              <w:jc w:val="both"/>
              <w:rPr>
                <w:rFonts w:ascii="Times New Roman" w:hAnsi="Times New Roman"/>
                <w:sz w:val="24"/>
                <w:szCs w:val="24"/>
              </w:rPr>
            </w:pPr>
          </w:p>
        </w:tc>
      </w:tr>
      <w:tr w:rsidR="00EA7CBC" w:rsidRPr="003B174D" w14:paraId="62EBE136" w14:textId="77777777" w:rsidTr="009A155E">
        <w:tc>
          <w:tcPr>
            <w:tcW w:w="630" w:type="dxa"/>
          </w:tcPr>
          <w:p w14:paraId="13B9C140" w14:textId="77777777" w:rsidR="00EA7CBC" w:rsidRPr="009A155E" w:rsidRDefault="00EA7CBC" w:rsidP="000C6A90">
            <w:pPr>
              <w:pStyle w:val="NoSpacing"/>
              <w:jc w:val="both"/>
              <w:rPr>
                <w:rFonts w:ascii="Times New Roman" w:hAnsi="Times New Roman"/>
                <w:sz w:val="24"/>
                <w:szCs w:val="24"/>
              </w:rPr>
            </w:pPr>
          </w:p>
        </w:tc>
        <w:tc>
          <w:tcPr>
            <w:tcW w:w="8568" w:type="dxa"/>
          </w:tcPr>
          <w:p w14:paraId="58377762" w14:textId="77777777" w:rsidR="00EA7CBC" w:rsidRPr="009A155E" w:rsidRDefault="00EA7CBC" w:rsidP="004A08E6">
            <w:pPr>
              <w:pStyle w:val="NoSpacing"/>
              <w:jc w:val="both"/>
              <w:rPr>
                <w:rFonts w:ascii="Times New Roman" w:hAnsi="Times New Roman"/>
                <w:sz w:val="24"/>
                <w:szCs w:val="24"/>
              </w:rPr>
            </w:pPr>
            <w:r w:rsidRPr="00EA7CBC">
              <w:rPr>
                <w:rFonts w:ascii="Times New Roman" w:hAnsi="Times New Roman"/>
                <w:sz w:val="24"/>
                <w:szCs w:val="24"/>
                <w:u w:val="single"/>
              </w:rPr>
              <w:t>Executive Director</w:t>
            </w:r>
            <w:r>
              <w:rPr>
                <w:rFonts w:ascii="Times New Roman" w:hAnsi="Times New Roman"/>
                <w:sz w:val="24"/>
                <w:szCs w:val="24"/>
              </w:rPr>
              <w:t>.  By its adoption of the</w:t>
            </w:r>
            <w:r w:rsidRPr="009A155E">
              <w:rPr>
                <w:rFonts w:ascii="Times New Roman" w:hAnsi="Times New Roman"/>
                <w:sz w:val="24"/>
                <w:szCs w:val="24"/>
              </w:rPr>
              <w:t xml:space="preserve"> Policy, the </w:t>
            </w:r>
            <w:r w:rsidR="004A08E6">
              <w:rPr>
                <w:rFonts w:ascii="Times New Roman" w:hAnsi="Times New Roman"/>
                <w:sz w:val="24"/>
                <w:szCs w:val="24"/>
              </w:rPr>
              <w:t>B</w:t>
            </w:r>
            <w:r w:rsidRPr="009A155E">
              <w:rPr>
                <w:rFonts w:ascii="Times New Roman" w:hAnsi="Times New Roman"/>
                <w:sz w:val="24"/>
                <w:szCs w:val="24"/>
              </w:rPr>
              <w:t xml:space="preserve">oard </w:t>
            </w:r>
            <w:r>
              <w:rPr>
                <w:rFonts w:ascii="Times New Roman" w:hAnsi="Times New Roman"/>
                <w:sz w:val="24"/>
                <w:szCs w:val="24"/>
              </w:rPr>
              <w:t xml:space="preserve">has </w:t>
            </w:r>
            <w:r w:rsidRPr="009A155E">
              <w:rPr>
                <w:rFonts w:ascii="Times New Roman" w:hAnsi="Times New Roman"/>
                <w:sz w:val="24"/>
                <w:szCs w:val="24"/>
              </w:rPr>
              <w:t>delegate</w:t>
            </w:r>
            <w:r>
              <w:rPr>
                <w:rFonts w:ascii="Times New Roman" w:hAnsi="Times New Roman"/>
                <w:sz w:val="24"/>
                <w:szCs w:val="24"/>
              </w:rPr>
              <w:t>d</w:t>
            </w:r>
            <w:r w:rsidRPr="009A155E">
              <w:rPr>
                <w:rFonts w:ascii="Times New Roman" w:hAnsi="Times New Roman"/>
                <w:sz w:val="24"/>
                <w:szCs w:val="24"/>
              </w:rPr>
              <w:t xml:space="preserve"> to the executive director </w:t>
            </w:r>
            <w:r>
              <w:rPr>
                <w:rFonts w:ascii="Times New Roman" w:hAnsi="Times New Roman"/>
                <w:sz w:val="24"/>
                <w:szCs w:val="24"/>
              </w:rPr>
              <w:t>Policy Implementation</w:t>
            </w:r>
            <w:r w:rsidR="00942014">
              <w:rPr>
                <w:rFonts w:ascii="Times New Roman" w:hAnsi="Times New Roman"/>
                <w:sz w:val="24"/>
                <w:szCs w:val="24"/>
              </w:rPr>
              <w:t>, as defined in the Policy</w:t>
            </w:r>
            <w:r>
              <w:rPr>
                <w:rFonts w:ascii="Times New Roman" w:hAnsi="Times New Roman"/>
                <w:sz w:val="24"/>
                <w:szCs w:val="24"/>
              </w:rPr>
              <w:t xml:space="preserve">. </w:t>
            </w:r>
            <w:r w:rsidR="00147003">
              <w:rPr>
                <w:rFonts w:ascii="Times New Roman" w:hAnsi="Times New Roman"/>
                <w:sz w:val="24"/>
                <w:szCs w:val="24"/>
              </w:rPr>
              <w:t xml:space="preserve"> The executive director shall also carry out the </w:t>
            </w:r>
            <w:r w:rsidR="00147003" w:rsidRPr="00147003">
              <w:rPr>
                <w:rFonts w:ascii="Times New Roman" w:hAnsi="Times New Roman"/>
                <w:sz w:val="24"/>
                <w:szCs w:val="24"/>
              </w:rPr>
              <w:t xml:space="preserve">responsibilities of the </w:t>
            </w:r>
            <w:r w:rsidR="00147003">
              <w:rPr>
                <w:rFonts w:ascii="Times New Roman" w:hAnsi="Times New Roman"/>
                <w:sz w:val="24"/>
                <w:szCs w:val="24"/>
              </w:rPr>
              <w:t xml:space="preserve">executive director </w:t>
            </w:r>
            <w:r w:rsidR="00147003" w:rsidRPr="00147003">
              <w:rPr>
                <w:rFonts w:ascii="Times New Roman" w:hAnsi="Times New Roman"/>
                <w:sz w:val="24"/>
                <w:szCs w:val="24"/>
              </w:rPr>
              <w:t xml:space="preserve">described in the Post Bond Issuance Policy.    </w:t>
            </w:r>
          </w:p>
        </w:tc>
      </w:tr>
      <w:tr w:rsidR="00EA7CBC" w:rsidRPr="003B174D" w14:paraId="1DDBA7AC" w14:textId="77777777" w:rsidTr="009A155E">
        <w:tc>
          <w:tcPr>
            <w:tcW w:w="630" w:type="dxa"/>
          </w:tcPr>
          <w:p w14:paraId="0E2BC311" w14:textId="77777777" w:rsidR="00EA7CBC" w:rsidRPr="009A155E" w:rsidRDefault="00EA7CBC" w:rsidP="000C6A90">
            <w:pPr>
              <w:pStyle w:val="NoSpacing"/>
              <w:jc w:val="both"/>
              <w:rPr>
                <w:rFonts w:ascii="Times New Roman" w:hAnsi="Times New Roman"/>
                <w:sz w:val="24"/>
                <w:szCs w:val="24"/>
              </w:rPr>
            </w:pPr>
          </w:p>
        </w:tc>
        <w:tc>
          <w:tcPr>
            <w:tcW w:w="8568" w:type="dxa"/>
          </w:tcPr>
          <w:p w14:paraId="3FE70C9D" w14:textId="77777777" w:rsidR="00EA7CBC" w:rsidRPr="009A155E" w:rsidRDefault="00EA7CBC" w:rsidP="00EA7CBC">
            <w:pPr>
              <w:pStyle w:val="NoSpacing"/>
              <w:jc w:val="both"/>
              <w:rPr>
                <w:rFonts w:ascii="Times New Roman" w:hAnsi="Times New Roman"/>
                <w:sz w:val="24"/>
                <w:szCs w:val="24"/>
              </w:rPr>
            </w:pPr>
          </w:p>
        </w:tc>
      </w:tr>
      <w:tr w:rsidR="00EA7CBC" w:rsidRPr="003B174D" w14:paraId="1E4A4298" w14:textId="77777777" w:rsidTr="009A155E">
        <w:tc>
          <w:tcPr>
            <w:tcW w:w="630" w:type="dxa"/>
          </w:tcPr>
          <w:p w14:paraId="0EBC33A6" w14:textId="77777777" w:rsidR="00EA7CBC" w:rsidRPr="009A155E" w:rsidRDefault="00EA7CBC" w:rsidP="000C6A90">
            <w:pPr>
              <w:pStyle w:val="NoSpacing"/>
              <w:jc w:val="both"/>
              <w:rPr>
                <w:rFonts w:ascii="Times New Roman" w:hAnsi="Times New Roman"/>
                <w:sz w:val="24"/>
                <w:szCs w:val="24"/>
              </w:rPr>
            </w:pPr>
          </w:p>
        </w:tc>
        <w:tc>
          <w:tcPr>
            <w:tcW w:w="8568" w:type="dxa"/>
          </w:tcPr>
          <w:p w14:paraId="651629B0" w14:textId="77777777" w:rsidR="00EA7CBC" w:rsidRPr="009A155E" w:rsidRDefault="00EA7CBC" w:rsidP="00942014">
            <w:pPr>
              <w:pStyle w:val="NoSpacing"/>
              <w:jc w:val="both"/>
              <w:rPr>
                <w:rFonts w:ascii="Times New Roman" w:hAnsi="Times New Roman"/>
                <w:sz w:val="24"/>
                <w:szCs w:val="24"/>
              </w:rPr>
            </w:pPr>
            <w:r w:rsidRPr="00EA7CBC">
              <w:rPr>
                <w:rFonts w:ascii="Times New Roman" w:hAnsi="Times New Roman"/>
                <w:sz w:val="24"/>
                <w:szCs w:val="24"/>
                <w:u w:val="single"/>
              </w:rPr>
              <w:t>General Counsel</w:t>
            </w:r>
            <w:r w:rsidRPr="009A155E">
              <w:rPr>
                <w:rFonts w:ascii="Times New Roman" w:hAnsi="Times New Roman"/>
                <w:sz w:val="24"/>
                <w:szCs w:val="24"/>
              </w:rPr>
              <w:t xml:space="preserve">.  The Trust’s in-house general counsel shall have responsibility for </w:t>
            </w:r>
            <w:r>
              <w:rPr>
                <w:rFonts w:ascii="Times New Roman" w:hAnsi="Times New Roman"/>
                <w:sz w:val="24"/>
                <w:szCs w:val="24"/>
              </w:rPr>
              <w:t>working with outside bond counsel and program counsel to communicate the Trust’s objectives and concerns in connection with the issuance of debt and developing</w:t>
            </w:r>
            <w:r w:rsidR="004A08E6">
              <w:rPr>
                <w:rFonts w:ascii="Times New Roman" w:hAnsi="Times New Roman"/>
                <w:sz w:val="24"/>
                <w:szCs w:val="24"/>
              </w:rPr>
              <w:t>,</w:t>
            </w:r>
            <w:r>
              <w:rPr>
                <w:rFonts w:ascii="Times New Roman" w:hAnsi="Times New Roman"/>
                <w:sz w:val="24"/>
                <w:szCs w:val="24"/>
              </w:rPr>
              <w:t xml:space="preserve"> compiling</w:t>
            </w:r>
            <w:r w:rsidR="004A08E6">
              <w:rPr>
                <w:rFonts w:ascii="Times New Roman" w:hAnsi="Times New Roman"/>
                <w:sz w:val="24"/>
                <w:szCs w:val="24"/>
              </w:rPr>
              <w:t>,</w:t>
            </w:r>
            <w:r>
              <w:rPr>
                <w:rFonts w:ascii="Times New Roman" w:hAnsi="Times New Roman"/>
                <w:sz w:val="24"/>
                <w:szCs w:val="24"/>
              </w:rPr>
              <w:t xml:space="preserve"> and reviewing the documentation, certifications, and other materials </w:t>
            </w:r>
            <w:r w:rsidR="00942014">
              <w:rPr>
                <w:rFonts w:ascii="Times New Roman" w:hAnsi="Times New Roman"/>
                <w:sz w:val="24"/>
                <w:szCs w:val="24"/>
              </w:rPr>
              <w:t>related to</w:t>
            </w:r>
            <w:r>
              <w:rPr>
                <w:rFonts w:ascii="Times New Roman" w:hAnsi="Times New Roman"/>
                <w:sz w:val="24"/>
                <w:szCs w:val="24"/>
              </w:rPr>
              <w:t xml:space="preserve"> the issuance of Trust debt.  </w:t>
            </w:r>
            <w:r w:rsidRPr="009A155E">
              <w:rPr>
                <w:rFonts w:ascii="Times New Roman" w:hAnsi="Times New Roman"/>
                <w:sz w:val="24"/>
                <w:szCs w:val="24"/>
              </w:rPr>
              <w:t xml:space="preserve">General counsel shall also keep the executive director and treasurer </w:t>
            </w:r>
            <w:proofErr w:type="gramStart"/>
            <w:r w:rsidRPr="009A155E">
              <w:rPr>
                <w:rFonts w:ascii="Times New Roman" w:hAnsi="Times New Roman"/>
                <w:sz w:val="24"/>
                <w:szCs w:val="24"/>
              </w:rPr>
              <w:t>apprised</w:t>
            </w:r>
            <w:proofErr w:type="gramEnd"/>
            <w:r w:rsidRPr="009A155E">
              <w:rPr>
                <w:rFonts w:ascii="Times New Roman" w:hAnsi="Times New Roman"/>
                <w:sz w:val="24"/>
                <w:szCs w:val="24"/>
              </w:rPr>
              <w:t xml:space="preserve"> of </w:t>
            </w:r>
            <w:r>
              <w:rPr>
                <w:rFonts w:ascii="Times New Roman" w:hAnsi="Times New Roman"/>
                <w:sz w:val="24"/>
                <w:szCs w:val="24"/>
              </w:rPr>
              <w:t xml:space="preserve">items on the Trust </w:t>
            </w:r>
            <w:r w:rsidRPr="009A155E">
              <w:rPr>
                <w:rFonts w:ascii="Times New Roman" w:hAnsi="Times New Roman"/>
                <w:sz w:val="24"/>
                <w:szCs w:val="24"/>
              </w:rPr>
              <w:t xml:space="preserve">calendar </w:t>
            </w:r>
            <w:r>
              <w:rPr>
                <w:rFonts w:ascii="Times New Roman" w:hAnsi="Times New Roman"/>
                <w:sz w:val="24"/>
                <w:szCs w:val="24"/>
              </w:rPr>
              <w:t>related to the issuance of debt</w:t>
            </w:r>
            <w:r w:rsidRPr="009A155E">
              <w:rPr>
                <w:rFonts w:ascii="Times New Roman" w:hAnsi="Times New Roman"/>
                <w:sz w:val="24"/>
                <w:szCs w:val="24"/>
              </w:rPr>
              <w:t xml:space="preserve"> as they come due</w:t>
            </w:r>
            <w:r>
              <w:rPr>
                <w:rFonts w:ascii="Times New Roman" w:hAnsi="Times New Roman"/>
                <w:sz w:val="24"/>
                <w:szCs w:val="24"/>
              </w:rPr>
              <w:t xml:space="preserve"> and shall carry out the responsibilities of the general counsel described in the Post Bond Issuance Policy</w:t>
            </w:r>
            <w:r w:rsidRPr="009A155E">
              <w:rPr>
                <w:rFonts w:ascii="Times New Roman" w:hAnsi="Times New Roman"/>
                <w:sz w:val="24"/>
                <w:szCs w:val="24"/>
              </w:rPr>
              <w:t xml:space="preserve">.    </w:t>
            </w:r>
          </w:p>
        </w:tc>
      </w:tr>
      <w:tr w:rsidR="00EA7CBC" w:rsidRPr="003B174D" w14:paraId="302E0E69" w14:textId="77777777" w:rsidTr="009A155E">
        <w:tc>
          <w:tcPr>
            <w:tcW w:w="630" w:type="dxa"/>
          </w:tcPr>
          <w:p w14:paraId="21E98C26" w14:textId="77777777" w:rsidR="00EA7CBC" w:rsidRPr="009A155E" w:rsidRDefault="00EA7CBC" w:rsidP="000C6A90">
            <w:pPr>
              <w:pStyle w:val="NoSpacing"/>
              <w:jc w:val="both"/>
              <w:rPr>
                <w:rFonts w:ascii="Times New Roman" w:hAnsi="Times New Roman"/>
                <w:sz w:val="24"/>
                <w:szCs w:val="24"/>
              </w:rPr>
            </w:pPr>
          </w:p>
        </w:tc>
        <w:tc>
          <w:tcPr>
            <w:tcW w:w="8568" w:type="dxa"/>
          </w:tcPr>
          <w:p w14:paraId="17B259DC" w14:textId="77777777" w:rsidR="00EA7CBC" w:rsidRPr="009A155E" w:rsidRDefault="00EA7CBC" w:rsidP="00EA7CBC">
            <w:pPr>
              <w:pStyle w:val="NoSpacing"/>
              <w:jc w:val="both"/>
              <w:rPr>
                <w:rFonts w:ascii="Times New Roman" w:hAnsi="Times New Roman"/>
                <w:sz w:val="24"/>
                <w:szCs w:val="24"/>
              </w:rPr>
            </w:pPr>
          </w:p>
        </w:tc>
      </w:tr>
      <w:tr w:rsidR="00EA7CBC" w:rsidRPr="003B174D" w14:paraId="3C338383" w14:textId="77777777" w:rsidTr="009A155E">
        <w:tc>
          <w:tcPr>
            <w:tcW w:w="630" w:type="dxa"/>
          </w:tcPr>
          <w:p w14:paraId="71EBA28A" w14:textId="77777777" w:rsidR="00EA7CBC" w:rsidRPr="009A155E" w:rsidRDefault="00EA7CBC" w:rsidP="000C6A90">
            <w:pPr>
              <w:pStyle w:val="NoSpacing"/>
              <w:jc w:val="both"/>
              <w:rPr>
                <w:rFonts w:ascii="Times New Roman" w:hAnsi="Times New Roman"/>
                <w:sz w:val="24"/>
                <w:szCs w:val="24"/>
              </w:rPr>
            </w:pPr>
          </w:p>
        </w:tc>
        <w:tc>
          <w:tcPr>
            <w:tcW w:w="8568" w:type="dxa"/>
          </w:tcPr>
          <w:p w14:paraId="77C78483" w14:textId="77777777" w:rsidR="00EA7CBC" w:rsidRPr="009A155E" w:rsidRDefault="00EA7CBC" w:rsidP="00EA7CBC">
            <w:pPr>
              <w:pStyle w:val="NoSpacing"/>
              <w:jc w:val="both"/>
              <w:rPr>
                <w:rFonts w:ascii="Times New Roman" w:hAnsi="Times New Roman"/>
                <w:sz w:val="24"/>
                <w:szCs w:val="24"/>
              </w:rPr>
            </w:pPr>
            <w:r w:rsidRPr="00EA7CBC">
              <w:rPr>
                <w:rFonts w:ascii="Times New Roman" w:hAnsi="Times New Roman"/>
                <w:sz w:val="24"/>
                <w:szCs w:val="24"/>
                <w:u w:val="single"/>
              </w:rPr>
              <w:t>Treasurer</w:t>
            </w:r>
            <w:r w:rsidRPr="009A155E">
              <w:rPr>
                <w:rFonts w:ascii="Times New Roman" w:hAnsi="Times New Roman"/>
                <w:sz w:val="24"/>
                <w:szCs w:val="24"/>
              </w:rPr>
              <w:t xml:space="preserve">.  The Trust’s treasurer shall be responsible for </w:t>
            </w:r>
            <w:r>
              <w:rPr>
                <w:rFonts w:ascii="Times New Roman" w:hAnsi="Times New Roman"/>
                <w:sz w:val="24"/>
                <w:szCs w:val="24"/>
              </w:rPr>
              <w:t>working with the executive director and general counsel in preparing for the issuance of debt and carrying out the responsibilities of the treasurer described in the Post Bond Issuance Policy.</w:t>
            </w:r>
          </w:p>
        </w:tc>
      </w:tr>
      <w:tr w:rsidR="00EA7CBC" w:rsidRPr="003B174D" w14:paraId="1410B8FC" w14:textId="77777777" w:rsidTr="009A155E">
        <w:tc>
          <w:tcPr>
            <w:tcW w:w="630" w:type="dxa"/>
          </w:tcPr>
          <w:p w14:paraId="1F48FE0D" w14:textId="77777777" w:rsidR="00EA7CBC" w:rsidRPr="009A155E" w:rsidRDefault="00EA7CBC" w:rsidP="000C6A90">
            <w:pPr>
              <w:pStyle w:val="NoSpacing"/>
              <w:jc w:val="both"/>
              <w:rPr>
                <w:rFonts w:ascii="Times New Roman" w:hAnsi="Times New Roman"/>
                <w:sz w:val="24"/>
                <w:szCs w:val="24"/>
              </w:rPr>
            </w:pPr>
          </w:p>
        </w:tc>
        <w:tc>
          <w:tcPr>
            <w:tcW w:w="8568" w:type="dxa"/>
          </w:tcPr>
          <w:p w14:paraId="4E46FACF" w14:textId="77777777" w:rsidR="00EA7CBC" w:rsidRPr="009A155E" w:rsidRDefault="00EA7CBC" w:rsidP="00EA7CBC">
            <w:pPr>
              <w:pStyle w:val="NoSpacing"/>
              <w:jc w:val="both"/>
              <w:rPr>
                <w:rFonts w:ascii="Times New Roman" w:hAnsi="Times New Roman"/>
                <w:sz w:val="24"/>
                <w:szCs w:val="24"/>
              </w:rPr>
            </w:pPr>
          </w:p>
        </w:tc>
      </w:tr>
      <w:tr w:rsidR="0044574A" w:rsidRPr="003B174D" w14:paraId="05A7B64B" w14:textId="77777777" w:rsidTr="009A155E">
        <w:tc>
          <w:tcPr>
            <w:tcW w:w="630" w:type="dxa"/>
          </w:tcPr>
          <w:p w14:paraId="60955098" w14:textId="77777777" w:rsidR="0044574A" w:rsidRPr="009A155E" w:rsidRDefault="0044574A" w:rsidP="000C6A90">
            <w:pPr>
              <w:pStyle w:val="NoSpacing"/>
              <w:jc w:val="both"/>
              <w:rPr>
                <w:rFonts w:ascii="Times New Roman" w:hAnsi="Times New Roman"/>
                <w:sz w:val="24"/>
                <w:szCs w:val="24"/>
              </w:rPr>
            </w:pPr>
          </w:p>
        </w:tc>
        <w:tc>
          <w:tcPr>
            <w:tcW w:w="8568" w:type="dxa"/>
          </w:tcPr>
          <w:p w14:paraId="5B41C822" w14:textId="77777777" w:rsidR="0044574A" w:rsidRPr="009A155E" w:rsidRDefault="00EA7CBC" w:rsidP="00BB1D53">
            <w:pPr>
              <w:pStyle w:val="NoSpacing"/>
              <w:jc w:val="both"/>
              <w:rPr>
                <w:rFonts w:ascii="Times New Roman" w:hAnsi="Times New Roman"/>
                <w:sz w:val="24"/>
                <w:szCs w:val="24"/>
              </w:rPr>
            </w:pPr>
            <w:r w:rsidRPr="00147003">
              <w:rPr>
                <w:rFonts w:ascii="Times New Roman" w:hAnsi="Times New Roman"/>
                <w:sz w:val="24"/>
                <w:szCs w:val="24"/>
                <w:u w:val="single"/>
              </w:rPr>
              <w:t>Outside Professional Advisors</w:t>
            </w:r>
            <w:r w:rsidRPr="009A155E">
              <w:rPr>
                <w:rFonts w:ascii="Times New Roman" w:hAnsi="Times New Roman"/>
                <w:sz w:val="24"/>
                <w:szCs w:val="24"/>
              </w:rPr>
              <w:t xml:space="preserve">.  Bond counsel for each series of </w:t>
            </w:r>
            <w:r w:rsidR="00147003">
              <w:rPr>
                <w:rFonts w:ascii="Times New Roman" w:hAnsi="Times New Roman"/>
                <w:sz w:val="24"/>
                <w:szCs w:val="24"/>
              </w:rPr>
              <w:t>b</w:t>
            </w:r>
            <w:r w:rsidRPr="009A155E">
              <w:rPr>
                <w:rFonts w:ascii="Times New Roman" w:hAnsi="Times New Roman"/>
                <w:sz w:val="24"/>
                <w:szCs w:val="24"/>
              </w:rPr>
              <w:t xml:space="preserve">onds, program counsel, the Trust’s financial advisor, </w:t>
            </w:r>
            <w:r w:rsidR="00147003">
              <w:rPr>
                <w:rFonts w:ascii="Times New Roman" w:hAnsi="Times New Roman"/>
                <w:sz w:val="24"/>
                <w:szCs w:val="24"/>
              </w:rPr>
              <w:t>and a</w:t>
            </w:r>
            <w:r w:rsidRPr="009A155E">
              <w:rPr>
                <w:rFonts w:ascii="Times New Roman" w:hAnsi="Times New Roman"/>
                <w:sz w:val="24"/>
                <w:szCs w:val="24"/>
              </w:rPr>
              <w:t xml:space="preserve">rbitrage </w:t>
            </w:r>
            <w:r w:rsidR="00147003">
              <w:rPr>
                <w:rFonts w:ascii="Times New Roman" w:hAnsi="Times New Roman"/>
                <w:sz w:val="24"/>
                <w:szCs w:val="24"/>
              </w:rPr>
              <w:t>rebate c</w:t>
            </w:r>
            <w:r w:rsidRPr="009A155E">
              <w:rPr>
                <w:rFonts w:ascii="Times New Roman" w:hAnsi="Times New Roman"/>
                <w:sz w:val="24"/>
                <w:szCs w:val="24"/>
              </w:rPr>
              <w:t xml:space="preserve">onsultants </w:t>
            </w:r>
            <w:proofErr w:type="gramStart"/>
            <w:r w:rsidRPr="009A155E">
              <w:rPr>
                <w:rFonts w:ascii="Times New Roman" w:hAnsi="Times New Roman"/>
                <w:sz w:val="24"/>
                <w:szCs w:val="24"/>
              </w:rPr>
              <w:t>are</w:t>
            </w:r>
            <w:proofErr w:type="gramEnd"/>
            <w:r w:rsidRPr="009A155E">
              <w:rPr>
                <w:rFonts w:ascii="Times New Roman" w:hAnsi="Times New Roman"/>
                <w:sz w:val="24"/>
                <w:szCs w:val="24"/>
              </w:rPr>
              <w:t xml:space="preserve"> responsible, as outlined in the scope of services </w:t>
            </w:r>
            <w:r w:rsidR="00147003">
              <w:rPr>
                <w:rFonts w:ascii="Times New Roman" w:hAnsi="Times New Roman"/>
                <w:sz w:val="24"/>
                <w:szCs w:val="24"/>
              </w:rPr>
              <w:t>provisions in</w:t>
            </w:r>
            <w:r w:rsidRPr="009A155E">
              <w:rPr>
                <w:rFonts w:ascii="Times New Roman" w:hAnsi="Times New Roman"/>
                <w:sz w:val="24"/>
                <w:szCs w:val="24"/>
              </w:rPr>
              <w:t xml:space="preserve"> their engagements, for guiding the Trust through the laws</w:t>
            </w:r>
            <w:r w:rsidR="004A08E6">
              <w:rPr>
                <w:rFonts w:ascii="Times New Roman" w:hAnsi="Times New Roman"/>
                <w:sz w:val="24"/>
                <w:szCs w:val="24"/>
              </w:rPr>
              <w:t>,</w:t>
            </w:r>
            <w:r w:rsidRPr="009A155E">
              <w:rPr>
                <w:rFonts w:ascii="Times New Roman" w:hAnsi="Times New Roman"/>
                <w:sz w:val="24"/>
                <w:szCs w:val="24"/>
              </w:rPr>
              <w:t xml:space="preserve"> regulations</w:t>
            </w:r>
            <w:r w:rsidR="004A08E6">
              <w:rPr>
                <w:rFonts w:ascii="Times New Roman" w:hAnsi="Times New Roman"/>
                <w:sz w:val="24"/>
                <w:szCs w:val="24"/>
              </w:rPr>
              <w:t>, and financial practices</w:t>
            </w:r>
            <w:r w:rsidRPr="009A155E">
              <w:rPr>
                <w:rFonts w:ascii="Times New Roman" w:hAnsi="Times New Roman"/>
                <w:sz w:val="24"/>
                <w:szCs w:val="24"/>
              </w:rPr>
              <w:t xml:space="preserve"> applicable </w:t>
            </w:r>
            <w:r w:rsidR="00147003">
              <w:rPr>
                <w:rFonts w:ascii="Times New Roman" w:hAnsi="Times New Roman"/>
                <w:sz w:val="24"/>
                <w:szCs w:val="24"/>
              </w:rPr>
              <w:t xml:space="preserve">to </w:t>
            </w:r>
            <w:r>
              <w:rPr>
                <w:rFonts w:ascii="Times New Roman" w:hAnsi="Times New Roman"/>
                <w:sz w:val="24"/>
                <w:szCs w:val="24"/>
              </w:rPr>
              <w:t>the issuance of debt</w:t>
            </w:r>
            <w:r w:rsidRPr="009A155E">
              <w:rPr>
                <w:rFonts w:ascii="Times New Roman" w:hAnsi="Times New Roman"/>
                <w:sz w:val="24"/>
                <w:szCs w:val="24"/>
              </w:rPr>
              <w:t xml:space="preserve">.  The Trust shall consult with bond counsel and other professional advisors throughout the </w:t>
            </w:r>
            <w:r w:rsidR="00147003">
              <w:rPr>
                <w:rFonts w:ascii="Times New Roman" w:hAnsi="Times New Roman"/>
                <w:sz w:val="24"/>
                <w:szCs w:val="24"/>
              </w:rPr>
              <w:t>b</w:t>
            </w:r>
            <w:r w:rsidRPr="009A155E">
              <w:rPr>
                <w:rFonts w:ascii="Times New Roman" w:hAnsi="Times New Roman"/>
                <w:sz w:val="24"/>
                <w:szCs w:val="24"/>
              </w:rPr>
              <w:t>ond issuance process to identify requirements and to establish procedures necessary or appropriate t</w:t>
            </w:r>
            <w:r w:rsidR="00147003">
              <w:rPr>
                <w:rFonts w:ascii="Times New Roman" w:hAnsi="Times New Roman"/>
                <w:sz w:val="24"/>
                <w:szCs w:val="24"/>
              </w:rPr>
              <w:t>o ensure compliance with the Internal Revenue Code</w:t>
            </w:r>
            <w:r w:rsidRPr="009A155E">
              <w:rPr>
                <w:rFonts w:ascii="Times New Roman" w:hAnsi="Times New Roman"/>
                <w:sz w:val="24"/>
                <w:szCs w:val="24"/>
              </w:rPr>
              <w:t xml:space="preserve"> and the </w:t>
            </w:r>
            <w:r w:rsidR="00147003">
              <w:rPr>
                <w:rFonts w:ascii="Times New Roman" w:hAnsi="Times New Roman"/>
                <w:sz w:val="24"/>
                <w:szCs w:val="24"/>
              </w:rPr>
              <w:t>t</w:t>
            </w:r>
            <w:r w:rsidRPr="009A155E">
              <w:rPr>
                <w:rFonts w:ascii="Times New Roman" w:hAnsi="Times New Roman"/>
                <w:sz w:val="24"/>
                <w:szCs w:val="24"/>
              </w:rPr>
              <w:t xml:space="preserve">ax </w:t>
            </w:r>
            <w:r w:rsidR="00147003">
              <w:rPr>
                <w:rFonts w:ascii="Times New Roman" w:hAnsi="Times New Roman"/>
                <w:sz w:val="24"/>
                <w:szCs w:val="24"/>
              </w:rPr>
              <w:t>r</w:t>
            </w:r>
            <w:r w:rsidRPr="009A155E">
              <w:rPr>
                <w:rFonts w:ascii="Times New Roman" w:hAnsi="Times New Roman"/>
                <w:sz w:val="24"/>
                <w:szCs w:val="24"/>
              </w:rPr>
              <w:t>egulations in addition to, or in lieu of the Policy</w:t>
            </w:r>
            <w:r w:rsidR="00147003">
              <w:rPr>
                <w:rFonts w:ascii="Times New Roman" w:hAnsi="Times New Roman"/>
                <w:sz w:val="24"/>
                <w:szCs w:val="24"/>
              </w:rPr>
              <w:t>,</w:t>
            </w:r>
            <w:r>
              <w:rPr>
                <w:rFonts w:ascii="Times New Roman" w:hAnsi="Times New Roman"/>
                <w:sz w:val="24"/>
                <w:szCs w:val="24"/>
              </w:rPr>
              <w:t xml:space="preserve"> the Post Bond Issuance Policy</w:t>
            </w:r>
            <w:r w:rsidR="004A08E6">
              <w:rPr>
                <w:rFonts w:ascii="Times New Roman" w:hAnsi="Times New Roman"/>
                <w:sz w:val="24"/>
                <w:szCs w:val="24"/>
              </w:rPr>
              <w:t>,</w:t>
            </w:r>
            <w:r>
              <w:rPr>
                <w:rFonts w:ascii="Times New Roman" w:hAnsi="Times New Roman"/>
                <w:sz w:val="24"/>
                <w:szCs w:val="24"/>
              </w:rPr>
              <w:t xml:space="preserve"> and the Investment Policy</w:t>
            </w:r>
            <w:r w:rsidRPr="009A155E">
              <w:rPr>
                <w:rFonts w:ascii="Times New Roman" w:hAnsi="Times New Roman"/>
                <w:sz w:val="24"/>
                <w:szCs w:val="24"/>
              </w:rPr>
              <w:t>.</w:t>
            </w:r>
            <w:r w:rsidR="007C3C1C">
              <w:rPr>
                <w:rFonts w:ascii="Times New Roman" w:hAnsi="Times New Roman"/>
                <w:sz w:val="24"/>
                <w:szCs w:val="24"/>
              </w:rPr>
              <w:t xml:space="preserve">  The Trust will retain a financial advisor and program counsel for continuing consultation between bond issuances and for advice on general program matters.</w:t>
            </w:r>
          </w:p>
        </w:tc>
      </w:tr>
      <w:tr w:rsidR="007A48C2" w:rsidRPr="003B174D" w14:paraId="1A160299" w14:textId="77777777" w:rsidTr="009A155E">
        <w:tc>
          <w:tcPr>
            <w:tcW w:w="630" w:type="dxa"/>
          </w:tcPr>
          <w:p w14:paraId="0E090AFB" w14:textId="77777777" w:rsidR="007A48C2" w:rsidRPr="009A155E" w:rsidRDefault="007A48C2" w:rsidP="000C6A90">
            <w:pPr>
              <w:pStyle w:val="NoSpacing"/>
              <w:jc w:val="both"/>
              <w:rPr>
                <w:rFonts w:ascii="Times New Roman" w:hAnsi="Times New Roman"/>
                <w:sz w:val="24"/>
                <w:szCs w:val="24"/>
              </w:rPr>
            </w:pPr>
          </w:p>
        </w:tc>
        <w:tc>
          <w:tcPr>
            <w:tcW w:w="8568" w:type="dxa"/>
          </w:tcPr>
          <w:p w14:paraId="0BF6E759" w14:textId="77777777" w:rsidR="007A48C2" w:rsidRPr="009A155E" w:rsidRDefault="007A48C2" w:rsidP="000C6A90">
            <w:pPr>
              <w:pStyle w:val="NoSpacing"/>
              <w:jc w:val="both"/>
              <w:rPr>
                <w:rFonts w:ascii="Times New Roman" w:hAnsi="Times New Roman"/>
                <w:sz w:val="24"/>
                <w:szCs w:val="24"/>
              </w:rPr>
            </w:pPr>
          </w:p>
        </w:tc>
      </w:tr>
      <w:tr w:rsidR="00147003" w:rsidRPr="003B174D" w14:paraId="595360F3" w14:textId="77777777" w:rsidTr="009A155E">
        <w:tc>
          <w:tcPr>
            <w:tcW w:w="630" w:type="dxa"/>
          </w:tcPr>
          <w:p w14:paraId="596E6313" w14:textId="77777777" w:rsidR="00147003" w:rsidRPr="009A155E" w:rsidRDefault="00147003" w:rsidP="000C6A90">
            <w:pPr>
              <w:pStyle w:val="NoSpacing"/>
              <w:jc w:val="both"/>
              <w:rPr>
                <w:rFonts w:ascii="Times New Roman" w:hAnsi="Times New Roman"/>
                <w:sz w:val="24"/>
                <w:szCs w:val="24"/>
              </w:rPr>
            </w:pPr>
            <w:r w:rsidRPr="009A155E">
              <w:rPr>
                <w:rFonts w:ascii="Times New Roman" w:hAnsi="Times New Roman"/>
                <w:sz w:val="24"/>
                <w:szCs w:val="24"/>
              </w:rPr>
              <w:t>3.</w:t>
            </w:r>
          </w:p>
        </w:tc>
        <w:tc>
          <w:tcPr>
            <w:tcW w:w="8568" w:type="dxa"/>
          </w:tcPr>
          <w:p w14:paraId="7ADBB248" w14:textId="77777777" w:rsidR="00147003" w:rsidRPr="00147003" w:rsidRDefault="00147003" w:rsidP="000C6A90">
            <w:pPr>
              <w:pStyle w:val="NoSpacing"/>
              <w:jc w:val="both"/>
              <w:rPr>
                <w:rFonts w:ascii="Times New Roman" w:hAnsi="Times New Roman"/>
                <w:b/>
                <w:sz w:val="24"/>
                <w:szCs w:val="24"/>
              </w:rPr>
            </w:pPr>
            <w:r w:rsidRPr="00147003">
              <w:rPr>
                <w:rFonts w:ascii="Times New Roman" w:hAnsi="Times New Roman"/>
                <w:b/>
                <w:sz w:val="24"/>
                <w:szCs w:val="24"/>
              </w:rPr>
              <w:t>Legal Authorization / Debt Limits (constitutional, statutory, policy, covenant, resolutions)</w:t>
            </w:r>
          </w:p>
        </w:tc>
      </w:tr>
      <w:tr w:rsidR="00147003" w:rsidRPr="003B174D" w14:paraId="29553D08" w14:textId="77777777" w:rsidTr="009A155E">
        <w:tc>
          <w:tcPr>
            <w:tcW w:w="630" w:type="dxa"/>
          </w:tcPr>
          <w:p w14:paraId="6EBB4096" w14:textId="77777777" w:rsidR="00147003" w:rsidRPr="009A155E" w:rsidRDefault="00147003" w:rsidP="000C6A90">
            <w:pPr>
              <w:pStyle w:val="NoSpacing"/>
              <w:jc w:val="both"/>
              <w:rPr>
                <w:rFonts w:ascii="Times New Roman" w:hAnsi="Times New Roman"/>
                <w:sz w:val="24"/>
                <w:szCs w:val="24"/>
              </w:rPr>
            </w:pPr>
          </w:p>
        </w:tc>
        <w:tc>
          <w:tcPr>
            <w:tcW w:w="8568" w:type="dxa"/>
          </w:tcPr>
          <w:p w14:paraId="20A9B36E" w14:textId="77777777" w:rsidR="00147003" w:rsidRDefault="00147003" w:rsidP="000C6A90">
            <w:pPr>
              <w:pStyle w:val="NoSpacing"/>
              <w:jc w:val="both"/>
              <w:rPr>
                <w:rFonts w:ascii="Times New Roman" w:hAnsi="Times New Roman"/>
                <w:sz w:val="24"/>
                <w:szCs w:val="24"/>
              </w:rPr>
            </w:pPr>
          </w:p>
        </w:tc>
      </w:tr>
      <w:tr w:rsidR="007A48C2" w:rsidRPr="003B174D" w14:paraId="77EA5DA1" w14:textId="77777777" w:rsidTr="009A155E">
        <w:tc>
          <w:tcPr>
            <w:tcW w:w="630" w:type="dxa"/>
          </w:tcPr>
          <w:p w14:paraId="46132CFB" w14:textId="77777777" w:rsidR="007A48C2" w:rsidRPr="009A155E" w:rsidRDefault="007A48C2" w:rsidP="000C6A90">
            <w:pPr>
              <w:pStyle w:val="NoSpacing"/>
              <w:jc w:val="both"/>
              <w:rPr>
                <w:rFonts w:ascii="Times New Roman" w:hAnsi="Times New Roman"/>
                <w:sz w:val="24"/>
                <w:szCs w:val="24"/>
              </w:rPr>
            </w:pPr>
          </w:p>
        </w:tc>
        <w:tc>
          <w:tcPr>
            <w:tcW w:w="8568" w:type="dxa"/>
          </w:tcPr>
          <w:p w14:paraId="68B16130" w14:textId="77777777" w:rsidR="009B53C1" w:rsidRPr="009A155E" w:rsidRDefault="00D32504" w:rsidP="003A081A">
            <w:pPr>
              <w:jc w:val="both"/>
            </w:pPr>
            <w:r>
              <w:t xml:space="preserve">The Trust is a public instrumentality of The Commonwealth of Massachusetts, created by the Enabling Act.  The Trust issues bonds to provide financial assistance to local governments and other eligible borrowers in the commonwealth under its </w:t>
            </w:r>
            <w:r w:rsidRPr="005743AB">
              <w:t>SRF</w:t>
            </w:r>
            <w:r w:rsidR="00BF5113">
              <w:t xml:space="preserve"> </w:t>
            </w:r>
            <w:r>
              <w:t xml:space="preserve">programs pursuant to </w:t>
            </w:r>
            <w:r w:rsidR="009D2254">
              <w:t xml:space="preserve">chapter </w:t>
            </w:r>
            <w:r>
              <w:t>29C, §</w:t>
            </w:r>
            <w:r w:rsidR="00BF5113">
              <w:t>9</w:t>
            </w:r>
            <w:r>
              <w:t xml:space="preserve">.  </w:t>
            </w:r>
            <w:r w:rsidR="007A48C2" w:rsidRPr="009A155E">
              <w:t xml:space="preserve">Neither the Enabling Act nor any other general or special </w:t>
            </w:r>
            <w:r w:rsidRPr="009A155E">
              <w:t>law limit</w:t>
            </w:r>
            <w:r>
              <w:t>s</w:t>
            </w:r>
            <w:r w:rsidR="007A48C2" w:rsidRPr="009A155E">
              <w:t xml:space="preserve"> the amount of debt that can be incurred by the Trust.</w:t>
            </w:r>
          </w:p>
        </w:tc>
      </w:tr>
      <w:tr w:rsidR="004C45FC" w:rsidRPr="003B174D" w14:paraId="48B546B8" w14:textId="77777777" w:rsidTr="009A155E">
        <w:tc>
          <w:tcPr>
            <w:tcW w:w="630" w:type="dxa"/>
          </w:tcPr>
          <w:p w14:paraId="7516D89B" w14:textId="77777777" w:rsidR="004C45FC" w:rsidRPr="009A155E" w:rsidRDefault="004C45FC" w:rsidP="000C6A90">
            <w:pPr>
              <w:pStyle w:val="NoSpacing"/>
              <w:jc w:val="both"/>
              <w:rPr>
                <w:rFonts w:ascii="Times New Roman" w:hAnsi="Times New Roman"/>
                <w:sz w:val="24"/>
                <w:szCs w:val="24"/>
              </w:rPr>
            </w:pPr>
          </w:p>
        </w:tc>
        <w:tc>
          <w:tcPr>
            <w:tcW w:w="8568" w:type="dxa"/>
          </w:tcPr>
          <w:p w14:paraId="08809A8A" w14:textId="77777777" w:rsidR="004C45FC" w:rsidRDefault="004C45FC" w:rsidP="004C45FC"/>
        </w:tc>
      </w:tr>
      <w:tr w:rsidR="004C45FC" w:rsidRPr="003B174D" w14:paraId="6D57DAD8" w14:textId="77777777" w:rsidTr="009A155E">
        <w:tc>
          <w:tcPr>
            <w:tcW w:w="630" w:type="dxa"/>
          </w:tcPr>
          <w:p w14:paraId="6D66EF96" w14:textId="77777777" w:rsidR="004C45FC" w:rsidRPr="009A155E" w:rsidRDefault="004C45FC" w:rsidP="000C6A90">
            <w:pPr>
              <w:pStyle w:val="NoSpacing"/>
              <w:jc w:val="both"/>
              <w:rPr>
                <w:rFonts w:ascii="Times New Roman" w:hAnsi="Times New Roman"/>
                <w:sz w:val="24"/>
                <w:szCs w:val="24"/>
              </w:rPr>
            </w:pPr>
          </w:p>
        </w:tc>
        <w:tc>
          <w:tcPr>
            <w:tcW w:w="8568" w:type="dxa"/>
          </w:tcPr>
          <w:p w14:paraId="2102392B" w14:textId="77777777" w:rsidR="004C45FC" w:rsidRDefault="004C45FC" w:rsidP="003A081A">
            <w:pPr>
              <w:jc w:val="both"/>
            </w:pPr>
            <w:r>
              <w:t xml:space="preserve">The Trust administers the commonwealth’s SRF programs jointly with DEP, which are authorized by federal legislation — the Water Quality Act of 1987 for the clean water SRF and the Safe Drinking Water Act of 1996 for the drinking water SRF — to provide financial assistance to borrowers for water pollution abatement projects and drinking water projects.  </w:t>
            </w:r>
          </w:p>
        </w:tc>
      </w:tr>
      <w:tr w:rsidR="004C45FC" w:rsidRPr="003B174D" w14:paraId="2ADE281E" w14:textId="77777777" w:rsidTr="009A155E">
        <w:tc>
          <w:tcPr>
            <w:tcW w:w="630" w:type="dxa"/>
          </w:tcPr>
          <w:p w14:paraId="5E738176" w14:textId="77777777" w:rsidR="004C45FC" w:rsidRPr="009A155E" w:rsidRDefault="004C45FC" w:rsidP="000C6A90">
            <w:pPr>
              <w:pStyle w:val="NoSpacing"/>
              <w:jc w:val="both"/>
              <w:rPr>
                <w:rFonts w:ascii="Times New Roman" w:hAnsi="Times New Roman"/>
                <w:sz w:val="24"/>
                <w:szCs w:val="24"/>
              </w:rPr>
            </w:pPr>
          </w:p>
        </w:tc>
        <w:tc>
          <w:tcPr>
            <w:tcW w:w="8568" w:type="dxa"/>
          </w:tcPr>
          <w:p w14:paraId="103A626A" w14:textId="77777777" w:rsidR="004C45FC" w:rsidRDefault="004C45FC" w:rsidP="004C45FC"/>
        </w:tc>
      </w:tr>
      <w:tr w:rsidR="004C45FC" w:rsidRPr="003B174D" w14:paraId="4468263B" w14:textId="77777777" w:rsidTr="009A155E">
        <w:tc>
          <w:tcPr>
            <w:tcW w:w="630" w:type="dxa"/>
          </w:tcPr>
          <w:p w14:paraId="27B5D5CD" w14:textId="77777777" w:rsidR="004C45FC" w:rsidRPr="009A155E" w:rsidRDefault="004C45FC" w:rsidP="000C6A90">
            <w:pPr>
              <w:pStyle w:val="NoSpacing"/>
              <w:jc w:val="both"/>
              <w:rPr>
                <w:rFonts w:ascii="Times New Roman" w:hAnsi="Times New Roman"/>
                <w:sz w:val="24"/>
                <w:szCs w:val="24"/>
              </w:rPr>
            </w:pPr>
          </w:p>
        </w:tc>
        <w:tc>
          <w:tcPr>
            <w:tcW w:w="8568" w:type="dxa"/>
          </w:tcPr>
          <w:p w14:paraId="05D7D738" w14:textId="77777777" w:rsidR="004C45FC" w:rsidRPr="009A155E" w:rsidRDefault="004C45FC" w:rsidP="004C45FC">
            <w:pPr>
              <w:pStyle w:val="NoSpacing"/>
              <w:jc w:val="both"/>
              <w:rPr>
                <w:rFonts w:ascii="Times New Roman" w:hAnsi="Times New Roman"/>
                <w:sz w:val="24"/>
                <w:szCs w:val="24"/>
              </w:rPr>
            </w:pPr>
            <w:r w:rsidRPr="009A155E">
              <w:rPr>
                <w:rFonts w:ascii="Times New Roman" w:hAnsi="Times New Roman"/>
                <w:sz w:val="24"/>
                <w:szCs w:val="24"/>
              </w:rPr>
              <w:t xml:space="preserve">Bonds of the Trust are issued under and secured by the Program Resolution, and one or more existing or new bond resolutions of the Trust and other applicable security agreements. The </w:t>
            </w:r>
            <w:r>
              <w:rPr>
                <w:rFonts w:ascii="Times New Roman" w:hAnsi="Times New Roman"/>
                <w:sz w:val="24"/>
                <w:szCs w:val="24"/>
              </w:rPr>
              <w:t xml:space="preserve">Program Resolution, pursuant to the </w:t>
            </w:r>
            <w:r w:rsidRPr="009A155E">
              <w:rPr>
                <w:rFonts w:ascii="Times New Roman" w:hAnsi="Times New Roman"/>
                <w:sz w:val="24"/>
                <w:szCs w:val="24"/>
              </w:rPr>
              <w:t>Enabling Act</w:t>
            </w:r>
            <w:r>
              <w:rPr>
                <w:rFonts w:ascii="Times New Roman" w:hAnsi="Times New Roman"/>
                <w:sz w:val="24"/>
                <w:szCs w:val="24"/>
              </w:rPr>
              <w:t>,</w:t>
            </w:r>
            <w:r w:rsidRPr="009A155E">
              <w:rPr>
                <w:rFonts w:ascii="Times New Roman" w:hAnsi="Times New Roman"/>
                <w:sz w:val="24"/>
                <w:szCs w:val="24"/>
              </w:rPr>
              <w:t xml:space="preserve"> </w:t>
            </w:r>
            <w:r>
              <w:rPr>
                <w:rFonts w:ascii="Times New Roman" w:hAnsi="Times New Roman"/>
                <w:sz w:val="24"/>
                <w:szCs w:val="24"/>
              </w:rPr>
              <w:t>also authorizes</w:t>
            </w:r>
            <w:r w:rsidRPr="009A155E">
              <w:rPr>
                <w:rFonts w:ascii="Times New Roman" w:hAnsi="Times New Roman"/>
                <w:sz w:val="24"/>
                <w:szCs w:val="24"/>
              </w:rPr>
              <w:t xml:space="preserve"> the Trust to issue notes in anticipation of bonds and in anticipation of grants, revenues or appropriations to the Trust. </w:t>
            </w:r>
          </w:p>
        </w:tc>
      </w:tr>
      <w:tr w:rsidR="004C45FC" w:rsidRPr="003B174D" w14:paraId="24EBA7A4" w14:textId="77777777" w:rsidTr="009A155E">
        <w:tc>
          <w:tcPr>
            <w:tcW w:w="630" w:type="dxa"/>
          </w:tcPr>
          <w:p w14:paraId="6A8F89AF" w14:textId="77777777" w:rsidR="004C45FC" w:rsidRPr="009A155E" w:rsidRDefault="004C45FC" w:rsidP="000C6A90">
            <w:pPr>
              <w:pStyle w:val="NoSpacing"/>
              <w:jc w:val="both"/>
              <w:rPr>
                <w:rFonts w:ascii="Times New Roman" w:hAnsi="Times New Roman"/>
                <w:sz w:val="24"/>
                <w:szCs w:val="24"/>
              </w:rPr>
            </w:pPr>
          </w:p>
        </w:tc>
        <w:tc>
          <w:tcPr>
            <w:tcW w:w="8568" w:type="dxa"/>
          </w:tcPr>
          <w:p w14:paraId="1FA20021" w14:textId="77777777" w:rsidR="004C45FC" w:rsidRPr="009A155E" w:rsidRDefault="004C45FC" w:rsidP="004C45FC">
            <w:pPr>
              <w:pStyle w:val="NoSpacing"/>
              <w:jc w:val="both"/>
              <w:rPr>
                <w:rFonts w:ascii="Times New Roman" w:hAnsi="Times New Roman"/>
                <w:sz w:val="24"/>
                <w:szCs w:val="24"/>
              </w:rPr>
            </w:pPr>
          </w:p>
        </w:tc>
      </w:tr>
      <w:tr w:rsidR="004C45FC" w:rsidRPr="003B174D" w14:paraId="7CC684F3" w14:textId="77777777" w:rsidTr="009A155E">
        <w:tc>
          <w:tcPr>
            <w:tcW w:w="630" w:type="dxa"/>
          </w:tcPr>
          <w:p w14:paraId="7F8AF426" w14:textId="77777777" w:rsidR="004C45FC" w:rsidRPr="009A155E" w:rsidRDefault="004C45FC" w:rsidP="000C6A90">
            <w:pPr>
              <w:pStyle w:val="NoSpacing"/>
              <w:jc w:val="both"/>
              <w:rPr>
                <w:rFonts w:ascii="Times New Roman" w:hAnsi="Times New Roman"/>
                <w:sz w:val="24"/>
                <w:szCs w:val="24"/>
              </w:rPr>
            </w:pPr>
          </w:p>
        </w:tc>
        <w:tc>
          <w:tcPr>
            <w:tcW w:w="8568" w:type="dxa"/>
          </w:tcPr>
          <w:p w14:paraId="10C55124" w14:textId="77777777" w:rsidR="004C45FC" w:rsidRPr="009A155E" w:rsidRDefault="004C45FC" w:rsidP="009D2254">
            <w:pPr>
              <w:pStyle w:val="NoSpacing"/>
              <w:jc w:val="both"/>
              <w:rPr>
                <w:rFonts w:ascii="Times New Roman" w:hAnsi="Times New Roman"/>
                <w:sz w:val="24"/>
                <w:szCs w:val="24"/>
              </w:rPr>
            </w:pPr>
            <w:r w:rsidRPr="009A155E">
              <w:rPr>
                <w:rFonts w:ascii="Times New Roman" w:hAnsi="Times New Roman"/>
                <w:sz w:val="24"/>
                <w:szCs w:val="24"/>
              </w:rPr>
              <w:t xml:space="preserve">In addition to the Enabling Act, the Program Resolution and the applicable </w:t>
            </w:r>
            <w:r>
              <w:rPr>
                <w:rFonts w:ascii="Times New Roman" w:hAnsi="Times New Roman"/>
                <w:sz w:val="24"/>
                <w:szCs w:val="24"/>
              </w:rPr>
              <w:t>b</w:t>
            </w:r>
            <w:r w:rsidRPr="009A155E">
              <w:rPr>
                <w:rFonts w:ascii="Times New Roman" w:hAnsi="Times New Roman"/>
                <w:sz w:val="24"/>
                <w:szCs w:val="24"/>
              </w:rPr>
              <w:t xml:space="preserve">ond </w:t>
            </w:r>
            <w:r>
              <w:rPr>
                <w:rFonts w:ascii="Times New Roman" w:hAnsi="Times New Roman"/>
                <w:sz w:val="24"/>
                <w:szCs w:val="24"/>
              </w:rPr>
              <w:t>r</w:t>
            </w:r>
            <w:r w:rsidRPr="009A155E">
              <w:rPr>
                <w:rFonts w:ascii="Times New Roman" w:hAnsi="Times New Roman"/>
                <w:sz w:val="24"/>
                <w:szCs w:val="24"/>
              </w:rPr>
              <w:t>esolution</w:t>
            </w:r>
            <w:r>
              <w:rPr>
                <w:rFonts w:ascii="Times New Roman" w:hAnsi="Times New Roman"/>
                <w:sz w:val="24"/>
                <w:szCs w:val="24"/>
              </w:rPr>
              <w:t>s</w:t>
            </w:r>
            <w:r w:rsidRPr="009A155E">
              <w:rPr>
                <w:rFonts w:ascii="Times New Roman" w:hAnsi="Times New Roman"/>
                <w:sz w:val="24"/>
                <w:szCs w:val="24"/>
              </w:rPr>
              <w:t xml:space="preserve">, all debt obligations of the Trust that are secured in whole or in part by federal grants and state matching grants received under the federal Clean Water Act or the federal Safe Drinking Water Act must be issued in conformance with the applicable provisions of those acts and regulations promulgated thereunder by the </w:t>
            </w:r>
            <w:r w:rsidR="00F523C7">
              <w:rPr>
                <w:rFonts w:ascii="Times New Roman" w:hAnsi="Times New Roman"/>
                <w:sz w:val="24"/>
                <w:szCs w:val="24"/>
              </w:rPr>
              <w:t>EPA</w:t>
            </w:r>
            <w:r w:rsidRPr="009A155E">
              <w:rPr>
                <w:rFonts w:ascii="Times New Roman" w:hAnsi="Times New Roman"/>
                <w:sz w:val="24"/>
                <w:szCs w:val="24"/>
              </w:rPr>
              <w:t xml:space="preserve">, the applicable agreements for such grants, the provisions of the </w:t>
            </w:r>
            <w:r w:rsidR="009D2254">
              <w:rPr>
                <w:rFonts w:ascii="Times New Roman" w:hAnsi="Times New Roman"/>
                <w:sz w:val="24"/>
                <w:szCs w:val="24"/>
              </w:rPr>
              <w:t>clean water and drinking water o</w:t>
            </w:r>
            <w:r w:rsidRPr="009A155E">
              <w:rPr>
                <w:rFonts w:ascii="Times New Roman" w:hAnsi="Times New Roman"/>
                <w:sz w:val="24"/>
                <w:szCs w:val="24"/>
              </w:rPr>
              <w:t xml:space="preserve">perating </w:t>
            </w:r>
            <w:r w:rsidR="009D2254">
              <w:rPr>
                <w:rFonts w:ascii="Times New Roman" w:hAnsi="Times New Roman"/>
                <w:sz w:val="24"/>
                <w:szCs w:val="24"/>
              </w:rPr>
              <w:t>a</w:t>
            </w:r>
            <w:r w:rsidRPr="009A155E">
              <w:rPr>
                <w:rFonts w:ascii="Times New Roman" w:hAnsi="Times New Roman"/>
                <w:sz w:val="24"/>
                <w:szCs w:val="24"/>
              </w:rPr>
              <w:t>greement</w:t>
            </w:r>
            <w:r w:rsidR="009D2254">
              <w:rPr>
                <w:rFonts w:ascii="Times New Roman" w:hAnsi="Times New Roman"/>
                <w:sz w:val="24"/>
                <w:szCs w:val="24"/>
              </w:rPr>
              <w:t>s</w:t>
            </w:r>
            <w:r w:rsidRPr="009A155E">
              <w:rPr>
                <w:rFonts w:ascii="Times New Roman" w:hAnsi="Times New Roman"/>
                <w:sz w:val="24"/>
                <w:szCs w:val="24"/>
              </w:rPr>
              <w:t xml:space="preserve"> among the Trust, the EPA, and DEP and the Amended and Restated Master Funding Agreement dated as of October 3, 2005 among the Trust, DEP, the </w:t>
            </w:r>
            <w:r w:rsidR="00BF5113">
              <w:rPr>
                <w:rFonts w:ascii="Times New Roman" w:hAnsi="Times New Roman"/>
                <w:sz w:val="24"/>
                <w:szCs w:val="24"/>
              </w:rPr>
              <w:t>Massachusetts state t</w:t>
            </w:r>
            <w:r w:rsidRPr="009A155E">
              <w:rPr>
                <w:rFonts w:ascii="Times New Roman" w:hAnsi="Times New Roman"/>
                <w:sz w:val="24"/>
                <w:szCs w:val="24"/>
              </w:rPr>
              <w:t xml:space="preserve">reasurer (the “State Treasurer”), and the </w:t>
            </w:r>
            <w:r w:rsidR="00BF5113">
              <w:rPr>
                <w:rFonts w:ascii="Times New Roman" w:hAnsi="Times New Roman"/>
                <w:sz w:val="24"/>
                <w:szCs w:val="24"/>
              </w:rPr>
              <w:t>s</w:t>
            </w:r>
            <w:r w:rsidRPr="009A155E">
              <w:rPr>
                <w:rFonts w:ascii="Times New Roman" w:hAnsi="Times New Roman"/>
                <w:sz w:val="24"/>
                <w:szCs w:val="24"/>
              </w:rPr>
              <w:t xml:space="preserve">ecretary of the </w:t>
            </w:r>
            <w:r w:rsidR="00BF5113">
              <w:rPr>
                <w:rFonts w:ascii="Times New Roman" w:hAnsi="Times New Roman"/>
                <w:sz w:val="24"/>
                <w:szCs w:val="24"/>
              </w:rPr>
              <w:t>e</w:t>
            </w:r>
            <w:r w:rsidRPr="009A155E">
              <w:rPr>
                <w:rFonts w:ascii="Times New Roman" w:hAnsi="Times New Roman"/>
                <w:sz w:val="24"/>
                <w:szCs w:val="24"/>
              </w:rPr>
              <w:t xml:space="preserve">xecutive </w:t>
            </w:r>
            <w:r w:rsidR="00BF5113">
              <w:rPr>
                <w:rFonts w:ascii="Times New Roman" w:hAnsi="Times New Roman"/>
                <w:sz w:val="24"/>
                <w:szCs w:val="24"/>
              </w:rPr>
              <w:t>o</w:t>
            </w:r>
            <w:r w:rsidRPr="009A155E">
              <w:rPr>
                <w:rFonts w:ascii="Times New Roman" w:hAnsi="Times New Roman"/>
                <w:sz w:val="24"/>
                <w:szCs w:val="24"/>
              </w:rPr>
              <w:t xml:space="preserve">ffice for </w:t>
            </w:r>
            <w:r w:rsidR="00BF5113">
              <w:rPr>
                <w:rFonts w:ascii="Times New Roman" w:hAnsi="Times New Roman"/>
                <w:sz w:val="24"/>
                <w:szCs w:val="24"/>
              </w:rPr>
              <w:t>a</w:t>
            </w:r>
            <w:r w:rsidRPr="009A155E">
              <w:rPr>
                <w:rFonts w:ascii="Times New Roman" w:hAnsi="Times New Roman"/>
                <w:sz w:val="24"/>
                <w:szCs w:val="24"/>
              </w:rPr>
              <w:t xml:space="preserve">dministration and </w:t>
            </w:r>
            <w:r w:rsidR="00BF5113">
              <w:rPr>
                <w:rFonts w:ascii="Times New Roman" w:hAnsi="Times New Roman"/>
                <w:sz w:val="24"/>
                <w:szCs w:val="24"/>
              </w:rPr>
              <w:t>f</w:t>
            </w:r>
            <w:r w:rsidRPr="009A155E">
              <w:rPr>
                <w:rFonts w:ascii="Times New Roman" w:hAnsi="Times New Roman"/>
                <w:sz w:val="24"/>
                <w:szCs w:val="24"/>
              </w:rPr>
              <w:t xml:space="preserve">inance of the </w:t>
            </w:r>
            <w:r w:rsidR="00BF5113">
              <w:rPr>
                <w:rFonts w:ascii="Times New Roman" w:hAnsi="Times New Roman"/>
                <w:sz w:val="24"/>
                <w:szCs w:val="24"/>
              </w:rPr>
              <w:t>c</w:t>
            </w:r>
            <w:r w:rsidRPr="009A155E">
              <w:rPr>
                <w:rFonts w:ascii="Times New Roman" w:hAnsi="Times New Roman"/>
                <w:sz w:val="24"/>
                <w:szCs w:val="24"/>
              </w:rPr>
              <w:t>ommonwealth</w:t>
            </w:r>
            <w:r w:rsidR="0005756A">
              <w:rPr>
                <w:rFonts w:ascii="Times New Roman" w:hAnsi="Times New Roman"/>
                <w:sz w:val="24"/>
                <w:szCs w:val="24"/>
              </w:rPr>
              <w:t xml:space="preserve"> (“Administration and Finance”)</w:t>
            </w:r>
            <w:r w:rsidRPr="009A155E">
              <w:rPr>
                <w:rFonts w:ascii="Times New Roman" w:hAnsi="Times New Roman"/>
                <w:sz w:val="24"/>
                <w:szCs w:val="24"/>
              </w:rPr>
              <w:t xml:space="preserve">.  Debt of the Trust </w:t>
            </w:r>
            <w:r w:rsidR="00BF5113">
              <w:rPr>
                <w:rFonts w:ascii="Times New Roman" w:hAnsi="Times New Roman"/>
                <w:sz w:val="24"/>
                <w:szCs w:val="24"/>
              </w:rPr>
              <w:t xml:space="preserve">that is </w:t>
            </w:r>
            <w:r w:rsidRPr="009A155E">
              <w:rPr>
                <w:rFonts w:ascii="Times New Roman" w:hAnsi="Times New Roman"/>
                <w:sz w:val="24"/>
                <w:szCs w:val="24"/>
              </w:rPr>
              <w:t xml:space="preserve">secured by </w:t>
            </w:r>
            <w:r w:rsidR="00F523C7">
              <w:rPr>
                <w:rFonts w:ascii="Times New Roman" w:hAnsi="Times New Roman"/>
                <w:sz w:val="24"/>
                <w:szCs w:val="24"/>
              </w:rPr>
              <w:t>a subsidy</w:t>
            </w:r>
            <w:r w:rsidRPr="009A155E">
              <w:rPr>
                <w:rFonts w:ascii="Times New Roman" w:hAnsi="Times New Roman"/>
                <w:sz w:val="24"/>
                <w:szCs w:val="24"/>
              </w:rPr>
              <w:t xml:space="preserve"> for debt service </w:t>
            </w:r>
            <w:r w:rsidR="00F523C7">
              <w:rPr>
                <w:rFonts w:ascii="Times New Roman" w:hAnsi="Times New Roman"/>
                <w:sz w:val="24"/>
                <w:szCs w:val="24"/>
              </w:rPr>
              <w:t xml:space="preserve">in the form of contract assistance </w:t>
            </w:r>
            <w:r w:rsidRPr="009A155E">
              <w:rPr>
                <w:rFonts w:ascii="Times New Roman" w:hAnsi="Times New Roman"/>
                <w:sz w:val="24"/>
                <w:szCs w:val="24"/>
              </w:rPr>
              <w:t xml:space="preserve">appropriated by the </w:t>
            </w:r>
            <w:r w:rsidR="00F523C7">
              <w:rPr>
                <w:rFonts w:ascii="Times New Roman" w:hAnsi="Times New Roman"/>
                <w:sz w:val="24"/>
                <w:szCs w:val="24"/>
              </w:rPr>
              <w:t>c</w:t>
            </w:r>
            <w:r w:rsidRPr="009A155E">
              <w:rPr>
                <w:rFonts w:ascii="Times New Roman" w:hAnsi="Times New Roman"/>
                <w:sz w:val="24"/>
                <w:szCs w:val="24"/>
              </w:rPr>
              <w:t>ommonwealth must</w:t>
            </w:r>
            <w:r w:rsidR="00F523C7">
              <w:rPr>
                <w:rFonts w:ascii="Times New Roman" w:hAnsi="Times New Roman"/>
                <w:sz w:val="24"/>
                <w:szCs w:val="24"/>
              </w:rPr>
              <w:t xml:space="preserve"> also</w:t>
            </w:r>
            <w:r w:rsidRPr="009A155E">
              <w:rPr>
                <w:rFonts w:ascii="Times New Roman" w:hAnsi="Times New Roman"/>
                <w:sz w:val="24"/>
                <w:szCs w:val="24"/>
              </w:rPr>
              <w:t xml:space="preserve"> be issued in conformance with the applicable provisions of the Amended and Restated Agreement for Contract Assistance</w:t>
            </w:r>
            <w:r w:rsidR="00BF5113">
              <w:rPr>
                <w:rFonts w:ascii="Times New Roman" w:hAnsi="Times New Roman"/>
                <w:sz w:val="24"/>
                <w:szCs w:val="24"/>
              </w:rPr>
              <w:t>,</w:t>
            </w:r>
            <w:r w:rsidRPr="009A155E">
              <w:rPr>
                <w:rFonts w:ascii="Times New Roman" w:hAnsi="Times New Roman"/>
                <w:sz w:val="24"/>
                <w:szCs w:val="24"/>
              </w:rPr>
              <w:t xml:space="preserve"> dated November 9, 2007</w:t>
            </w:r>
            <w:r w:rsidR="009D2254">
              <w:rPr>
                <w:rFonts w:ascii="Times New Roman" w:hAnsi="Times New Roman"/>
                <w:sz w:val="24"/>
                <w:szCs w:val="24"/>
              </w:rPr>
              <w:t>,</w:t>
            </w:r>
            <w:r w:rsidRPr="009A155E">
              <w:rPr>
                <w:rFonts w:ascii="Times New Roman" w:hAnsi="Times New Roman"/>
                <w:sz w:val="24"/>
                <w:szCs w:val="24"/>
              </w:rPr>
              <w:t xml:space="preserve"> between the Trust and the State Treasurer.</w:t>
            </w:r>
          </w:p>
        </w:tc>
      </w:tr>
      <w:tr w:rsidR="000C6A90" w:rsidRPr="003B174D" w14:paraId="0012057F" w14:textId="77777777" w:rsidTr="009A155E">
        <w:tc>
          <w:tcPr>
            <w:tcW w:w="630" w:type="dxa"/>
          </w:tcPr>
          <w:p w14:paraId="66E76B4A" w14:textId="77777777" w:rsidR="000C6A90" w:rsidRPr="009A155E" w:rsidRDefault="000C6A90" w:rsidP="000C6A90">
            <w:pPr>
              <w:pStyle w:val="NoSpacing"/>
              <w:jc w:val="both"/>
              <w:rPr>
                <w:rFonts w:ascii="Times New Roman" w:hAnsi="Times New Roman"/>
                <w:sz w:val="24"/>
                <w:szCs w:val="24"/>
              </w:rPr>
            </w:pPr>
          </w:p>
        </w:tc>
        <w:tc>
          <w:tcPr>
            <w:tcW w:w="8568" w:type="dxa"/>
          </w:tcPr>
          <w:p w14:paraId="570BF064" w14:textId="77777777" w:rsidR="000C6A90" w:rsidRPr="009A155E" w:rsidRDefault="000C6A90" w:rsidP="000C6A90">
            <w:pPr>
              <w:pStyle w:val="NoSpacing"/>
              <w:jc w:val="both"/>
              <w:rPr>
                <w:rFonts w:ascii="Times New Roman" w:hAnsi="Times New Roman"/>
                <w:sz w:val="24"/>
                <w:szCs w:val="24"/>
              </w:rPr>
            </w:pPr>
          </w:p>
        </w:tc>
      </w:tr>
      <w:tr w:rsidR="00CC6733" w:rsidRPr="003B174D" w14:paraId="671B2E40" w14:textId="77777777" w:rsidTr="009A155E">
        <w:tc>
          <w:tcPr>
            <w:tcW w:w="630" w:type="dxa"/>
          </w:tcPr>
          <w:p w14:paraId="4E699275" w14:textId="77777777" w:rsidR="00CC6733" w:rsidRPr="009A155E" w:rsidRDefault="00CC6733" w:rsidP="000C6A90">
            <w:pPr>
              <w:pStyle w:val="NoSpacing"/>
              <w:jc w:val="both"/>
              <w:rPr>
                <w:rFonts w:ascii="Times New Roman" w:hAnsi="Times New Roman"/>
                <w:sz w:val="24"/>
                <w:szCs w:val="24"/>
              </w:rPr>
            </w:pPr>
            <w:r>
              <w:rPr>
                <w:rFonts w:ascii="Times New Roman" w:hAnsi="Times New Roman"/>
                <w:sz w:val="24"/>
                <w:szCs w:val="24"/>
              </w:rPr>
              <w:t>4.</w:t>
            </w:r>
          </w:p>
        </w:tc>
        <w:tc>
          <w:tcPr>
            <w:tcW w:w="8568" w:type="dxa"/>
          </w:tcPr>
          <w:p w14:paraId="43246A9F" w14:textId="77777777" w:rsidR="00CC6733" w:rsidRPr="00CC6733" w:rsidRDefault="00CC6733" w:rsidP="000C6A90">
            <w:pPr>
              <w:pStyle w:val="NoSpacing"/>
              <w:jc w:val="both"/>
              <w:rPr>
                <w:rFonts w:ascii="Times New Roman" w:hAnsi="Times New Roman"/>
                <w:b/>
                <w:sz w:val="24"/>
                <w:szCs w:val="24"/>
              </w:rPr>
            </w:pPr>
            <w:r>
              <w:rPr>
                <w:rFonts w:ascii="Times New Roman" w:hAnsi="Times New Roman"/>
                <w:b/>
                <w:sz w:val="24"/>
                <w:szCs w:val="24"/>
              </w:rPr>
              <w:t>Process of Debt Issuance</w:t>
            </w:r>
          </w:p>
        </w:tc>
      </w:tr>
      <w:tr w:rsidR="00912F6D" w:rsidRPr="003B174D" w14:paraId="4F75D5F5" w14:textId="77777777" w:rsidTr="009A155E">
        <w:tc>
          <w:tcPr>
            <w:tcW w:w="630" w:type="dxa"/>
          </w:tcPr>
          <w:p w14:paraId="18CA3AF3" w14:textId="77777777" w:rsidR="00912F6D" w:rsidRDefault="00912F6D" w:rsidP="000C6A90">
            <w:pPr>
              <w:pStyle w:val="NoSpacing"/>
              <w:jc w:val="both"/>
              <w:rPr>
                <w:rFonts w:ascii="Times New Roman" w:hAnsi="Times New Roman"/>
                <w:sz w:val="24"/>
                <w:szCs w:val="24"/>
              </w:rPr>
            </w:pPr>
          </w:p>
        </w:tc>
        <w:tc>
          <w:tcPr>
            <w:tcW w:w="8568" w:type="dxa"/>
          </w:tcPr>
          <w:p w14:paraId="21442CC2" w14:textId="77777777" w:rsidR="00912F6D" w:rsidRPr="004A7530" w:rsidRDefault="00912F6D" w:rsidP="000C6A90">
            <w:pPr>
              <w:pStyle w:val="NoSpacing"/>
              <w:jc w:val="both"/>
              <w:rPr>
                <w:rFonts w:ascii="Times New Roman" w:hAnsi="Times New Roman"/>
                <w:sz w:val="24"/>
                <w:szCs w:val="24"/>
                <w:u w:val="single"/>
              </w:rPr>
            </w:pPr>
          </w:p>
        </w:tc>
      </w:tr>
      <w:tr w:rsidR="00CC6733" w:rsidRPr="003B174D" w14:paraId="1FB44B82" w14:textId="77777777" w:rsidTr="009A155E">
        <w:tc>
          <w:tcPr>
            <w:tcW w:w="630" w:type="dxa"/>
          </w:tcPr>
          <w:p w14:paraId="769DFCC8" w14:textId="77777777" w:rsidR="00CC6733" w:rsidRDefault="00CC6733" w:rsidP="000C6A90">
            <w:pPr>
              <w:pStyle w:val="NoSpacing"/>
              <w:jc w:val="both"/>
              <w:rPr>
                <w:rFonts w:ascii="Times New Roman" w:hAnsi="Times New Roman"/>
                <w:sz w:val="24"/>
                <w:szCs w:val="24"/>
              </w:rPr>
            </w:pPr>
          </w:p>
        </w:tc>
        <w:tc>
          <w:tcPr>
            <w:tcW w:w="8568" w:type="dxa"/>
          </w:tcPr>
          <w:p w14:paraId="25F76A43" w14:textId="77777777" w:rsidR="00CC6733" w:rsidRPr="00912F6D" w:rsidRDefault="00912F6D" w:rsidP="007C3C1C">
            <w:pPr>
              <w:pStyle w:val="NoSpacing"/>
              <w:jc w:val="both"/>
              <w:rPr>
                <w:rFonts w:ascii="Times New Roman" w:hAnsi="Times New Roman"/>
                <w:b/>
                <w:sz w:val="24"/>
                <w:szCs w:val="24"/>
              </w:rPr>
            </w:pPr>
            <w:r>
              <w:rPr>
                <w:rFonts w:ascii="Times New Roman" w:hAnsi="Times New Roman"/>
                <w:sz w:val="24"/>
                <w:szCs w:val="24"/>
              </w:rPr>
              <w:t xml:space="preserve">A.  </w:t>
            </w:r>
            <w:r w:rsidRPr="004A7530">
              <w:rPr>
                <w:rFonts w:ascii="Times New Roman" w:hAnsi="Times New Roman"/>
                <w:sz w:val="24"/>
                <w:szCs w:val="24"/>
                <w:u w:val="single"/>
              </w:rPr>
              <w:t>Notice to Finance and Governance Board</w:t>
            </w:r>
            <w:r>
              <w:rPr>
                <w:rFonts w:ascii="Times New Roman" w:hAnsi="Times New Roman"/>
                <w:sz w:val="24"/>
                <w:szCs w:val="24"/>
              </w:rPr>
              <w:t xml:space="preserve">.  </w:t>
            </w:r>
            <w:r w:rsidR="009D2254">
              <w:rPr>
                <w:rFonts w:ascii="Times New Roman" w:hAnsi="Times New Roman"/>
                <w:sz w:val="24"/>
                <w:szCs w:val="24"/>
              </w:rPr>
              <w:t>Pursuant to chapter</w:t>
            </w:r>
            <w:r>
              <w:rPr>
                <w:rFonts w:ascii="Times New Roman" w:hAnsi="Times New Roman"/>
                <w:sz w:val="24"/>
                <w:szCs w:val="24"/>
              </w:rPr>
              <w:t xml:space="preserve"> 29C, §9(a)</w:t>
            </w:r>
            <w:r w:rsidR="0038580D">
              <w:rPr>
                <w:rFonts w:ascii="Times New Roman" w:hAnsi="Times New Roman"/>
                <w:sz w:val="24"/>
                <w:szCs w:val="24"/>
              </w:rPr>
              <w:t>,</w:t>
            </w:r>
            <w:r>
              <w:rPr>
                <w:rFonts w:ascii="Times New Roman" w:hAnsi="Times New Roman"/>
                <w:sz w:val="24"/>
                <w:szCs w:val="24"/>
              </w:rPr>
              <w:t xml:space="preserve"> prior to the issuance of each series of bonds by the Trust, the Trust will advise the Finance and Governance Board, by letter signed by the executive director, of the terms of the bonds and the time of their issuance.</w:t>
            </w:r>
            <w:r w:rsidR="00F3454F">
              <w:rPr>
                <w:rFonts w:ascii="Times New Roman" w:hAnsi="Times New Roman"/>
                <w:sz w:val="24"/>
                <w:szCs w:val="24"/>
              </w:rPr>
              <w:t xml:space="preserve">  </w:t>
            </w:r>
          </w:p>
        </w:tc>
      </w:tr>
      <w:tr w:rsidR="00912F6D" w:rsidRPr="003B174D" w14:paraId="2E51A251" w14:textId="77777777" w:rsidTr="009A155E">
        <w:tc>
          <w:tcPr>
            <w:tcW w:w="630" w:type="dxa"/>
          </w:tcPr>
          <w:p w14:paraId="62C1726C" w14:textId="77777777" w:rsidR="00912F6D" w:rsidRDefault="00912F6D" w:rsidP="000C6A90">
            <w:pPr>
              <w:pStyle w:val="NoSpacing"/>
              <w:jc w:val="both"/>
              <w:rPr>
                <w:rFonts w:ascii="Times New Roman" w:hAnsi="Times New Roman"/>
                <w:sz w:val="24"/>
                <w:szCs w:val="24"/>
              </w:rPr>
            </w:pPr>
          </w:p>
        </w:tc>
        <w:tc>
          <w:tcPr>
            <w:tcW w:w="8568" w:type="dxa"/>
          </w:tcPr>
          <w:p w14:paraId="324F7BEB" w14:textId="77777777" w:rsidR="00912F6D" w:rsidRPr="004A7530" w:rsidRDefault="00912F6D" w:rsidP="000C6A90">
            <w:pPr>
              <w:pStyle w:val="NoSpacing"/>
              <w:jc w:val="both"/>
              <w:rPr>
                <w:rFonts w:ascii="Times New Roman" w:hAnsi="Times New Roman"/>
                <w:sz w:val="24"/>
                <w:szCs w:val="24"/>
                <w:u w:val="single"/>
              </w:rPr>
            </w:pPr>
          </w:p>
        </w:tc>
      </w:tr>
      <w:tr w:rsidR="00CC6733" w:rsidRPr="003B174D" w14:paraId="13112D5D" w14:textId="77777777" w:rsidTr="009A155E">
        <w:tc>
          <w:tcPr>
            <w:tcW w:w="630" w:type="dxa"/>
          </w:tcPr>
          <w:p w14:paraId="0CCCBCE5" w14:textId="77777777" w:rsidR="00CC6733" w:rsidRPr="009A155E" w:rsidRDefault="00CC6733" w:rsidP="000C6A90">
            <w:pPr>
              <w:pStyle w:val="NoSpacing"/>
              <w:jc w:val="both"/>
              <w:rPr>
                <w:rFonts w:ascii="Times New Roman" w:hAnsi="Times New Roman"/>
                <w:sz w:val="24"/>
                <w:szCs w:val="24"/>
              </w:rPr>
            </w:pPr>
          </w:p>
        </w:tc>
        <w:tc>
          <w:tcPr>
            <w:tcW w:w="8568" w:type="dxa"/>
          </w:tcPr>
          <w:p w14:paraId="25774AE6" w14:textId="77777777" w:rsidR="007F7B66" w:rsidRDefault="00912F6D" w:rsidP="00CC6733">
            <w:pPr>
              <w:pStyle w:val="NoSpacing"/>
              <w:jc w:val="both"/>
              <w:rPr>
                <w:rFonts w:ascii="Times New Roman" w:hAnsi="Times New Roman"/>
                <w:sz w:val="24"/>
                <w:szCs w:val="24"/>
              </w:rPr>
            </w:pPr>
            <w:r>
              <w:rPr>
                <w:rFonts w:ascii="Times New Roman" w:hAnsi="Times New Roman"/>
                <w:sz w:val="24"/>
                <w:szCs w:val="24"/>
              </w:rPr>
              <w:t>B</w:t>
            </w:r>
            <w:r w:rsidR="004A7530">
              <w:rPr>
                <w:rFonts w:ascii="Times New Roman" w:hAnsi="Times New Roman"/>
                <w:sz w:val="24"/>
                <w:szCs w:val="24"/>
              </w:rPr>
              <w:t xml:space="preserve">.  </w:t>
            </w:r>
            <w:r w:rsidR="00CC6733">
              <w:rPr>
                <w:rFonts w:ascii="Times New Roman" w:hAnsi="Times New Roman"/>
                <w:sz w:val="24"/>
                <w:szCs w:val="24"/>
                <w:u w:val="single"/>
              </w:rPr>
              <w:t>Method of Sale Determination</w:t>
            </w:r>
            <w:r w:rsidR="00CC6733">
              <w:rPr>
                <w:rFonts w:ascii="Times New Roman" w:hAnsi="Times New Roman"/>
                <w:sz w:val="24"/>
                <w:szCs w:val="24"/>
              </w:rPr>
              <w:t xml:space="preserve">. </w:t>
            </w:r>
          </w:p>
          <w:tbl>
            <w:tblPr>
              <w:tblW w:w="0" w:type="auto"/>
              <w:tblLook w:val="04A0" w:firstRow="1" w:lastRow="0" w:firstColumn="1" w:lastColumn="0" w:noHBand="0" w:noVBand="1"/>
            </w:tblPr>
            <w:tblGrid>
              <w:gridCol w:w="603"/>
              <w:gridCol w:w="2290"/>
              <w:gridCol w:w="4464"/>
              <w:gridCol w:w="784"/>
            </w:tblGrid>
            <w:tr w:rsidR="007F7B66" w14:paraId="4B844754" w14:textId="77777777" w:rsidTr="005063FB">
              <w:tc>
                <w:tcPr>
                  <w:tcW w:w="607" w:type="dxa"/>
                </w:tcPr>
                <w:p w14:paraId="6C812BC0" w14:textId="77777777" w:rsidR="007F7B66" w:rsidRPr="005063FB" w:rsidRDefault="007F7B66" w:rsidP="005063FB">
                  <w:pPr>
                    <w:pStyle w:val="NoSpacing"/>
                    <w:jc w:val="both"/>
                    <w:rPr>
                      <w:rFonts w:ascii="Times New Roman" w:hAnsi="Times New Roman"/>
                      <w:sz w:val="24"/>
                      <w:szCs w:val="24"/>
                    </w:rPr>
                  </w:pPr>
                </w:p>
              </w:tc>
              <w:tc>
                <w:tcPr>
                  <w:tcW w:w="7730" w:type="dxa"/>
                  <w:gridSpan w:val="3"/>
                </w:tcPr>
                <w:p w14:paraId="3278488E" w14:textId="77777777" w:rsidR="007F7B66" w:rsidRPr="005063FB" w:rsidRDefault="007F7B66" w:rsidP="005063FB">
                  <w:pPr>
                    <w:pStyle w:val="NoSpacing"/>
                    <w:jc w:val="both"/>
                    <w:rPr>
                      <w:rFonts w:ascii="Times New Roman" w:hAnsi="Times New Roman"/>
                      <w:sz w:val="24"/>
                      <w:szCs w:val="24"/>
                    </w:rPr>
                  </w:pPr>
                </w:p>
              </w:tc>
            </w:tr>
            <w:tr w:rsidR="00912F6D" w14:paraId="6D9E0D0D" w14:textId="77777777" w:rsidTr="005063FB">
              <w:tc>
                <w:tcPr>
                  <w:tcW w:w="607" w:type="dxa"/>
                </w:tcPr>
                <w:p w14:paraId="2CB12FE4" w14:textId="77777777" w:rsidR="00912F6D" w:rsidRPr="005063FB" w:rsidRDefault="00912F6D" w:rsidP="005063FB">
                  <w:pPr>
                    <w:pStyle w:val="NoSpacing"/>
                    <w:jc w:val="both"/>
                    <w:rPr>
                      <w:rFonts w:ascii="Times New Roman" w:hAnsi="Times New Roman"/>
                      <w:sz w:val="24"/>
                      <w:szCs w:val="24"/>
                    </w:rPr>
                  </w:pPr>
                  <w:r w:rsidRPr="005063FB">
                    <w:rPr>
                      <w:rFonts w:ascii="Times New Roman" w:hAnsi="Times New Roman"/>
                      <w:sz w:val="24"/>
                      <w:szCs w:val="24"/>
                    </w:rPr>
                    <w:t>(</w:t>
                  </w:r>
                  <w:proofErr w:type="spellStart"/>
                  <w:r w:rsidRPr="005063FB">
                    <w:rPr>
                      <w:rFonts w:ascii="Times New Roman" w:hAnsi="Times New Roman"/>
                      <w:sz w:val="24"/>
                      <w:szCs w:val="24"/>
                    </w:rPr>
                    <w:t>i</w:t>
                  </w:r>
                  <w:proofErr w:type="spellEnd"/>
                  <w:r w:rsidRPr="005063FB">
                    <w:rPr>
                      <w:rFonts w:ascii="Times New Roman" w:hAnsi="Times New Roman"/>
                      <w:sz w:val="24"/>
                      <w:szCs w:val="24"/>
                    </w:rPr>
                    <w:t>)</w:t>
                  </w:r>
                </w:p>
              </w:tc>
              <w:tc>
                <w:tcPr>
                  <w:tcW w:w="7730" w:type="dxa"/>
                  <w:gridSpan w:val="3"/>
                </w:tcPr>
                <w:p w14:paraId="24871785" w14:textId="77777777" w:rsidR="00912F6D" w:rsidRPr="005063FB" w:rsidRDefault="00912F6D" w:rsidP="009D2254">
                  <w:pPr>
                    <w:pStyle w:val="NoSpacing"/>
                    <w:jc w:val="both"/>
                    <w:rPr>
                      <w:rFonts w:ascii="Times New Roman" w:hAnsi="Times New Roman"/>
                      <w:sz w:val="24"/>
                      <w:szCs w:val="24"/>
                    </w:rPr>
                  </w:pPr>
                  <w:r w:rsidRPr="005063FB">
                    <w:rPr>
                      <w:rFonts w:ascii="Times New Roman" w:hAnsi="Times New Roman"/>
                      <w:sz w:val="24"/>
                      <w:szCs w:val="24"/>
                      <w:u w:val="single"/>
                    </w:rPr>
                    <w:t>Competitive</w:t>
                  </w:r>
                  <w:r w:rsidRPr="005063FB">
                    <w:rPr>
                      <w:rFonts w:ascii="Times New Roman" w:hAnsi="Times New Roman"/>
                      <w:sz w:val="24"/>
                      <w:szCs w:val="24"/>
                    </w:rPr>
                    <w:t xml:space="preserve">.  Under General Laws, </w:t>
                  </w:r>
                  <w:r w:rsidR="009D2254">
                    <w:rPr>
                      <w:rFonts w:ascii="Times New Roman" w:hAnsi="Times New Roman"/>
                      <w:sz w:val="24"/>
                      <w:szCs w:val="24"/>
                    </w:rPr>
                    <w:t xml:space="preserve">chapter </w:t>
                  </w:r>
                  <w:r w:rsidRPr="005063FB">
                    <w:rPr>
                      <w:rFonts w:ascii="Times New Roman" w:hAnsi="Times New Roman"/>
                      <w:sz w:val="24"/>
                      <w:szCs w:val="24"/>
                    </w:rPr>
                    <w:t>29, §53 there is a presumption that</w:t>
                  </w:r>
                  <w:r w:rsidR="007C3C1C">
                    <w:rPr>
                      <w:rFonts w:ascii="Times New Roman" w:hAnsi="Times New Roman"/>
                      <w:sz w:val="24"/>
                      <w:szCs w:val="24"/>
                    </w:rPr>
                    <w:t xml:space="preserve"> commonwealth</w:t>
                  </w:r>
                  <w:r w:rsidRPr="005063FB">
                    <w:rPr>
                      <w:rFonts w:ascii="Times New Roman" w:hAnsi="Times New Roman"/>
                      <w:sz w:val="24"/>
                      <w:szCs w:val="24"/>
                    </w:rPr>
                    <w:t xml:space="preserve"> bonds or notes with a maturity date greater than three years after their issuance will be sold on a competitive basis.  </w:t>
                  </w:r>
                  <w:r w:rsidR="007C3C1C">
                    <w:rPr>
                      <w:rFonts w:ascii="Times New Roman" w:hAnsi="Times New Roman"/>
                      <w:sz w:val="24"/>
                      <w:szCs w:val="24"/>
                    </w:rPr>
                    <w:t xml:space="preserve">While, pursuant to c. 29C,§9(a), </w:t>
                  </w:r>
                  <w:r w:rsidR="00CD403D">
                    <w:rPr>
                      <w:rFonts w:ascii="Times New Roman" w:hAnsi="Times New Roman"/>
                      <w:sz w:val="24"/>
                      <w:szCs w:val="24"/>
                    </w:rPr>
                    <w:t xml:space="preserve">this presumption is not directly applicable to the sale of Trust debt, the Trust has opted to adopt a similar presumption that </w:t>
                  </w:r>
                  <w:r w:rsidRPr="005063FB">
                    <w:rPr>
                      <w:rFonts w:ascii="Times New Roman" w:hAnsi="Times New Roman"/>
                      <w:sz w:val="24"/>
                      <w:szCs w:val="24"/>
                    </w:rPr>
                    <w:t>Trust debt will be sold on a competitive basis whenever such a sale would be prudent under the circumstances at the time of sale, taking into consideration the complexity of the issue, the number and quality of the underlying borrowers, the structure of the bonds, and the overall market conditions as the sale date approaches.</w:t>
                  </w:r>
                </w:p>
              </w:tc>
            </w:tr>
            <w:tr w:rsidR="00912F6D" w14:paraId="12C59F70" w14:textId="77777777" w:rsidTr="005063FB">
              <w:tc>
                <w:tcPr>
                  <w:tcW w:w="607" w:type="dxa"/>
                </w:tcPr>
                <w:p w14:paraId="63678D5A" w14:textId="77777777" w:rsidR="00912F6D" w:rsidRPr="005063FB" w:rsidRDefault="00912F6D" w:rsidP="005063FB">
                  <w:pPr>
                    <w:pStyle w:val="NoSpacing"/>
                    <w:jc w:val="both"/>
                    <w:rPr>
                      <w:rFonts w:ascii="Times New Roman" w:hAnsi="Times New Roman"/>
                      <w:sz w:val="24"/>
                      <w:szCs w:val="24"/>
                    </w:rPr>
                  </w:pPr>
                </w:p>
              </w:tc>
              <w:tc>
                <w:tcPr>
                  <w:tcW w:w="7730" w:type="dxa"/>
                  <w:gridSpan w:val="3"/>
                </w:tcPr>
                <w:p w14:paraId="16A6A99D" w14:textId="77777777" w:rsidR="00912F6D" w:rsidRPr="005063FB" w:rsidRDefault="00912F6D" w:rsidP="005063FB">
                  <w:pPr>
                    <w:pStyle w:val="NoSpacing"/>
                    <w:jc w:val="both"/>
                    <w:rPr>
                      <w:rFonts w:ascii="Times New Roman" w:hAnsi="Times New Roman"/>
                      <w:sz w:val="24"/>
                      <w:szCs w:val="24"/>
                    </w:rPr>
                  </w:pPr>
                </w:p>
              </w:tc>
            </w:tr>
            <w:tr w:rsidR="00912F6D" w14:paraId="2E5B4E2A" w14:textId="77777777" w:rsidTr="005063FB">
              <w:tc>
                <w:tcPr>
                  <w:tcW w:w="607" w:type="dxa"/>
                </w:tcPr>
                <w:p w14:paraId="42825664" w14:textId="77777777" w:rsidR="00912F6D" w:rsidRPr="005063FB" w:rsidRDefault="00912F6D" w:rsidP="005063FB">
                  <w:pPr>
                    <w:pStyle w:val="NoSpacing"/>
                    <w:jc w:val="both"/>
                    <w:rPr>
                      <w:rFonts w:ascii="Times New Roman" w:hAnsi="Times New Roman"/>
                      <w:sz w:val="24"/>
                      <w:szCs w:val="24"/>
                    </w:rPr>
                  </w:pPr>
                  <w:r w:rsidRPr="005063FB">
                    <w:rPr>
                      <w:rFonts w:ascii="Times New Roman" w:hAnsi="Times New Roman"/>
                      <w:sz w:val="24"/>
                      <w:szCs w:val="24"/>
                    </w:rPr>
                    <w:t>(ii)</w:t>
                  </w:r>
                </w:p>
              </w:tc>
              <w:tc>
                <w:tcPr>
                  <w:tcW w:w="7730" w:type="dxa"/>
                  <w:gridSpan w:val="3"/>
                </w:tcPr>
                <w:p w14:paraId="1D3917D7" w14:textId="77777777" w:rsidR="00422581" w:rsidRDefault="00912F6D" w:rsidP="00422581">
                  <w:pPr>
                    <w:pStyle w:val="NoSpacing"/>
                    <w:jc w:val="both"/>
                    <w:rPr>
                      <w:rFonts w:ascii="Times New Roman" w:hAnsi="Times New Roman"/>
                      <w:sz w:val="24"/>
                      <w:szCs w:val="24"/>
                    </w:rPr>
                  </w:pPr>
                  <w:r w:rsidRPr="005063FB">
                    <w:rPr>
                      <w:rFonts w:ascii="Times New Roman" w:hAnsi="Times New Roman"/>
                      <w:sz w:val="24"/>
                      <w:szCs w:val="24"/>
                      <w:u w:val="single"/>
                    </w:rPr>
                    <w:t>Negotiated</w:t>
                  </w:r>
                  <w:r w:rsidRPr="005063FB">
                    <w:rPr>
                      <w:rFonts w:ascii="Times New Roman" w:hAnsi="Times New Roman"/>
                      <w:sz w:val="24"/>
                      <w:szCs w:val="24"/>
                    </w:rPr>
                    <w:t xml:space="preserve">. The requirement that </w:t>
                  </w:r>
                  <w:r w:rsidR="00530ED2">
                    <w:rPr>
                      <w:rFonts w:ascii="Times New Roman" w:hAnsi="Times New Roman"/>
                      <w:sz w:val="24"/>
                      <w:szCs w:val="24"/>
                    </w:rPr>
                    <w:t xml:space="preserve">commonwealth </w:t>
                  </w:r>
                  <w:r w:rsidRPr="005063FB">
                    <w:rPr>
                      <w:rFonts w:ascii="Times New Roman" w:hAnsi="Times New Roman"/>
                      <w:sz w:val="24"/>
                      <w:szCs w:val="24"/>
                    </w:rPr>
                    <w:t>bonds be sold competitively may be waived upon the approval of the Finance and Governance Board</w:t>
                  </w:r>
                  <w:r w:rsidR="00422581">
                    <w:rPr>
                      <w:rFonts w:ascii="Times New Roman" w:hAnsi="Times New Roman"/>
                      <w:sz w:val="24"/>
                      <w:szCs w:val="24"/>
                    </w:rPr>
                    <w:t>, pursuant to regulations of said</w:t>
                  </w:r>
                  <w:r w:rsidR="00942014">
                    <w:rPr>
                      <w:rFonts w:ascii="Times New Roman" w:hAnsi="Times New Roman"/>
                      <w:sz w:val="24"/>
                      <w:szCs w:val="24"/>
                    </w:rPr>
                    <w:t xml:space="preserve"> board (the “F&amp;G Regulations”)</w:t>
                  </w:r>
                  <w:r w:rsidRPr="005063FB">
                    <w:rPr>
                      <w:rFonts w:ascii="Times New Roman" w:hAnsi="Times New Roman"/>
                      <w:sz w:val="24"/>
                      <w:szCs w:val="24"/>
                    </w:rPr>
                    <w:t>.</w:t>
                  </w:r>
                  <w:r w:rsidR="00942014">
                    <w:rPr>
                      <w:rStyle w:val="FootnoteReference"/>
                      <w:rFonts w:ascii="Times New Roman" w:hAnsi="Times New Roman"/>
                      <w:sz w:val="24"/>
                      <w:szCs w:val="24"/>
                    </w:rPr>
                    <w:footnoteReference w:id="1"/>
                  </w:r>
                  <w:r w:rsidRPr="005063FB">
                    <w:rPr>
                      <w:rFonts w:ascii="Times New Roman" w:hAnsi="Times New Roman"/>
                      <w:sz w:val="24"/>
                      <w:szCs w:val="24"/>
                    </w:rPr>
                    <w:t xml:space="preserve"> </w:t>
                  </w:r>
                  <w:r w:rsidR="00422581">
                    <w:rPr>
                      <w:rFonts w:ascii="Times New Roman" w:hAnsi="Times New Roman"/>
                      <w:sz w:val="24"/>
                      <w:szCs w:val="24"/>
                    </w:rPr>
                    <w:t xml:space="preserve">  </w:t>
                  </w:r>
                  <w:r w:rsidR="00530ED2">
                    <w:rPr>
                      <w:rFonts w:ascii="Times New Roman" w:hAnsi="Times New Roman"/>
                      <w:sz w:val="24"/>
                      <w:szCs w:val="24"/>
                    </w:rPr>
                    <w:t xml:space="preserve">In accord with </w:t>
                  </w:r>
                  <w:r w:rsidR="00422581">
                    <w:rPr>
                      <w:rFonts w:ascii="Times New Roman" w:hAnsi="Times New Roman"/>
                      <w:sz w:val="24"/>
                      <w:szCs w:val="24"/>
                    </w:rPr>
                    <w:t xml:space="preserve">those regulations, if the Trust determines that a negotiated sale of bonds would be </w:t>
                  </w:r>
                  <w:r w:rsidR="00BB1D53">
                    <w:rPr>
                      <w:rFonts w:ascii="Times New Roman" w:hAnsi="Times New Roman"/>
                      <w:sz w:val="24"/>
                      <w:szCs w:val="24"/>
                    </w:rPr>
                    <w:t xml:space="preserve">the most </w:t>
                  </w:r>
                  <w:r w:rsidR="00422581">
                    <w:rPr>
                      <w:rFonts w:ascii="Times New Roman" w:hAnsi="Times New Roman"/>
                      <w:sz w:val="24"/>
                      <w:szCs w:val="24"/>
                    </w:rPr>
                    <w:t xml:space="preserve">prudent </w:t>
                  </w:r>
                  <w:r w:rsidR="00BB1D53">
                    <w:rPr>
                      <w:rFonts w:ascii="Times New Roman" w:hAnsi="Times New Roman"/>
                      <w:sz w:val="24"/>
                      <w:szCs w:val="24"/>
                    </w:rPr>
                    <w:t xml:space="preserve">course </w:t>
                  </w:r>
                  <w:r w:rsidR="00422581">
                    <w:rPr>
                      <w:rFonts w:ascii="Times New Roman" w:hAnsi="Times New Roman"/>
                      <w:sz w:val="24"/>
                      <w:szCs w:val="24"/>
                    </w:rPr>
                    <w:t xml:space="preserve">based on the </w:t>
                  </w:r>
                  <w:r w:rsidR="00BB1D53" w:rsidRPr="00BB1D53">
                    <w:rPr>
                      <w:rFonts w:ascii="Times New Roman" w:hAnsi="Times New Roman"/>
                      <w:sz w:val="24"/>
                      <w:szCs w:val="24"/>
                    </w:rPr>
                    <w:t>circumstances at the time of sale, taking into consideration the complexity of the issue, the number and quality of the underlying borrowers, the structure of the bonds, and the overall market conditions as the sale date approaches</w:t>
                  </w:r>
                  <w:r w:rsidR="00422581">
                    <w:rPr>
                      <w:rFonts w:ascii="Times New Roman" w:hAnsi="Times New Roman"/>
                      <w:sz w:val="24"/>
                      <w:szCs w:val="24"/>
                    </w:rPr>
                    <w:t>, it will take the following steps:</w:t>
                  </w:r>
                  <w:r w:rsidR="00942014">
                    <w:rPr>
                      <w:rStyle w:val="FootnoteReference"/>
                      <w:rFonts w:ascii="Times New Roman" w:hAnsi="Times New Roman"/>
                      <w:sz w:val="24"/>
                      <w:szCs w:val="24"/>
                    </w:rPr>
                    <w:footnoteReference w:id="2"/>
                  </w:r>
                  <w:r w:rsidR="00422581">
                    <w:rPr>
                      <w:rFonts w:ascii="Times New Roman" w:hAnsi="Times New Roman"/>
                      <w:sz w:val="24"/>
                      <w:szCs w:val="24"/>
                    </w:rPr>
                    <w:t xml:space="preserve"> </w:t>
                  </w:r>
                </w:p>
                <w:tbl>
                  <w:tblPr>
                    <w:tblW w:w="0" w:type="auto"/>
                    <w:tblLook w:val="04A0" w:firstRow="1" w:lastRow="0" w:firstColumn="1" w:lastColumn="0" w:noHBand="0" w:noVBand="1"/>
                  </w:tblPr>
                  <w:tblGrid>
                    <w:gridCol w:w="518"/>
                    <w:gridCol w:w="6804"/>
                  </w:tblGrid>
                  <w:tr w:rsidR="00422581" w14:paraId="45189260" w14:textId="77777777" w:rsidTr="00613F77">
                    <w:tc>
                      <w:tcPr>
                        <w:tcW w:w="522" w:type="dxa"/>
                      </w:tcPr>
                      <w:p w14:paraId="325460F5" w14:textId="77777777" w:rsidR="00422581" w:rsidRPr="00613F77" w:rsidRDefault="00422581" w:rsidP="00613F77">
                        <w:pPr>
                          <w:pStyle w:val="NoSpacing"/>
                          <w:jc w:val="both"/>
                          <w:rPr>
                            <w:rFonts w:ascii="Times New Roman" w:hAnsi="Times New Roman"/>
                            <w:sz w:val="24"/>
                            <w:szCs w:val="24"/>
                          </w:rPr>
                        </w:pPr>
                      </w:p>
                    </w:tc>
                    <w:tc>
                      <w:tcPr>
                        <w:tcW w:w="6977" w:type="dxa"/>
                      </w:tcPr>
                      <w:p w14:paraId="6A186647" w14:textId="77777777" w:rsidR="00422581" w:rsidRPr="00613F77" w:rsidRDefault="00422581" w:rsidP="00613F77">
                        <w:pPr>
                          <w:pStyle w:val="NoSpacing"/>
                          <w:jc w:val="both"/>
                          <w:rPr>
                            <w:rFonts w:ascii="Times New Roman" w:hAnsi="Times New Roman"/>
                            <w:sz w:val="24"/>
                            <w:szCs w:val="24"/>
                          </w:rPr>
                        </w:pPr>
                      </w:p>
                    </w:tc>
                  </w:tr>
                  <w:tr w:rsidR="00422581" w14:paraId="3418B804" w14:textId="77777777" w:rsidTr="00613F77">
                    <w:tc>
                      <w:tcPr>
                        <w:tcW w:w="522" w:type="dxa"/>
                      </w:tcPr>
                      <w:p w14:paraId="5AB44BE2" w14:textId="77777777" w:rsidR="00422581" w:rsidRPr="00613F77" w:rsidRDefault="00422581" w:rsidP="00613F77">
                        <w:pPr>
                          <w:pStyle w:val="NoSpacing"/>
                          <w:jc w:val="both"/>
                          <w:rPr>
                            <w:rFonts w:ascii="Times New Roman" w:hAnsi="Times New Roman"/>
                            <w:sz w:val="24"/>
                            <w:szCs w:val="24"/>
                          </w:rPr>
                        </w:pPr>
                        <w:r w:rsidRPr="00613F77">
                          <w:rPr>
                            <w:rFonts w:ascii="Times New Roman" w:hAnsi="Times New Roman"/>
                            <w:sz w:val="24"/>
                            <w:szCs w:val="24"/>
                          </w:rPr>
                          <w:t xml:space="preserve">1. </w:t>
                        </w:r>
                      </w:p>
                    </w:tc>
                    <w:tc>
                      <w:tcPr>
                        <w:tcW w:w="6977" w:type="dxa"/>
                      </w:tcPr>
                      <w:p w14:paraId="51D0033A" w14:textId="77777777" w:rsidR="00422581" w:rsidRPr="00613F77" w:rsidRDefault="0005756A" w:rsidP="001830B3">
                        <w:pPr>
                          <w:pStyle w:val="NoSpacing"/>
                          <w:jc w:val="both"/>
                          <w:rPr>
                            <w:rFonts w:ascii="Times New Roman" w:hAnsi="Times New Roman"/>
                            <w:sz w:val="24"/>
                            <w:szCs w:val="24"/>
                          </w:rPr>
                        </w:pPr>
                        <w:r w:rsidRPr="00613F77">
                          <w:rPr>
                            <w:rFonts w:ascii="Times New Roman" w:hAnsi="Times New Roman"/>
                            <w:sz w:val="24"/>
                            <w:szCs w:val="24"/>
                          </w:rPr>
                          <w:t>r</w:t>
                        </w:r>
                        <w:r w:rsidR="00422581" w:rsidRPr="00613F77">
                          <w:rPr>
                            <w:rFonts w:ascii="Times New Roman" w:hAnsi="Times New Roman"/>
                            <w:sz w:val="24"/>
                            <w:szCs w:val="24"/>
                          </w:rPr>
                          <w:t>equest a waiver</w:t>
                        </w:r>
                        <w:r w:rsidR="001F3D5E" w:rsidRPr="00613F77">
                          <w:rPr>
                            <w:rFonts w:ascii="Times New Roman" w:hAnsi="Times New Roman"/>
                            <w:sz w:val="24"/>
                            <w:szCs w:val="24"/>
                          </w:rPr>
                          <w:t xml:space="preserve"> from the presumption of a competitively bid financing,</w:t>
                        </w:r>
                        <w:r w:rsidR="00422581" w:rsidRPr="00613F77">
                          <w:rPr>
                            <w:rFonts w:ascii="Times New Roman" w:hAnsi="Times New Roman"/>
                            <w:sz w:val="24"/>
                            <w:szCs w:val="24"/>
                          </w:rPr>
                          <w:t xml:space="preserve"> by letter </w:t>
                        </w:r>
                        <w:r w:rsidR="001F3D5E" w:rsidRPr="00613F77">
                          <w:rPr>
                            <w:rFonts w:ascii="Times New Roman" w:hAnsi="Times New Roman"/>
                            <w:sz w:val="24"/>
                            <w:szCs w:val="24"/>
                          </w:rPr>
                          <w:t>signed by the executive director of the Trust</w:t>
                        </w:r>
                        <w:r w:rsidRPr="00613F77">
                          <w:rPr>
                            <w:rFonts w:ascii="Times New Roman" w:hAnsi="Times New Roman"/>
                            <w:sz w:val="24"/>
                            <w:szCs w:val="24"/>
                          </w:rPr>
                          <w:t>,</w:t>
                        </w:r>
                        <w:r w:rsidR="001F3D5E" w:rsidRPr="00613F77">
                          <w:rPr>
                            <w:rFonts w:ascii="Times New Roman" w:hAnsi="Times New Roman"/>
                            <w:sz w:val="24"/>
                            <w:szCs w:val="24"/>
                          </w:rPr>
                          <w:t xml:space="preserve"> personally presented </w:t>
                        </w:r>
                        <w:r w:rsidR="00422581" w:rsidRPr="00613F77">
                          <w:rPr>
                            <w:rFonts w:ascii="Times New Roman" w:hAnsi="Times New Roman"/>
                            <w:sz w:val="24"/>
                            <w:szCs w:val="24"/>
                          </w:rPr>
                          <w:t>to the Finance and Governance Board</w:t>
                        </w:r>
                        <w:r w:rsidRPr="00613F77">
                          <w:rPr>
                            <w:rFonts w:ascii="Times New Roman" w:hAnsi="Times New Roman"/>
                            <w:sz w:val="24"/>
                            <w:szCs w:val="24"/>
                          </w:rPr>
                          <w:t>,</w:t>
                        </w:r>
                        <w:r w:rsidR="001F3D5E" w:rsidRPr="00613F77">
                          <w:rPr>
                            <w:rFonts w:ascii="Times New Roman" w:hAnsi="Times New Roman"/>
                            <w:sz w:val="24"/>
                            <w:szCs w:val="24"/>
                          </w:rPr>
                          <w:t xml:space="preserve"> and including evidence</w:t>
                        </w:r>
                        <w:r w:rsidR="001830B3">
                          <w:rPr>
                            <w:rFonts w:ascii="Times New Roman" w:hAnsi="Times New Roman"/>
                            <w:sz w:val="24"/>
                            <w:szCs w:val="24"/>
                          </w:rPr>
                          <w:t>:</w:t>
                        </w:r>
                        <w:r w:rsidR="001F3D5E" w:rsidRPr="00613F77">
                          <w:rPr>
                            <w:rFonts w:ascii="Times New Roman" w:hAnsi="Times New Roman"/>
                            <w:sz w:val="24"/>
                            <w:szCs w:val="24"/>
                          </w:rPr>
                          <w:t xml:space="preserve"> </w:t>
                        </w:r>
                        <w:r w:rsidR="001830B3">
                          <w:rPr>
                            <w:rFonts w:ascii="Times New Roman" w:hAnsi="Times New Roman"/>
                            <w:sz w:val="24"/>
                            <w:szCs w:val="24"/>
                          </w:rPr>
                          <w:t xml:space="preserve">(a) </w:t>
                        </w:r>
                        <w:r w:rsidR="001F3D5E" w:rsidRPr="00613F77">
                          <w:rPr>
                            <w:rFonts w:ascii="Times New Roman" w:hAnsi="Times New Roman"/>
                            <w:sz w:val="24"/>
                            <w:szCs w:val="24"/>
                          </w:rPr>
                          <w:t xml:space="preserve">demonstrating that the process or criteria to determine the method of sale set forth in </w:t>
                        </w:r>
                        <w:r w:rsidR="00BB1D53" w:rsidRPr="00613F77">
                          <w:rPr>
                            <w:rFonts w:ascii="Times New Roman" w:hAnsi="Times New Roman"/>
                            <w:sz w:val="24"/>
                            <w:szCs w:val="24"/>
                          </w:rPr>
                          <w:t>the Policy</w:t>
                        </w:r>
                        <w:r w:rsidR="001F3D5E" w:rsidRPr="00613F77">
                          <w:rPr>
                            <w:rFonts w:ascii="Times New Roman" w:hAnsi="Times New Roman"/>
                            <w:sz w:val="24"/>
                            <w:szCs w:val="24"/>
                          </w:rPr>
                          <w:t xml:space="preserve"> has been thoroughly followed, (b) </w:t>
                        </w:r>
                        <w:r w:rsidR="001830B3">
                          <w:rPr>
                            <w:rFonts w:ascii="Times New Roman" w:hAnsi="Times New Roman"/>
                            <w:sz w:val="24"/>
                            <w:szCs w:val="24"/>
                          </w:rPr>
                          <w:t xml:space="preserve">demonstrating </w:t>
                        </w:r>
                        <w:r w:rsidR="001F3D5E" w:rsidRPr="00613F77">
                          <w:rPr>
                            <w:rFonts w:ascii="Times New Roman" w:hAnsi="Times New Roman"/>
                            <w:sz w:val="24"/>
                            <w:szCs w:val="24"/>
                          </w:rPr>
                          <w:t xml:space="preserve">why a negotiated sale is compelling, (c) </w:t>
                        </w:r>
                        <w:r w:rsidR="001830B3">
                          <w:rPr>
                            <w:rFonts w:ascii="Times New Roman" w:hAnsi="Times New Roman"/>
                            <w:sz w:val="24"/>
                            <w:szCs w:val="24"/>
                          </w:rPr>
                          <w:t xml:space="preserve">stating </w:t>
                        </w:r>
                        <w:r w:rsidR="001F3D5E" w:rsidRPr="00613F77">
                          <w:rPr>
                            <w:rFonts w:ascii="Times New Roman" w:hAnsi="Times New Roman"/>
                            <w:sz w:val="24"/>
                            <w:szCs w:val="24"/>
                          </w:rPr>
                          <w:t xml:space="preserve">the date beyond which the waiver, if granted, would expire, (d) </w:t>
                        </w:r>
                        <w:r w:rsidR="001830B3">
                          <w:rPr>
                            <w:rFonts w:ascii="Times New Roman" w:hAnsi="Times New Roman"/>
                            <w:sz w:val="24"/>
                            <w:szCs w:val="24"/>
                          </w:rPr>
                          <w:t xml:space="preserve">stating </w:t>
                        </w:r>
                        <w:r w:rsidR="001F3D5E" w:rsidRPr="00613F77">
                          <w:rPr>
                            <w:rFonts w:ascii="Times New Roman" w:hAnsi="Times New Roman"/>
                            <w:sz w:val="24"/>
                            <w:szCs w:val="24"/>
                          </w:rPr>
                          <w:t xml:space="preserve">a “not-to-exceed” amount of bonds to be sold, and (e) </w:t>
                        </w:r>
                        <w:r w:rsidR="001830B3">
                          <w:rPr>
                            <w:rFonts w:ascii="Times New Roman" w:hAnsi="Times New Roman"/>
                            <w:sz w:val="24"/>
                            <w:szCs w:val="24"/>
                          </w:rPr>
                          <w:t xml:space="preserve">describing </w:t>
                        </w:r>
                        <w:r w:rsidR="001F3D5E" w:rsidRPr="00613F77">
                          <w:rPr>
                            <w:rFonts w:ascii="Times New Roman" w:hAnsi="Times New Roman"/>
                            <w:sz w:val="24"/>
                            <w:szCs w:val="24"/>
                          </w:rPr>
                          <w:t xml:space="preserve">the use of </w:t>
                        </w:r>
                        <w:r w:rsidR="001830B3">
                          <w:rPr>
                            <w:rFonts w:ascii="Times New Roman" w:hAnsi="Times New Roman"/>
                            <w:sz w:val="24"/>
                            <w:szCs w:val="24"/>
                          </w:rPr>
                          <w:t xml:space="preserve">the </w:t>
                        </w:r>
                        <w:r w:rsidR="001F3D5E" w:rsidRPr="00613F77">
                          <w:rPr>
                            <w:rFonts w:ascii="Times New Roman" w:hAnsi="Times New Roman"/>
                            <w:sz w:val="24"/>
                            <w:szCs w:val="24"/>
                          </w:rPr>
                          <w:t>proceeds of the bonds or notes</w:t>
                        </w:r>
                        <w:r w:rsidR="00422581" w:rsidRPr="00613F77">
                          <w:rPr>
                            <w:rFonts w:ascii="Times New Roman" w:hAnsi="Times New Roman"/>
                            <w:sz w:val="24"/>
                            <w:szCs w:val="24"/>
                          </w:rPr>
                          <w:t xml:space="preserve">;  </w:t>
                        </w:r>
                      </w:p>
                    </w:tc>
                  </w:tr>
                  <w:tr w:rsidR="00422581" w14:paraId="4521D8F8" w14:textId="77777777" w:rsidTr="00613F77">
                    <w:tc>
                      <w:tcPr>
                        <w:tcW w:w="522" w:type="dxa"/>
                      </w:tcPr>
                      <w:p w14:paraId="3358332B" w14:textId="77777777" w:rsidR="00422581" w:rsidRPr="00613F77" w:rsidRDefault="00422581" w:rsidP="00613F77">
                        <w:pPr>
                          <w:pStyle w:val="NoSpacing"/>
                          <w:jc w:val="both"/>
                          <w:rPr>
                            <w:rFonts w:ascii="Times New Roman" w:hAnsi="Times New Roman"/>
                            <w:sz w:val="24"/>
                            <w:szCs w:val="24"/>
                          </w:rPr>
                        </w:pPr>
                      </w:p>
                    </w:tc>
                    <w:tc>
                      <w:tcPr>
                        <w:tcW w:w="6977" w:type="dxa"/>
                      </w:tcPr>
                      <w:p w14:paraId="59AFB78F" w14:textId="77777777" w:rsidR="00422581" w:rsidRPr="00613F77" w:rsidRDefault="00422581" w:rsidP="00613F77">
                        <w:pPr>
                          <w:pStyle w:val="NoSpacing"/>
                          <w:jc w:val="both"/>
                          <w:rPr>
                            <w:rFonts w:ascii="Times New Roman" w:hAnsi="Times New Roman"/>
                            <w:sz w:val="24"/>
                            <w:szCs w:val="24"/>
                          </w:rPr>
                        </w:pPr>
                      </w:p>
                    </w:tc>
                  </w:tr>
                  <w:tr w:rsidR="00422581" w14:paraId="64BE9590" w14:textId="77777777" w:rsidTr="00613F77">
                    <w:tc>
                      <w:tcPr>
                        <w:tcW w:w="522" w:type="dxa"/>
                      </w:tcPr>
                      <w:p w14:paraId="3E8D6AC6" w14:textId="77777777" w:rsidR="00422581" w:rsidRPr="00613F77" w:rsidRDefault="00422581" w:rsidP="00613F77">
                        <w:pPr>
                          <w:pStyle w:val="NoSpacing"/>
                          <w:jc w:val="both"/>
                          <w:rPr>
                            <w:rFonts w:ascii="Times New Roman" w:hAnsi="Times New Roman"/>
                            <w:sz w:val="24"/>
                            <w:szCs w:val="24"/>
                          </w:rPr>
                        </w:pPr>
                        <w:r w:rsidRPr="00613F77">
                          <w:rPr>
                            <w:rFonts w:ascii="Times New Roman" w:hAnsi="Times New Roman"/>
                            <w:sz w:val="24"/>
                            <w:szCs w:val="24"/>
                          </w:rPr>
                          <w:t>2.</w:t>
                        </w:r>
                      </w:p>
                    </w:tc>
                    <w:tc>
                      <w:tcPr>
                        <w:tcW w:w="6977" w:type="dxa"/>
                      </w:tcPr>
                      <w:p w14:paraId="52460F1C" w14:textId="77777777" w:rsidR="00422581" w:rsidRPr="00613F77" w:rsidRDefault="0005756A" w:rsidP="00613F77">
                        <w:pPr>
                          <w:pStyle w:val="NoSpacing"/>
                          <w:jc w:val="both"/>
                          <w:rPr>
                            <w:rFonts w:ascii="Times New Roman" w:hAnsi="Times New Roman"/>
                            <w:sz w:val="24"/>
                            <w:szCs w:val="24"/>
                          </w:rPr>
                        </w:pPr>
                        <w:r w:rsidRPr="00613F77">
                          <w:rPr>
                            <w:rFonts w:ascii="Times New Roman" w:hAnsi="Times New Roman"/>
                            <w:sz w:val="24"/>
                            <w:szCs w:val="24"/>
                          </w:rPr>
                          <w:t>s</w:t>
                        </w:r>
                        <w:r w:rsidR="00422581" w:rsidRPr="00613F77">
                          <w:rPr>
                            <w:rFonts w:ascii="Times New Roman" w:hAnsi="Times New Roman"/>
                            <w:sz w:val="24"/>
                            <w:szCs w:val="24"/>
                          </w:rPr>
                          <w:t xml:space="preserve">ubmit, if not previously submitted, </w:t>
                        </w:r>
                        <w:r w:rsidRPr="00613F77">
                          <w:rPr>
                            <w:rFonts w:ascii="Times New Roman" w:hAnsi="Times New Roman"/>
                            <w:sz w:val="24"/>
                            <w:szCs w:val="24"/>
                          </w:rPr>
                          <w:t xml:space="preserve">(a) </w:t>
                        </w:r>
                        <w:r w:rsidR="00422581" w:rsidRPr="00613F77">
                          <w:rPr>
                            <w:rFonts w:ascii="Times New Roman" w:hAnsi="Times New Roman"/>
                            <w:sz w:val="24"/>
                            <w:szCs w:val="24"/>
                          </w:rPr>
                          <w:t>a copy of the Policy, (</w:t>
                        </w:r>
                        <w:r w:rsidRPr="00613F77">
                          <w:rPr>
                            <w:rFonts w:ascii="Times New Roman" w:hAnsi="Times New Roman"/>
                            <w:sz w:val="24"/>
                            <w:szCs w:val="24"/>
                          </w:rPr>
                          <w:t>b</w:t>
                        </w:r>
                        <w:r w:rsidR="00422581" w:rsidRPr="00613F77">
                          <w:rPr>
                            <w:rFonts w:ascii="Times New Roman" w:hAnsi="Times New Roman"/>
                            <w:sz w:val="24"/>
                            <w:szCs w:val="24"/>
                          </w:rPr>
                          <w:t>) a certified copy of the resolution of the Board approving the Policy, which resolution must have been voted within two years of the date of submittal, and (</w:t>
                        </w:r>
                        <w:r w:rsidRPr="00613F77">
                          <w:rPr>
                            <w:rFonts w:ascii="Times New Roman" w:hAnsi="Times New Roman"/>
                            <w:sz w:val="24"/>
                            <w:szCs w:val="24"/>
                          </w:rPr>
                          <w:t>c</w:t>
                        </w:r>
                        <w:r w:rsidR="00422581" w:rsidRPr="00613F77">
                          <w:rPr>
                            <w:rFonts w:ascii="Times New Roman" w:hAnsi="Times New Roman"/>
                            <w:sz w:val="24"/>
                            <w:szCs w:val="24"/>
                          </w:rPr>
                          <w:t>) a certified copy of a resolution of the Board indicating awareness of the Trust’s proposed sale of debt on a negotiated basis</w:t>
                        </w:r>
                        <w:r w:rsidRPr="00613F77">
                          <w:rPr>
                            <w:rFonts w:ascii="Times New Roman" w:hAnsi="Times New Roman"/>
                            <w:sz w:val="24"/>
                            <w:szCs w:val="24"/>
                          </w:rPr>
                          <w:t>; and</w:t>
                        </w:r>
                      </w:p>
                    </w:tc>
                  </w:tr>
                  <w:tr w:rsidR="00422581" w14:paraId="55535BD7" w14:textId="77777777" w:rsidTr="00613F77">
                    <w:tc>
                      <w:tcPr>
                        <w:tcW w:w="522" w:type="dxa"/>
                      </w:tcPr>
                      <w:p w14:paraId="7E7CA0D5" w14:textId="77777777" w:rsidR="00422581" w:rsidRPr="00613F77" w:rsidRDefault="00422581" w:rsidP="00613F77">
                        <w:pPr>
                          <w:pStyle w:val="NoSpacing"/>
                          <w:jc w:val="both"/>
                          <w:rPr>
                            <w:rFonts w:ascii="Times New Roman" w:hAnsi="Times New Roman"/>
                            <w:sz w:val="24"/>
                            <w:szCs w:val="24"/>
                          </w:rPr>
                        </w:pPr>
                      </w:p>
                    </w:tc>
                    <w:tc>
                      <w:tcPr>
                        <w:tcW w:w="6977" w:type="dxa"/>
                      </w:tcPr>
                      <w:p w14:paraId="0E32FE53" w14:textId="77777777" w:rsidR="00422581" w:rsidRPr="00613F77" w:rsidRDefault="00422581" w:rsidP="00613F77">
                        <w:pPr>
                          <w:pStyle w:val="NoSpacing"/>
                          <w:jc w:val="both"/>
                          <w:rPr>
                            <w:rFonts w:ascii="Times New Roman" w:hAnsi="Times New Roman"/>
                            <w:sz w:val="24"/>
                            <w:szCs w:val="24"/>
                          </w:rPr>
                        </w:pPr>
                      </w:p>
                    </w:tc>
                  </w:tr>
                  <w:tr w:rsidR="00422581" w14:paraId="682D6E82" w14:textId="77777777" w:rsidTr="00613F77">
                    <w:tc>
                      <w:tcPr>
                        <w:tcW w:w="522" w:type="dxa"/>
                      </w:tcPr>
                      <w:p w14:paraId="79F72EF4" w14:textId="77777777" w:rsidR="00422581" w:rsidRPr="00613F77" w:rsidRDefault="00422581" w:rsidP="00613F77">
                        <w:pPr>
                          <w:pStyle w:val="NoSpacing"/>
                          <w:jc w:val="both"/>
                          <w:rPr>
                            <w:rFonts w:ascii="Times New Roman" w:hAnsi="Times New Roman"/>
                            <w:sz w:val="24"/>
                            <w:szCs w:val="24"/>
                          </w:rPr>
                        </w:pPr>
                        <w:r w:rsidRPr="00613F77">
                          <w:rPr>
                            <w:rFonts w:ascii="Times New Roman" w:hAnsi="Times New Roman"/>
                            <w:sz w:val="24"/>
                            <w:szCs w:val="24"/>
                          </w:rPr>
                          <w:t>3.</w:t>
                        </w:r>
                      </w:p>
                    </w:tc>
                    <w:tc>
                      <w:tcPr>
                        <w:tcW w:w="6977" w:type="dxa"/>
                      </w:tcPr>
                      <w:p w14:paraId="1AD13D68" w14:textId="77777777" w:rsidR="00422581" w:rsidRPr="00613F77" w:rsidRDefault="0005756A" w:rsidP="00613F77">
                        <w:pPr>
                          <w:pStyle w:val="NoSpacing"/>
                          <w:jc w:val="both"/>
                          <w:rPr>
                            <w:rFonts w:ascii="Times New Roman" w:hAnsi="Times New Roman"/>
                            <w:sz w:val="24"/>
                            <w:szCs w:val="24"/>
                          </w:rPr>
                        </w:pPr>
                        <w:proofErr w:type="gramStart"/>
                        <w:r w:rsidRPr="00613F77">
                          <w:rPr>
                            <w:rFonts w:ascii="Times New Roman" w:hAnsi="Times New Roman"/>
                            <w:sz w:val="24"/>
                            <w:szCs w:val="24"/>
                          </w:rPr>
                          <w:t>if</w:t>
                        </w:r>
                        <w:proofErr w:type="gramEnd"/>
                        <w:r w:rsidRPr="00613F77">
                          <w:rPr>
                            <w:rFonts w:ascii="Times New Roman" w:hAnsi="Times New Roman"/>
                            <w:sz w:val="24"/>
                            <w:szCs w:val="24"/>
                          </w:rPr>
                          <w:t xml:space="preserve"> the waiver is granted by the Finance and Governance Board, the Trust will sell the bonds within six months of said board’s vote and present the results of the negotiated sale of bonds to said board at its next meeting following the execution of the negotiated sale.</w:t>
                        </w:r>
                      </w:p>
                    </w:tc>
                  </w:tr>
                </w:tbl>
                <w:p w14:paraId="31F5661E" w14:textId="77777777" w:rsidR="00912F6D" w:rsidRPr="005063FB" w:rsidRDefault="00912F6D" w:rsidP="00422581">
                  <w:pPr>
                    <w:pStyle w:val="NoSpacing"/>
                    <w:jc w:val="both"/>
                    <w:rPr>
                      <w:rFonts w:ascii="Times New Roman" w:hAnsi="Times New Roman"/>
                      <w:sz w:val="24"/>
                      <w:szCs w:val="24"/>
                    </w:rPr>
                  </w:pPr>
                </w:p>
              </w:tc>
            </w:tr>
            <w:tr w:rsidR="00912F6D" w14:paraId="763A22DB" w14:textId="77777777" w:rsidTr="005063FB">
              <w:tc>
                <w:tcPr>
                  <w:tcW w:w="607" w:type="dxa"/>
                </w:tcPr>
                <w:p w14:paraId="7FD25CBF" w14:textId="77777777" w:rsidR="00912F6D" w:rsidRPr="005063FB" w:rsidRDefault="00912F6D" w:rsidP="005063FB">
                  <w:pPr>
                    <w:pStyle w:val="NoSpacing"/>
                    <w:jc w:val="both"/>
                    <w:rPr>
                      <w:rFonts w:ascii="Times New Roman" w:hAnsi="Times New Roman"/>
                      <w:sz w:val="24"/>
                      <w:szCs w:val="24"/>
                    </w:rPr>
                  </w:pPr>
                </w:p>
              </w:tc>
              <w:tc>
                <w:tcPr>
                  <w:tcW w:w="7730" w:type="dxa"/>
                  <w:gridSpan w:val="3"/>
                </w:tcPr>
                <w:p w14:paraId="443D1422" w14:textId="77777777" w:rsidR="00912F6D" w:rsidRPr="005063FB" w:rsidRDefault="00912F6D" w:rsidP="005063FB">
                  <w:pPr>
                    <w:pStyle w:val="NoSpacing"/>
                    <w:jc w:val="both"/>
                    <w:rPr>
                      <w:rFonts w:ascii="Times New Roman" w:hAnsi="Times New Roman"/>
                      <w:sz w:val="24"/>
                      <w:szCs w:val="24"/>
                    </w:rPr>
                  </w:pPr>
                </w:p>
              </w:tc>
            </w:tr>
            <w:tr w:rsidR="00530ED2" w14:paraId="4320BE3E" w14:textId="77777777" w:rsidTr="00300898">
              <w:tc>
                <w:tcPr>
                  <w:tcW w:w="2952" w:type="dxa"/>
                  <w:gridSpan w:val="2"/>
                </w:tcPr>
                <w:p w14:paraId="2F5828D7" w14:textId="77777777" w:rsidR="00530ED2" w:rsidRPr="00300898" w:rsidRDefault="00530ED2" w:rsidP="005063FB">
                  <w:pPr>
                    <w:pStyle w:val="NoSpacing"/>
                    <w:jc w:val="both"/>
                    <w:rPr>
                      <w:rFonts w:ascii="Times New Roman" w:hAnsi="Times New Roman"/>
                      <w:sz w:val="24"/>
                      <w:szCs w:val="24"/>
                      <w:u w:val="single"/>
                    </w:rPr>
                  </w:pPr>
                  <w:r>
                    <w:rPr>
                      <w:rFonts w:ascii="Times New Roman" w:hAnsi="Times New Roman"/>
                      <w:sz w:val="24"/>
                      <w:szCs w:val="24"/>
                    </w:rPr>
                    <w:t xml:space="preserve">C.  </w:t>
                  </w:r>
                  <w:r>
                    <w:rPr>
                      <w:rFonts w:ascii="Times New Roman" w:hAnsi="Times New Roman"/>
                      <w:sz w:val="24"/>
                      <w:szCs w:val="24"/>
                      <w:u w:val="single"/>
                    </w:rPr>
                    <w:t>Private Placement.</w:t>
                  </w:r>
                </w:p>
              </w:tc>
              <w:tc>
                <w:tcPr>
                  <w:tcW w:w="5385" w:type="dxa"/>
                  <w:gridSpan w:val="2"/>
                </w:tcPr>
                <w:p w14:paraId="64238E8E" w14:textId="77777777" w:rsidR="00530ED2" w:rsidRPr="005063FB" w:rsidRDefault="00530ED2" w:rsidP="005063FB">
                  <w:pPr>
                    <w:pStyle w:val="NoSpacing"/>
                    <w:jc w:val="both"/>
                    <w:rPr>
                      <w:rFonts w:ascii="Times New Roman" w:hAnsi="Times New Roman"/>
                      <w:sz w:val="24"/>
                      <w:szCs w:val="24"/>
                    </w:rPr>
                  </w:pPr>
                </w:p>
              </w:tc>
            </w:tr>
            <w:tr w:rsidR="00530ED2" w14:paraId="2C157B2F" w14:textId="77777777" w:rsidTr="005063FB">
              <w:tc>
                <w:tcPr>
                  <w:tcW w:w="607" w:type="dxa"/>
                </w:tcPr>
                <w:p w14:paraId="5A2F3680" w14:textId="77777777" w:rsidR="00530ED2" w:rsidRPr="005063FB" w:rsidDel="00530ED2" w:rsidRDefault="00530ED2" w:rsidP="005063FB">
                  <w:pPr>
                    <w:pStyle w:val="NoSpacing"/>
                    <w:jc w:val="both"/>
                    <w:rPr>
                      <w:rFonts w:ascii="Times New Roman" w:hAnsi="Times New Roman"/>
                      <w:sz w:val="24"/>
                      <w:szCs w:val="24"/>
                    </w:rPr>
                  </w:pPr>
                </w:p>
              </w:tc>
              <w:tc>
                <w:tcPr>
                  <w:tcW w:w="7730" w:type="dxa"/>
                  <w:gridSpan w:val="3"/>
                </w:tcPr>
                <w:p w14:paraId="604AAE81" w14:textId="77777777" w:rsidR="00530ED2" w:rsidRPr="005063FB" w:rsidRDefault="00530ED2" w:rsidP="004D1F38">
                  <w:pPr>
                    <w:pStyle w:val="NoSpacing"/>
                    <w:jc w:val="both"/>
                    <w:rPr>
                      <w:rFonts w:ascii="Times New Roman" w:hAnsi="Times New Roman"/>
                      <w:sz w:val="24"/>
                      <w:szCs w:val="24"/>
                      <w:u w:val="single"/>
                    </w:rPr>
                  </w:pPr>
                </w:p>
              </w:tc>
            </w:tr>
            <w:tr w:rsidR="00912F6D" w14:paraId="370ECFF2" w14:textId="77777777" w:rsidTr="005063FB">
              <w:tc>
                <w:tcPr>
                  <w:tcW w:w="607" w:type="dxa"/>
                </w:tcPr>
                <w:p w14:paraId="4F237844" w14:textId="77777777" w:rsidR="00912F6D" w:rsidRPr="005063FB" w:rsidRDefault="00912F6D" w:rsidP="005063FB">
                  <w:pPr>
                    <w:pStyle w:val="NoSpacing"/>
                    <w:jc w:val="both"/>
                    <w:rPr>
                      <w:rFonts w:ascii="Times New Roman" w:hAnsi="Times New Roman"/>
                      <w:sz w:val="24"/>
                      <w:szCs w:val="24"/>
                    </w:rPr>
                  </w:pPr>
                </w:p>
              </w:tc>
              <w:tc>
                <w:tcPr>
                  <w:tcW w:w="7730" w:type="dxa"/>
                  <w:gridSpan w:val="3"/>
                </w:tcPr>
                <w:p w14:paraId="1EC99967" w14:textId="77777777" w:rsidR="00912F6D" w:rsidRPr="005063FB" w:rsidRDefault="00912F6D" w:rsidP="004D1F38">
                  <w:pPr>
                    <w:pStyle w:val="NoSpacing"/>
                    <w:jc w:val="both"/>
                    <w:rPr>
                      <w:rFonts w:ascii="Times New Roman" w:hAnsi="Times New Roman"/>
                      <w:sz w:val="24"/>
                      <w:szCs w:val="24"/>
                    </w:rPr>
                  </w:pPr>
                  <w:r w:rsidRPr="005063FB">
                    <w:rPr>
                      <w:rFonts w:ascii="Times New Roman" w:hAnsi="Times New Roman"/>
                      <w:sz w:val="24"/>
                      <w:szCs w:val="24"/>
                    </w:rPr>
                    <w:t xml:space="preserve">From time to time the Trust may elect to privately place its debt.  Such placement shall be considered for debt transactions where the size is too </w:t>
                  </w:r>
                  <w:proofErr w:type="gramStart"/>
                  <w:r w:rsidRPr="005063FB">
                    <w:rPr>
                      <w:rFonts w:ascii="Times New Roman" w:hAnsi="Times New Roman"/>
                      <w:sz w:val="24"/>
                      <w:szCs w:val="24"/>
                    </w:rPr>
                    <w:t>small</w:t>
                  </w:r>
                  <w:proofErr w:type="gramEnd"/>
                  <w:r w:rsidRPr="005063FB">
                    <w:rPr>
                      <w:rFonts w:ascii="Times New Roman" w:hAnsi="Times New Roman"/>
                      <w:sz w:val="24"/>
                      <w:szCs w:val="24"/>
                    </w:rPr>
                    <w:t xml:space="preserve"> or the structure is too complicated for public debt issuance </w:t>
                  </w:r>
                  <w:r w:rsidR="004D1F38">
                    <w:rPr>
                      <w:rFonts w:ascii="Times New Roman" w:hAnsi="Times New Roman"/>
                      <w:sz w:val="24"/>
                      <w:szCs w:val="24"/>
                    </w:rPr>
                    <w:t>or</w:t>
                  </w:r>
                  <w:r w:rsidRPr="005063FB">
                    <w:rPr>
                      <w:rFonts w:ascii="Times New Roman" w:hAnsi="Times New Roman"/>
                      <w:sz w:val="24"/>
                      <w:szCs w:val="24"/>
                    </w:rPr>
                    <w:t xml:space="preserve"> will result in </w:t>
                  </w:r>
                  <w:proofErr w:type="gramStart"/>
                  <w:r w:rsidRPr="005063FB">
                    <w:rPr>
                      <w:rFonts w:ascii="Times New Roman" w:hAnsi="Times New Roman"/>
                      <w:sz w:val="24"/>
                      <w:szCs w:val="24"/>
                    </w:rPr>
                    <w:t>a cost</w:t>
                  </w:r>
                  <w:proofErr w:type="gramEnd"/>
                  <w:r w:rsidRPr="005063FB">
                    <w:rPr>
                      <w:rFonts w:ascii="Times New Roman" w:hAnsi="Times New Roman"/>
                      <w:sz w:val="24"/>
                      <w:szCs w:val="24"/>
                    </w:rPr>
                    <w:t xml:space="preserve"> savings to the Trust relative to other methods of debt issuance.</w:t>
                  </w:r>
                </w:p>
              </w:tc>
            </w:tr>
            <w:tr w:rsidR="0016608F" w14:paraId="59914C29" w14:textId="77777777" w:rsidTr="005063FB">
              <w:tc>
                <w:tcPr>
                  <w:tcW w:w="607" w:type="dxa"/>
                </w:tcPr>
                <w:p w14:paraId="4E4C5459" w14:textId="77777777" w:rsidR="0016608F" w:rsidRPr="005063FB" w:rsidRDefault="0016608F" w:rsidP="005063FB">
                  <w:pPr>
                    <w:pStyle w:val="NoSpacing"/>
                    <w:jc w:val="both"/>
                    <w:rPr>
                      <w:rFonts w:ascii="Times New Roman" w:hAnsi="Times New Roman"/>
                      <w:sz w:val="24"/>
                      <w:szCs w:val="24"/>
                    </w:rPr>
                  </w:pPr>
                </w:p>
              </w:tc>
              <w:tc>
                <w:tcPr>
                  <w:tcW w:w="7730" w:type="dxa"/>
                  <w:gridSpan w:val="3"/>
                </w:tcPr>
                <w:p w14:paraId="614CC793" w14:textId="77777777" w:rsidR="0016608F" w:rsidRPr="005063FB" w:rsidRDefault="0016608F" w:rsidP="005063FB">
                  <w:pPr>
                    <w:pStyle w:val="NoSpacing"/>
                    <w:jc w:val="both"/>
                    <w:rPr>
                      <w:rFonts w:ascii="Times New Roman" w:hAnsi="Times New Roman"/>
                      <w:sz w:val="24"/>
                      <w:szCs w:val="24"/>
                      <w:u w:val="single"/>
                    </w:rPr>
                  </w:pPr>
                </w:p>
              </w:tc>
            </w:tr>
            <w:tr w:rsidR="00530ED2" w14:paraId="5CAAFF30" w14:textId="77777777" w:rsidTr="00300898">
              <w:tc>
                <w:tcPr>
                  <w:tcW w:w="7542" w:type="dxa"/>
                  <w:gridSpan w:val="3"/>
                </w:tcPr>
                <w:p w14:paraId="3623A11A" w14:textId="77777777" w:rsidR="00530ED2" w:rsidRDefault="00530ED2" w:rsidP="005063FB">
                  <w:pPr>
                    <w:pStyle w:val="NoSpacing"/>
                    <w:jc w:val="both"/>
                    <w:rPr>
                      <w:rFonts w:ascii="Times New Roman" w:hAnsi="Times New Roman"/>
                      <w:sz w:val="24"/>
                      <w:szCs w:val="24"/>
                    </w:rPr>
                  </w:pPr>
                  <w:r>
                    <w:rPr>
                      <w:rFonts w:ascii="Times New Roman" w:hAnsi="Times New Roman"/>
                      <w:sz w:val="24"/>
                      <w:szCs w:val="24"/>
                    </w:rPr>
                    <w:t xml:space="preserve">D.  </w:t>
                  </w:r>
                  <w:r w:rsidRPr="0016608F">
                    <w:rPr>
                      <w:rFonts w:ascii="Times New Roman" w:hAnsi="Times New Roman"/>
                      <w:sz w:val="24"/>
                      <w:szCs w:val="24"/>
                      <w:u w:val="single"/>
                    </w:rPr>
                    <w:t>Filing Documents with the Finance and Governance Board</w:t>
                  </w:r>
                  <w:r>
                    <w:rPr>
                      <w:rFonts w:ascii="Times New Roman" w:hAnsi="Times New Roman"/>
                      <w:sz w:val="24"/>
                      <w:szCs w:val="24"/>
                    </w:rPr>
                    <w:t xml:space="preserve">.  </w:t>
                  </w:r>
                </w:p>
              </w:tc>
              <w:tc>
                <w:tcPr>
                  <w:tcW w:w="795" w:type="dxa"/>
                </w:tcPr>
                <w:p w14:paraId="0FE844FB" w14:textId="77777777" w:rsidR="00530ED2" w:rsidRPr="0016608F" w:rsidRDefault="00530ED2" w:rsidP="0016608F">
                  <w:pPr>
                    <w:pStyle w:val="NoSpacing"/>
                    <w:jc w:val="both"/>
                    <w:rPr>
                      <w:rFonts w:ascii="Times New Roman" w:hAnsi="Times New Roman"/>
                      <w:sz w:val="24"/>
                      <w:szCs w:val="24"/>
                      <w:u w:val="single"/>
                    </w:rPr>
                  </w:pPr>
                </w:p>
              </w:tc>
            </w:tr>
            <w:tr w:rsidR="00530ED2" w14:paraId="13B07C1A" w14:textId="77777777" w:rsidTr="005063FB">
              <w:tc>
                <w:tcPr>
                  <w:tcW w:w="607" w:type="dxa"/>
                </w:tcPr>
                <w:p w14:paraId="270CC282" w14:textId="77777777" w:rsidR="00530ED2" w:rsidRDefault="00530ED2" w:rsidP="005063FB">
                  <w:pPr>
                    <w:pStyle w:val="NoSpacing"/>
                    <w:jc w:val="both"/>
                    <w:rPr>
                      <w:rFonts w:ascii="Times New Roman" w:hAnsi="Times New Roman"/>
                      <w:sz w:val="24"/>
                      <w:szCs w:val="24"/>
                    </w:rPr>
                  </w:pPr>
                </w:p>
              </w:tc>
              <w:tc>
                <w:tcPr>
                  <w:tcW w:w="7730" w:type="dxa"/>
                  <w:gridSpan w:val="3"/>
                </w:tcPr>
                <w:p w14:paraId="2F8EC88C" w14:textId="77777777" w:rsidR="00530ED2" w:rsidRPr="0016608F" w:rsidRDefault="00530ED2" w:rsidP="0016608F">
                  <w:pPr>
                    <w:pStyle w:val="NoSpacing"/>
                    <w:jc w:val="both"/>
                    <w:rPr>
                      <w:rFonts w:ascii="Times New Roman" w:hAnsi="Times New Roman"/>
                      <w:sz w:val="24"/>
                      <w:szCs w:val="24"/>
                      <w:u w:val="single"/>
                    </w:rPr>
                  </w:pPr>
                </w:p>
              </w:tc>
            </w:tr>
            <w:tr w:rsidR="0016608F" w14:paraId="2B32018D" w14:textId="77777777" w:rsidTr="005063FB">
              <w:tc>
                <w:tcPr>
                  <w:tcW w:w="607" w:type="dxa"/>
                </w:tcPr>
                <w:p w14:paraId="7495B1BB" w14:textId="77777777" w:rsidR="0016608F" w:rsidRPr="005063FB" w:rsidRDefault="0016608F" w:rsidP="005063FB">
                  <w:pPr>
                    <w:pStyle w:val="NoSpacing"/>
                    <w:jc w:val="both"/>
                    <w:rPr>
                      <w:rFonts w:ascii="Times New Roman" w:hAnsi="Times New Roman"/>
                      <w:sz w:val="24"/>
                      <w:szCs w:val="24"/>
                    </w:rPr>
                  </w:pPr>
                </w:p>
              </w:tc>
              <w:tc>
                <w:tcPr>
                  <w:tcW w:w="7730" w:type="dxa"/>
                  <w:gridSpan w:val="3"/>
                </w:tcPr>
                <w:p w14:paraId="2DD04D4B" w14:textId="77777777" w:rsidR="0016608F" w:rsidRPr="0016608F" w:rsidRDefault="0016608F" w:rsidP="00261195">
                  <w:pPr>
                    <w:pStyle w:val="NoSpacing"/>
                    <w:jc w:val="both"/>
                    <w:rPr>
                      <w:rFonts w:ascii="Times New Roman" w:hAnsi="Times New Roman"/>
                      <w:sz w:val="24"/>
                      <w:szCs w:val="24"/>
                    </w:rPr>
                  </w:pPr>
                  <w:r w:rsidRPr="0016608F">
                    <w:rPr>
                      <w:rFonts w:ascii="Times New Roman" w:hAnsi="Times New Roman"/>
                      <w:sz w:val="24"/>
                      <w:szCs w:val="24"/>
                    </w:rPr>
                    <w:t>The Trust will file documents required to be filed under the above procedures no later than ten days in advance of a meeting of the Finance and Governance Board at which the Trust’s document will be taken up</w:t>
                  </w:r>
                  <w:r w:rsidR="00261195">
                    <w:rPr>
                      <w:rFonts w:ascii="Times New Roman" w:hAnsi="Times New Roman"/>
                      <w:sz w:val="24"/>
                      <w:szCs w:val="24"/>
                    </w:rPr>
                    <w:t>, unless circumstances do not permit filing within that time frame and, with the approval of the executive director of the Finance and Governance Board, such filings are made within a reasonable period of time in advance of the meeting</w:t>
                  </w:r>
                  <w:r w:rsidRPr="0016608F">
                    <w:rPr>
                      <w:rFonts w:ascii="Times New Roman" w:hAnsi="Times New Roman"/>
                      <w:sz w:val="24"/>
                      <w:szCs w:val="24"/>
                    </w:rPr>
                    <w:t>.  The Trust will also notify the executive director of the Finance and Governance Board</w:t>
                  </w:r>
                  <w:r>
                    <w:rPr>
                      <w:rFonts w:ascii="Times New Roman" w:hAnsi="Times New Roman"/>
                      <w:sz w:val="24"/>
                      <w:szCs w:val="24"/>
                    </w:rPr>
                    <w:t>,</w:t>
                  </w:r>
                  <w:r w:rsidRPr="0016608F">
                    <w:rPr>
                      <w:rFonts w:ascii="Times New Roman" w:hAnsi="Times New Roman"/>
                      <w:sz w:val="24"/>
                      <w:szCs w:val="24"/>
                    </w:rPr>
                    <w:t xml:space="preserve"> as </w:t>
                  </w:r>
                  <w:r>
                    <w:rPr>
                      <w:rFonts w:ascii="Times New Roman" w:hAnsi="Times New Roman"/>
                      <w:sz w:val="24"/>
                      <w:szCs w:val="24"/>
                    </w:rPr>
                    <w:t xml:space="preserve">soon as </w:t>
                  </w:r>
                  <w:r w:rsidRPr="0016608F">
                    <w:rPr>
                      <w:rFonts w:ascii="Times New Roman" w:hAnsi="Times New Roman"/>
                      <w:sz w:val="24"/>
                      <w:szCs w:val="24"/>
                    </w:rPr>
                    <w:t>possible</w:t>
                  </w:r>
                  <w:r>
                    <w:rPr>
                      <w:rFonts w:ascii="Times New Roman" w:hAnsi="Times New Roman"/>
                      <w:sz w:val="24"/>
                      <w:szCs w:val="24"/>
                    </w:rPr>
                    <w:t xml:space="preserve"> after the decision of the Board,</w:t>
                  </w:r>
                  <w:r w:rsidRPr="0016608F">
                    <w:rPr>
                      <w:rFonts w:ascii="Times New Roman" w:hAnsi="Times New Roman"/>
                      <w:sz w:val="24"/>
                      <w:szCs w:val="24"/>
                    </w:rPr>
                    <w:t xml:space="preserve"> to discuss the filing and the details of presenting </w:t>
                  </w:r>
                  <w:r>
                    <w:rPr>
                      <w:rFonts w:ascii="Times New Roman" w:hAnsi="Times New Roman"/>
                      <w:sz w:val="24"/>
                      <w:szCs w:val="24"/>
                    </w:rPr>
                    <w:t>the required documents</w:t>
                  </w:r>
                  <w:r w:rsidRPr="0016608F">
                    <w:rPr>
                      <w:rFonts w:ascii="Times New Roman" w:hAnsi="Times New Roman"/>
                      <w:sz w:val="24"/>
                      <w:szCs w:val="24"/>
                    </w:rPr>
                    <w:t xml:space="preserve"> to the Finance and Governance Board.</w:t>
                  </w:r>
                </w:p>
              </w:tc>
            </w:tr>
          </w:tbl>
          <w:p w14:paraId="387246C1" w14:textId="77777777" w:rsidR="00CC6733" w:rsidRPr="00CC6733" w:rsidRDefault="00CC6733" w:rsidP="00CC6733">
            <w:pPr>
              <w:pStyle w:val="NoSpacing"/>
              <w:jc w:val="both"/>
              <w:rPr>
                <w:rFonts w:ascii="Times New Roman" w:hAnsi="Times New Roman"/>
                <w:sz w:val="24"/>
                <w:szCs w:val="24"/>
              </w:rPr>
            </w:pPr>
          </w:p>
        </w:tc>
      </w:tr>
      <w:tr w:rsidR="007F7B66" w:rsidRPr="003B174D" w14:paraId="45FA4D86" w14:textId="77777777" w:rsidTr="009A155E">
        <w:tc>
          <w:tcPr>
            <w:tcW w:w="630" w:type="dxa"/>
          </w:tcPr>
          <w:p w14:paraId="1505F4B2" w14:textId="77777777" w:rsidR="007F7B66" w:rsidRPr="009A155E" w:rsidRDefault="007F7B66" w:rsidP="000C6A90">
            <w:pPr>
              <w:pStyle w:val="NoSpacing"/>
              <w:jc w:val="both"/>
              <w:rPr>
                <w:rFonts w:ascii="Times New Roman" w:hAnsi="Times New Roman"/>
                <w:sz w:val="24"/>
                <w:szCs w:val="24"/>
              </w:rPr>
            </w:pPr>
          </w:p>
        </w:tc>
        <w:tc>
          <w:tcPr>
            <w:tcW w:w="8568" w:type="dxa"/>
          </w:tcPr>
          <w:p w14:paraId="20891513" w14:textId="77777777" w:rsidR="007F7B66" w:rsidRDefault="007F7B66" w:rsidP="00CC6733">
            <w:pPr>
              <w:pStyle w:val="NoSpacing"/>
              <w:jc w:val="both"/>
              <w:rPr>
                <w:rFonts w:ascii="Times New Roman" w:hAnsi="Times New Roman"/>
                <w:sz w:val="24"/>
                <w:szCs w:val="24"/>
                <w:u w:val="single"/>
              </w:rPr>
            </w:pPr>
          </w:p>
        </w:tc>
      </w:tr>
      <w:tr w:rsidR="007F7B66" w:rsidRPr="003B174D" w14:paraId="159573B3" w14:textId="77777777" w:rsidTr="009A155E">
        <w:tc>
          <w:tcPr>
            <w:tcW w:w="630" w:type="dxa"/>
          </w:tcPr>
          <w:p w14:paraId="2E7CDC6E" w14:textId="77777777" w:rsidR="007F7B66" w:rsidRPr="009A155E" w:rsidRDefault="007F7B66" w:rsidP="000C6A90">
            <w:pPr>
              <w:pStyle w:val="NoSpacing"/>
              <w:jc w:val="both"/>
              <w:rPr>
                <w:rFonts w:ascii="Times New Roman" w:hAnsi="Times New Roman"/>
                <w:sz w:val="24"/>
                <w:szCs w:val="24"/>
              </w:rPr>
            </w:pPr>
          </w:p>
        </w:tc>
        <w:tc>
          <w:tcPr>
            <w:tcW w:w="8568" w:type="dxa"/>
          </w:tcPr>
          <w:p w14:paraId="07213E22" w14:textId="77777777" w:rsidR="007F7B66" w:rsidRPr="007F7B66" w:rsidRDefault="00912F6D" w:rsidP="007F7B66">
            <w:pPr>
              <w:pStyle w:val="NoSpacing"/>
              <w:jc w:val="both"/>
              <w:rPr>
                <w:rFonts w:ascii="Times New Roman" w:hAnsi="Times New Roman"/>
                <w:sz w:val="24"/>
                <w:szCs w:val="24"/>
              </w:rPr>
            </w:pPr>
            <w:r>
              <w:rPr>
                <w:rFonts w:ascii="Times New Roman" w:hAnsi="Times New Roman"/>
                <w:sz w:val="24"/>
                <w:szCs w:val="24"/>
              </w:rPr>
              <w:t>C</w:t>
            </w:r>
            <w:r w:rsidR="004A7530">
              <w:rPr>
                <w:rFonts w:ascii="Times New Roman" w:hAnsi="Times New Roman"/>
                <w:sz w:val="24"/>
                <w:szCs w:val="24"/>
              </w:rPr>
              <w:t xml:space="preserve">.  </w:t>
            </w:r>
            <w:r w:rsidR="0054498D">
              <w:rPr>
                <w:rFonts w:ascii="Times New Roman" w:hAnsi="Times New Roman"/>
                <w:sz w:val="24"/>
                <w:szCs w:val="24"/>
                <w:u w:val="single"/>
              </w:rPr>
              <w:t>Circumstances to Refund Bonds</w:t>
            </w:r>
            <w:r w:rsidR="007F7B66">
              <w:rPr>
                <w:rFonts w:ascii="Times New Roman" w:hAnsi="Times New Roman"/>
                <w:sz w:val="24"/>
                <w:szCs w:val="24"/>
              </w:rPr>
              <w:t xml:space="preserve">.  </w:t>
            </w:r>
            <w:r w:rsidR="0054498D">
              <w:rPr>
                <w:rFonts w:ascii="Times New Roman" w:hAnsi="Times New Roman"/>
                <w:sz w:val="24"/>
                <w:szCs w:val="24"/>
              </w:rPr>
              <w:t xml:space="preserve">The Trust continually monitors outstanding debt for refunding opportunities.  </w:t>
            </w:r>
            <w:r w:rsidR="007F7B66" w:rsidRPr="007F7B66">
              <w:rPr>
                <w:rFonts w:ascii="Times New Roman" w:hAnsi="Times New Roman"/>
                <w:sz w:val="24"/>
                <w:szCs w:val="24"/>
              </w:rPr>
              <w:t xml:space="preserve">The Trust will </w:t>
            </w:r>
            <w:proofErr w:type="gramStart"/>
            <w:r w:rsidR="007F7B66" w:rsidRPr="007F7B66">
              <w:rPr>
                <w:rFonts w:ascii="Times New Roman" w:hAnsi="Times New Roman"/>
                <w:sz w:val="24"/>
                <w:szCs w:val="24"/>
              </w:rPr>
              <w:t>enter into</w:t>
            </w:r>
            <w:proofErr w:type="gramEnd"/>
            <w:r w:rsidR="007F7B66" w:rsidRPr="007F7B66">
              <w:rPr>
                <w:rFonts w:ascii="Times New Roman" w:hAnsi="Times New Roman"/>
                <w:sz w:val="24"/>
                <w:szCs w:val="24"/>
              </w:rPr>
              <w:t xml:space="preserve"> a refunding transaction when such a transaction proves both prudent and economica</w:t>
            </w:r>
            <w:r w:rsidR="00431E44">
              <w:rPr>
                <w:rFonts w:ascii="Times New Roman" w:hAnsi="Times New Roman"/>
                <w:sz w:val="24"/>
                <w:szCs w:val="24"/>
              </w:rPr>
              <w:t>lly valuable to the Trust, the c</w:t>
            </w:r>
            <w:r w:rsidR="007F7B66" w:rsidRPr="007F7B66">
              <w:rPr>
                <w:rFonts w:ascii="Times New Roman" w:hAnsi="Times New Roman"/>
                <w:sz w:val="24"/>
                <w:szCs w:val="24"/>
              </w:rPr>
              <w:t>ommonwealth, and the Trust’s borrowers.  Factors that will be used to measure this value include</w:t>
            </w:r>
            <w:r w:rsidR="0005756A">
              <w:rPr>
                <w:rFonts w:ascii="Times New Roman" w:hAnsi="Times New Roman"/>
                <w:sz w:val="24"/>
                <w:szCs w:val="24"/>
              </w:rPr>
              <w:t>,</w:t>
            </w:r>
            <w:r w:rsidR="007F7B66" w:rsidRPr="007F7B66">
              <w:rPr>
                <w:rFonts w:ascii="Times New Roman" w:hAnsi="Times New Roman"/>
                <w:sz w:val="24"/>
                <w:szCs w:val="24"/>
              </w:rPr>
              <w:t xml:space="preserve"> but are not limited</w:t>
            </w:r>
            <w:r w:rsidR="0005756A">
              <w:rPr>
                <w:rFonts w:ascii="Times New Roman" w:hAnsi="Times New Roman"/>
                <w:sz w:val="24"/>
                <w:szCs w:val="24"/>
              </w:rPr>
              <w:t>,</w:t>
            </w:r>
            <w:r w:rsidR="007F7B66" w:rsidRPr="007F7B66">
              <w:rPr>
                <w:rFonts w:ascii="Times New Roman" w:hAnsi="Times New Roman"/>
                <w:sz w:val="24"/>
                <w:szCs w:val="24"/>
              </w:rPr>
              <w:t xml:space="preserve"> to: </w:t>
            </w:r>
          </w:p>
          <w:tbl>
            <w:tblPr>
              <w:tblW w:w="0" w:type="auto"/>
              <w:tblLook w:val="04A0" w:firstRow="1" w:lastRow="0" w:firstColumn="1" w:lastColumn="0" w:noHBand="0" w:noVBand="1"/>
            </w:tblPr>
            <w:tblGrid>
              <w:gridCol w:w="696"/>
              <w:gridCol w:w="7445"/>
            </w:tblGrid>
            <w:tr w:rsidR="007F7B66" w14:paraId="2B9752AC" w14:textId="77777777" w:rsidTr="005063FB">
              <w:tc>
                <w:tcPr>
                  <w:tcW w:w="607" w:type="dxa"/>
                </w:tcPr>
                <w:p w14:paraId="21594D7C" w14:textId="77777777" w:rsidR="007F7B66" w:rsidRPr="005063FB" w:rsidRDefault="007F7B66" w:rsidP="005063FB">
                  <w:pPr>
                    <w:pStyle w:val="NoSpacing"/>
                    <w:jc w:val="both"/>
                    <w:rPr>
                      <w:rFonts w:ascii="Times New Roman" w:hAnsi="Times New Roman"/>
                      <w:sz w:val="24"/>
                      <w:szCs w:val="24"/>
                    </w:rPr>
                  </w:pPr>
                </w:p>
              </w:tc>
              <w:tc>
                <w:tcPr>
                  <w:tcW w:w="7730" w:type="dxa"/>
                </w:tcPr>
                <w:p w14:paraId="79FE4B2F" w14:textId="77777777" w:rsidR="007F7B66" w:rsidRPr="005063FB" w:rsidRDefault="007F7B66" w:rsidP="005063FB">
                  <w:pPr>
                    <w:pStyle w:val="NoSpacing"/>
                    <w:jc w:val="both"/>
                    <w:rPr>
                      <w:rFonts w:ascii="Times New Roman" w:hAnsi="Times New Roman"/>
                      <w:sz w:val="24"/>
                      <w:szCs w:val="24"/>
                    </w:rPr>
                  </w:pPr>
                </w:p>
              </w:tc>
            </w:tr>
            <w:tr w:rsidR="007F7B66" w14:paraId="4E57A796" w14:textId="77777777" w:rsidTr="005063FB">
              <w:tc>
                <w:tcPr>
                  <w:tcW w:w="607" w:type="dxa"/>
                </w:tcPr>
                <w:p w14:paraId="674B490E" w14:textId="77777777" w:rsidR="007F7B66" w:rsidRPr="005063FB" w:rsidRDefault="007F7B66" w:rsidP="005063FB">
                  <w:pPr>
                    <w:pStyle w:val="NoSpacing"/>
                    <w:jc w:val="both"/>
                    <w:rPr>
                      <w:rFonts w:ascii="Times New Roman" w:hAnsi="Times New Roman"/>
                      <w:sz w:val="24"/>
                      <w:szCs w:val="24"/>
                    </w:rPr>
                  </w:pPr>
                  <w:r w:rsidRPr="005063FB">
                    <w:rPr>
                      <w:rFonts w:ascii="Times New Roman" w:hAnsi="Times New Roman"/>
                      <w:sz w:val="24"/>
                      <w:szCs w:val="24"/>
                    </w:rPr>
                    <w:t>(</w:t>
                  </w:r>
                  <w:proofErr w:type="spellStart"/>
                  <w:r w:rsidR="004A7530" w:rsidRPr="005063FB">
                    <w:rPr>
                      <w:rFonts w:ascii="Times New Roman" w:hAnsi="Times New Roman"/>
                      <w:sz w:val="24"/>
                      <w:szCs w:val="24"/>
                    </w:rPr>
                    <w:t>i</w:t>
                  </w:r>
                  <w:proofErr w:type="spellEnd"/>
                  <w:r w:rsidRPr="005063FB">
                    <w:rPr>
                      <w:rFonts w:ascii="Times New Roman" w:hAnsi="Times New Roman"/>
                      <w:sz w:val="24"/>
                      <w:szCs w:val="24"/>
                    </w:rPr>
                    <w:t>)</w:t>
                  </w:r>
                </w:p>
              </w:tc>
              <w:tc>
                <w:tcPr>
                  <w:tcW w:w="7730" w:type="dxa"/>
                </w:tcPr>
                <w:p w14:paraId="4E3E7D3F" w14:textId="77777777" w:rsidR="007F7B66" w:rsidRPr="005063FB" w:rsidRDefault="0005756A" w:rsidP="005063FB">
                  <w:pPr>
                    <w:pStyle w:val="NoSpacing"/>
                    <w:jc w:val="both"/>
                    <w:rPr>
                      <w:rFonts w:ascii="Times New Roman" w:hAnsi="Times New Roman"/>
                      <w:sz w:val="24"/>
                      <w:szCs w:val="24"/>
                    </w:rPr>
                  </w:pPr>
                  <w:r>
                    <w:rPr>
                      <w:rFonts w:ascii="Times New Roman" w:hAnsi="Times New Roman"/>
                      <w:sz w:val="24"/>
                      <w:szCs w:val="24"/>
                    </w:rPr>
                    <w:t>t</w:t>
                  </w:r>
                  <w:r w:rsidR="007F7B66" w:rsidRPr="005063FB">
                    <w:rPr>
                      <w:rFonts w:ascii="Times New Roman" w:hAnsi="Times New Roman"/>
                      <w:sz w:val="24"/>
                      <w:szCs w:val="24"/>
                    </w:rPr>
                    <w:t>he</w:t>
                  </w:r>
                  <w:r>
                    <w:rPr>
                      <w:rFonts w:ascii="Times New Roman" w:hAnsi="Times New Roman"/>
                      <w:sz w:val="24"/>
                      <w:szCs w:val="24"/>
                    </w:rPr>
                    <w:t xml:space="preserve"> the</w:t>
                  </w:r>
                  <w:r w:rsidR="007F7B66" w:rsidRPr="005063FB">
                    <w:rPr>
                      <w:rFonts w:ascii="Times New Roman" w:hAnsi="Times New Roman"/>
                      <w:sz w:val="24"/>
                      <w:szCs w:val="24"/>
                    </w:rPr>
                    <w:t>n present value savings of the refunding</w:t>
                  </w:r>
                  <w:r>
                    <w:rPr>
                      <w:rFonts w:ascii="Times New Roman" w:hAnsi="Times New Roman"/>
                      <w:sz w:val="24"/>
                      <w:szCs w:val="24"/>
                    </w:rPr>
                    <w:t>;</w:t>
                  </w:r>
                </w:p>
              </w:tc>
            </w:tr>
            <w:tr w:rsidR="007F7B66" w14:paraId="26504D63" w14:textId="77777777" w:rsidTr="005063FB">
              <w:tc>
                <w:tcPr>
                  <w:tcW w:w="607" w:type="dxa"/>
                </w:tcPr>
                <w:p w14:paraId="13C50D32" w14:textId="77777777" w:rsidR="007F7B66" w:rsidRPr="005063FB" w:rsidRDefault="007F7B66" w:rsidP="005063FB">
                  <w:pPr>
                    <w:pStyle w:val="NoSpacing"/>
                    <w:jc w:val="both"/>
                    <w:rPr>
                      <w:rFonts w:ascii="Times New Roman" w:hAnsi="Times New Roman"/>
                      <w:sz w:val="24"/>
                      <w:szCs w:val="24"/>
                    </w:rPr>
                  </w:pPr>
                </w:p>
              </w:tc>
              <w:tc>
                <w:tcPr>
                  <w:tcW w:w="7730" w:type="dxa"/>
                </w:tcPr>
                <w:p w14:paraId="0997F9A1" w14:textId="77777777" w:rsidR="007F7B66" w:rsidRPr="005063FB" w:rsidRDefault="007F7B66" w:rsidP="005063FB">
                  <w:pPr>
                    <w:pStyle w:val="NoSpacing"/>
                    <w:jc w:val="both"/>
                    <w:rPr>
                      <w:rFonts w:ascii="Times New Roman" w:hAnsi="Times New Roman"/>
                      <w:sz w:val="24"/>
                      <w:szCs w:val="24"/>
                    </w:rPr>
                  </w:pPr>
                </w:p>
              </w:tc>
            </w:tr>
            <w:tr w:rsidR="007F7B66" w14:paraId="48EB1C63" w14:textId="77777777" w:rsidTr="005063FB">
              <w:tc>
                <w:tcPr>
                  <w:tcW w:w="607" w:type="dxa"/>
                </w:tcPr>
                <w:p w14:paraId="71B595C5" w14:textId="77777777" w:rsidR="007F7B66" w:rsidRPr="005063FB" w:rsidRDefault="007F7B66" w:rsidP="005063FB">
                  <w:pPr>
                    <w:pStyle w:val="NoSpacing"/>
                    <w:jc w:val="both"/>
                    <w:rPr>
                      <w:rFonts w:ascii="Times New Roman" w:hAnsi="Times New Roman"/>
                      <w:sz w:val="24"/>
                      <w:szCs w:val="24"/>
                    </w:rPr>
                  </w:pPr>
                  <w:r w:rsidRPr="005063FB">
                    <w:rPr>
                      <w:rFonts w:ascii="Times New Roman" w:hAnsi="Times New Roman"/>
                      <w:sz w:val="24"/>
                      <w:szCs w:val="24"/>
                    </w:rPr>
                    <w:t>(</w:t>
                  </w:r>
                  <w:r w:rsidR="004A7530" w:rsidRPr="005063FB">
                    <w:rPr>
                      <w:rFonts w:ascii="Times New Roman" w:hAnsi="Times New Roman"/>
                      <w:sz w:val="24"/>
                      <w:szCs w:val="24"/>
                    </w:rPr>
                    <w:t>ii</w:t>
                  </w:r>
                  <w:r w:rsidRPr="005063FB">
                    <w:rPr>
                      <w:rFonts w:ascii="Times New Roman" w:hAnsi="Times New Roman"/>
                      <w:sz w:val="24"/>
                      <w:szCs w:val="24"/>
                    </w:rPr>
                    <w:t>)</w:t>
                  </w:r>
                </w:p>
              </w:tc>
              <w:tc>
                <w:tcPr>
                  <w:tcW w:w="7730" w:type="dxa"/>
                </w:tcPr>
                <w:p w14:paraId="5E3F995B" w14:textId="77777777" w:rsidR="007F7B66" w:rsidRPr="005063FB" w:rsidRDefault="0005756A" w:rsidP="0005756A">
                  <w:pPr>
                    <w:pStyle w:val="NoSpacing"/>
                    <w:jc w:val="both"/>
                    <w:rPr>
                      <w:rFonts w:ascii="Times New Roman" w:hAnsi="Times New Roman"/>
                      <w:sz w:val="24"/>
                      <w:szCs w:val="24"/>
                    </w:rPr>
                  </w:pPr>
                  <w:r>
                    <w:rPr>
                      <w:rFonts w:ascii="Times New Roman" w:hAnsi="Times New Roman"/>
                      <w:sz w:val="24"/>
                      <w:szCs w:val="24"/>
                    </w:rPr>
                    <w:t>t</w:t>
                  </w:r>
                  <w:r w:rsidR="007F7B66" w:rsidRPr="005063FB">
                    <w:rPr>
                      <w:rFonts w:ascii="Times New Roman" w:hAnsi="Times New Roman"/>
                      <w:sz w:val="24"/>
                      <w:szCs w:val="24"/>
                    </w:rPr>
                    <w:t xml:space="preserve">he present value savings of the refunding as a </w:t>
                  </w:r>
                  <w:proofErr w:type="gramStart"/>
                  <w:r w:rsidR="007F7B66" w:rsidRPr="005063FB">
                    <w:rPr>
                      <w:rFonts w:ascii="Times New Roman" w:hAnsi="Times New Roman"/>
                      <w:sz w:val="24"/>
                      <w:szCs w:val="24"/>
                    </w:rPr>
                    <w:t>percent</w:t>
                  </w:r>
                  <w:proofErr w:type="gramEnd"/>
                  <w:r w:rsidR="007F7B66" w:rsidRPr="005063FB">
                    <w:rPr>
                      <w:rFonts w:ascii="Times New Roman" w:hAnsi="Times New Roman"/>
                      <w:sz w:val="24"/>
                      <w:szCs w:val="24"/>
                    </w:rPr>
                    <w:t xml:space="preserve"> of the refunded bonds</w:t>
                  </w:r>
                  <w:r>
                    <w:rPr>
                      <w:rFonts w:ascii="Times New Roman" w:hAnsi="Times New Roman"/>
                      <w:sz w:val="24"/>
                      <w:szCs w:val="24"/>
                    </w:rPr>
                    <w:t>;</w:t>
                  </w:r>
                </w:p>
              </w:tc>
            </w:tr>
            <w:tr w:rsidR="007F7B66" w14:paraId="3F0E218E" w14:textId="77777777" w:rsidTr="005063FB">
              <w:tc>
                <w:tcPr>
                  <w:tcW w:w="607" w:type="dxa"/>
                </w:tcPr>
                <w:p w14:paraId="7EACE41E" w14:textId="77777777" w:rsidR="007F7B66" w:rsidRPr="005063FB" w:rsidRDefault="007F7B66" w:rsidP="005063FB">
                  <w:pPr>
                    <w:pStyle w:val="NoSpacing"/>
                    <w:jc w:val="both"/>
                    <w:rPr>
                      <w:rFonts w:ascii="Times New Roman" w:hAnsi="Times New Roman"/>
                      <w:sz w:val="24"/>
                      <w:szCs w:val="24"/>
                    </w:rPr>
                  </w:pPr>
                </w:p>
              </w:tc>
              <w:tc>
                <w:tcPr>
                  <w:tcW w:w="7730" w:type="dxa"/>
                </w:tcPr>
                <w:p w14:paraId="49B85127" w14:textId="77777777" w:rsidR="007F7B66" w:rsidRPr="005063FB" w:rsidRDefault="007F7B66" w:rsidP="005063FB">
                  <w:pPr>
                    <w:pStyle w:val="NoSpacing"/>
                    <w:jc w:val="both"/>
                    <w:rPr>
                      <w:rFonts w:ascii="Times New Roman" w:hAnsi="Times New Roman"/>
                      <w:sz w:val="24"/>
                      <w:szCs w:val="24"/>
                    </w:rPr>
                  </w:pPr>
                </w:p>
              </w:tc>
            </w:tr>
            <w:tr w:rsidR="007F7B66" w14:paraId="30760D89" w14:textId="77777777" w:rsidTr="005063FB">
              <w:tc>
                <w:tcPr>
                  <w:tcW w:w="607" w:type="dxa"/>
                </w:tcPr>
                <w:p w14:paraId="1C2A1D01" w14:textId="77777777" w:rsidR="007F7B66" w:rsidRPr="005063FB" w:rsidRDefault="007F7B66" w:rsidP="005063FB">
                  <w:pPr>
                    <w:pStyle w:val="NoSpacing"/>
                    <w:jc w:val="both"/>
                    <w:rPr>
                      <w:rFonts w:ascii="Times New Roman" w:hAnsi="Times New Roman"/>
                      <w:sz w:val="24"/>
                      <w:szCs w:val="24"/>
                    </w:rPr>
                  </w:pPr>
                  <w:r w:rsidRPr="005063FB">
                    <w:rPr>
                      <w:rFonts w:ascii="Times New Roman" w:hAnsi="Times New Roman"/>
                      <w:sz w:val="24"/>
                      <w:szCs w:val="24"/>
                    </w:rPr>
                    <w:t>(</w:t>
                  </w:r>
                  <w:r w:rsidR="004A7530" w:rsidRPr="005063FB">
                    <w:rPr>
                      <w:rFonts w:ascii="Times New Roman" w:hAnsi="Times New Roman"/>
                      <w:sz w:val="24"/>
                      <w:szCs w:val="24"/>
                    </w:rPr>
                    <w:t>iii</w:t>
                  </w:r>
                  <w:r w:rsidRPr="005063FB">
                    <w:rPr>
                      <w:rFonts w:ascii="Times New Roman" w:hAnsi="Times New Roman"/>
                      <w:sz w:val="24"/>
                      <w:szCs w:val="24"/>
                    </w:rPr>
                    <w:t>)</w:t>
                  </w:r>
                </w:p>
              </w:tc>
              <w:tc>
                <w:tcPr>
                  <w:tcW w:w="7730" w:type="dxa"/>
                </w:tcPr>
                <w:p w14:paraId="16A76FBB" w14:textId="77777777" w:rsidR="007F7B66" w:rsidRPr="005063FB" w:rsidRDefault="0005756A" w:rsidP="0005756A">
                  <w:pPr>
                    <w:pStyle w:val="NoSpacing"/>
                    <w:jc w:val="both"/>
                    <w:rPr>
                      <w:rFonts w:ascii="Times New Roman" w:hAnsi="Times New Roman"/>
                      <w:sz w:val="24"/>
                      <w:szCs w:val="24"/>
                    </w:rPr>
                  </w:pPr>
                  <w:r>
                    <w:rPr>
                      <w:rFonts w:ascii="Times New Roman" w:hAnsi="Times New Roman"/>
                      <w:sz w:val="24"/>
                      <w:szCs w:val="24"/>
                    </w:rPr>
                    <w:t>t</w:t>
                  </w:r>
                  <w:r w:rsidR="007F7B66" w:rsidRPr="005063FB">
                    <w:rPr>
                      <w:rFonts w:ascii="Times New Roman" w:hAnsi="Times New Roman"/>
                      <w:sz w:val="24"/>
                      <w:szCs w:val="24"/>
                    </w:rPr>
                    <w:t xml:space="preserve">he efficiency of the </w:t>
                  </w:r>
                  <w:proofErr w:type="gramStart"/>
                  <w:r w:rsidR="007F7B66" w:rsidRPr="005063FB">
                    <w:rPr>
                      <w:rFonts w:ascii="Times New Roman" w:hAnsi="Times New Roman"/>
                      <w:sz w:val="24"/>
                      <w:szCs w:val="24"/>
                    </w:rPr>
                    <w:t>refunding  (</w:t>
                  </w:r>
                  <w:proofErr w:type="gramEnd"/>
                  <w:r w:rsidR="007F7B66" w:rsidRPr="005063FB">
                    <w:rPr>
                      <w:rFonts w:ascii="Times New Roman" w:hAnsi="Times New Roman"/>
                      <w:sz w:val="24"/>
                      <w:szCs w:val="24"/>
                    </w:rPr>
                    <w:t>present value of the refunding / theoretical value of the “option” being exercised)</w:t>
                  </w:r>
                  <w:r>
                    <w:rPr>
                      <w:rFonts w:ascii="Times New Roman" w:hAnsi="Times New Roman"/>
                      <w:sz w:val="24"/>
                      <w:szCs w:val="24"/>
                    </w:rPr>
                    <w:t>;</w:t>
                  </w:r>
                </w:p>
              </w:tc>
            </w:tr>
            <w:tr w:rsidR="007F7B66" w14:paraId="5A3134B1" w14:textId="77777777" w:rsidTr="005063FB">
              <w:tc>
                <w:tcPr>
                  <w:tcW w:w="607" w:type="dxa"/>
                </w:tcPr>
                <w:p w14:paraId="3BF207E1" w14:textId="77777777" w:rsidR="007F7B66" w:rsidRPr="005063FB" w:rsidRDefault="007F7B66" w:rsidP="005063FB">
                  <w:pPr>
                    <w:pStyle w:val="NoSpacing"/>
                    <w:jc w:val="both"/>
                    <w:rPr>
                      <w:rFonts w:ascii="Times New Roman" w:hAnsi="Times New Roman"/>
                      <w:sz w:val="24"/>
                      <w:szCs w:val="24"/>
                    </w:rPr>
                  </w:pPr>
                </w:p>
              </w:tc>
              <w:tc>
                <w:tcPr>
                  <w:tcW w:w="7730" w:type="dxa"/>
                </w:tcPr>
                <w:p w14:paraId="4F2504AD" w14:textId="77777777" w:rsidR="007F7B66" w:rsidRPr="005063FB" w:rsidRDefault="007F7B66" w:rsidP="005063FB">
                  <w:pPr>
                    <w:pStyle w:val="NoSpacing"/>
                    <w:jc w:val="both"/>
                    <w:rPr>
                      <w:rFonts w:ascii="Times New Roman" w:hAnsi="Times New Roman"/>
                      <w:sz w:val="24"/>
                      <w:szCs w:val="24"/>
                    </w:rPr>
                  </w:pPr>
                </w:p>
              </w:tc>
            </w:tr>
            <w:tr w:rsidR="007F7B66" w14:paraId="2633D0D1" w14:textId="77777777" w:rsidTr="005063FB">
              <w:tc>
                <w:tcPr>
                  <w:tcW w:w="607" w:type="dxa"/>
                </w:tcPr>
                <w:p w14:paraId="2CBF4DF5" w14:textId="77777777" w:rsidR="007F7B66" w:rsidRPr="005063FB" w:rsidRDefault="007F7B66" w:rsidP="005063FB">
                  <w:pPr>
                    <w:pStyle w:val="NoSpacing"/>
                    <w:jc w:val="both"/>
                    <w:rPr>
                      <w:rFonts w:ascii="Times New Roman" w:hAnsi="Times New Roman"/>
                      <w:sz w:val="24"/>
                      <w:szCs w:val="24"/>
                    </w:rPr>
                  </w:pPr>
                  <w:r w:rsidRPr="005063FB">
                    <w:rPr>
                      <w:rFonts w:ascii="Times New Roman" w:hAnsi="Times New Roman"/>
                      <w:sz w:val="24"/>
                      <w:szCs w:val="24"/>
                    </w:rPr>
                    <w:t>(</w:t>
                  </w:r>
                  <w:r w:rsidR="004A7530" w:rsidRPr="005063FB">
                    <w:rPr>
                      <w:rFonts w:ascii="Times New Roman" w:hAnsi="Times New Roman"/>
                      <w:sz w:val="24"/>
                      <w:szCs w:val="24"/>
                    </w:rPr>
                    <w:t>iv</w:t>
                  </w:r>
                  <w:r w:rsidRPr="005063FB">
                    <w:rPr>
                      <w:rFonts w:ascii="Times New Roman" w:hAnsi="Times New Roman"/>
                      <w:sz w:val="24"/>
                      <w:szCs w:val="24"/>
                    </w:rPr>
                    <w:t>)</w:t>
                  </w:r>
                </w:p>
              </w:tc>
              <w:tc>
                <w:tcPr>
                  <w:tcW w:w="7730" w:type="dxa"/>
                </w:tcPr>
                <w:p w14:paraId="421E79CF" w14:textId="77777777" w:rsidR="007F7B66" w:rsidRPr="005063FB" w:rsidRDefault="0005756A" w:rsidP="004D1F38">
                  <w:pPr>
                    <w:pStyle w:val="NoSpacing"/>
                    <w:jc w:val="both"/>
                    <w:rPr>
                      <w:rFonts w:ascii="Times New Roman" w:hAnsi="Times New Roman"/>
                      <w:sz w:val="24"/>
                      <w:szCs w:val="24"/>
                    </w:rPr>
                  </w:pPr>
                  <w:r>
                    <w:rPr>
                      <w:rFonts w:ascii="Times New Roman" w:hAnsi="Times New Roman"/>
                      <w:sz w:val="24"/>
                      <w:szCs w:val="24"/>
                    </w:rPr>
                    <w:t>t</w:t>
                  </w:r>
                  <w:r w:rsidR="007F7B66" w:rsidRPr="005063FB">
                    <w:rPr>
                      <w:rFonts w:ascii="Times New Roman" w:hAnsi="Times New Roman"/>
                      <w:sz w:val="24"/>
                      <w:szCs w:val="24"/>
                    </w:rPr>
                    <w:t>he time horizon or window to execute the refunding</w:t>
                  </w:r>
                  <w:r>
                    <w:rPr>
                      <w:rFonts w:ascii="Times New Roman" w:hAnsi="Times New Roman"/>
                      <w:sz w:val="24"/>
                      <w:szCs w:val="24"/>
                    </w:rPr>
                    <w:t xml:space="preserve">; </w:t>
                  </w:r>
                </w:p>
              </w:tc>
            </w:tr>
            <w:tr w:rsidR="007F7B66" w14:paraId="4144B714" w14:textId="77777777" w:rsidTr="005063FB">
              <w:tc>
                <w:tcPr>
                  <w:tcW w:w="607" w:type="dxa"/>
                </w:tcPr>
                <w:p w14:paraId="2CDEBADE" w14:textId="77777777" w:rsidR="007F7B66" w:rsidRPr="005063FB" w:rsidRDefault="007F7B66" w:rsidP="005063FB">
                  <w:pPr>
                    <w:pStyle w:val="NoSpacing"/>
                    <w:jc w:val="both"/>
                    <w:rPr>
                      <w:rFonts w:ascii="Times New Roman" w:hAnsi="Times New Roman"/>
                      <w:sz w:val="24"/>
                      <w:szCs w:val="24"/>
                    </w:rPr>
                  </w:pPr>
                </w:p>
              </w:tc>
              <w:tc>
                <w:tcPr>
                  <w:tcW w:w="7730" w:type="dxa"/>
                </w:tcPr>
                <w:p w14:paraId="77B3A16C" w14:textId="77777777" w:rsidR="007F7B66" w:rsidRPr="005063FB" w:rsidRDefault="007F7B66" w:rsidP="005063FB">
                  <w:pPr>
                    <w:pStyle w:val="NoSpacing"/>
                    <w:jc w:val="both"/>
                    <w:rPr>
                      <w:rFonts w:ascii="Times New Roman" w:hAnsi="Times New Roman"/>
                      <w:sz w:val="24"/>
                      <w:szCs w:val="24"/>
                    </w:rPr>
                  </w:pPr>
                </w:p>
              </w:tc>
            </w:tr>
            <w:tr w:rsidR="007F7B66" w14:paraId="66270078" w14:textId="77777777" w:rsidTr="005063FB">
              <w:tc>
                <w:tcPr>
                  <w:tcW w:w="607" w:type="dxa"/>
                </w:tcPr>
                <w:p w14:paraId="04304413" w14:textId="77777777" w:rsidR="007F7B66" w:rsidRPr="005063FB" w:rsidRDefault="007F7B66" w:rsidP="005063FB">
                  <w:pPr>
                    <w:pStyle w:val="NoSpacing"/>
                    <w:jc w:val="both"/>
                    <w:rPr>
                      <w:rFonts w:ascii="Times New Roman" w:hAnsi="Times New Roman"/>
                      <w:sz w:val="24"/>
                      <w:szCs w:val="24"/>
                    </w:rPr>
                  </w:pPr>
                  <w:r w:rsidRPr="005063FB">
                    <w:rPr>
                      <w:rFonts w:ascii="Times New Roman" w:hAnsi="Times New Roman"/>
                      <w:sz w:val="24"/>
                      <w:szCs w:val="24"/>
                    </w:rPr>
                    <w:t>(</w:t>
                  </w:r>
                  <w:r w:rsidR="004A7530" w:rsidRPr="005063FB">
                    <w:rPr>
                      <w:rFonts w:ascii="Times New Roman" w:hAnsi="Times New Roman"/>
                      <w:sz w:val="24"/>
                      <w:szCs w:val="24"/>
                    </w:rPr>
                    <w:t>v</w:t>
                  </w:r>
                  <w:r w:rsidRPr="005063FB">
                    <w:rPr>
                      <w:rFonts w:ascii="Times New Roman" w:hAnsi="Times New Roman"/>
                      <w:sz w:val="24"/>
                      <w:szCs w:val="24"/>
                    </w:rPr>
                    <w:t xml:space="preserve">) </w:t>
                  </w:r>
                </w:p>
              </w:tc>
              <w:tc>
                <w:tcPr>
                  <w:tcW w:w="7730" w:type="dxa"/>
                </w:tcPr>
                <w:p w14:paraId="4AB03D28" w14:textId="77777777" w:rsidR="007F7B66" w:rsidRPr="005063FB" w:rsidRDefault="0005756A" w:rsidP="0005756A">
                  <w:pPr>
                    <w:pStyle w:val="NoSpacing"/>
                    <w:jc w:val="both"/>
                    <w:rPr>
                      <w:rFonts w:ascii="Times New Roman" w:hAnsi="Times New Roman"/>
                      <w:sz w:val="24"/>
                      <w:szCs w:val="24"/>
                    </w:rPr>
                  </w:pPr>
                  <w:r>
                    <w:rPr>
                      <w:rFonts w:ascii="Times New Roman" w:hAnsi="Times New Roman"/>
                      <w:sz w:val="24"/>
                      <w:szCs w:val="24"/>
                    </w:rPr>
                    <w:t>t</w:t>
                  </w:r>
                  <w:r w:rsidR="007F7B66" w:rsidRPr="005063FB">
                    <w:rPr>
                      <w:rFonts w:ascii="Times New Roman" w:hAnsi="Times New Roman"/>
                      <w:sz w:val="24"/>
                      <w:szCs w:val="24"/>
                    </w:rPr>
                    <w:t>he cost of issuance of the refunding bonds</w:t>
                  </w:r>
                  <w:r w:rsidR="004D1F38">
                    <w:rPr>
                      <w:rFonts w:ascii="Times New Roman" w:hAnsi="Times New Roman"/>
                      <w:sz w:val="24"/>
                      <w:szCs w:val="24"/>
                    </w:rPr>
                    <w:t>;</w:t>
                  </w:r>
                </w:p>
              </w:tc>
            </w:tr>
            <w:tr w:rsidR="007F7B66" w14:paraId="3BBBB806" w14:textId="77777777" w:rsidTr="005063FB">
              <w:tc>
                <w:tcPr>
                  <w:tcW w:w="607" w:type="dxa"/>
                </w:tcPr>
                <w:p w14:paraId="0149ECBD" w14:textId="77777777" w:rsidR="007F7B66" w:rsidRPr="005063FB" w:rsidRDefault="007F7B66" w:rsidP="005063FB">
                  <w:pPr>
                    <w:pStyle w:val="NoSpacing"/>
                    <w:jc w:val="both"/>
                    <w:rPr>
                      <w:rFonts w:ascii="Times New Roman" w:hAnsi="Times New Roman"/>
                      <w:sz w:val="24"/>
                      <w:szCs w:val="24"/>
                    </w:rPr>
                  </w:pPr>
                </w:p>
              </w:tc>
              <w:tc>
                <w:tcPr>
                  <w:tcW w:w="7730" w:type="dxa"/>
                </w:tcPr>
                <w:p w14:paraId="0C0BCCC7" w14:textId="77777777" w:rsidR="007F7B66" w:rsidRPr="005063FB" w:rsidRDefault="007F7B66" w:rsidP="005063FB">
                  <w:pPr>
                    <w:pStyle w:val="NoSpacing"/>
                    <w:jc w:val="both"/>
                    <w:rPr>
                      <w:rFonts w:ascii="Times New Roman" w:hAnsi="Times New Roman"/>
                      <w:sz w:val="24"/>
                      <w:szCs w:val="24"/>
                    </w:rPr>
                  </w:pPr>
                </w:p>
              </w:tc>
            </w:tr>
            <w:tr w:rsidR="004D1F38" w14:paraId="1B5B46D3" w14:textId="77777777" w:rsidTr="005063FB">
              <w:tc>
                <w:tcPr>
                  <w:tcW w:w="607" w:type="dxa"/>
                </w:tcPr>
                <w:p w14:paraId="2B8F9955" w14:textId="77777777" w:rsidR="004D1F38" w:rsidRPr="005063FB" w:rsidRDefault="004D1F38" w:rsidP="005063FB">
                  <w:pPr>
                    <w:pStyle w:val="NoSpacing"/>
                    <w:jc w:val="both"/>
                    <w:rPr>
                      <w:rFonts w:ascii="Times New Roman" w:hAnsi="Times New Roman"/>
                      <w:sz w:val="24"/>
                      <w:szCs w:val="24"/>
                    </w:rPr>
                  </w:pPr>
                  <w:r>
                    <w:rPr>
                      <w:rFonts w:ascii="Times New Roman" w:hAnsi="Times New Roman"/>
                      <w:sz w:val="24"/>
                      <w:szCs w:val="24"/>
                    </w:rPr>
                    <w:t>(vi)</w:t>
                  </w:r>
                </w:p>
              </w:tc>
              <w:tc>
                <w:tcPr>
                  <w:tcW w:w="7730" w:type="dxa"/>
                </w:tcPr>
                <w:p w14:paraId="3EFA1743" w14:textId="77777777" w:rsidR="004D1F38" w:rsidRPr="005063FB" w:rsidRDefault="004D1F38" w:rsidP="004D1F38">
                  <w:pPr>
                    <w:pStyle w:val="NoSpacing"/>
                    <w:jc w:val="both"/>
                    <w:rPr>
                      <w:rFonts w:ascii="Times New Roman" w:hAnsi="Times New Roman"/>
                      <w:sz w:val="24"/>
                      <w:szCs w:val="24"/>
                    </w:rPr>
                  </w:pPr>
                  <w:r>
                    <w:rPr>
                      <w:rFonts w:ascii="Times New Roman" w:hAnsi="Times New Roman"/>
                      <w:sz w:val="24"/>
                      <w:szCs w:val="24"/>
                    </w:rPr>
                    <w:t>counter-party risk</w:t>
                  </w:r>
                  <w:r w:rsidR="00261195">
                    <w:rPr>
                      <w:rFonts w:ascii="Times New Roman" w:hAnsi="Times New Roman"/>
                      <w:sz w:val="24"/>
                      <w:szCs w:val="24"/>
                    </w:rPr>
                    <w:t>, if any,</w:t>
                  </w:r>
                  <w:r>
                    <w:rPr>
                      <w:rFonts w:ascii="Times New Roman" w:hAnsi="Times New Roman"/>
                      <w:sz w:val="24"/>
                      <w:szCs w:val="24"/>
                    </w:rPr>
                    <w:t xml:space="preserve"> associated with keeping the bonds outstanding; </w:t>
                  </w:r>
                </w:p>
              </w:tc>
            </w:tr>
            <w:tr w:rsidR="004D1F38" w14:paraId="33A35C2F" w14:textId="77777777" w:rsidTr="005063FB">
              <w:tc>
                <w:tcPr>
                  <w:tcW w:w="607" w:type="dxa"/>
                </w:tcPr>
                <w:p w14:paraId="17B8CC32" w14:textId="77777777" w:rsidR="004D1F38" w:rsidRDefault="004D1F38" w:rsidP="005063FB">
                  <w:pPr>
                    <w:pStyle w:val="NoSpacing"/>
                    <w:jc w:val="both"/>
                    <w:rPr>
                      <w:rFonts w:ascii="Times New Roman" w:hAnsi="Times New Roman"/>
                      <w:sz w:val="24"/>
                      <w:szCs w:val="24"/>
                    </w:rPr>
                  </w:pPr>
                </w:p>
              </w:tc>
              <w:tc>
                <w:tcPr>
                  <w:tcW w:w="7730" w:type="dxa"/>
                </w:tcPr>
                <w:p w14:paraId="277E4ED7" w14:textId="77777777" w:rsidR="004D1F38" w:rsidRDefault="004D1F38" w:rsidP="004D1F38">
                  <w:pPr>
                    <w:pStyle w:val="NoSpacing"/>
                    <w:jc w:val="both"/>
                    <w:rPr>
                      <w:rFonts w:ascii="Times New Roman" w:hAnsi="Times New Roman"/>
                      <w:sz w:val="24"/>
                      <w:szCs w:val="24"/>
                    </w:rPr>
                  </w:pPr>
                </w:p>
              </w:tc>
            </w:tr>
            <w:tr w:rsidR="004D1F38" w14:paraId="003C237F" w14:textId="77777777" w:rsidTr="005063FB">
              <w:tc>
                <w:tcPr>
                  <w:tcW w:w="607" w:type="dxa"/>
                </w:tcPr>
                <w:p w14:paraId="1D1434E4" w14:textId="77777777" w:rsidR="004D1F38" w:rsidRDefault="004D1F38" w:rsidP="005063FB">
                  <w:pPr>
                    <w:pStyle w:val="NoSpacing"/>
                    <w:jc w:val="both"/>
                    <w:rPr>
                      <w:rFonts w:ascii="Times New Roman" w:hAnsi="Times New Roman"/>
                      <w:sz w:val="24"/>
                      <w:szCs w:val="24"/>
                    </w:rPr>
                  </w:pPr>
                  <w:r>
                    <w:rPr>
                      <w:rFonts w:ascii="Times New Roman" w:hAnsi="Times New Roman"/>
                      <w:sz w:val="24"/>
                      <w:szCs w:val="24"/>
                    </w:rPr>
                    <w:t>(vii)</w:t>
                  </w:r>
                </w:p>
              </w:tc>
              <w:tc>
                <w:tcPr>
                  <w:tcW w:w="7730" w:type="dxa"/>
                </w:tcPr>
                <w:p w14:paraId="2B3DE30D" w14:textId="77777777" w:rsidR="004D1F38" w:rsidRDefault="004D1F38" w:rsidP="004D1F38">
                  <w:pPr>
                    <w:pStyle w:val="NoSpacing"/>
                    <w:jc w:val="both"/>
                    <w:rPr>
                      <w:rFonts w:ascii="Times New Roman" w:hAnsi="Times New Roman"/>
                      <w:sz w:val="24"/>
                      <w:szCs w:val="24"/>
                    </w:rPr>
                  </w:pPr>
                  <w:r>
                    <w:rPr>
                      <w:rFonts w:ascii="Times New Roman" w:hAnsi="Times New Roman"/>
                      <w:sz w:val="24"/>
                      <w:szCs w:val="24"/>
                    </w:rPr>
                    <w:t xml:space="preserve">costs associated with arbitrage liability; </w:t>
                  </w:r>
                </w:p>
              </w:tc>
            </w:tr>
            <w:tr w:rsidR="004D1F38" w14:paraId="583D0504" w14:textId="77777777" w:rsidTr="005063FB">
              <w:tc>
                <w:tcPr>
                  <w:tcW w:w="607" w:type="dxa"/>
                </w:tcPr>
                <w:p w14:paraId="1E2A7457" w14:textId="77777777" w:rsidR="004D1F38" w:rsidRDefault="004D1F38" w:rsidP="005063FB">
                  <w:pPr>
                    <w:pStyle w:val="NoSpacing"/>
                    <w:jc w:val="both"/>
                    <w:rPr>
                      <w:rFonts w:ascii="Times New Roman" w:hAnsi="Times New Roman"/>
                      <w:sz w:val="24"/>
                      <w:szCs w:val="24"/>
                    </w:rPr>
                  </w:pPr>
                </w:p>
              </w:tc>
              <w:tc>
                <w:tcPr>
                  <w:tcW w:w="7730" w:type="dxa"/>
                </w:tcPr>
                <w:p w14:paraId="5DBDDFBC" w14:textId="77777777" w:rsidR="004D1F38" w:rsidRDefault="004D1F38" w:rsidP="004D1F38">
                  <w:pPr>
                    <w:pStyle w:val="NoSpacing"/>
                    <w:jc w:val="both"/>
                    <w:rPr>
                      <w:rFonts w:ascii="Times New Roman" w:hAnsi="Times New Roman"/>
                      <w:sz w:val="24"/>
                      <w:szCs w:val="24"/>
                    </w:rPr>
                  </w:pPr>
                </w:p>
              </w:tc>
            </w:tr>
            <w:tr w:rsidR="004D1F38" w14:paraId="34F58622" w14:textId="77777777" w:rsidTr="005063FB">
              <w:tc>
                <w:tcPr>
                  <w:tcW w:w="607" w:type="dxa"/>
                </w:tcPr>
                <w:p w14:paraId="37F63C80" w14:textId="77777777" w:rsidR="004D1F38" w:rsidRDefault="004D1F38" w:rsidP="005063FB">
                  <w:pPr>
                    <w:pStyle w:val="NoSpacing"/>
                    <w:jc w:val="both"/>
                    <w:rPr>
                      <w:rFonts w:ascii="Times New Roman" w:hAnsi="Times New Roman"/>
                      <w:sz w:val="24"/>
                      <w:szCs w:val="24"/>
                    </w:rPr>
                  </w:pPr>
                  <w:r>
                    <w:rPr>
                      <w:rFonts w:ascii="Times New Roman" w:hAnsi="Times New Roman"/>
                      <w:sz w:val="24"/>
                      <w:szCs w:val="24"/>
                    </w:rPr>
                    <w:t>(viii)</w:t>
                  </w:r>
                </w:p>
              </w:tc>
              <w:tc>
                <w:tcPr>
                  <w:tcW w:w="7730" w:type="dxa"/>
                </w:tcPr>
                <w:p w14:paraId="7C7BD05D" w14:textId="77777777" w:rsidR="004D1F38" w:rsidRDefault="00BE2A38" w:rsidP="00BE2A38">
                  <w:pPr>
                    <w:pStyle w:val="NoSpacing"/>
                    <w:jc w:val="both"/>
                    <w:rPr>
                      <w:rFonts w:ascii="Times New Roman" w:hAnsi="Times New Roman"/>
                      <w:sz w:val="24"/>
                      <w:szCs w:val="24"/>
                    </w:rPr>
                  </w:pPr>
                  <w:r>
                    <w:rPr>
                      <w:rFonts w:ascii="Times New Roman" w:hAnsi="Times New Roman"/>
                      <w:sz w:val="24"/>
                      <w:szCs w:val="24"/>
                    </w:rPr>
                    <w:t>factors that</w:t>
                  </w:r>
                  <w:r w:rsidRPr="00BE2A38">
                    <w:rPr>
                      <w:rFonts w:ascii="Times New Roman" w:hAnsi="Times New Roman"/>
                      <w:sz w:val="24"/>
                      <w:szCs w:val="24"/>
                    </w:rPr>
                    <w:t xml:space="preserve"> </w:t>
                  </w:r>
                  <w:r>
                    <w:rPr>
                      <w:rFonts w:ascii="Times New Roman" w:hAnsi="Times New Roman"/>
                      <w:sz w:val="24"/>
                      <w:szCs w:val="24"/>
                    </w:rPr>
                    <w:t xml:space="preserve">relate to </w:t>
                  </w:r>
                  <w:r w:rsidRPr="00BE2A38">
                    <w:rPr>
                      <w:rFonts w:ascii="Times New Roman" w:hAnsi="Times New Roman"/>
                      <w:sz w:val="24"/>
                      <w:szCs w:val="24"/>
                    </w:rPr>
                    <w:t xml:space="preserve">the needs of the Trust to amend or </w:t>
                  </w:r>
                  <w:proofErr w:type="spellStart"/>
                  <w:r w:rsidRPr="00BE2A38">
                    <w:rPr>
                      <w:rFonts w:ascii="Times New Roman" w:hAnsi="Times New Roman"/>
                      <w:sz w:val="24"/>
                      <w:szCs w:val="24"/>
                    </w:rPr>
                    <w:t>defease</w:t>
                  </w:r>
                  <w:proofErr w:type="spellEnd"/>
                  <w:r w:rsidRPr="00BE2A38">
                    <w:rPr>
                      <w:rFonts w:ascii="Times New Roman" w:hAnsi="Times New Roman"/>
                      <w:sz w:val="24"/>
                      <w:szCs w:val="24"/>
                    </w:rPr>
                    <w:t xml:space="preserve"> program or bond documents</w:t>
                  </w:r>
                  <w:r>
                    <w:rPr>
                      <w:rFonts w:ascii="Times New Roman" w:hAnsi="Times New Roman"/>
                      <w:sz w:val="24"/>
                      <w:szCs w:val="24"/>
                    </w:rPr>
                    <w:t xml:space="preserve">; and </w:t>
                  </w:r>
                </w:p>
              </w:tc>
            </w:tr>
            <w:tr w:rsidR="004D1F38" w14:paraId="01357E10" w14:textId="77777777" w:rsidTr="005063FB">
              <w:tc>
                <w:tcPr>
                  <w:tcW w:w="607" w:type="dxa"/>
                </w:tcPr>
                <w:p w14:paraId="4A27940D" w14:textId="77777777" w:rsidR="004D1F38" w:rsidRDefault="004D1F38" w:rsidP="005063FB">
                  <w:pPr>
                    <w:pStyle w:val="NoSpacing"/>
                    <w:jc w:val="both"/>
                    <w:rPr>
                      <w:rFonts w:ascii="Times New Roman" w:hAnsi="Times New Roman"/>
                      <w:sz w:val="24"/>
                      <w:szCs w:val="24"/>
                    </w:rPr>
                  </w:pPr>
                </w:p>
              </w:tc>
              <w:tc>
                <w:tcPr>
                  <w:tcW w:w="7730" w:type="dxa"/>
                </w:tcPr>
                <w:p w14:paraId="6B679E6C" w14:textId="77777777" w:rsidR="004D1F38" w:rsidRDefault="004D1F38" w:rsidP="004D1F38">
                  <w:pPr>
                    <w:pStyle w:val="NoSpacing"/>
                    <w:jc w:val="both"/>
                    <w:rPr>
                      <w:rFonts w:ascii="Times New Roman" w:hAnsi="Times New Roman"/>
                      <w:sz w:val="24"/>
                      <w:szCs w:val="24"/>
                    </w:rPr>
                  </w:pPr>
                </w:p>
              </w:tc>
            </w:tr>
            <w:tr w:rsidR="00BE2A38" w14:paraId="0D8D5CF5" w14:textId="77777777" w:rsidTr="005063FB">
              <w:tc>
                <w:tcPr>
                  <w:tcW w:w="607" w:type="dxa"/>
                </w:tcPr>
                <w:p w14:paraId="7C31E3C8" w14:textId="77777777" w:rsidR="00BE2A38" w:rsidRDefault="00BE2A38" w:rsidP="005063FB">
                  <w:pPr>
                    <w:pStyle w:val="NoSpacing"/>
                    <w:jc w:val="both"/>
                    <w:rPr>
                      <w:rFonts w:ascii="Times New Roman" w:hAnsi="Times New Roman"/>
                      <w:sz w:val="24"/>
                      <w:szCs w:val="24"/>
                    </w:rPr>
                  </w:pPr>
                  <w:r>
                    <w:rPr>
                      <w:rFonts w:ascii="Times New Roman" w:hAnsi="Times New Roman"/>
                      <w:sz w:val="24"/>
                      <w:szCs w:val="24"/>
                    </w:rPr>
                    <w:t>(ix)</w:t>
                  </w:r>
                </w:p>
              </w:tc>
              <w:tc>
                <w:tcPr>
                  <w:tcW w:w="7730" w:type="dxa"/>
                </w:tcPr>
                <w:p w14:paraId="20FC63CC" w14:textId="77777777" w:rsidR="00BE2A38" w:rsidRDefault="00BE2A38" w:rsidP="004D1F38">
                  <w:pPr>
                    <w:pStyle w:val="NoSpacing"/>
                    <w:jc w:val="both"/>
                    <w:rPr>
                      <w:rFonts w:ascii="Times New Roman" w:hAnsi="Times New Roman"/>
                      <w:sz w:val="24"/>
                      <w:szCs w:val="24"/>
                    </w:rPr>
                  </w:pPr>
                  <w:r w:rsidRPr="00BE2A38">
                    <w:rPr>
                      <w:rFonts w:ascii="Times New Roman" w:hAnsi="Times New Roman"/>
                      <w:sz w:val="24"/>
                      <w:szCs w:val="24"/>
                    </w:rPr>
                    <w:t>other factors that relate to the economics or prudence of the refunding.</w:t>
                  </w:r>
                </w:p>
              </w:tc>
            </w:tr>
            <w:tr w:rsidR="00BE2A38" w14:paraId="79ADF220" w14:textId="77777777" w:rsidTr="005063FB">
              <w:tc>
                <w:tcPr>
                  <w:tcW w:w="607" w:type="dxa"/>
                </w:tcPr>
                <w:p w14:paraId="0333E04D" w14:textId="77777777" w:rsidR="00BE2A38" w:rsidRDefault="00BE2A38" w:rsidP="005063FB">
                  <w:pPr>
                    <w:pStyle w:val="NoSpacing"/>
                    <w:jc w:val="both"/>
                    <w:rPr>
                      <w:rFonts w:ascii="Times New Roman" w:hAnsi="Times New Roman"/>
                      <w:sz w:val="24"/>
                      <w:szCs w:val="24"/>
                    </w:rPr>
                  </w:pPr>
                </w:p>
              </w:tc>
              <w:tc>
                <w:tcPr>
                  <w:tcW w:w="7730" w:type="dxa"/>
                </w:tcPr>
                <w:p w14:paraId="78308D69" w14:textId="77777777" w:rsidR="00BE2A38" w:rsidRPr="00BE2A38" w:rsidRDefault="00BE2A38" w:rsidP="004D1F38">
                  <w:pPr>
                    <w:pStyle w:val="NoSpacing"/>
                    <w:jc w:val="both"/>
                    <w:rPr>
                      <w:rFonts w:ascii="Times New Roman" w:hAnsi="Times New Roman"/>
                      <w:sz w:val="24"/>
                      <w:szCs w:val="24"/>
                    </w:rPr>
                  </w:pPr>
                </w:p>
              </w:tc>
            </w:tr>
          </w:tbl>
          <w:p w14:paraId="212EA5A5" w14:textId="77777777" w:rsidR="007F7B66" w:rsidRPr="007F7B66" w:rsidRDefault="007F7B66" w:rsidP="00CC6733">
            <w:pPr>
              <w:pStyle w:val="NoSpacing"/>
              <w:jc w:val="both"/>
              <w:rPr>
                <w:rFonts w:ascii="Times New Roman" w:hAnsi="Times New Roman"/>
                <w:sz w:val="24"/>
                <w:szCs w:val="24"/>
              </w:rPr>
            </w:pPr>
            <w:r w:rsidRPr="007F7B66">
              <w:rPr>
                <w:rFonts w:ascii="Times New Roman" w:hAnsi="Times New Roman"/>
                <w:sz w:val="24"/>
                <w:szCs w:val="24"/>
              </w:rPr>
              <w:t xml:space="preserve">The Trust will analyze any proposed </w:t>
            </w:r>
            <w:proofErr w:type="gramStart"/>
            <w:r w:rsidRPr="007F7B66">
              <w:rPr>
                <w:rFonts w:ascii="Times New Roman" w:hAnsi="Times New Roman"/>
                <w:sz w:val="24"/>
                <w:szCs w:val="24"/>
              </w:rPr>
              <w:t>refunding</w:t>
            </w:r>
            <w:proofErr w:type="gramEnd"/>
            <w:r w:rsidRPr="007F7B66">
              <w:rPr>
                <w:rFonts w:ascii="Times New Roman" w:hAnsi="Times New Roman"/>
                <w:sz w:val="24"/>
                <w:szCs w:val="24"/>
              </w:rPr>
              <w:t xml:space="preserve"> taking into consideration the foregoing factors and other factors as determined by the Trust to be efficient and prudent.</w:t>
            </w:r>
          </w:p>
        </w:tc>
      </w:tr>
      <w:tr w:rsidR="007F7B66" w:rsidRPr="003B174D" w14:paraId="72B5A546" w14:textId="77777777" w:rsidTr="009A155E">
        <w:tc>
          <w:tcPr>
            <w:tcW w:w="630" w:type="dxa"/>
          </w:tcPr>
          <w:p w14:paraId="21845BD1" w14:textId="77777777" w:rsidR="007F7B66" w:rsidRPr="009A155E" w:rsidRDefault="007F7B66" w:rsidP="000C6A90">
            <w:pPr>
              <w:pStyle w:val="NoSpacing"/>
              <w:jc w:val="both"/>
              <w:rPr>
                <w:rFonts w:ascii="Times New Roman" w:hAnsi="Times New Roman"/>
                <w:sz w:val="24"/>
                <w:szCs w:val="24"/>
              </w:rPr>
            </w:pPr>
          </w:p>
        </w:tc>
        <w:tc>
          <w:tcPr>
            <w:tcW w:w="8568" w:type="dxa"/>
          </w:tcPr>
          <w:p w14:paraId="6DC326D5" w14:textId="77777777" w:rsidR="007F7B66" w:rsidRPr="007F7B66" w:rsidRDefault="007F7B66" w:rsidP="007F7B66">
            <w:pPr>
              <w:pStyle w:val="NoSpacing"/>
              <w:jc w:val="both"/>
              <w:rPr>
                <w:rFonts w:ascii="Times New Roman" w:hAnsi="Times New Roman"/>
                <w:sz w:val="24"/>
                <w:szCs w:val="24"/>
                <w:u w:val="single"/>
              </w:rPr>
            </w:pPr>
          </w:p>
        </w:tc>
      </w:tr>
      <w:tr w:rsidR="000C6A90" w:rsidRPr="003B174D" w14:paraId="00BF3C6F" w14:textId="77777777" w:rsidTr="009A155E">
        <w:tc>
          <w:tcPr>
            <w:tcW w:w="630" w:type="dxa"/>
          </w:tcPr>
          <w:p w14:paraId="3D925DD9" w14:textId="77777777" w:rsidR="000C6A90" w:rsidRPr="009A155E" w:rsidRDefault="00431E44" w:rsidP="000C6A90">
            <w:pPr>
              <w:pStyle w:val="NoSpacing"/>
              <w:jc w:val="both"/>
              <w:rPr>
                <w:rFonts w:ascii="Times New Roman" w:hAnsi="Times New Roman"/>
                <w:sz w:val="24"/>
                <w:szCs w:val="24"/>
              </w:rPr>
            </w:pPr>
            <w:r>
              <w:rPr>
                <w:rFonts w:ascii="Times New Roman" w:hAnsi="Times New Roman"/>
                <w:sz w:val="24"/>
                <w:szCs w:val="24"/>
              </w:rPr>
              <w:t xml:space="preserve">5. </w:t>
            </w:r>
          </w:p>
        </w:tc>
        <w:tc>
          <w:tcPr>
            <w:tcW w:w="8568" w:type="dxa"/>
          </w:tcPr>
          <w:p w14:paraId="33272B92" w14:textId="77777777" w:rsidR="009B53C1" w:rsidRPr="00431E44" w:rsidRDefault="00431E44" w:rsidP="0038580D">
            <w:pPr>
              <w:pStyle w:val="BodyText"/>
              <w:spacing w:after="0"/>
              <w:rPr>
                <w:b/>
              </w:rPr>
            </w:pPr>
            <w:r>
              <w:t xml:space="preserve"> </w:t>
            </w:r>
            <w:r>
              <w:rPr>
                <w:b/>
              </w:rPr>
              <w:t>Selection Process for Professional Services.</w:t>
            </w:r>
          </w:p>
        </w:tc>
      </w:tr>
      <w:tr w:rsidR="007A48C2" w:rsidRPr="003B174D" w14:paraId="686DB0C5" w14:textId="77777777" w:rsidTr="009A155E">
        <w:tc>
          <w:tcPr>
            <w:tcW w:w="630" w:type="dxa"/>
          </w:tcPr>
          <w:p w14:paraId="437E313C" w14:textId="77777777" w:rsidR="007A48C2" w:rsidRPr="009A155E" w:rsidRDefault="007A48C2" w:rsidP="000C6A90">
            <w:pPr>
              <w:pStyle w:val="NoSpacing"/>
              <w:jc w:val="both"/>
              <w:rPr>
                <w:rFonts w:ascii="Times New Roman" w:hAnsi="Times New Roman"/>
                <w:sz w:val="24"/>
                <w:szCs w:val="24"/>
              </w:rPr>
            </w:pPr>
          </w:p>
        </w:tc>
        <w:tc>
          <w:tcPr>
            <w:tcW w:w="8568" w:type="dxa"/>
          </w:tcPr>
          <w:p w14:paraId="5B33AC81" w14:textId="77777777" w:rsidR="007A48C2" w:rsidRPr="009A155E" w:rsidRDefault="007A48C2" w:rsidP="000C6A90">
            <w:pPr>
              <w:pStyle w:val="NoSpacing"/>
              <w:jc w:val="both"/>
              <w:rPr>
                <w:rFonts w:ascii="Times New Roman" w:hAnsi="Times New Roman"/>
                <w:sz w:val="24"/>
                <w:szCs w:val="24"/>
              </w:rPr>
            </w:pPr>
          </w:p>
        </w:tc>
      </w:tr>
      <w:tr w:rsidR="00930AEA" w:rsidRPr="003B174D" w14:paraId="3B2F918A" w14:textId="77777777" w:rsidTr="009A155E">
        <w:tc>
          <w:tcPr>
            <w:tcW w:w="630" w:type="dxa"/>
          </w:tcPr>
          <w:p w14:paraId="53236296" w14:textId="77777777" w:rsidR="00930AEA" w:rsidRPr="009A155E" w:rsidRDefault="00930AEA" w:rsidP="000C6A90">
            <w:pPr>
              <w:pStyle w:val="NoSpacing"/>
              <w:jc w:val="both"/>
              <w:rPr>
                <w:rFonts w:ascii="Times New Roman" w:hAnsi="Times New Roman"/>
                <w:sz w:val="24"/>
                <w:szCs w:val="24"/>
              </w:rPr>
            </w:pPr>
          </w:p>
        </w:tc>
        <w:tc>
          <w:tcPr>
            <w:tcW w:w="8568" w:type="dxa"/>
          </w:tcPr>
          <w:p w14:paraId="0F89F959" w14:textId="77777777" w:rsidR="00930AEA" w:rsidRPr="0038580D" w:rsidRDefault="00930AEA" w:rsidP="00930AEA">
            <w:pPr>
              <w:pStyle w:val="NoSpacing"/>
              <w:jc w:val="both"/>
              <w:rPr>
                <w:rFonts w:ascii="Times New Roman" w:hAnsi="Times New Roman"/>
                <w:sz w:val="24"/>
                <w:szCs w:val="24"/>
              </w:rPr>
            </w:pPr>
            <w:r w:rsidRPr="00930AEA">
              <w:rPr>
                <w:rFonts w:ascii="Times New Roman" w:hAnsi="Times New Roman"/>
                <w:sz w:val="24"/>
                <w:szCs w:val="24"/>
              </w:rPr>
              <w:t xml:space="preserve">The Trust periodically releases </w:t>
            </w:r>
            <w:r>
              <w:rPr>
                <w:rFonts w:ascii="Times New Roman" w:hAnsi="Times New Roman"/>
                <w:sz w:val="24"/>
                <w:szCs w:val="24"/>
              </w:rPr>
              <w:t>r</w:t>
            </w:r>
            <w:r w:rsidRPr="00930AEA">
              <w:rPr>
                <w:rFonts w:ascii="Times New Roman" w:hAnsi="Times New Roman"/>
                <w:sz w:val="24"/>
                <w:szCs w:val="24"/>
              </w:rPr>
              <w:t xml:space="preserve">equests for </w:t>
            </w:r>
            <w:r>
              <w:rPr>
                <w:rFonts w:ascii="Times New Roman" w:hAnsi="Times New Roman"/>
                <w:sz w:val="24"/>
                <w:szCs w:val="24"/>
              </w:rPr>
              <w:t xml:space="preserve">responses </w:t>
            </w:r>
            <w:r w:rsidRPr="00930AEA">
              <w:rPr>
                <w:rFonts w:ascii="Times New Roman" w:hAnsi="Times New Roman"/>
                <w:sz w:val="24"/>
                <w:szCs w:val="24"/>
              </w:rPr>
              <w:t xml:space="preserve">for the various professional services utilized by the Trust.  The selection processes identify firms able to assist the Trust in various aspects of our financing needs, notably underwriting, financial advisory and legal services.  </w:t>
            </w:r>
          </w:p>
        </w:tc>
      </w:tr>
      <w:tr w:rsidR="00930AEA" w:rsidRPr="003B174D" w14:paraId="0A4FC057" w14:textId="77777777" w:rsidTr="009A155E">
        <w:tc>
          <w:tcPr>
            <w:tcW w:w="630" w:type="dxa"/>
          </w:tcPr>
          <w:p w14:paraId="2AEF3C8B" w14:textId="77777777" w:rsidR="00930AEA" w:rsidRPr="009A155E" w:rsidRDefault="00930AEA" w:rsidP="000C6A90">
            <w:pPr>
              <w:pStyle w:val="NoSpacing"/>
              <w:jc w:val="both"/>
              <w:rPr>
                <w:rFonts w:ascii="Times New Roman" w:hAnsi="Times New Roman"/>
                <w:sz w:val="24"/>
                <w:szCs w:val="24"/>
              </w:rPr>
            </w:pPr>
          </w:p>
        </w:tc>
        <w:tc>
          <w:tcPr>
            <w:tcW w:w="8568" w:type="dxa"/>
          </w:tcPr>
          <w:p w14:paraId="36F25911" w14:textId="77777777" w:rsidR="00930AEA" w:rsidRPr="0038580D" w:rsidRDefault="00930AEA" w:rsidP="0038580D">
            <w:pPr>
              <w:pStyle w:val="NoSpacing"/>
              <w:jc w:val="both"/>
              <w:rPr>
                <w:rFonts w:ascii="Times New Roman" w:hAnsi="Times New Roman"/>
                <w:sz w:val="24"/>
                <w:szCs w:val="24"/>
              </w:rPr>
            </w:pPr>
          </w:p>
        </w:tc>
      </w:tr>
      <w:tr w:rsidR="007A48C2" w:rsidRPr="003B174D" w14:paraId="124D4114" w14:textId="77777777" w:rsidTr="009A155E">
        <w:tc>
          <w:tcPr>
            <w:tcW w:w="630" w:type="dxa"/>
          </w:tcPr>
          <w:p w14:paraId="309270F2" w14:textId="77777777" w:rsidR="007A48C2" w:rsidRPr="009A155E" w:rsidRDefault="007A48C2" w:rsidP="000C6A90">
            <w:pPr>
              <w:pStyle w:val="NoSpacing"/>
              <w:jc w:val="both"/>
              <w:rPr>
                <w:rFonts w:ascii="Times New Roman" w:hAnsi="Times New Roman"/>
                <w:sz w:val="24"/>
                <w:szCs w:val="24"/>
              </w:rPr>
            </w:pPr>
          </w:p>
        </w:tc>
        <w:tc>
          <w:tcPr>
            <w:tcW w:w="8568" w:type="dxa"/>
          </w:tcPr>
          <w:p w14:paraId="7D03B540" w14:textId="77777777" w:rsidR="007A48C2" w:rsidRPr="009A155E" w:rsidRDefault="0038580D" w:rsidP="001830B3">
            <w:pPr>
              <w:pStyle w:val="NoSpacing"/>
              <w:jc w:val="both"/>
              <w:rPr>
                <w:rFonts w:ascii="Times New Roman" w:hAnsi="Times New Roman"/>
                <w:sz w:val="24"/>
                <w:szCs w:val="24"/>
              </w:rPr>
            </w:pPr>
            <w:r w:rsidRPr="0038580D">
              <w:rPr>
                <w:rFonts w:ascii="Times New Roman" w:hAnsi="Times New Roman"/>
                <w:sz w:val="24"/>
                <w:szCs w:val="24"/>
              </w:rPr>
              <w:t xml:space="preserve">The selection of underwriters for a negotiated sale of debt will be based on a competitive procurement process that </w:t>
            </w:r>
            <w:r>
              <w:rPr>
                <w:rFonts w:ascii="Times New Roman" w:hAnsi="Times New Roman"/>
                <w:sz w:val="24"/>
                <w:szCs w:val="24"/>
              </w:rPr>
              <w:t>results in the selection of</w:t>
            </w:r>
            <w:r w:rsidRPr="0038580D">
              <w:rPr>
                <w:rFonts w:ascii="Times New Roman" w:hAnsi="Times New Roman"/>
                <w:sz w:val="24"/>
                <w:szCs w:val="24"/>
              </w:rPr>
              <w:t xml:space="preserve"> an underwriter or underwriters </w:t>
            </w:r>
            <w:r w:rsidR="001830B3">
              <w:rPr>
                <w:rFonts w:ascii="Times New Roman" w:hAnsi="Times New Roman"/>
                <w:sz w:val="24"/>
                <w:szCs w:val="24"/>
              </w:rPr>
              <w:t>who</w:t>
            </w:r>
            <w:r w:rsidRPr="0038580D">
              <w:rPr>
                <w:rFonts w:ascii="Times New Roman" w:hAnsi="Times New Roman"/>
                <w:sz w:val="24"/>
                <w:szCs w:val="24"/>
              </w:rPr>
              <w:t xml:space="preserve"> demonstrate to the Trust</w:t>
            </w:r>
            <w:r>
              <w:rPr>
                <w:rFonts w:ascii="Times New Roman" w:hAnsi="Times New Roman"/>
                <w:sz w:val="24"/>
                <w:szCs w:val="24"/>
              </w:rPr>
              <w:t>,</w:t>
            </w:r>
            <w:r w:rsidRPr="0038580D">
              <w:rPr>
                <w:rFonts w:ascii="Times New Roman" w:hAnsi="Times New Roman"/>
                <w:sz w:val="24"/>
                <w:szCs w:val="24"/>
              </w:rPr>
              <w:t xml:space="preserve"> prior to the issue of the debt</w:t>
            </w:r>
            <w:r>
              <w:rPr>
                <w:rFonts w:ascii="Times New Roman" w:hAnsi="Times New Roman"/>
                <w:sz w:val="24"/>
                <w:szCs w:val="24"/>
              </w:rPr>
              <w:t>,</w:t>
            </w:r>
            <w:r w:rsidRPr="0038580D">
              <w:rPr>
                <w:rFonts w:ascii="Times New Roman" w:hAnsi="Times New Roman"/>
                <w:sz w:val="24"/>
                <w:szCs w:val="24"/>
              </w:rPr>
              <w:t xml:space="preserve"> in a response to an RFR</w:t>
            </w:r>
            <w:r>
              <w:rPr>
                <w:rFonts w:ascii="Times New Roman" w:hAnsi="Times New Roman"/>
                <w:sz w:val="24"/>
                <w:szCs w:val="24"/>
              </w:rPr>
              <w:t>,</w:t>
            </w:r>
            <w:r w:rsidRPr="0038580D">
              <w:rPr>
                <w:rFonts w:ascii="Times New Roman" w:hAnsi="Times New Roman"/>
                <w:sz w:val="24"/>
                <w:szCs w:val="24"/>
              </w:rPr>
              <w:t xml:space="preserve"> that they have the ability and willingness to sell the debt in the best interest of the Trust.  The RFR </w:t>
            </w:r>
            <w:r w:rsidR="001830B3">
              <w:rPr>
                <w:rFonts w:ascii="Times New Roman" w:hAnsi="Times New Roman"/>
                <w:sz w:val="24"/>
                <w:szCs w:val="24"/>
              </w:rPr>
              <w:t xml:space="preserve">may be issued to </w:t>
            </w:r>
            <w:r w:rsidRPr="0038580D">
              <w:rPr>
                <w:rFonts w:ascii="Times New Roman" w:hAnsi="Times New Roman"/>
                <w:sz w:val="24"/>
                <w:szCs w:val="24"/>
              </w:rPr>
              <w:t xml:space="preserve">a pre-qualified list of underwriters, in which case the RFR will be in the form of a “mini-RFR,” or </w:t>
            </w:r>
            <w:r w:rsidR="001830B3">
              <w:rPr>
                <w:rFonts w:ascii="Times New Roman" w:hAnsi="Times New Roman"/>
                <w:sz w:val="24"/>
                <w:szCs w:val="24"/>
              </w:rPr>
              <w:t xml:space="preserve">to a broader segment of the </w:t>
            </w:r>
            <w:r w:rsidRPr="0038580D">
              <w:rPr>
                <w:rFonts w:ascii="Times New Roman" w:hAnsi="Times New Roman"/>
                <w:sz w:val="24"/>
                <w:szCs w:val="24"/>
              </w:rPr>
              <w:t>investment banking community.</w:t>
            </w:r>
          </w:p>
        </w:tc>
      </w:tr>
      <w:tr w:rsidR="007A48C2" w:rsidRPr="003B174D" w14:paraId="5FAB407E" w14:textId="77777777" w:rsidTr="009A155E">
        <w:tc>
          <w:tcPr>
            <w:tcW w:w="630" w:type="dxa"/>
          </w:tcPr>
          <w:p w14:paraId="38C6543D" w14:textId="77777777" w:rsidR="007A48C2" w:rsidRPr="009A155E" w:rsidRDefault="007A48C2" w:rsidP="000C6A90">
            <w:pPr>
              <w:pStyle w:val="NoSpacing"/>
              <w:jc w:val="both"/>
              <w:rPr>
                <w:rFonts w:ascii="Times New Roman" w:hAnsi="Times New Roman"/>
                <w:sz w:val="24"/>
                <w:szCs w:val="24"/>
              </w:rPr>
            </w:pPr>
          </w:p>
        </w:tc>
        <w:tc>
          <w:tcPr>
            <w:tcW w:w="8568" w:type="dxa"/>
          </w:tcPr>
          <w:p w14:paraId="2B9A75F0" w14:textId="77777777" w:rsidR="007A48C2" w:rsidRPr="009A155E" w:rsidRDefault="007A48C2" w:rsidP="000C6A90">
            <w:pPr>
              <w:pStyle w:val="NoSpacing"/>
              <w:jc w:val="both"/>
              <w:rPr>
                <w:rFonts w:ascii="Times New Roman" w:hAnsi="Times New Roman"/>
                <w:sz w:val="24"/>
                <w:szCs w:val="24"/>
              </w:rPr>
            </w:pPr>
          </w:p>
        </w:tc>
      </w:tr>
      <w:tr w:rsidR="00930AEA" w:rsidRPr="003B174D" w14:paraId="789EFE49" w14:textId="77777777" w:rsidTr="009A155E">
        <w:tc>
          <w:tcPr>
            <w:tcW w:w="630" w:type="dxa"/>
          </w:tcPr>
          <w:p w14:paraId="47D6067A" w14:textId="77777777" w:rsidR="00930AEA" w:rsidRPr="009A155E" w:rsidRDefault="00930AEA" w:rsidP="000C6A90">
            <w:pPr>
              <w:pStyle w:val="NoSpacing"/>
              <w:jc w:val="both"/>
              <w:rPr>
                <w:rFonts w:ascii="Times New Roman" w:hAnsi="Times New Roman"/>
                <w:sz w:val="24"/>
                <w:szCs w:val="24"/>
              </w:rPr>
            </w:pPr>
          </w:p>
        </w:tc>
        <w:tc>
          <w:tcPr>
            <w:tcW w:w="8568" w:type="dxa"/>
          </w:tcPr>
          <w:p w14:paraId="78C354F4" w14:textId="77777777" w:rsidR="00930AEA" w:rsidRPr="009A155E" w:rsidRDefault="00930AEA" w:rsidP="001830B3">
            <w:pPr>
              <w:pStyle w:val="NoSpacing"/>
              <w:jc w:val="both"/>
              <w:rPr>
                <w:rFonts w:ascii="Times New Roman" w:hAnsi="Times New Roman"/>
                <w:sz w:val="24"/>
                <w:szCs w:val="24"/>
              </w:rPr>
            </w:pPr>
            <w:r>
              <w:rPr>
                <w:rFonts w:ascii="Times New Roman" w:hAnsi="Times New Roman"/>
                <w:sz w:val="24"/>
                <w:szCs w:val="24"/>
              </w:rPr>
              <w:t xml:space="preserve">The selection of other professional service providers will similarly be based on the release of requests for responses and the selection of </w:t>
            </w:r>
            <w:r w:rsidR="0005756A">
              <w:rPr>
                <w:rFonts w:ascii="Times New Roman" w:hAnsi="Times New Roman"/>
                <w:sz w:val="24"/>
                <w:szCs w:val="24"/>
              </w:rPr>
              <w:t>a firm or firms</w:t>
            </w:r>
            <w:r>
              <w:rPr>
                <w:rFonts w:ascii="Times New Roman" w:hAnsi="Times New Roman"/>
                <w:sz w:val="24"/>
                <w:szCs w:val="24"/>
              </w:rPr>
              <w:t xml:space="preserve"> for a term of years based on their demonstrated ability to provide the services requested at a reasonable cost and their ability to comply with applicable commonwealth laws that relate to conflicts of interest and procurement pre-requisites.  </w:t>
            </w:r>
          </w:p>
        </w:tc>
      </w:tr>
      <w:tr w:rsidR="001830B3" w:rsidRPr="003B174D" w14:paraId="436ECA70" w14:textId="77777777" w:rsidTr="009A155E">
        <w:tc>
          <w:tcPr>
            <w:tcW w:w="630" w:type="dxa"/>
          </w:tcPr>
          <w:p w14:paraId="068E3B39" w14:textId="77777777" w:rsidR="001830B3" w:rsidRPr="009A155E" w:rsidRDefault="001830B3" w:rsidP="000C6A90">
            <w:pPr>
              <w:pStyle w:val="NoSpacing"/>
              <w:jc w:val="both"/>
              <w:rPr>
                <w:rFonts w:ascii="Times New Roman" w:hAnsi="Times New Roman"/>
                <w:sz w:val="24"/>
                <w:szCs w:val="24"/>
              </w:rPr>
            </w:pPr>
          </w:p>
        </w:tc>
        <w:tc>
          <w:tcPr>
            <w:tcW w:w="8568" w:type="dxa"/>
          </w:tcPr>
          <w:p w14:paraId="1982A132" w14:textId="77777777" w:rsidR="001830B3" w:rsidRDefault="001830B3" w:rsidP="0005756A">
            <w:pPr>
              <w:pStyle w:val="NoSpacing"/>
              <w:jc w:val="both"/>
              <w:rPr>
                <w:rFonts w:ascii="Times New Roman" w:hAnsi="Times New Roman"/>
                <w:sz w:val="24"/>
                <w:szCs w:val="24"/>
              </w:rPr>
            </w:pPr>
          </w:p>
        </w:tc>
      </w:tr>
      <w:tr w:rsidR="001830B3" w:rsidRPr="003B174D" w14:paraId="088B0009" w14:textId="77777777" w:rsidTr="009A155E">
        <w:tc>
          <w:tcPr>
            <w:tcW w:w="630" w:type="dxa"/>
          </w:tcPr>
          <w:p w14:paraId="0C590B46" w14:textId="77777777" w:rsidR="001830B3" w:rsidRPr="009A155E" w:rsidRDefault="001830B3" w:rsidP="000C6A90">
            <w:pPr>
              <w:pStyle w:val="NoSpacing"/>
              <w:jc w:val="both"/>
              <w:rPr>
                <w:rFonts w:ascii="Times New Roman" w:hAnsi="Times New Roman"/>
                <w:sz w:val="24"/>
                <w:szCs w:val="24"/>
              </w:rPr>
            </w:pPr>
          </w:p>
        </w:tc>
        <w:tc>
          <w:tcPr>
            <w:tcW w:w="8568" w:type="dxa"/>
          </w:tcPr>
          <w:p w14:paraId="4F123513" w14:textId="77777777" w:rsidR="001830B3" w:rsidRDefault="001830B3" w:rsidP="001830B3">
            <w:pPr>
              <w:pStyle w:val="NoSpacing"/>
              <w:jc w:val="both"/>
              <w:rPr>
                <w:rFonts w:ascii="Times New Roman" w:hAnsi="Times New Roman"/>
                <w:sz w:val="24"/>
                <w:szCs w:val="24"/>
              </w:rPr>
            </w:pPr>
            <w:r>
              <w:rPr>
                <w:rFonts w:ascii="Times New Roman" w:hAnsi="Times New Roman"/>
                <w:sz w:val="24"/>
                <w:szCs w:val="24"/>
              </w:rPr>
              <w:t xml:space="preserve">In connection with the selection of bond counsel, the Trust will also take into consideration a firm’s reputation in the legal and financial communities as it relates to the </w:t>
            </w:r>
            <w:proofErr w:type="gramStart"/>
            <w:r>
              <w:rPr>
                <w:rFonts w:ascii="Times New Roman" w:hAnsi="Times New Roman"/>
                <w:sz w:val="24"/>
                <w:szCs w:val="24"/>
              </w:rPr>
              <w:t>opinions</w:t>
            </w:r>
            <w:proofErr w:type="gramEnd"/>
            <w:r>
              <w:rPr>
                <w:rFonts w:ascii="Times New Roman" w:hAnsi="Times New Roman"/>
                <w:sz w:val="24"/>
                <w:szCs w:val="24"/>
              </w:rPr>
              <w:t xml:space="preserve"> they will issue addressing due authorization and validity, tax status, and securities compliance.  </w:t>
            </w:r>
          </w:p>
        </w:tc>
      </w:tr>
      <w:tr w:rsidR="00930AEA" w:rsidRPr="003B174D" w14:paraId="79CDCF90" w14:textId="77777777" w:rsidTr="009A155E">
        <w:tc>
          <w:tcPr>
            <w:tcW w:w="630" w:type="dxa"/>
          </w:tcPr>
          <w:p w14:paraId="578CFC7C" w14:textId="77777777" w:rsidR="00930AEA" w:rsidRPr="009A155E" w:rsidRDefault="00930AEA" w:rsidP="000C6A90">
            <w:pPr>
              <w:pStyle w:val="NoSpacing"/>
              <w:jc w:val="both"/>
              <w:rPr>
                <w:rFonts w:ascii="Times New Roman" w:hAnsi="Times New Roman"/>
                <w:sz w:val="24"/>
                <w:szCs w:val="24"/>
              </w:rPr>
            </w:pPr>
          </w:p>
        </w:tc>
        <w:tc>
          <w:tcPr>
            <w:tcW w:w="8568" w:type="dxa"/>
          </w:tcPr>
          <w:p w14:paraId="56BF091F" w14:textId="77777777" w:rsidR="00930AEA" w:rsidRPr="009A155E" w:rsidRDefault="00930AEA" w:rsidP="000C6A90">
            <w:pPr>
              <w:pStyle w:val="NoSpacing"/>
              <w:jc w:val="both"/>
              <w:rPr>
                <w:rFonts w:ascii="Times New Roman" w:hAnsi="Times New Roman"/>
                <w:sz w:val="24"/>
                <w:szCs w:val="24"/>
              </w:rPr>
            </w:pPr>
          </w:p>
        </w:tc>
      </w:tr>
      <w:tr w:rsidR="00930AEA" w:rsidRPr="003B174D" w14:paraId="4A732F00" w14:textId="77777777" w:rsidTr="009A155E">
        <w:tc>
          <w:tcPr>
            <w:tcW w:w="630" w:type="dxa"/>
          </w:tcPr>
          <w:p w14:paraId="67A0B754" w14:textId="77777777" w:rsidR="00930AEA" w:rsidRDefault="00930AEA" w:rsidP="000C6A90">
            <w:pPr>
              <w:pStyle w:val="NoSpacing"/>
              <w:jc w:val="both"/>
              <w:rPr>
                <w:rFonts w:ascii="Times New Roman" w:hAnsi="Times New Roman"/>
                <w:sz w:val="24"/>
                <w:szCs w:val="24"/>
              </w:rPr>
            </w:pPr>
            <w:r>
              <w:rPr>
                <w:rFonts w:ascii="Times New Roman" w:hAnsi="Times New Roman"/>
                <w:sz w:val="24"/>
                <w:szCs w:val="24"/>
              </w:rPr>
              <w:t>6.</w:t>
            </w:r>
          </w:p>
        </w:tc>
        <w:tc>
          <w:tcPr>
            <w:tcW w:w="8568" w:type="dxa"/>
          </w:tcPr>
          <w:p w14:paraId="1BA600A3" w14:textId="77777777" w:rsidR="00930AEA" w:rsidRPr="00930AEA" w:rsidRDefault="00930AEA" w:rsidP="000C6A90">
            <w:pPr>
              <w:pStyle w:val="NoSpacing"/>
              <w:jc w:val="both"/>
              <w:rPr>
                <w:rFonts w:ascii="Times New Roman" w:hAnsi="Times New Roman"/>
                <w:b/>
                <w:sz w:val="24"/>
                <w:szCs w:val="24"/>
              </w:rPr>
            </w:pPr>
            <w:r>
              <w:rPr>
                <w:rFonts w:ascii="Times New Roman" w:hAnsi="Times New Roman"/>
                <w:b/>
                <w:sz w:val="24"/>
                <w:szCs w:val="24"/>
              </w:rPr>
              <w:t>Debt Affordability/ Borrowing Capacity.</w:t>
            </w:r>
          </w:p>
        </w:tc>
      </w:tr>
      <w:tr w:rsidR="00930AEA" w:rsidRPr="003B174D" w14:paraId="6FC9FDC8" w14:textId="77777777" w:rsidTr="009A155E">
        <w:tc>
          <w:tcPr>
            <w:tcW w:w="630" w:type="dxa"/>
          </w:tcPr>
          <w:p w14:paraId="3FDEFF46" w14:textId="77777777" w:rsidR="00930AEA" w:rsidRDefault="00930AEA" w:rsidP="000C6A90">
            <w:pPr>
              <w:pStyle w:val="NoSpacing"/>
              <w:jc w:val="both"/>
              <w:rPr>
                <w:rFonts w:ascii="Times New Roman" w:hAnsi="Times New Roman"/>
                <w:sz w:val="24"/>
                <w:szCs w:val="24"/>
              </w:rPr>
            </w:pPr>
          </w:p>
        </w:tc>
        <w:tc>
          <w:tcPr>
            <w:tcW w:w="8568" w:type="dxa"/>
          </w:tcPr>
          <w:p w14:paraId="68F3E5F6" w14:textId="77777777" w:rsidR="00930AEA" w:rsidRDefault="00930AEA" w:rsidP="000C6A90">
            <w:pPr>
              <w:pStyle w:val="NoSpacing"/>
              <w:jc w:val="both"/>
              <w:rPr>
                <w:rFonts w:ascii="Times New Roman" w:hAnsi="Times New Roman"/>
                <w:b/>
                <w:sz w:val="24"/>
                <w:szCs w:val="24"/>
              </w:rPr>
            </w:pPr>
          </w:p>
        </w:tc>
      </w:tr>
      <w:tr w:rsidR="00930AEA" w:rsidRPr="003B174D" w14:paraId="581726C6" w14:textId="77777777" w:rsidTr="009A155E">
        <w:tc>
          <w:tcPr>
            <w:tcW w:w="630" w:type="dxa"/>
          </w:tcPr>
          <w:p w14:paraId="3319E5AE" w14:textId="77777777" w:rsidR="00930AEA" w:rsidRDefault="00930AEA" w:rsidP="000C6A90">
            <w:pPr>
              <w:pStyle w:val="NoSpacing"/>
              <w:jc w:val="both"/>
              <w:rPr>
                <w:rFonts w:ascii="Times New Roman" w:hAnsi="Times New Roman"/>
                <w:sz w:val="24"/>
                <w:szCs w:val="24"/>
              </w:rPr>
            </w:pPr>
          </w:p>
        </w:tc>
        <w:tc>
          <w:tcPr>
            <w:tcW w:w="8568" w:type="dxa"/>
          </w:tcPr>
          <w:p w14:paraId="038D2027" w14:textId="77777777" w:rsidR="00930AEA" w:rsidRDefault="00606E5B" w:rsidP="00BE2A38">
            <w:pPr>
              <w:pStyle w:val="NoSpacing"/>
              <w:jc w:val="both"/>
              <w:rPr>
                <w:rFonts w:ascii="Times New Roman" w:hAnsi="Times New Roman"/>
                <w:sz w:val="24"/>
                <w:szCs w:val="24"/>
              </w:rPr>
            </w:pPr>
            <w:r w:rsidRPr="00606E5B">
              <w:rPr>
                <w:rFonts w:ascii="Times New Roman" w:hAnsi="Times New Roman"/>
                <w:sz w:val="24"/>
                <w:szCs w:val="24"/>
              </w:rPr>
              <w:t>Each Trust bond issue is structured to finance a specific pool of underlying loans to governmental units and other eligible borrowers.  The Trust’s bonds, and the loans financed by the bonds, are highly structured at the time of the bond sale to provide dollar for dollar debt service sufficiency for the life of the bonds</w:t>
            </w:r>
            <w:r w:rsidR="0005756A">
              <w:rPr>
                <w:rFonts w:ascii="Times New Roman" w:hAnsi="Times New Roman"/>
                <w:sz w:val="24"/>
                <w:szCs w:val="24"/>
              </w:rPr>
              <w:t>,</w:t>
            </w:r>
            <w:r w:rsidRPr="00606E5B">
              <w:rPr>
                <w:rFonts w:ascii="Times New Roman" w:hAnsi="Times New Roman"/>
                <w:sz w:val="24"/>
                <w:szCs w:val="24"/>
              </w:rPr>
              <w:t xml:space="preserve"> </w:t>
            </w:r>
            <w:proofErr w:type="gramStart"/>
            <w:r w:rsidRPr="00606E5B">
              <w:rPr>
                <w:rFonts w:ascii="Times New Roman" w:hAnsi="Times New Roman"/>
                <w:sz w:val="24"/>
                <w:szCs w:val="24"/>
              </w:rPr>
              <w:t>taking into account</w:t>
            </w:r>
            <w:proofErr w:type="gramEnd"/>
            <w:r w:rsidRPr="00606E5B">
              <w:rPr>
                <w:rFonts w:ascii="Times New Roman" w:hAnsi="Times New Roman"/>
                <w:sz w:val="24"/>
                <w:szCs w:val="24"/>
              </w:rPr>
              <w:t xml:space="preserve"> loan repayments, </w:t>
            </w:r>
            <w:r>
              <w:rPr>
                <w:rFonts w:ascii="Times New Roman" w:hAnsi="Times New Roman"/>
                <w:sz w:val="24"/>
                <w:szCs w:val="24"/>
              </w:rPr>
              <w:t>c</w:t>
            </w:r>
            <w:r w:rsidRPr="00606E5B">
              <w:rPr>
                <w:rFonts w:ascii="Times New Roman" w:hAnsi="Times New Roman"/>
                <w:sz w:val="24"/>
                <w:szCs w:val="24"/>
              </w:rPr>
              <w:t xml:space="preserve">ontract </w:t>
            </w:r>
            <w:r>
              <w:rPr>
                <w:rFonts w:ascii="Times New Roman" w:hAnsi="Times New Roman"/>
                <w:sz w:val="24"/>
                <w:szCs w:val="24"/>
              </w:rPr>
              <w:t>a</w:t>
            </w:r>
            <w:r w:rsidRPr="00606E5B">
              <w:rPr>
                <w:rFonts w:ascii="Times New Roman" w:hAnsi="Times New Roman"/>
                <w:sz w:val="24"/>
                <w:szCs w:val="24"/>
              </w:rPr>
              <w:t xml:space="preserve">ssistance, </w:t>
            </w:r>
            <w:r w:rsidR="00BE2A38">
              <w:rPr>
                <w:rFonts w:ascii="Times New Roman" w:hAnsi="Times New Roman"/>
                <w:sz w:val="24"/>
                <w:szCs w:val="24"/>
              </w:rPr>
              <w:t>assets</w:t>
            </w:r>
            <w:r w:rsidRPr="00606E5B">
              <w:rPr>
                <w:rFonts w:ascii="Times New Roman" w:hAnsi="Times New Roman"/>
                <w:sz w:val="24"/>
                <w:szCs w:val="24"/>
              </w:rPr>
              <w:t xml:space="preserve"> funded from federal and </w:t>
            </w:r>
            <w:r>
              <w:rPr>
                <w:rFonts w:ascii="Times New Roman" w:hAnsi="Times New Roman"/>
                <w:sz w:val="24"/>
                <w:szCs w:val="24"/>
              </w:rPr>
              <w:t>c</w:t>
            </w:r>
            <w:r w:rsidRPr="00606E5B">
              <w:rPr>
                <w:rFonts w:ascii="Times New Roman" w:hAnsi="Times New Roman"/>
                <w:sz w:val="24"/>
                <w:szCs w:val="24"/>
              </w:rPr>
              <w:t>ommonwealth grants, and other available revenues</w:t>
            </w:r>
            <w:r w:rsidR="00261195">
              <w:rPr>
                <w:rFonts w:ascii="Times New Roman" w:hAnsi="Times New Roman"/>
                <w:sz w:val="24"/>
                <w:szCs w:val="24"/>
              </w:rPr>
              <w:t>, including other program revenues</w:t>
            </w:r>
            <w:r w:rsidRPr="00606E5B">
              <w:rPr>
                <w:rFonts w:ascii="Times New Roman" w:hAnsi="Times New Roman"/>
                <w:sz w:val="24"/>
                <w:szCs w:val="24"/>
              </w:rPr>
              <w:t>.</w:t>
            </w:r>
          </w:p>
        </w:tc>
      </w:tr>
      <w:tr w:rsidR="00606E5B" w:rsidRPr="003B174D" w14:paraId="0758A0A6" w14:textId="77777777" w:rsidTr="009A155E">
        <w:tc>
          <w:tcPr>
            <w:tcW w:w="630" w:type="dxa"/>
          </w:tcPr>
          <w:p w14:paraId="0B375306" w14:textId="77777777" w:rsidR="00606E5B" w:rsidRDefault="00606E5B" w:rsidP="000C6A90">
            <w:pPr>
              <w:pStyle w:val="NoSpacing"/>
              <w:jc w:val="both"/>
              <w:rPr>
                <w:rFonts w:ascii="Times New Roman" w:hAnsi="Times New Roman"/>
                <w:sz w:val="24"/>
                <w:szCs w:val="24"/>
              </w:rPr>
            </w:pPr>
          </w:p>
        </w:tc>
        <w:tc>
          <w:tcPr>
            <w:tcW w:w="8568" w:type="dxa"/>
          </w:tcPr>
          <w:p w14:paraId="6478BF88" w14:textId="77777777" w:rsidR="00606E5B" w:rsidRPr="00606E5B" w:rsidRDefault="00606E5B" w:rsidP="00606E5B">
            <w:pPr>
              <w:pStyle w:val="NoSpacing"/>
              <w:jc w:val="both"/>
              <w:rPr>
                <w:rFonts w:ascii="Times New Roman" w:hAnsi="Times New Roman"/>
                <w:sz w:val="24"/>
                <w:szCs w:val="24"/>
              </w:rPr>
            </w:pPr>
          </w:p>
        </w:tc>
      </w:tr>
      <w:tr w:rsidR="00606E5B" w:rsidRPr="003B174D" w14:paraId="02009166" w14:textId="77777777" w:rsidTr="009A155E">
        <w:tc>
          <w:tcPr>
            <w:tcW w:w="630" w:type="dxa"/>
          </w:tcPr>
          <w:p w14:paraId="6E17A46B" w14:textId="77777777" w:rsidR="00606E5B" w:rsidRDefault="00606E5B" w:rsidP="000C6A90">
            <w:pPr>
              <w:pStyle w:val="NoSpacing"/>
              <w:jc w:val="both"/>
              <w:rPr>
                <w:rFonts w:ascii="Times New Roman" w:hAnsi="Times New Roman"/>
                <w:sz w:val="24"/>
                <w:szCs w:val="24"/>
              </w:rPr>
            </w:pPr>
          </w:p>
        </w:tc>
        <w:tc>
          <w:tcPr>
            <w:tcW w:w="8568" w:type="dxa"/>
          </w:tcPr>
          <w:p w14:paraId="1C0B8BD8" w14:textId="77777777" w:rsidR="00606E5B" w:rsidRPr="00606E5B" w:rsidRDefault="00606E5B" w:rsidP="0005756A">
            <w:pPr>
              <w:pStyle w:val="NoSpacing"/>
              <w:jc w:val="both"/>
              <w:rPr>
                <w:rFonts w:ascii="Times New Roman" w:hAnsi="Times New Roman"/>
                <w:sz w:val="24"/>
                <w:szCs w:val="24"/>
              </w:rPr>
            </w:pPr>
            <w:r w:rsidRPr="00606E5B">
              <w:rPr>
                <w:rFonts w:ascii="Times New Roman" w:hAnsi="Times New Roman"/>
                <w:sz w:val="24"/>
                <w:szCs w:val="24"/>
              </w:rPr>
              <w:t xml:space="preserve">The borrowing capacity of the Trust is driven by the level of federal </w:t>
            </w:r>
            <w:r>
              <w:rPr>
                <w:rFonts w:ascii="Times New Roman" w:hAnsi="Times New Roman"/>
                <w:sz w:val="24"/>
                <w:szCs w:val="24"/>
              </w:rPr>
              <w:t>c</w:t>
            </w:r>
            <w:r w:rsidRPr="00606E5B">
              <w:rPr>
                <w:rFonts w:ascii="Times New Roman" w:hAnsi="Times New Roman"/>
                <w:sz w:val="24"/>
                <w:szCs w:val="24"/>
              </w:rPr>
              <w:t xml:space="preserve">lean </w:t>
            </w:r>
            <w:r>
              <w:rPr>
                <w:rFonts w:ascii="Times New Roman" w:hAnsi="Times New Roman"/>
                <w:sz w:val="24"/>
                <w:szCs w:val="24"/>
              </w:rPr>
              <w:t>w</w:t>
            </w:r>
            <w:r w:rsidRPr="00606E5B">
              <w:rPr>
                <w:rFonts w:ascii="Times New Roman" w:hAnsi="Times New Roman"/>
                <w:sz w:val="24"/>
                <w:szCs w:val="24"/>
              </w:rPr>
              <w:t xml:space="preserve">ater and </w:t>
            </w:r>
            <w:r>
              <w:rPr>
                <w:rFonts w:ascii="Times New Roman" w:hAnsi="Times New Roman"/>
                <w:sz w:val="24"/>
                <w:szCs w:val="24"/>
              </w:rPr>
              <w:t>d</w:t>
            </w:r>
            <w:r w:rsidRPr="00606E5B">
              <w:rPr>
                <w:rFonts w:ascii="Times New Roman" w:hAnsi="Times New Roman"/>
                <w:sz w:val="24"/>
                <w:szCs w:val="24"/>
              </w:rPr>
              <w:t xml:space="preserve">rinking </w:t>
            </w:r>
            <w:r>
              <w:rPr>
                <w:rFonts w:ascii="Times New Roman" w:hAnsi="Times New Roman"/>
                <w:sz w:val="24"/>
                <w:szCs w:val="24"/>
              </w:rPr>
              <w:t>w</w:t>
            </w:r>
            <w:r w:rsidRPr="00606E5B">
              <w:rPr>
                <w:rFonts w:ascii="Times New Roman" w:hAnsi="Times New Roman"/>
                <w:sz w:val="24"/>
                <w:szCs w:val="24"/>
              </w:rPr>
              <w:t xml:space="preserve">ater capitalization grants and </w:t>
            </w:r>
            <w:r>
              <w:rPr>
                <w:rFonts w:ascii="Times New Roman" w:hAnsi="Times New Roman"/>
                <w:sz w:val="24"/>
                <w:szCs w:val="24"/>
              </w:rPr>
              <w:t>c</w:t>
            </w:r>
            <w:r w:rsidRPr="00606E5B">
              <w:rPr>
                <w:rFonts w:ascii="Times New Roman" w:hAnsi="Times New Roman"/>
                <w:sz w:val="24"/>
                <w:szCs w:val="24"/>
              </w:rPr>
              <w:t xml:space="preserve">ommonwealth matching </w:t>
            </w:r>
            <w:r w:rsidR="0005756A" w:rsidRPr="00606E5B">
              <w:rPr>
                <w:rFonts w:ascii="Times New Roman" w:hAnsi="Times New Roman"/>
                <w:sz w:val="24"/>
                <w:szCs w:val="24"/>
              </w:rPr>
              <w:t>grants that</w:t>
            </w:r>
            <w:r w:rsidRPr="00606E5B">
              <w:rPr>
                <w:rFonts w:ascii="Times New Roman" w:hAnsi="Times New Roman"/>
                <w:sz w:val="24"/>
                <w:szCs w:val="24"/>
              </w:rPr>
              <w:t xml:space="preserve"> are awarded annually, other amounts of Trust “</w:t>
            </w:r>
            <w:r w:rsidR="002B3935">
              <w:rPr>
                <w:rFonts w:ascii="Times New Roman" w:hAnsi="Times New Roman"/>
                <w:sz w:val="24"/>
                <w:szCs w:val="24"/>
              </w:rPr>
              <w:t xml:space="preserve">program </w:t>
            </w:r>
            <w:r w:rsidRPr="00606E5B">
              <w:rPr>
                <w:rFonts w:ascii="Times New Roman" w:hAnsi="Times New Roman"/>
                <w:sz w:val="24"/>
                <w:szCs w:val="24"/>
              </w:rPr>
              <w:t xml:space="preserve">equity” which include amounts released from bond reserves and investment earnings, and the availability of </w:t>
            </w:r>
            <w:r>
              <w:rPr>
                <w:rFonts w:ascii="Times New Roman" w:hAnsi="Times New Roman"/>
                <w:sz w:val="24"/>
                <w:szCs w:val="24"/>
              </w:rPr>
              <w:t>c</w:t>
            </w:r>
            <w:r w:rsidRPr="00606E5B">
              <w:rPr>
                <w:rFonts w:ascii="Times New Roman" w:hAnsi="Times New Roman"/>
                <w:sz w:val="24"/>
                <w:szCs w:val="24"/>
              </w:rPr>
              <w:t xml:space="preserve">ommonwealth </w:t>
            </w:r>
            <w:r>
              <w:rPr>
                <w:rFonts w:ascii="Times New Roman" w:hAnsi="Times New Roman"/>
                <w:sz w:val="24"/>
                <w:szCs w:val="24"/>
              </w:rPr>
              <w:t>c</w:t>
            </w:r>
            <w:r w:rsidRPr="00606E5B">
              <w:rPr>
                <w:rFonts w:ascii="Times New Roman" w:hAnsi="Times New Roman"/>
                <w:sz w:val="24"/>
                <w:szCs w:val="24"/>
              </w:rPr>
              <w:t xml:space="preserve">ontract </w:t>
            </w:r>
            <w:r>
              <w:rPr>
                <w:rFonts w:ascii="Times New Roman" w:hAnsi="Times New Roman"/>
                <w:sz w:val="24"/>
                <w:szCs w:val="24"/>
              </w:rPr>
              <w:t>as</w:t>
            </w:r>
            <w:r w:rsidRPr="00606E5B">
              <w:rPr>
                <w:rFonts w:ascii="Times New Roman" w:hAnsi="Times New Roman"/>
                <w:sz w:val="24"/>
                <w:szCs w:val="24"/>
              </w:rPr>
              <w:t xml:space="preserve">sistance.  The Trust works closely with the </w:t>
            </w:r>
            <w:r>
              <w:rPr>
                <w:rFonts w:ascii="Times New Roman" w:hAnsi="Times New Roman"/>
                <w:sz w:val="24"/>
                <w:szCs w:val="24"/>
              </w:rPr>
              <w:t xml:space="preserve">State </w:t>
            </w:r>
            <w:r w:rsidRPr="00606E5B">
              <w:rPr>
                <w:rFonts w:ascii="Times New Roman" w:hAnsi="Times New Roman"/>
                <w:sz w:val="24"/>
                <w:szCs w:val="24"/>
              </w:rPr>
              <w:t>Treasurer, Administration and Finance, and DEP in calculating the capacity of the program.</w:t>
            </w:r>
          </w:p>
        </w:tc>
      </w:tr>
      <w:tr w:rsidR="00606E5B" w:rsidRPr="003B174D" w14:paraId="34AD188C" w14:textId="77777777" w:rsidTr="009A155E">
        <w:tc>
          <w:tcPr>
            <w:tcW w:w="630" w:type="dxa"/>
          </w:tcPr>
          <w:p w14:paraId="6AD6A4CF" w14:textId="77777777" w:rsidR="00606E5B" w:rsidRDefault="00606E5B" w:rsidP="000C6A90">
            <w:pPr>
              <w:pStyle w:val="NoSpacing"/>
              <w:jc w:val="both"/>
              <w:rPr>
                <w:rFonts w:ascii="Times New Roman" w:hAnsi="Times New Roman"/>
                <w:sz w:val="24"/>
                <w:szCs w:val="24"/>
              </w:rPr>
            </w:pPr>
          </w:p>
        </w:tc>
        <w:tc>
          <w:tcPr>
            <w:tcW w:w="8568" w:type="dxa"/>
          </w:tcPr>
          <w:p w14:paraId="477D803A" w14:textId="77777777" w:rsidR="00606E5B" w:rsidRPr="00606E5B" w:rsidRDefault="00606E5B" w:rsidP="00606E5B">
            <w:pPr>
              <w:pStyle w:val="NoSpacing"/>
              <w:jc w:val="both"/>
              <w:rPr>
                <w:rFonts w:ascii="Times New Roman" w:hAnsi="Times New Roman"/>
                <w:sz w:val="24"/>
                <w:szCs w:val="24"/>
              </w:rPr>
            </w:pPr>
          </w:p>
        </w:tc>
      </w:tr>
      <w:tr w:rsidR="00656D1A" w:rsidRPr="003B174D" w14:paraId="50607F21" w14:textId="77777777" w:rsidTr="009A155E">
        <w:tc>
          <w:tcPr>
            <w:tcW w:w="630" w:type="dxa"/>
          </w:tcPr>
          <w:p w14:paraId="6F9386C7" w14:textId="77777777" w:rsidR="00656D1A" w:rsidRDefault="00656D1A" w:rsidP="000C6A90">
            <w:pPr>
              <w:pStyle w:val="NoSpacing"/>
              <w:jc w:val="both"/>
              <w:rPr>
                <w:rFonts w:ascii="Times New Roman" w:hAnsi="Times New Roman"/>
                <w:sz w:val="24"/>
                <w:szCs w:val="24"/>
              </w:rPr>
            </w:pPr>
            <w:r>
              <w:rPr>
                <w:rFonts w:ascii="Times New Roman" w:hAnsi="Times New Roman"/>
                <w:sz w:val="24"/>
                <w:szCs w:val="24"/>
              </w:rPr>
              <w:t>7.</w:t>
            </w:r>
          </w:p>
        </w:tc>
        <w:tc>
          <w:tcPr>
            <w:tcW w:w="8568" w:type="dxa"/>
          </w:tcPr>
          <w:p w14:paraId="09A66AEB" w14:textId="77777777" w:rsidR="00656D1A" w:rsidRPr="00656D1A" w:rsidRDefault="00656D1A" w:rsidP="00606E5B">
            <w:pPr>
              <w:pStyle w:val="NoSpacing"/>
              <w:jc w:val="both"/>
              <w:rPr>
                <w:rFonts w:ascii="Times New Roman" w:hAnsi="Times New Roman"/>
                <w:b/>
                <w:sz w:val="24"/>
                <w:szCs w:val="24"/>
              </w:rPr>
            </w:pPr>
            <w:r w:rsidRPr="00656D1A">
              <w:rPr>
                <w:rFonts w:ascii="Times New Roman" w:hAnsi="Times New Roman"/>
                <w:b/>
                <w:sz w:val="24"/>
                <w:szCs w:val="24"/>
              </w:rPr>
              <w:t>Risk Controls/ Monitoring</w:t>
            </w:r>
            <w:r>
              <w:rPr>
                <w:rFonts w:ascii="Times New Roman" w:hAnsi="Times New Roman"/>
                <w:b/>
                <w:sz w:val="24"/>
                <w:szCs w:val="24"/>
              </w:rPr>
              <w:t>.</w:t>
            </w:r>
          </w:p>
        </w:tc>
      </w:tr>
      <w:tr w:rsidR="000234A4" w:rsidRPr="003B174D" w14:paraId="44B05550" w14:textId="77777777" w:rsidTr="009A155E">
        <w:tc>
          <w:tcPr>
            <w:tcW w:w="630" w:type="dxa"/>
          </w:tcPr>
          <w:p w14:paraId="20F9F2F3" w14:textId="77777777" w:rsidR="000234A4" w:rsidRDefault="000234A4" w:rsidP="000C6A90">
            <w:pPr>
              <w:pStyle w:val="NoSpacing"/>
              <w:jc w:val="both"/>
              <w:rPr>
                <w:rFonts w:ascii="Times New Roman" w:hAnsi="Times New Roman"/>
                <w:sz w:val="24"/>
                <w:szCs w:val="24"/>
              </w:rPr>
            </w:pPr>
          </w:p>
        </w:tc>
        <w:tc>
          <w:tcPr>
            <w:tcW w:w="8568" w:type="dxa"/>
          </w:tcPr>
          <w:p w14:paraId="2FEA2593" w14:textId="77777777" w:rsidR="000234A4" w:rsidRDefault="000234A4" w:rsidP="00606E5B">
            <w:pPr>
              <w:pStyle w:val="NoSpacing"/>
              <w:jc w:val="both"/>
              <w:rPr>
                <w:rFonts w:ascii="Times New Roman" w:hAnsi="Times New Roman"/>
                <w:b/>
                <w:sz w:val="24"/>
                <w:szCs w:val="24"/>
              </w:rPr>
            </w:pPr>
          </w:p>
        </w:tc>
      </w:tr>
      <w:tr w:rsidR="000234A4" w:rsidRPr="003B174D" w14:paraId="71B543ED" w14:textId="77777777" w:rsidTr="009A155E">
        <w:tc>
          <w:tcPr>
            <w:tcW w:w="630" w:type="dxa"/>
          </w:tcPr>
          <w:p w14:paraId="3BC5C0E5" w14:textId="77777777" w:rsidR="000234A4" w:rsidRDefault="000234A4" w:rsidP="000C6A90">
            <w:pPr>
              <w:pStyle w:val="NoSpacing"/>
              <w:jc w:val="both"/>
              <w:rPr>
                <w:rFonts w:ascii="Times New Roman" w:hAnsi="Times New Roman"/>
                <w:sz w:val="24"/>
                <w:szCs w:val="24"/>
              </w:rPr>
            </w:pPr>
          </w:p>
        </w:tc>
        <w:tc>
          <w:tcPr>
            <w:tcW w:w="8568" w:type="dxa"/>
          </w:tcPr>
          <w:tbl>
            <w:tblPr>
              <w:tblW w:w="0" w:type="auto"/>
              <w:tblLook w:val="04A0" w:firstRow="1" w:lastRow="0" w:firstColumn="1" w:lastColumn="0" w:noHBand="0" w:noVBand="1"/>
            </w:tblPr>
            <w:tblGrid>
              <w:gridCol w:w="602"/>
              <w:gridCol w:w="7539"/>
            </w:tblGrid>
            <w:tr w:rsidR="000234A4" w:rsidRPr="005063FB" w14:paraId="6BE0E371" w14:textId="77777777" w:rsidTr="005063FB">
              <w:tc>
                <w:tcPr>
                  <w:tcW w:w="607" w:type="dxa"/>
                </w:tcPr>
                <w:p w14:paraId="2C85DB12" w14:textId="77777777" w:rsidR="000234A4" w:rsidRPr="005063FB" w:rsidRDefault="000234A4" w:rsidP="005063FB">
                  <w:pPr>
                    <w:pStyle w:val="NoSpacing"/>
                    <w:jc w:val="both"/>
                    <w:rPr>
                      <w:rFonts w:ascii="Times New Roman" w:hAnsi="Times New Roman"/>
                      <w:sz w:val="24"/>
                      <w:szCs w:val="24"/>
                    </w:rPr>
                  </w:pPr>
                  <w:r w:rsidRPr="005063FB">
                    <w:rPr>
                      <w:rFonts w:ascii="Times New Roman" w:hAnsi="Times New Roman"/>
                      <w:sz w:val="24"/>
                      <w:szCs w:val="24"/>
                    </w:rPr>
                    <w:t xml:space="preserve">A. </w:t>
                  </w:r>
                </w:p>
              </w:tc>
              <w:tc>
                <w:tcPr>
                  <w:tcW w:w="7730" w:type="dxa"/>
                </w:tcPr>
                <w:p w14:paraId="26321F20" w14:textId="77777777" w:rsidR="000234A4" w:rsidRPr="005063FB" w:rsidRDefault="000234A4" w:rsidP="005063FB">
                  <w:pPr>
                    <w:pStyle w:val="NoSpacing"/>
                    <w:jc w:val="both"/>
                    <w:rPr>
                      <w:rFonts w:ascii="Times New Roman" w:hAnsi="Times New Roman"/>
                      <w:sz w:val="24"/>
                      <w:szCs w:val="24"/>
                    </w:rPr>
                  </w:pPr>
                  <w:r w:rsidRPr="005063FB">
                    <w:rPr>
                      <w:rFonts w:ascii="Times New Roman" w:hAnsi="Times New Roman"/>
                      <w:sz w:val="24"/>
                      <w:szCs w:val="24"/>
                    </w:rPr>
                    <w:t>The Trust will maintain a set of policies, procedures and internal controls that are designed to appropriately mitigate risk to the Trust and to effectively monitor outstanding debt, investments, and operations of the Trust.  The Trust also uses program counsel and its financial advisor to assist in the assessment of risk in its debt and investments.</w:t>
                  </w:r>
                </w:p>
              </w:tc>
            </w:tr>
            <w:tr w:rsidR="000234A4" w:rsidRPr="005063FB" w14:paraId="784DA035" w14:textId="77777777" w:rsidTr="005063FB">
              <w:tc>
                <w:tcPr>
                  <w:tcW w:w="607" w:type="dxa"/>
                </w:tcPr>
                <w:p w14:paraId="2D825792" w14:textId="77777777" w:rsidR="000234A4" w:rsidRPr="005063FB" w:rsidRDefault="000234A4" w:rsidP="005063FB">
                  <w:pPr>
                    <w:pStyle w:val="NoSpacing"/>
                    <w:jc w:val="both"/>
                    <w:rPr>
                      <w:rFonts w:ascii="Times New Roman" w:hAnsi="Times New Roman"/>
                      <w:sz w:val="24"/>
                      <w:szCs w:val="24"/>
                    </w:rPr>
                  </w:pPr>
                </w:p>
              </w:tc>
              <w:tc>
                <w:tcPr>
                  <w:tcW w:w="7730" w:type="dxa"/>
                </w:tcPr>
                <w:p w14:paraId="7C6636B4" w14:textId="77777777" w:rsidR="000234A4" w:rsidRPr="005063FB" w:rsidRDefault="000234A4" w:rsidP="005063FB">
                  <w:pPr>
                    <w:pStyle w:val="NoSpacing"/>
                    <w:jc w:val="both"/>
                    <w:rPr>
                      <w:rFonts w:ascii="Times New Roman" w:hAnsi="Times New Roman"/>
                      <w:sz w:val="24"/>
                      <w:szCs w:val="24"/>
                    </w:rPr>
                  </w:pPr>
                </w:p>
              </w:tc>
            </w:tr>
            <w:tr w:rsidR="000234A4" w:rsidRPr="005063FB" w14:paraId="383FAC8A" w14:textId="77777777" w:rsidTr="005063FB">
              <w:tc>
                <w:tcPr>
                  <w:tcW w:w="607" w:type="dxa"/>
                </w:tcPr>
                <w:p w14:paraId="5508052B" w14:textId="77777777" w:rsidR="000234A4" w:rsidRPr="005063FB" w:rsidRDefault="000234A4" w:rsidP="005063FB">
                  <w:pPr>
                    <w:pStyle w:val="NoSpacing"/>
                    <w:jc w:val="both"/>
                    <w:rPr>
                      <w:rFonts w:ascii="Times New Roman" w:hAnsi="Times New Roman"/>
                      <w:sz w:val="24"/>
                      <w:szCs w:val="24"/>
                    </w:rPr>
                  </w:pPr>
                  <w:r w:rsidRPr="005063FB">
                    <w:rPr>
                      <w:rFonts w:ascii="Times New Roman" w:hAnsi="Times New Roman"/>
                      <w:sz w:val="24"/>
                      <w:szCs w:val="24"/>
                    </w:rPr>
                    <w:t>B.</w:t>
                  </w:r>
                </w:p>
              </w:tc>
              <w:tc>
                <w:tcPr>
                  <w:tcW w:w="7730" w:type="dxa"/>
                </w:tcPr>
                <w:p w14:paraId="2FBB1C76" w14:textId="77777777" w:rsidR="000234A4" w:rsidRPr="005063FB" w:rsidRDefault="000234A4" w:rsidP="005063FB">
                  <w:pPr>
                    <w:pStyle w:val="NoSpacing"/>
                    <w:jc w:val="both"/>
                    <w:rPr>
                      <w:rFonts w:ascii="Times New Roman" w:hAnsi="Times New Roman"/>
                      <w:b/>
                      <w:sz w:val="24"/>
                      <w:szCs w:val="24"/>
                    </w:rPr>
                  </w:pPr>
                  <w:r w:rsidRPr="005063FB">
                    <w:rPr>
                      <w:rFonts w:ascii="Times New Roman" w:hAnsi="Times New Roman"/>
                      <w:sz w:val="24"/>
                      <w:szCs w:val="24"/>
                    </w:rPr>
                    <w:t xml:space="preserve">The Trust makes debt service payments twice per year, February 1 and August 1.  While the Trust actively monitors sources of debt repayment throughout the year, this effort increases in focus as the debt service payment dates approach.  To assist in the control of repayment risk, borrower repayments are due from borrowers by January 15 and July 15 of each year providing the Trust with a </w:t>
                  </w:r>
                  <w:proofErr w:type="gramStart"/>
                  <w:r w:rsidRPr="005063FB">
                    <w:rPr>
                      <w:rFonts w:ascii="Times New Roman" w:hAnsi="Times New Roman"/>
                      <w:sz w:val="24"/>
                      <w:szCs w:val="24"/>
                    </w:rPr>
                    <w:t>15 day</w:t>
                  </w:r>
                  <w:proofErr w:type="gramEnd"/>
                  <w:r w:rsidRPr="005063FB">
                    <w:rPr>
                      <w:rFonts w:ascii="Times New Roman" w:hAnsi="Times New Roman"/>
                      <w:sz w:val="24"/>
                      <w:szCs w:val="24"/>
                    </w:rPr>
                    <w:t xml:space="preserve"> window to address any repayment issues.  The Trust’s treasury and lending groups will maintain active communication with the Trust’s borrowers to ensure timely repayment of their loans.</w:t>
                  </w:r>
                </w:p>
              </w:tc>
            </w:tr>
            <w:tr w:rsidR="000234A4" w:rsidRPr="005063FB" w14:paraId="3A4A0509" w14:textId="77777777" w:rsidTr="005063FB">
              <w:tc>
                <w:tcPr>
                  <w:tcW w:w="607" w:type="dxa"/>
                </w:tcPr>
                <w:p w14:paraId="7DCB0385" w14:textId="77777777" w:rsidR="000234A4" w:rsidRPr="005063FB" w:rsidRDefault="000234A4" w:rsidP="005063FB">
                  <w:pPr>
                    <w:pStyle w:val="NoSpacing"/>
                    <w:jc w:val="both"/>
                    <w:rPr>
                      <w:rFonts w:ascii="Times New Roman" w:hAnsi="Times New Roman"/>
                      <w:b/>
                      <w:sz w:val="24"/>
                      <w:szCs w:val="24"/>
                    </w:rPr>
                  </w:pPr>
                </w:p>
              </w:tc>
              <w:tc>
                <w:tcPr>
                  <w:tcW w:w="7730" w:type="dxa"/>
                </w:tcPr>
                <w:p w14:paraId="7052F9E7" w14:textId="77777777" w:rsidR="000234A4" w:rsidRPr="005063FB" w:rsidRDefault="000234A4" w:rsidP="005063FB">
                  <w:pPr>
                    <w:pStyle w:val="NoSpacing"/>
                    <w:jc w:val="both"/>
                    <w:rPr>
                      <w:rFonts w:ascii="Times New Roman" w:hAnsi="Times New Roman"/>
                      <w:sz w:val="24"/>
                      <w:szCs w:val="24"/>
                    </w:rPr>
                  </w:pPr>
                </w:p>
              </w:tc>
            </w:tr>
            <w:tr w:rsidR="000234A4" w:rsidRPr="005063FB" w14:paraId="115856FB" w14:textId="77777777" w:rsidTr="005063FB">
              <w:tc>
                <w:tcPr>
                  <w:tcW w:w="607" w:type="dxa"/>
                </w:tcPr>
                <w:p w14:paraId="44AFF652" w14:textId="77777777" w:rsidR="000234A4" w:rsidRPr="005063FB" w:rsidRDefault="000234A4" w:rsidP="005063FB">
                  <w:pPr>
                    <w:pStyle w:val="NoSpacing"/>
                    <w:jc w:val="both"/>
                    <w:rPr>
                      <w:rFonts w:ascii="Times New Roman" w:hAnsi="Times New Roman"/>
                      <w:sz w:val="24"/>
                      <w:szCs w:val="24"/>
                    </w:rPr>
                  </w:pPr>
                  <w:r w:rsidRPr="005063FB">
                    <w:rPr>
                      <w:rFonts w:ascii="Times New Roman" w:hAnsi="Times New Roman"/>
                      <w:sz w:val="24"/>
                      <w:szCs w:val="24"/>
                    </w:rPr>
                    <w:t>C.</w:t>
                  </w:r>
                </w:p>
              </w:tc>
              <w:tc>
                <w:tcPr>
                  <w:tcW w:w="7730" w:type="dxa"/>
                </w:tcPr>
                <w:p w14:paraId="2D898FA4" w14:textId="77777777" w:rsidR="000234A4" w:rsidRPr="005063FB" w:rsidRDefault="000234A4" w:rsidP="005063FB">
                  <w:pPr>
                    <w:pStyle w:val="NoSpacing"/>
                    <w:jc w:val="both"/>
                    <w:rPr>
                      <w:rFonts w:ascii="Times New Roman" w:hAnsi="Times New Roman"/>
                      <w:sz w:val="24"/>
                      <w:szCs w:val="24"/>
                    </w:rPr>
                  </w:pPr>
                  <w:r w:rsidRPr="005063FB">
                    <w:rPr>
                      <w:rFonts w:ascii="Times New Roman" w:hAnsi="Times New Roman"/>
                      <w:sz w:val="24"/>
                      <w:szCs w:val="24"/>
                    </w:rPr>
                    <w:t xml:space="preserve">The Trust will continuously monitor the primary sources of debt repayment: borrower repayments to the Trust, investment income from debt service reserve funds, and contract assistance payments from the commonwealth, as well as other sources of repayment.  </w:t>
                  </w:r>
                </w:p>
              </w:tc>
            </w:tr>
            <w:tr w:rsidR="000234A4" w:rsidRPr="005063FB" w14:paraId="14DC3C25" w14:textId="77777777" w:rsidTr="005063FB">
              <w:tc>
                <w:tcPr>
                  <w:tcW w:w="607" w:type="dxa"/>
                </w:tcPr>
                <w:p w14:paraId="050D8AD8" w14:textId="77777777" w:rsidR="000234A4" w:rsidRPr="005063FB" w:rsidRDefault="000234A4" w:rsidP="005063FB">
                  <w:pPr>
                    <w:pStyle w:val="NoSpacing"/>
                    <w:jc w:val="both"/>
                    <w:rPr>
                      <w:rFonts w:ascii="Times New Roman" w:hAnsi="Times New Roman"/>
                      <w:b/>
                      <w:sz w:val="24"/>
                      <w:szCs w:val="24"/>
                    </w:rPr>
                  </w:pPr>
                </w:p>
              </w:tc>
              <w:tc>
                <w:tcPr>
                  <w:tcW w:w="7730" w:type="dxa"/>
                </w:tcPr>
                <w:p w14:paraId="739421A9" w14:textId="77777777" w:rsidR="000234A4" w:rsidRPr="005063FB" w:rsidRDefault="000234A4" w:rsidP="005063FB">
                  <w:pPr>
                    <w:pStyle w:val="NoSpacing"/>
                    <w:jc w:val="both"/>
                    <w:rPr>
                      <w:rFonts w:ascii="Times New Roman" w:hAnsi="Times New Roman"/>
                      <w:sz w:val="24"/>
                      <w:szCs w:val="24"/>
                    </w:rPr>
                  </w:pPr>
                </w:p>
              </w:tc>
            </w:tr>
            <w:tr w:rsidR="000234A4" w:rsidRPr="005063FB" w14:paraId="4FB8A304" w14:textId="77777777" w:rsidTr="005063FB">
              <w:tc>
                <w:tcPr>
                  <w:tcW w:w="607" w:type="dxa"/>
                </w:tcPr>
                <w:p w14:paraId="5FFC12B5" w14:textId="77777777" w:rsidR="000234A4" w:rsidRPr="005063FB" w:rsidRDefault="000234A4" w:rsidP="005063FB">
                  <w:pPr>
                    <w:pStyle w:val="NoSpacing"/>
                    <w:jc w:val="both"/>
                    <w:rPr>
                      <w:rFonts w:ascii="Times New Roman" w:hAnsi="Times New Roman"/>
                      <w:sz w:val="24"/>
                      <w:szCs w:val="24"/>
                    </w:rPr>
                  </w:pPr>
                  <w:r w:rsidRPr="005063FB">
                    <w:rPr>
                      <w:rFonts w:ascii="Times New Roman" w:hAnsi="Times New Roman"/>
                      <w:sz w:val="24"/>
                      <w:szCs w:val="24"/>
                    </w:rPr>
                    <w:t>D.</w:t>
                  </w:r>
                </w:p>
              </w:tc>
              <w:tc>
                <w:tcPr>
                  <w:tcW w:w="7730" w:type="dxa"/>
                </w:tcPr>
                <w:p w14:paraId="64669D97" w14:textId="77777777" w:rsidR="000234A4" w:rsidRPr="005063FB" w:rsidRDefault="000234A4" w:rsidP="005063FB">
                  <w:pPr>
                    <w:pStyle w:val="NoSpacing"/>
                    <w:jc w:val="both"/>
                    <w:rPr>
                      <w:rFonts w:ascii="Times New Roman" w:hAnsi="Times New Roman"/>
                      <w:b/>
                      <w:sz w:val="24"/>
                      <w:szCs w:val="24"/>
                    </w:rPr>
                  </w:pPr>
                  <w:r w:rsidRPr="005063FB">
                    <w:rPr>
                      <w:rFonts w:ascii="Times New Roman" w:hAnsi="Times New Roman"/>
                      <w:sz w:val="24"/>
                      <w:szCs w:val="24"/>
                    </w:rPr>
                    <w:t>Throughout the year the Trust will also actively monitor its investments and applicable supporting collateral levels.</w:t>
                  </w:r>
                  <w:r w:rsidRPr="005063FB">
                    <w:rPr>
                      <w:rFonts w:ascii="Times New Roman" w:hAnsi="Times New Roman"/>
                      <w:b/>
                      <w:sz w:val="24"/>
                      <w:szCs w:val="24"/>
                    </w:rPr>
                    <w:t xml:space="preserve">  </w:t>
                  </w:r>
                </w:p>
              </w:tc>
            </w:tr>
          </w:tbl>
          <w:p w14:paraId="79529F46" w14:textId="77777777" w:rsidR="000234A4" w:rsidRDefault="000234A4" w:rsidP="00606E5B">
            <w:pPr>
              <w:pStyle w:val="NoSpacing"/>
              <w:jc w:val="both"/>
              <w:rPr>
                <w:rFonts w:ascii="Times New Roman" w:hAnsi="Times New Roman"/>
                <w:b/>
                <w:sz w:val="24"/>
                <w:szCs w:val="24"/>
              </w:rPr>
            </w:pPr>
          </w:p>
        </w:tc>
      </w:tr>
      <w:tr w:rsidR="00656D1A" w:rsidRPr="003B174D" w14:paraId="06232173" w14:textId="77777777" w:rsidTr="009A155E">
        <w:tc>
          <w:tcPr>
            <w:tcW w:w="630" w:type="dxa"/>
          </w:tcPr>
          <w:p w14:paraId="51FBD2E8" w14:textId="77777777" w:rsidR="00656D1A" w:rsidRDefault="00656D1A" w:rsidP="000C6A90">
            <w:pPr>
              <w:pStyle w:val="NoSpacing"/>
              <w:jc w:val="both"/>
              <w:rPr>
                <w:rFonts w:ascii="Times New Roman" w:hAnsi="Times New Roman"/>
                <w:sz w:val="24"/>
                <w:szCs w:val="24"/>
              </w:rPr>
            </w:pPr>
          </w:p>
        </w:tc>
        <w:tc>
          <w:tcPr>
            <w:tcW w:w="8568" w:type="dxa"/>
          </w:tcPr>
          <w:p w14:paraId="44D6F934" w14:textId="77777777" w:rsidR="00656D1A" w:rsidRDefault="00656D1A" w:rsidP="00606E5B">
            <w:pPr>
              <w:pStyle w:val="NoSpacing"/>
              <w:jc w:val="both"/>
              <w:rPr>
                <w:rFonts w:ascii="Times New Roman" w:hAnsi="Times New Roman"/>
                <w:b/>
                <w:sz w:val="24"/>
                <w:szCs w:val="24"/>
              </w:rPr>
            </w:pPr>
          </w:p>
        </w:tc>
      </w:tr>
      <w:tr w:rsidR="00606E5B" w:rsidRPr="003B174D" w14:paraId="2DCC1924" w14:textId="77777777" w:rsidTr="009A155E">
        <w:tc>
          <w:tcPr>
            <w:tcW w:w="630" w:type="dxa"/>
          </w:tcPr>
          <w:p w14:paraId="0CC6FF4A" w14:textId="77777777" w:rsidR="00606E5B" w:rsidRDefault="00656D1A" w:rsidP="000C6A90">
            <w:pPr>
              <w:pStyle w:val="NoSpacing"/>
              <w:jc w:val="both"/>
              <w:rPr>
                <w:rFonts w:ascii="Times New Roman" w:hAnsi="Times New Roman"/>
                <w:sz w:val="24"/>
                <w:szCs w:val="24"/>
              </w:rPr>
            </w:pPr>
            <w:r>
              <w:rPr>
                <w:rFonts w:ascii="Times New Roman" w:hAnsi="Times New Roman"/>
                <w:sz w:val="24"/>
                <w:szCs w:val="24"/>
              </w:rPr>
              <w:t>8.</w:t>
            </w:r>
          </w:p>
        </w:tc>
        <w:tc>
          <w:tcPr>
            <w:tcW w:w="8568" w:type="dxa"/>
          </w:tcPr>
          <w:p w14:paraId="493C6A70" w14:textId="77777777" w:rsidR="00606E5B" w:rsidRPr="00606E5B" w:rsidRDefault="00606E5B" w:rsidP="00606E5B">
            <w:pPr>
              <w:pStyle w:val="NoSpacing"/>
              <w:jc w:val="both"/>
              <w:rPr>
                <w:rFonts w:ascii="Times New Roman" w:hAnsi="Times New Roman"/>
                <w:b/>
                <w:sz w:val="24"/>
                <w:szCs w:val="24"/>
              </w:rPr>
            </w:pPr>
            <w:r>
              <w:rPr>
                <w:rFonts w:ascii="Times New Roman" w:hAnsi="Times New Roman"/>
                <w:b/>
                <w:sz w:val="24"/>
                <w:szCs w:val="24"/>
              </w:rPr>
              <w:t>Debt Structure Parameters.</w:t>
            </w:r>
          </w:p>
        </w:tc>
      </w:tr>
      <w:tr w:rsidR="00606E5B" w:rsidRPr="003B174D" w14:paraId="31A8CB6B" w14:textId="77777777" w:rsidTr="009A155E">
        <w:tc>
          <w:tcPr>
            <w:tcW w:w="630" w:type="dxa"/>
          </w:tcPr>
          <w:p w14:paraId="09ED3460" w14:textId="77777777" w:rsidR="00606E5B" w:rsidRDefault="00606E5B" w:rsidP="000C6A90">
            <w:pPr>
              <w:pStyle w:val="NoSpacing"/>
              <w:jc w:val="both"/>
              <w:rPr>
                <w:rFonts w:ascii="Times New Roman" w:hAnsi="Times New Roman"/>
                <w:sz w:val="24"/>
                <w:szCs w:val="24"/>
              </w:rPr>
            </w:pPr>
          </w:p>
        </w:tc>
        <w:tc>
          <w:tcPr>
            <w:tcW w:w="8568" w:type="dxa"/>
          </w:tcPr>
          <w:p w14:paraId="6BFF067D" w14:textId="77777777" w:rsidR="00606E5B" w:rsidRPr="00606E5B" w:rsidRDefault="00606E5B" w:rsidP="00606E5B">
            <w:pPr>
              <w:pStyle w:val="NoSpacing"/>
              <w:jc w:val="both"/>
              <w:rPr>
                <w:rFonts w:ascii="Times New Roman" w:hAnsi="Times New Roman"/>
                <w:sz w:val="24"/>
                <w:szCs w:val="24"/>
              </w:rPr>
            </w:pPr>
          </w:p>
        </w:tc>
      </w:tr>
      <w:tr w:rsidR="00606E5B" w:rsidRPr="003B174D" w14:paraId="7C4131F3" w14:textId="77777777" w:rsidTr="009A155E">
        <w:tc>
          <w:tcPr>
            <w:tcW w:w="630" w:type="dxa"/>
          </w:tcPr>
          <w:p w14:paraId="339091D4" w14:textId="77777777" w:rsidR="00606E5B" w:rsidRDefault="00606E5B" w:rsidP="000C6A90">
            <w:pPr>
              <w:pStyle w:val="NoSpacing"/>
              <w:jc w:val="both"/>
              <w:rPr>
                <w:rFonts w:ascii="Times New Roman" w:hAnsi="Times New Roman"/>
                <w:sz w:val="24"/>
                <w:szCs w:val="24"/>
              </w:rPr>
            </w:pPr>
          </w:p>
        </w:tc>
        <w:tc>
          <w:tcPr>
            <w:tcW w:w="8568" w:type="dxa"/>
          </w:tcPr>
          <w:p w14:paraId="4C373035" w14:textId="77777777" w:rsidR="00606E5B" w:rsidRPr="00606E5B" w:rsidRDefault="00606E5B" w:rsidP="00270FAE">
            <w:pPr>
              <w:pStyle w:val="NoSpacing"/>
              <w:jc w:val="both"/>
              <w:rPr>
                <w:rFonts w:ascii="Times New Roman" w:hAnsi="Times New Roman"/>
                <w:sz w:val="24"/>
                <w:szCs w:val="24"/>
              </w:rPr>
            </w:pPr>
            <w:r>
              <w:rPr>
                <w:rFonts w:ascii="Times New Roman" w:hAnsi="Times New Roman"/>
                <w:sz w:val="24"/>
                <w:szCs w:val="24"/>
              </w:rPr>
              <w:t xml:space="preserve">A.  </w:t>
            </w:r>
            <w:r>
              <w:rPr>
                <w:rFonts w:ascii="Times New Roman" w:hAnsi="Times New Roman"/>
                <w:sz w:val="24"/>
                <w:szCs w:val="24"/>
                <w:u w:val="single"/>
              </w:rPr>
              <w:t>Amount of Outstanding Debt</w:t>
            </w:r>
            <w:r>
              <w:rPr>
                <w:rFonts w:ascii="Times New Roman" w:hAnsi="Times New Roman"/>
                <w:sz w:val="24"/>
                <w:szCs w:val="24"/>
              </w:rPr>
              <w:t xml:space="preserve">. </w:t>
            </w:r>
          </w:p>
        </w:tc>
      </w:tr>
      <w:tr w:rsidR="00606E5B" w:rsidRPr="003B174D" w14:paraId="7C07EA67" w14:textId="77777777" w:rsidTr="009A155E">
        <w:tc>
          <w:tcPr>
            <w:tcW w:w="630" w:type="dxa"/>
          </w:tcPr>
          <w:p w14:paraId="6C26292A" w14:textId="77777777" w:rsidR="00606E5B" w:rsidRDefault="00606E5B" w:rsidP="000C6A90">
            <w:pPr>
              <w:pStyle w:val="NoSpacing"/>
              <w:jc w:val="both"/>
              <w:rPr>
                <w:rFonts w:ascii="Times New Roman" w:hAnsi="Times New Roman"/>
                <w:sz w:val="24"/>
                <w:szCs w:val="24"/>
              </w:rPr>
            </w:pPr>
          </w:p>
        </w:tc>
        <w:tc>
          <w:tcPr>
            <w:tcW w:w="8568" w:type="dxa"/>
          </w:tcPr>
          <w:p w14:paraId="0F06340F" w14:textId="77777777" w:rsidR="00606E5B" w:rsidRDefault="00606E5B" w:rsidP="00270FAE">
            <w:pPr>
              <w:pStyle w:val="NoSpacing"/>
              <w:jc w:val="both"/>
              <w:rPr>
                <w:rFonts w:ascii="Times New Roman" w:hAnsi="Times New Roman"/>
                <w:sz w:val="24"/>
                <w:szCs w:val="24"/>
              </w:rPr>
            </w:pPr>
          </w:p>
        </w:tc>
      </w:tr>
      <w:tr w:rsidR="00606E5B" w:rsidRPr="003B174D" w14:paraId="7D1BCAB0" w14:textId="77777777" w:rsidTr="009A155E">
        <w:tc>
          <w:tcPr>
            <w:tcW w:w="630" w:type="dxa"/>
          </w:tcPr>
          <w:p w14:paraId="56B87225" w14:textId="77777777" w:rsidR="00606E5B" w:rsidRDefault="00606E5B" w:rsidP="000C6A90">
            <w:pPr>
              <w:pStyle w:val="NoSpacing"/>
              <w:jc w:val="both"/>
              <w:rPr>
                <w:rFonts w:ascii="Times New Roman" w:hAnsi="Times New Roman"/>
                <w:sz w:val="24"/>
                <w:szCs w:val="24"/>
              </w:rPr>
            </w:pPr>
          </w:p>
        </w:tc>
        <w:tc>
          <w:tcPr>
            <w:tcW w:w="8568" w:type="dxa"/>
          </w:tcPr>
          <w:p w14:paraId="7CFFD1AD" w14:textId="77777777" w:rsidR="00606E5B" w:rsidRPr="00606E5B" w:rsidRDefault="00C376E2" w:rsidP="00606E5B">
            <w:pPr>
              <w:pStyle w:val="NoSpacing"/>
              <w:jc w:val="both"/>
              <w:rPr>
                <w:rFonts w:ascii="Times New Roman" w:hAnsi="Times New Roman"/>
                <w:sz w:val="24"/>
                <w:szCs w:val="24"/>
              </w:rPr>
            </w:pPr>
            <w:r w:rsidRPr="00C376E2">
              <w:rPr>
                <w:rFonts w:ascii="Times New Roman" w:hAnsi="Times New Roman"/>
                <w:sz w:val="24"/>
                <w:szCs w:val="24"/>
              </w:rPr>
              <w:t>As indic</w:t>
            </w:r>
            <w:r w:rsidR="00196014">
              <w:rPr>
                <w:rFonts w:ascii="Times New Roman" w:hAnsi="Times New Roman"/>
                <w:sz w:val="24"/>
                <w:szCs w:val="24"/>
              </w:rPr>
              <w:t>a</w:t>
            </w:r>
            <w:r w:rsidRPr="00C376E2">
              <w:rPr>
                <w:rFonts w:ascii="Times New Roman" w:hAnsi="Times New Roman"/>
                <w:sz w:val="24"/>
                <w:szCs w:val="24"/>
              </w:rPr>
              <w:t>ted above, each Trust debt issue is structured to finance a specific pool of underlying loans.  Repayment sources for the bonds are fully identified at the time of the sale.  The capacity of the Trust is driven by the level of federal clean water and drinking water grants, the amount of Trust equity, and budgetary capacity for contract assistance.</w:t>
            </w:r>
          </w:p>
        </w:tc>
      </w:tr>
      <w:tr w:rsidR="00606E5B" w:rsidRPr="003B174D" w14:paraId="173D1FF1" w14:textId="77777777" w:rsidTr="009A155E">
        <w:tc>
          <w:tcPr>
            <w:tcW w:w="630" w:type="dxa"/>
          </w:tcPr>
          <w:p w14:paraId="2E3BB10F" w14:textId="77777777" w:rsidR="00606E5B" w:rsidRPr="009A155E" w:rsidRDefault="00606E5B" w:rsidP="000C6A90">
            <w:pPr>
              <w:pStyle w:val="NoSpacing"/>
              <w:jc w:val="both"/>
              <w:rPr>
                <w:rFonts w:ascii="Times New Roman" w:hAnsi="Times New Roman"/>
                <w:sz w:val="24"/>
                <w:szCs w:val="24"/>
              </w:rPr>
            </w:pPr>
          </w:p>
        </w:tc>
        <w:tc>
          <w:tcPr>
            <w:tcW w:w="8568" w:type="dxa"/>
          </w:tcPr>
          <w:p w14:paraId="43044E50" w14:textId="77777777" w:rsidR="00606E5B" w:rsidRDefault="00606E5B" w:rsidP="000C6A90">
            <w:pPr>
              <w:pStyle w:val="NoSpacing"/>
              <w:jc w:val="both"/>
              <w:rPr>
                <w:rFonts w:ascii="Times New Roman" w:hAnsi="Times New Roman"/>
                <w:sz w:val="24"/>
                <w:szCs w:val="24"/>
              </w:rPr>
            </w:pPr>
          </w:p>
        </w:tc>
      </w:tr>
      <w:tr w:rsidR="00606E5B" w:rsidRPr="003B174D" w14:paraId="31466109" w14:textId="77777777" w:rsidTr="009A155E">
        <w:tc>
          <w:tcPr>
            <w:tcW w:w="630" w:type="dxa"/>
          </w:tcPr>
          <w:p w14:paraId="1EFF21F7" w14:textId="77777777" w:rsidR="00606E5B" w:rsidRPr="009A155E" w:rsidRDefault="00606E5B" w:rsidP="000C6A90">
            <w:pPr>
              <w:pStyle w:val="NoSpacing"/>
              <w:jc w:val="both"/>
              <w:rPr>
                <w:rFonts w:ascii="Times New Roman" w:hAnsi="Times New Roman"/>
                <w:sz w:val="24"/>
                <w:szCs w:val="24"/>
              </w:rPr>
            </w:pPr>
          </w:p>
        </w:tc>
        <w:tc>
          <w:tcPr>
            <w:tcW w:w="8568" w:type="dxa"/>
          </w:tcPr>
          <w:p w14:paraId="3CC6CA29" w14:textId="77777777" w:rsidR="00606E5B" w:rsidRPr="00606E5B" w:rsidRDefault="00606E5B" w:rsidP="00606E5B">
            <w:pPr>
              <w:pStyle w:val="NoSpacing"/>
              <w:jc w:val="both"/>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u w:val="single"/>
              </w:rPr>
              <w:t>Maturity Structure/ Principal Repayment</w:t>
            </w:r>
            <w:r>
              <w:rPr>
                <w:rFonts w:ascii="Times New Roman" w:hAnsi="Times New Roman"/>
                <w:sz w:val="24"/>
                <w:szCs w:val="24"/>
              </w:rPr>
              <w:t>.</w:t>
            </w:r>
          </w:p>
        </w:tc>
      </w:tr>
      <w:tr w:rsidR="00656D1A" w:rsidRPr="003B174D" w14:paraId="60454028" w14:textId="77777777" w:rsidTr="009A155E">
        <w:tc>
          <w:tcPr>
            <w:tcW w:w="630" w:type="dxa"/>
          </w:tcPr>
          <w:p w14:paraId="74055D73" w14:textId="77777777" w:rsidR="00656D1A" w:rsidRPr="009A155E" w:rsidRDefault="00656D1A" w:rsidP="000C6A90">
            <w:pPr>
              <w:pStyle w:val="NoSpacing"/>
              <w:jc w:val="both"/>
              <w:rPr>
                <w:rFonts w:ascii="Times New Roman" w:hAnsi="Times New Roman"/>
                <w:sz w:val="24"/>
                <w:szCs w:val="24"/>
              </w:rPr>
            </w:pPr>
          </w:p>
        </w:tc>
        <w:tc>
          <w:tcPr>
            <w:tcW w:w="8568" w:type="dxa"/>
          </w:tcPr>
          <w:p w14:paraId="0CDEF40D" w14:textId="77777777" w:rsidR="00656D1A" w:rsidRDefault="00656D1A" w:rsidP="000C6A90">
            <w:pPr>
              <w:pStyle w:val="NoSpacing"/>
              <w:jc w:val="both"/>
              <w:rPr>
                <w:rFonts w:ascii="Times New Roman" w:hAnsi="Times New Roman"/>
                <w:sz w:val="24"/>
                <w:szCs w:val="24"/>
              </w:rPr>
            </w:pPr>
          </w:p>
        </w:tc>
      </w:tr>
      <w:tr w:rsidR="00656D1A" w:rsidRPr="003B174D" w14:paraId="2B968B6D" w14:textId="77777777" w:rsidTr="009A155E">
        <w:tc>
          <w:tcPr>
            <w:tcW w:w="630" w:type="dxa"/>
          </w:tcPr>
          <w:p w14:paraId="5BBB2987" w14:textId="77777777" w:rsidR="00656D1A" w:rsidRPr="009A155E" w:rsidRDefault="00656D1A" w:rsidP="000C6A90">
            <w:pPr>
              <w:pStyle w:val="NoSpacing"/>
              <w:jc w:val="both"/>
              <w:rPr>
                <w:rFonts w:ascii="Times New Roman" w:hAnsi="Times New Roman"/>
                <w:sz w:val="24"/>
                <w:szCs w:val="24"/>
              </w:rPr>
            </w:pPr>
          </w:p>
        </w:tc>
        <w:tc>
          <w:tcPr>
            <w:tcW w:w="8568" w:type="dxa"/>
          </w:tcPr>
          <w:p w14:paraId="36350892" w14:textId="77777777" w:rsidR="00656D1A" w:rsidRDefault="00C376E2" w:rsidP="000C6A90">
            <w:pPr>
              <w:pStyle w:val="NoSpacing"/>
              <w:jc w:val="both"/>
              <w:rPr>
                <w:rFonts w:ascii="Times New Roman" w:hAnsi="Times New Roman"/>
                <w:sz w:val="24"/>
                <w:szCs w:val="24"/>
              </w:rPr>
            </w:pPr>
            <w:r w:rsidRPr="00C376E2">
              <w:rPr>
                <w:rFonts w:ascii="Times New Roman" w:hAnsi="Times New Roman"/>
                <w:sz w:val="24"/>
                <w:szCs w:val="24"/>
              </w:rPr>
              <w:t xml:space="preserve">The Trust provides loans of twenty years to most borrowers.  Certain clean water projects can be financed over </w:t>
            </w:r>
            <w:r w:rsidR="00196014">
              <w:rPr>
                <w:rFonts w:ascii="Times New Roman" w:hAnsi="Times New Roman"/>
                <w:sz w:val="24"/>
                <w:szCs w:val="24"/>
              </w:rPr>
              <w:t xml:space="preserve">a term of up to </w:t>
            </w:r>
            <w:r w:rsidRPr="00C376E2">
              <w:rPr>
                <w:rFonts w:ascii="Times New Roman" w:hAnsi="Times New Roman"/>
                <w:sz w:val="24"/>
                <w:szCs w:val="24"/>
              </w:rPr>
              <w:t>thirty years if the useful life of the project supports such financing.  The structure of the Trust bonds is largely designed to match that of the aggregate amortization of the underlying borrower loans</w:t>
            </w:r>
            <w:r w:rsidR="00325148">
              <w:rPr>
                <w:rFonts w:ascii="Times New Roman" w:hAnsi="Times New Roman"/>
                <w:sz w:val="24"/>
                <w:szCs w:val="24"/>
              </w:rPr>
              <w:t>, which may include loans at below market rates, but with adequate subsidy of such below market rates from the commonwealth or other sources</w:t>
            </w:r>
            <w:r w:rsidRPr="00C376E2">
              <w:rPr>
                <w:rFonts w:ascii="Times New Roman" w:hAnsi="Times New Roman"/>
                <w:sz w:val="24"/>
                <w:szCs w:val="24"/>
              </w:rPr>
              <w:t xml:space="preserve">.  This leads to the </w:t>
            </w:r>
            <w:proofErr w:type="gramStart"/>
            <w:r w:rsidRPr="00C376E2">
              <w:rPr>
                <w:rFonts w:ascii="Times New Roman" w:hAnsi="Times New Roman"/>
                <w:sz w:val="24"/>
                <w:szCs w:val="24"/>
              </w:rPr>
              <w:t>dollar for dollar</w:t>
            </w:r>
            <w:proofErr w:type="gramEnd"/>
            <w:r w:rsidRPr="00C376E2">
              <w:rPr>
                <w:rFonts w:ascii="Times New Roman" w:hAnsi="Times New Roman"/>
                <w:sz w:val="24"/>
                <w:szCs w:val="24"/>
              </w:rPr>
              <w:t xml:space="preserve"> cash flow sufficiency that is the goal of each Trust bond issue.  </w:t>
            </w:r>
          </w:p>
        </w:tc>
      </w:tr>
      <w:tr w:rsidR="00656D1A" w:rsidRPr="003B174D" w14:paraId="22832288" w14:textId="77777777" w:rsidTr="009A155E">
        <w:tc>
          <w:tcPr>
            <w:tcW w:w="630" w:type="dxa"/>
          </w:tcPr>
          <w:p w14:paraId="496FABE4" w14:textId="77777777" w:rsidR="00656D1A" w:rsidRPr="009A155E" w:rsidRDefault="00656D1A" w:rsidP="000C6A90">
            <w:pPr>
              <w:pStyle w:val="NoSpacing"/>
              <w:jc w:val="both"/>
              <w:rPr>
                <w:rFonts w:ascii="Times New Roman" w:hAnsi="Times New Roman"/>
                <w:sz w:val="24"/>
                <w:szCs w:val="24"/>
              </w:rPr>
            </w:pPr>
          </w:p>
        </w:tc>
        <w:tc>
          <w:tcPr>
            <w:tcW w:w="8568" w:type="dxa"/>
          </w:tcPr>
          <w:p w14:paraId="5C2214C1" w14:textId="77777777" w:rsidR="00656D1A" w:rsidRDefault="00656D1A" w:rsidP="000C6A90">
            <w:pPr>
              <w:pStyle w:val="NoSpacing"/>
              <w:jc w:val="both"/>
              <w:rPr>
                <w:rFonts w:ascii="Times New Roman" w:hAnsi="Times New Roman"/>
                <w:sz w:val="24"/>
                <w:szCs w:val="24"/>
              </w:rPr>
            </w:pPr>
          </w:p>
        </w:tc>
      </w:tr>
      <w:tr w:rsidR="00656D1A" w:rsidRPr="000A5750" w14:paraId="4065CFE0" w14:textId="77777777" w:rsidTr="009A155E">
        <w:tc>
          <w:tcPr>
            <w:tcW w:w="630" w:type="dxa"/>
          </w:tcPr>
          <w:p w14:paraId="1BD07CE5" w14:textId="77777777" w:rsidR="00656D1A" w:rsidRPr="009A155E" w:rsidRDefault="00656D1A" w:rsidP="000C6A90">
            <w:pPr>
              <w:pStyle w:val="NoSpacing"/>
              <w:jc w:val="both"/>
              <w:rPr>
                <w:rFonts w:ascii="Times New Roman" w:hAnsi="Times New Roman"/>
                <w:sz w:val="24"/>
                <w:szCs w:val="24"/>
              </w:rPr>
            </w:pPr>
          </w:p>
        </w:tc>
        <w:tc>
          <w:tcPr>
            <w:tcW w:w="8568" w:type="dxa"/>
          </w:tcPr>
          <w:p w14:paraId="28542D97" w14:textId="77777777" w:rsidR="00656D1A" w:rsidRPr="000A5750" w:rsidRDefault="00656D1A" w:rsidP="000C6A90">
            <w:pPr>
              <w:pStyle w:val="NoSpacing"/>
              <w:jc w:val="both"/>
              <w:rPr>
                <w:rFonts w:ascii="Times New Roman" w:hAnsi="Times New Roman"/>
                <w:sz w:val="24"/>
                <w:szCs w:val="24"/>
                <w:lang w:val="fr-FR"/>
              </w:rPr>
            </w:pPr>
            <w:r w:rsidRPr="000A5750">
              <w:rPr>
                <w:rFonts w:ascii="Times New Roman" w:hAnsi="Times New Roman"/>
                <w:sz w:val="24"/>
                <w:szCs w:val="24"/>
                <w:lang w:val="fr-FR"/>
              </w:rPr>
              <w:t xml:space="preserve">C.  </w:t>
            </w:r>
            <w:proofErr w:type="spellStart"/>
            <w:r w:rsidRPr="000A5750">
              <w:rPr>
                <w:rFonts w:ascii="Times New Roman" w:hAnsi="Times New Roman"/>
                <w:sz w:val="24"/>
                <w:szCs w:val="24"/>
                <w:u w:val="single"/>
                <w:lang w:val="fr-FR"/>
              </w:rPr>
              <w:t>Credit</w:t>
            </w:r>
            <w:proofErr w:type="spellEnd"/>
            <w:r w:rsidRPr="000A5750">
              <w:rPr>
                <w:rFonts w:ascii="Times New Roman" w:hAnsi="Times New Roman"/>
                <w:sz w:val="24"/>
                <w:szCs w:val="24"/>
                <w:u w:val="single"/>
                <w:lang w:val="fr-FR"/>
              </w:rPr>
              <w:t xml:space="preserve"> </w:t>
            </w:r>
            <w:proofErr w:type="spellStart"/>
            <w:r w:rsidRPr="000A5750">
              <w:rPr>
                <w:rFonts w:ascii="Times New Roman" w:hAnsi="Times New Roman"/>
                <w:sz w:val="24"/>
                <w:szCs w:val="24"/>
                <w:u w:val="single"/>
                <w:lang w:val="fr-FR"/>
              </w:rPr>
              <w:t>Enhancement</w:t>
            </w:r>
            <w:proofErr w:type="spellEnd"/>
            <w:r w:rsidRPr="000A5750">
              <w:rPr>
                <w:rFonts w:ascii="Times New Roman" w:hAnsi="Times New Roman"/>
                <w:sz w:val="24"/>
                <w:szCs w:val="24"/>
                <w:u w:val="single"/>
                <w:lang w:val="fr-FR"/>
              </w:rPr>
              <w:t xml:space="preserve">/ </w:t>
            </w:r>
            <w:proofErr w:type="spellStart"/>
            <w:r w:rsidRPr="000A5750">
              <w:rPr>
                <w:rFonts w:ascii="Times New Roman" w:hAnsi="Times New Roman"/>
                <w:sz w:val="24"/>
                <w:szCs w:val="24"/>
                <w:u w:val="single"/>
                <w:lang w:val="fr-FR"/>
              </w:rPr>
              <w:t>Insurance</w:t>
            </w:r>
            <w:proofErr w:type="spellEnd"/>
            <w:r w:rsidRPr="000A5750">
              <w:rPr>
                <w:rFonts w:ascii="Times New Roman" w:hAnsi="Times New Roman"/>
                <w:sz w:val="24"/>
                <w:szCs w:val="24"/>
                <w:u w:val="single"/>
                <w:lang w:val="fr-FR"/>
              </w:rPr>
              <w:t xml:space="preserve"> </w:t>
            </w:r>
            <w:proofErr w:type="spellStart"/>
            <w:r w:rsidRPr="000A5750">
              <w:rPr>
                <w:rFonts w:ascii="Times New Roman" w:hAnsi="Times New Roman"/>
                <w:sz w:val="24"/>
                <w:szCs w:val="24"/>
                <w:u w:val="single"/>
                <w:lang w:val="fr-FR"/>
              </w:rPr>
              <w:t>Liquidity</w:t>
            </w:r>
            <w:proofErr w:type="spellEnd"/>
            <w:r w:rsidRPr="000A5750">
              <w:rPr>
                <w:rFonts w:ascii="Times New Roman" w:hAnsi="Times New Roman"/>
                <w:sz w:val="24"/>
                <w:szCs w:val="24"/>
                <w:lang w:val="fr-FR"/>
              </w:rPr>
              <w:t>.</w:t>
            </w:r>
          </w:p>
        </w:tc>
      </w:tr>
      <w:tr w:rsidR="00656D1A" w:rsidRPr="000A5750" w14:paraId="510F73BC" w14:textId="77777777" w:rsidTr="009A155E">
        <w:tc>
          <w:tcPr>
            <w:tcW w:w="630" w:type="dxa"/>
          </w:tcPr>
          <w:p w14:paraId="1CE48BEF" w14:textId="77777777" w:rsidR="00656D1A" w:rsidRPr="000A5750" w:rsidRDefault="00656D1A" w:rsidP="000C6A90">
            <w:pPr>
              <w:pStyle w:val="NoSpacing"/>
              <w:jc w:val="both"/>
              <w:rPr>
                <w:rFonts w:ascii="Times New Roman" w:hAnsi="Times New Roman"/>
                <w:sz w:val="24"/>
                <w:szCs w:val="24"/>
                <w:lang w:val="fr-FR"/>
              </w:rPr>
            </w:pPr>
          </w:p>
        </w:tc>
        <w:tc>
          <w:tcPr>
            <w:tcW w:w="8568" w:type="dxa"/>
          </w:tcPr>
          <w:p w14:paraId="06D91536" w14:textId="77777777" w:rsidR="00656D1A" w:rsidRPr="000A5750" w:rsidRDefault="00656D1A" w:rsidP="000C6A90">
            <w:pPr>
              <w:pStyle w:val="NoSpacing"/>
              <w:jc w:val="both"/>
              <w:rPr>
                <w:rFonts w:ascii="Times New Roman" w:hAnsi="Times New Roman"/>
                <w:sz w:val="24"/>
                <w:szCs w:val="24"/>
                <w:lang w:val="fr-FR"/>
              </w:rPr>
            </w:pPr>
          </w:p>
        </w:tc>
      </w:tr>
      <w:tr w:rsidR="00A0483D" w:rsidRPr="003B174D" w14:paraId="001D0CC1" w14:textId="77777777" w:rsidTr="009A155E">
        <w:tc>
          <w:tcPr>
            <w:tcW w:w="630" w:type="dxa"/>
          </w:tcPr>
          <w:p w14:paraId="58D7D933" w14:textId="77777777" w:rsidR="00A0483D" w:rsidRPr="000A5750" w:rsidRDefault="00A0483D" w:rsidP="000C6A90">
            <w:pPr>
              <w:pStyle w:val="NoSpacing"/>
              <w:jc w:val="both"/>
              <w:rPr>
                <w:rFonts w:ascii="Times New Roman" w:hAnsi="Times New Roman"/>
                <w:sz w:val="24"/>
                <w:szCs w:val="24"/>
                <w:lang w:val="fr-FR"/>
              </w:rPr>
            </w:pPr>
          </w:p>
        </w:tc>
        <w:tc>
          <w:tcPr>
            <w:tcW w:w="8568" w:type="dxa"/>
          </w:tcPr>
          <w:p w14:paraId="6BB45490" w14:textId="77777777" w:rsidR="00A0483D" w:rsidRPr="005063FB" w:rsidRDefault="00A0483D" w:rsidP="003A081A">
            <w:pPr>
              <w:keepNext/>
              <w:jc w:val="both"/>
            </w:pPr>
            <w:r>
              <w:t xml:space="preserve">To date, the Trust’s “pool” bonds have been rated in the highest rating category by each of the three major rating agencies, </w:t>
            </w:r>
            <w:r w:rsidR="00751EAB" w:rsidRPr="00751EAB">
              <w:t>Fitch Ratings, Moody’s Investor Services, and Standard &amp; Poor’s Rating Services</w:t>
            </w:r>
            <w:r>
              <w:t xml:space="preserve">.  Bonds issued by the Trust for certain individual major borrowers have reflected the underlying rating of that borrower. Credit enhancement and insurance typically provide no economic benefit to the Trust.  The Trust will only pursue such enhancement or insurance when the present value benefit of the enhancement exceeds the cost.  </w:t>
            </w:r>
          </w:p>
        </w:tc>
      </w:tr>
      <w:tr w:rsidR="00656D1A" w:rsidRPr="003B174D" w14:paraId="4D718883" w14:textId="77777777" w:rsidTr="009A155E">
        <w:tc>
          <w:tcPr>
            <w:tcW w:w="630" w:type="dxa"/>
          </w:tcPr>
          <w:p w14:paraId="757F0613" w14:textId="77777777" w:rsidR="00656D1A" w:rsidRPr="009A155E" w:rsidRDefault="00656D1A" w:rsidP="000C6A90">
            <w:pPr>
              <w:pStyle w:val="NoSpacing"/>
              <w:jc w:val="both"/>
              <w:rPr>
                <w:rFonts w:ascii="Times New Roman" w:hAnsi="Times New Roman"/>
                <w:sz w:val="24"/>
                <w:szCs w:val="24"/>
              </w:rPr>
            </w:pPr>
          </w:p>
        </w:tc>
        <w:tc>
          <w:tcPr>
            <w:tcW w:w="8568" w:type="dxa"/>
          </w:tcPr>
          <w:p w14:paraId="25190F6D" w14:textId="77777777" w:rsidR="00656D1A" w:rsidRDefault="00656D1A" w:rsidP="000C6A90">
            <w:pPr>
              <w:pStyle w:val="NoSpacing"/>
              <w:jc w:val="both"/>
              <w:rPr>
                <w:rFonts w:ascii="Times New Roman" w:hAnsi="Times New Roman"/>
                <w:sz w:val="24"/>
                <w:szCs w:val="24"/>
              </w:rPr>
            </w:pPr>
          </w:p>
        </w:tc>
      </w:tr>
      <w:tr w:rsidR="00656D1A" w:rsidRPr="003B174D" w14:paraId="4D7881A1" w14:textId="77777777" w:rsidTr="009A155E">
        <w:tc>
          <w:tcPr>
            <w:tcW w:w="630" w:type="dxa"/>
          </w:tcPr>
          <w:p w14:paraId="178EE11C" w14:textId="77777777" w:rsidR="00656D1A" w:rsidRPr="009A155E" w:rsidRDefault="00656D1A" w:rsidP="000C6A90">
            <w:pPr>
              <w:pStyle w:val="NoSpacing"/>
              <w:jc w:val="both"/>
              <w:rPr>
                <w:rFonts w:ascii="Times New Roman" w:hAnsi="Times New Roman"/>
                <w:sz w:val="24"/>
                <w:szCs w:val="24"/>
              </w:rPr>
            </w:pPr>
          </w:p>
        </w:tc>
        <w:tc>
          <w:tcPr>
            <w:tcW w:w="8568" w:type="dxa"/>
          </w:tcPr>
          <w:p w14:paraId="5F5EA8A4" w14:textId="77777777" w:rsidR="00656D1A" w:rsidRDefault="00656D1A" w:rsidP="000C6A90">
            <w:pPr>
              <w:pStyle w:val="NoSpacing"/>
              <w:jc w:val="both"/>
              <w:rPr>
                <w:rFonts w:ascii="Times New Roman" w:hAnsi="Times New Roman"/>
                <w:sz w:val="24"/>
                <w:szCs w:val="24"/>
              </w:rPr>
            </w:pPr>
            <w:r>
              <w:rPr>
                <w:rFonts w:ascii="Times New Roman" w:hAnsi="Times New Roman"/>
                <w:sz w:val="24"/>
                <w:szCs w:val="24"/>
              </w:rPr>
              <w:t xml:space="preserve">D.  </w:t>
            </w:r>
            <w:r w:rsidRPr="00656D1A">
              <w:rPr>
                <w:rFonts w:ascii="Times New Roman" w:hAnsi="Times New Roman"/>
                <w:sz w:val="24"/>
                <w:szCs w:val="24"/>
                <w:u w:val="single"/>
              </w:rPr>
              <w:t>Proportion of Variable Interest Rates to Fixed Interest Rates</w:t>
            </w:r>
            <w:r>
              <w:rPr>
                <w:rFonts w:ascii="Times New Roman" w:hAnsi="Times New Roman"/>
                <w:sz w:val="24"/>
                <w:szCs w:val="24"/>
              </w:rPr>
              <w:t>.</w:t>
            </w:r>
          </w:p>
        </w:tc>
      </w:tr>
      <w:tr w:rsidR="00A0483D" w:rsidRPr="003B174D" w14:paraId="5A0B2FBD" w14:textId="77777777" w:rsidTr="009A155E">
        <w:tc>
          <w:tcPr>
            <w:tcW w:w="630" w:type="dxa"/>
          </w:tcPr>
          <w:p w14:paraId="2311E677" w14:textId="77777777" w:rsidR="00A0483D" w:rsidRPr="009A155E" w:rsidRDefault="00A0483D" w:rsidP="000C6A90">
            <w:pPr>
              <w:pStyle w:val="NoSpacing"/>
              <w:jc w:val="both"/>
              <w:rPr>
                <w:rFonts w:ascii="Times New Roman" w:hAnsi="Times New Roman"/>
                <w:sz w:val="24"/>
                <w:szCs w:val="24"/>
              </w:rPr>
            </w:pPr>
          </w:p>
        </w:tc>
        <w:tc>
          <w:tcPr>
            <w:tcW w:w="8568" w:type="dxa"/>
          </w:tcPr>
          <w:p w14:paraId="00C32911" w14:textId="77777777" w:rsidR="00A0483D" w:rsidRDefault="00A0483D" w:rsidP="000C6A90">
            <w:pPr>
              <w:pStyle w:val="NoSpacing"/>
              <w:jc w:val="both"/>
            </w:pPr>
          </w:p>
        </w:tc>
      </w:tr>
      <w:tr w:rsidR="00656D1A" w:rsidRPr="003B174D" w14:paraId="4082953C" w14:textId="77777777" w:rsidTr="009A155E">
        <w:tc>
          <w:tcPr>
            <w:tcW w:w="630" w:type="dxa"/>
          </w:tcPr>
          <w:p w14:paraId="7A335933" w14:textId="77777777" w:rsidR="00656D1A" w:rsidRPr="009A155E" w:rsidRDefault="00656D1A" w:rsidP="000C6A90">
            <w:pPr>
              <w:pStyle w:val="NoSpacing"/>
              <w:jc w:val="both"/>
              <w:rPr>
                <w:rFonts w:ascii="Times New Roman" w:hAnsi="Times New Roman"/>
                <w:sz w:val="24"/>
                <w:szCs w:val="24"/>
              </w:rPr>
            </w:pPr>
          </w:p>
        </w:tc>
        <w:tc>
          <w:tcPr>
            <w:tcW w:w="8568" w:type="dxa"/>
          </w:tcPr>
          <w:p w14:paraId="1EF1E248" w14:textId="77777777" w:rsidR="00656D1A" w:rsidRPr="00A0483D" w:rsidRDefault="00A0483D" w:rsidP="00751EAB">
            <w:pPr>
              <w:pStyle w:val="NoSpacing"/>
              <w:jc w:val="both"/>
              <w:rPr>
                <w:rFonts w:ascii="Times New Roman" w:hAnsi="Times New Roman"/>
                <w:sz w:val="24"/>
                <w:szCs w:val="24"/>
              </w:rPr>
            </w:pPr>
            <w:r w:rsidRPr="00A0483D">
              <w:rPr>
                <w:rFonts w:ascii="Times New Roman" w:hAnsi="Times New Roman"/>
                <w:sz w:val="24"/>
                <w:szCs w:val="24"/>
              </w:rPr>
              <w:t xml:space="preserve">Trust bonds are structured to match the underlying assets financed in the transaction.  Most Trust’s bonds have been issued as fixed rate debt.  </w:t>
            </w:r>
            <w:r w:rsidR="00751EAB">
              <w:rPr>
                <w:rFonts w:ascii="Times New Roman" w:hAnsi="Times New Roman"/>
                <w:sz w:val="24"/>
                <w:szCs w:val="24"/>
              </w:rPr>
              <w:t>T</w:t>
            </w:r>
            <w:r w:rsidRPr="00A0483D">
              <w:rPr>
                <w:rFonts w:ascii="Times New Roman" w:hAnsi="Times New Roman"/>
                <w:sz w:val="24"/>
                <w:szCs w:val="24"/>
              </w:rPr>
              <w:t xml:space="preserve">wo </w:t>
            </w:r>
            <w:r w:rsidR="00751EAB">
              <w:rPr>
                <w:rFonts w:ascii="Times New Roman" w:hAnsi="Times New Roman"/>
                <w:sz w:val="24"/>
                <w:szCs w:val="24"/>
              </w:rPr>
              <w:t xml:space="preserve">maturities of one </w:t>
            </w:r>
            <w:r w:rsidRPr="00A0483D">
              <w:rPr>
                <w:rFonts w:ascii="Times New Roman" w:hAnsi="Times New Roman"/>
                <w:sz w:val="24"/>
                <w:szCs w:val="24"/>
              </w:rPr>
              <w:t xml:space="preserve">series of Trust bonds have been issued as variable rate debt, hedged to a “synthetic” fixed rate. All underlying loans to governmental units and other eligible borrowers also have been made at a fixed rate of interest. The Trust may consider additional variable rate financings in the future if warranted by economic and market conditions.  </w:t>
            </w:r>
          </w:p>
        </w:tc>
      </w:tr>
      <w:tr w:rsidR="00656D1A" w:rsidRPr="003B174D" w14:paraId="482CBB5A" w14:textId="77777777" w:rsidTr="009A155E">
        <w:tc>
          <w:tcPr>
            <w:tcW w:w="630" w:type="dxa"/>
          </w:tcPr>
          <w:p w14:paraId="6CA3F7A9" w14:textId="77777777" w:rsidR="00656D1A" w:rsidRPr="009A155E" w:rsidRDefault="00656D1A" w:rsidP="000C6A90">
            <w:pPr>
              <w:pStyle w:val="NoSpacing"/>
              <w:jc w:val="both"/>
              <w:rPr>
                <w:rFonts w:ascii="Times New Roman" w:hAnsi="Times New Roman"/>
                <w:sz w:val="24"/>
                <w:szCs w:val="24"/>
              </w:rPr>
            </w:pPr>
          </w:p>
        </w:tc>
        <w:tc>
          <w:tcPr>
            <w:tcW w:w="8568" w:type="dxa"/>
          </w:tcPr>
          <w:p w14:paraId="6960F891" w14:textId="77777777" w:rsidR="00656D1A" w:rsidRDefault="00656D1A" w:rsidP="000C6A90">
            <w:pPr>
              <w:pStyle w:val="NoSpacing"/>
              <w:jc w:val="both"/>
              <w:rPr>
                <w:rFonts w:ascii="Times New Roman" w:hAnsi="Times New Roman"/>
                <w:sz w:val="24"/>
                <w:szCs w:val="24"/>
              </w:rPr>
            </w:pPr>
          </w:p>
        </w:tc>
      </w:tr>
      <w:tr w:rsidR="00656D1A" w:rsidRPr="003B174D" w14:paraId="13A5C267" w14:textId="77777777" w:rsidTr="009A155E">
        <w:tc>
          <w:tcPr>
            <w:tcW w:w="630" w:type="dxa"/>
          </w:tcPr>
          <w:p w14:paraId="771C3C04" w14:textId="77777777" w:rsidR="00656D1A" w:rsidRPr="009A155E" w:rsidRDefault="00656D1A" w:rsidP="000C6A90">
            <w:pPr>
              <w:pStyle w:val="NoSpacing"/>
              <w:jc w:val="both"/>
              <w:rPr>
                <w:rFonts w:ascii="Times New Roman" w:hAnsi="Times New Roman"/>
                <w:sz w:val="24"/>
                <w:szCs w:val="24"/>
              </w:rPr>
            </w:pPr>
            <w:r>
              <w:rPr>
                <w:rFonts w:ascii="Times New Roman" w:hAnsi="Times New Roman"/>
                <w:sz w:val="24"/>
                <w:szCs w:val="24"/>
              </w:rPr>
              <w:t>9.</w:t>
            </w:r>
          </w:p>
        </w:tc>
        <w:tc>
          <w:tcPr>
            <w:tcW w:w="8568" w:type="dxa"/>
          </w:tcPr>
          <w:p w14:paraId="11375ADE" w14:textId="77777777" w:rsidR="00656D1A" w:rsidRPr="00656D1A" w:rsidRDefault="00656D1A" w:rsidP="000C6A90">
            <w:pPr>
              <w:pStyle w:val="NoSpacing"/>
              <w:jc w:val="both"/>
              <w:rPr>
                <w:rFonts w:ascii="Times New Roman" w:hAnsi="Times New Roman"/>
                <w:b/>
                <w:sz w:val="24"/>
                <w:szCs w:val="24"/>
              </w:rPr>
            </w:pPr>
            <w:r>
              <w:rPr>
                <w:rFonts w:ascii="Times New Roman" w:hAnsi="Times New Roman"/>
                <w:b/>
                <w:sz w:val="24"/>
                <w:szCs w:val="24"/>
              </w:rPr>
              <w:t>Credit Ratings and Rating Agencies Management and Communications.</w:t>
            </w:r>
          </w:p>
        </w:tc>
      </w:tr>
      <w:tr w:rsidR="00F35DC2" w:rsidRPr="003B174D" w14:paraId="0A480FED" w14:textId="77777777" w:rsidTr="009A155E">
        <w:tc>
          <w:tcPr>
            <w:tcW w:w="630" w:type="dxa"/>
          </w:tcPr>
          <w:p w14:paraId="591FB565" w14:textId="77777777" w:rsidR="00F35DC2" w:rsidRDefault="00F35DC2" w:rsidP="000C6A90">
            <w:pPr>
              <w:pStyle w:val="NoSpacing"/>
              <w:jc w:val="both"/>
              <w:rPr>
                <w:rFonts w:ascii="Times New Roman" w:hAnsi="Times New Roman"/>
                <w:sz w:val="24"/>
                <w:szCs w:val="24"/>
              </w:rPr>
            </w:pPr>
          </w:p>
        </w:tc>
        <w:tc>
          <w:tcPr>
            <w:tcW w:w="8568" w:type="dxa"/>
          </w:tcPr>
          <w:p w14:paraId="307EC493" w14:textId="77777777" w:rsidR="00F35DC2" w:rsidRDefault="00F35DC2" w:rsidP="000C6A90">
            <w:pPr>
              <w:pStyle w:val="NoSpacing"/>
              <w:jc w:val="both"/>
              <w:rPr>
                <w:rFonts w:ascii="Times New Roman" w:hAnsi="Times New Roman"/>
                <w:b/>
                <w:sz w:val="24"/>
                <w:szCs w:val="24"/>
              </w:rPr>
            </w:pPr>
          </w:p>
        </w:tc>
      </w:tr>
      <w:tr w:rsidR="00F35DC2" w:rsidRPr="003B174D" w14:paraId="5A1DD76A" w14:textId="77777777" w:rsidTr="009A155E">
        <w:tc>
          <w:tcPr>
            <w:tcW w:w="630" w:type="dxa"/>
          </w:tcPr>
          <w:p w14:paraId="0997A662" w14:textId="77777777" w:rsidR="00F35DC2" w:rsidRDefault="00F35DC2" w:rsidP="000C6A90">
            <w:pPr>
              <w:pStyle w:val="NoSpacing"/>
              <w:jc w:val="both"/>
              <w:rPr>
                <w:rFonts w:ascii="Times New Roman" w:hAnsi="Times New Roman"/>
                <w:sz w:val="24"/>
                <w:szCs w:val="24"/>
              </w:rPr>
            </w:pPr>
          </w:p>
        </w:tc>
        <w:tc>
          <w:tcPr>
            <w:tcW w:w="8568" w:type="dxa"/>
          </w:tcPr>
          <w:p w14:paraId="19D6A252" w14:textId="77777777" w:rsidR="00F35DC2" w:rsidRDefault="00C376E2" w:rsidP="000C6A90">
            <w:pPr>
              <w:pStyle w:val="NoSpacing"/>
              <w:jc w:val="both"/>
              <w:rPr>
                <w:rFonts w:ascii="Times New Roman" w:hAnsi="Times New Roman"/>
                <w:b/>
                <w:sz w:val="24"/>
                <w:szCs w:val="24"/>
              </w:rPr>
            </w:pPr>
            <w:proofErr w:type="gramStart"/>
            <w:r w:rsidRPr="00F35DC2">
              <w:rPr>
                <w:rFonts w:ascii="Times New Roman" w:hAnsi="Times New Roman"/>
                <w:sz w:val="24"/>
                <w:szCs w:val="24"/>
              </w:rPr>
              <w:t>All of</w:t>
            </w:r>
            <w:proofErr w:type="gramEnd"/>
            <w:r w:rsidRPr="00F35DC2">
              <w:rPr>
                <w:rFonts w:ascii="Times New Roman" w:hAnsi="Times New Roman"/>
                <w:sz w:val="24"/>
                <w:szCs w:val="24"/>
              </w:rPr>
              <w:t xml:space="preserve"> the Trust’s bonds are rated triple-A by the three major rating agencies: Fitch Ratings, Moody’s Investor Services, and Standard &amp; Poor’s Rating Services.  The Trust maintains direct communication on a regular basis with the three rating agencies.  As the Trust approaches a bond issue, the Trust and its financial advisor will work with representatives from the rating agencies to provide the necessary support for the credit work done to issue a rating.  The Trust continues to assess the cost and benefit of all three ratings and will continue to do so in future transactions.  </w:t>
            </w:r>
          </w:p>
        </w:tc>
      </w:tr>
      <w:tr w:rsidR="00656D1A" w:rsidRPr="003B174D" w14:paraId="0C943056" w14:textId="77777777" w:rsidTr="009A155E">
        <w:tc>
          <w:tcPr>
            <w:tcW w:w="630" w:type="dxa"/>
          </w:tcPr>
          <w:p w14:paraId="45DDDD1E" w14:textId="77777777" w:rsidR="00656D1A" w:rsidRDefault="00656D1A" w:rsidP="000C6A90">
            <w:pPr>
              <w:pStyle w:val="NoSpacing"/>
              <w:jc w:val="both"/>
              <w:rPr>
                <w:rFonts w:ascii="Times New Roman" w:hAnsi="Times New Roman"/>
                <w:sz w:val="24"/>
                <w:szCs w:val="24"/>
              </w:rPr>
            </w:pPr>
          </w:p>
        </w:tc>
        <w:tc>
          <w:tcPr>
            <w:tcW w:w="8568" w:type="dxa"/>
          </w:tcPr>
          <w:p w14:paraId="6B78990B" w14:textId="77777777" w:rsidR="00656D1A" w:rsidRDefault="00656D1A" w:rsidP="000C6A90">
            <w:pPr>
              <w:pStyle w:val="NoSpacing"/>
              <w:jc w:val="both"/>
              <w:rPr>
                <w:rFonts w:ascii="Times New Roman" w:hAnsi="Times New Roman"/>
                <w:b/>
                <w:sz w:val="24"/>
                <w:szCs w:val="24"/>
              </w:rPr>
            </w:pPr>
          </w:p>
        </w:tc>
      </w:tr>
      <w:tr w:rsidR="00656D1A" w:rsidRPr="003B174D" w14:paraId="10AEA1FB" w14:textId="77777777" w:rsidTr="009A155E">
        <w:tc>
          <w:tcPr>
            <w:tcW w:w="630" w:type="dxa"/>
          </w:tcPr>
          <w:p w14:paraId="2C0F181A" w14:textId="77777777" w:rsidR="00656D1A" w:rsidRDefault="00656D1A" w:rsidP="000C6A90">
            <w:pPr>
              <w:pStyle w:val="NoSpacing"/>
              <w:jc w:val="both"/>
              <w:rPr>
                <w:rFonts w:ascii="Times New Roman" w:hAnsi="Times New Roman"/>
                <w:sz w:val="24"/>
                <w:szCs w:val="24"/>
              </w:rPr>
            </w:pPr>
            <w:r>
              <w:rPr>
                <w:rFonts w:ascii="Times New Roman" w:hAnsi="Times New Roman"/>
                <w:sz w:val="24"/>
                <w:szCs w:val="24"/>
              </w:rPr>
              <w:t>10.</w:t>
            </w:r>
          </w:p>
        </w:tc>
        <w:tc>
          <w:tcPr>
            <w:tcW w:w="8568" w:type="dxa"/>
          </w:tcPr>
          <w:p w14:paraId="5A1C7483" w14:textId="77777777" w:rsidR="00656D1A" w:rsidRDefault="00656D1A" w:rsidP="000C6A90">
            <w:pPr>
              <w:pStyle w:val="NoSpacing"/>
              <w:jc w:val="both"/>
              <w:rPr>
                <w:rFonts w:ascii="Times New Roman" w:hAnsi="Times New Roman"/>
                <w:b/>
                <w:sz w:val="24"/>
                <w:szCs w:val="24"/>
              </w:rPr>
            </w:pPr>
            <w:r>
              <w:rPr>
                <w:rFonts w:ascii="Times New Roman" w:hAnsi="Times New Roman"/>
                <w:b/>
                <w:sz w:val="24"/>
                <w:szCs w:val="24"/>
              </w:rPr>
              <w:t>Investor Relations Management.</w:t>
            </w:r>
          </w:p>
        </w:tc>
      </w:tr>
      <w:tr w:rsidR="000234A4" w:rsidRPr="003B174D" w14:paraId="15F0EFA5" w14:textId="77777777" w:rsidTr="009A155E">
        <w:tc>
          <w:tcPr>
            <w:tcW w:w="630" w:type="dxa"/>
          </w:tcPr>
          <w:p w14:paraId="1688CC3D" w14:textId="77777777" w:rsidR="000234A4" w:rsidRDefault="000234A4" w:rsidP="000C6A90">
            <w:pPr>
              <w:pStyle w:val="NoSpacing"/>
              <w:jc w:val="both"/>
              <w:rPr>
                <w:rFonts w:ascii="Times New Roman" w:hAnsi="Times New Roman"/>
                <w:sz w:val="24"/>
                <w:szCs w:val="24"/>
              </w:rPr>
            </w:pPr>
          </w:p>
        </w:tc>
        <w:tc>
          <w:tcPr>
            <w:tcW w:w="8568" w:type="dxa"/>
          </w:tcPr>
          <w:p w14:paraId="19100087" w14:textId="77777777" w:rsidR="000234A4" w:rsidRDefault="000234A4" w:rsidP="000C6A90">
            <w:pPr>
              <w:pStyle w:val="NoSpacing"/>
              <w:jc w:val="both"/>
              <w:rPr>
                <w:rFonts w:ascii="Times New Roman" w:hAnsi="Times New Roman"/>
                <w:b/>
                <w:sz w:val="24"/>
                <w:szCs w:val="24"/>
              </w:rPr>
            </w:pPr>
          </w:p>
        </w:tc>
      </w:tr>
      <w:tr w:rsidR="00656D1A" w:rsidRPr="003B174D" w14:paraId="03517F3E" w14:textId="77777777" w:rsidTr="009A155E">
        <w:tc>
          <w:tcPr>
            <w:tcW w:w="630" w:type="dxa"/>
          </w:tcPr>
          <w:p w14:paraId="5726540C" w14:textId="77777777" w:rsidR="00656D1A" w:rsidRDefault="00656D1A" w:rsidP="000C6A90">
            <w:pPr>
              <w:pStyle w:val="NoSpacing"/>
              <w:jc w:val="both"/>
              <w:rPr>
                <w:rFonts w:ascii="Times New Roman" w:hAnsi="Times New Roman"/>
                <w:sz w:val="24"/>
                <w:szCs w:val="24"/>
              </w:rPr>
            </w:pPr>
          </w:p>
        </w:tc>
        <w:tc>
          <w:tcPr>
            <w:tcW w:w="8568" w:type="dxa"/>
          </w:tcPr>
          <w:p w14:paraId="747338A8" w14:textId="77777777" w:rsidR="00656D1A" w:rsidRPr="000234A4" w:rsidRDefault="00C376E2" w:rsidP="00EF1CE6">
            <w:pPr>
              <w:pStyle w:val="NoSpacing"/>
              <w:jc w:val="both"/>
              <w:rPr>
                <w:rFonts w:ascii="Times New Roman" w:hAnsi="Times New Roman"/>
                <w:sz w:val="24"/>
                <w:szCs w:val="24"/>
              </w:rPr>
            </w:pPr>
            <w:r w:rsidRPr="00C376E2">
              <w:rPr>
                <w:rFonts w:ascii="Times New Roman" w:hAnsi="Times New Roman"/>
                <w:sz w:val="24"/>
                <w:szCs w:val="24"/>
              </w:rPr>
              <w:t>In addition to the preparation of an official statement and other offering materials at the time of each bond sale, and its obligations to provide continuing disclosure as described below</w:t>
            </w:r>
            <w:r w:rsidR="00EF1CE6">
              <w:rPr>
                <w:rFonts w:ascii="Times New Roman" w:hAnsi="Times New Roman"/>
                <w:sz w:val="24"/>
                <w:szCs w:val="24"/>
              </w:rPr>
              <w:t xml:space="preserve"> under “Continuing Disclosure</w:t>
            </w:r>
            <w:r w:rsidRPr="00C376E2">
              <w:rPr>
                <w:rFonts w:ascii="Times New Roman" w:hAnsi="Times New Roman"/>
                <w:sz w:val="24"/>
                <w:szCs w:val="24"/>
              </w:rPr>
              <w:t>,</w:t>
            </w:r>
            <w:r w:rsidR="00EF1CE6">
              <w:rPr>
                <w:rFonts w:ascii="Times New Roman" w:hAnsi="Times New Roman"/>
                <w:sz w:val="24"/>
                <w:szCs w:val="24"/>
              </w:rPr>
              <w:t>”</w:t>
            </w:r>
            <w:r w:rsidRPr="00C376E2">
              <w:rPr>
                <w:rFonts w:ascii="Times New Roman" w:hAnsi="Times New Roman"/>
                <w:sz w:val="24"/>
                <w:szCs w:val="24"/>
              </w:rPr>
              <w:t xml:space="preserve"> the Trust maintains an ongoing investor relations effort, including its participation in the commonwealth’s annual investor’s conference in Boston.  This is designed to provide greater knowledge of the </w:t>
            </w:r>
            <w:r w:rsidR="00EF1CE6">
              <w:rPr>
                <w:rFonts w:ascii="Times New Roman" w:hAnsi="Times New Roman"/>
                <w:sz w:val="24"/>
                <w:szCs w:val="24"/>
              </w:rPr>
              <w:t>SRF</w:t>
            </w:r>
            <w:r w:rsidRPr="00C376E2">
              <w:rPr>
                <w:rFonts w:ascii="Times New Roman" w:hAnsi="Times New Roman"/>
                <w:sz w:val="24"/>
                <w:szCs w:val="24"/>
              </w:rPr>
              <w:t xml:space="preserve"> loan program, specifically to investors outside of the normal sale cycle.  In addition, the Trust works closely with the book-running underwriter in the marketing of bonds prior to </w:t>
            </w:r>
            <w:r w:rsidR="00751EAB">
              <w:rPr>
                <w:rFonts w:ascii="Times New Roman" w:hAnsi="Times New Roman"/>
                <w:sz w:val="24"/>
                <w:szCs w:val="24"/>
              </w:rPr>
              <w:t>a negotiated</w:t>
            </w:r>
            <w:r w:rsidRPr="00C376E2">
              <w:rPr>
                <w:rFonts w:ascii="Times New Roman" w:hAnsi="Times New Roman"/>
                <w:sz w:val="24"/>
                <w:szCs w:val="24"/>
              </w:rPr>
              <w:t xml:space="preserve"> sale, including extensive outreach and support of those assessing the Trust’s credit at the time of a sale.  The Trust also posts its annual financial statements and annual report on its web site.</w:t>
            </w:r>
          </w:p>
        </w:tc>
      </w:tr>
      <w:tr w:rsidR="000234A4" w:rsidRPr="003B174D" w14:paraId="1DBD2672" w14:textId="77777777" w:rsidTr="009A155E">
        <w:tc>
          <w:tcPr>
            <w:tcW w:w="630" w:type="dxa"/>
          </w:tcPr>
          <w:p w14:paraId="688B2AE3" w14:textId="77777777" w:rsidR="000234A4" w:rsidRDefault="000234A4" w:rsidP="000C6A90">
            <w:pPr>
              <w:pStyle w:val="NoSpacing"/>
              <w:jc w:val="both"/>
              <w:rPr>
                <w:rFonts w:ascii="Times New Roman" w:hAnsi="Times New Roman"/>
                <w:sz w:val="24"/>
                <w:szCs w:val="24"/>
              </w:rPr>
            </w:pPr>
          </w:p>
        </w:tc>
        <w:tc>
          <w:tcPr>
            <w:tcW w:w="8568" w:type="dxa"/>
          </w:tcPr>
          <w:p w14:paraId="3DF93D9B" w14:textId="77777777" w:rsidR="000234A4" w:rsidRPr="000234A4" w:rsidRDefault="000234A4" w:rsidP="000C6A90">
            <w:pPr>
              <w:pStyle w:val="NoSpacing"/>
              <w:jc w:val="both"/>
              <w:rPr>
                <w:rFonts w:ascii="Times New Roman" w:hAnsi="Times New Roman"/>
                <w:sz w:val="24"/>
                <w:szCs w:val="24"/>
              </w:rPr>
            </w:pPr>
          </w:p>
        </w:tc>
      </w:tr>
      <w:tr w:rsidR="00656D1A" w:rsidRPr="003B174D" w14:paraId="09A4300F" w14:textId="77777777" w:rsidTr="009A155E">
        <w:tc>
          <w:tcPr>
            <w:tcW w:w="630" w:type="dxa"/>
          </w:tcPr>
          <w:p w14:paraId="7C78B3A9" w14:textId="77777777" w:rsidR="00656D1A" w:rsidRDefault="00656D1A" w:rsidP="000C6A90">
            <w:pPr>
              <w:pStyle w:val="NoSpacing"/>
              <w:jc w:val="both"/>
              <w:rPr>
                <w:rFonts w:ascii="Times New Roman" w:hAnsi="Times New Roman"/>
                <w:sz w:val="24"/>
                <w:szCs w:val="24"/>
              </w:rPr>
            </w:pPr>
            <w:r>
              <w:rPr>
                <w:rFonts w:ascii="Times New Roman" w:hAnsi="Times New Roman"/>
                <w:sz w:val="24"/>
                <w:szCs w:val="24"/>
              </w:rPr>
              <w:t xml:space="preserve">11. </w:t>
            </w:r>
          </w:p>
        </w:tc>
        <w:tc>
          <w:tcPr>
            <w:tcW w:w="8568" w:type="dxa"/>
          </w:tcPr>
          <w:p w14:paraId="3D9148D7" w14:textId="77777777" w:rsidR="00656D1A" w:rsidRDefault="00656D1A" w:rsidP="000C6A90">
            <w:pPr>
              <w:pStyle w:val="NoSpacing"/>
              <w:jc w:val="both"/>
              <w:rPr>
                <w:rFonts w:ascii="Times New Roman" w:hAnsi="Times New Roman"/>
                <w:b/>
                <w:sz w:val="24"/>
                <w:szCs w:val="24"/>
              </w:rPr>
            </w:pPr>
            <w:r>
              <w:rPr>
                <w:rFonts w:ascii="Times New Roman" w:hAnsi="Times New Roman"/>
                <w:b/>
                <w:sz w:val="24"/>
                <w:szCs w:val="24"/>
              </w:rPr>
              <w:t>Derivatives.</w:t>
            </w:r>
          </w:p>
        </w:tc>
      </w:tr>
      <w:tr w:rsidR="00656D1A" w:rsidRPr="003B174D" w14:paraId="3AC412A3" w14:textId="77777777" w:rsidTr="009A155E">
        <w:tc>
          <w:tcPr>
            <w:tcW w:w="630" w:type="dxa"/>
          </w:tcPr>
          <w:p w14:paraId="7AD45BA7" w14:textId="77777777" w:rsidR="00656D1A" w:rsidRDefault="00656D1A" w:rsidP="000C6A90">
            <w:pPr>
              <w:pStyle w:val="NoSpacing"/>
              <w:jc w:val="both"/>
              <w:rPr>
                <w:rFonts w:ascii="Times New Roman" w:hAnsi="Times New Roman"/>
                <w:sz w:val="24"/>
                <w:szCs w:val="24"/>
              </w:rPr>
            </w:pPr>
          </w:p>
        </w:tc>
        <w:tc>
          <w:tcPr>
            <w:tcW w:w="8568" w:type="dxa"/>
          </w:tcPr>
          <w:p w14:paraId="3FCD1C50" w14:textId="77777777" w:rsidR="00656D1A" w:rsidRDefault="00656D1A" w:rsidP="000C6A90">
            <w:pPr>
              <w:pStyle w:val="NoSpacing"/>
              <w:jc w:val="both"/>
              <w:rPr>
                <w:rFonts w:ascii="Times New Roman" w:hAnsi="Times New Roman"/>
                <w:b/>
                <w:sz w:val="24"/>
                <w:szCs w:val="24"/>
              </w:rPr>
            </w:pPr>
          </w:p>
        </w:tc>
      </w:tr>
      <w:tr w:rsidR="00C376E2" w:rsidRPr="003B174D" w14:paraId="0B448CB2" w14:textId="77777777" w:rsidTr="009A155E">
        <w:tc>
          <w:tcPr>
            <w:tcW w:w="630" w:type="dxa"/>
          </w:tcPr>
          <w:p w14:paraId="0F0BCE6F" w14:textId="77777777" w:rsidR="00C376E2" w:rsidRDefault="00C376E2" w:rsidP="000C6A90">
            <w:pPr>
              <w:pStyle w:val="NoSpacing"/>
              <w:jc w:val="both"/>
              <w:rPr>
                <w:rFonts w:ascii="Times New Roman" w:hAnsi="Times New Roman"/>
                <w:sz w:val="24"/>
                <w:szCs w:val="24"/>
              </w:rPr>
            </w:pPr>
          </w:p>
        </w:tc>
        <w:tc>
          <w:tcPr>
            <w:tcW w:w="8568" w:type="dxa"/>
          </w:tcPr>
          <w:p w14:paraId="52FB3C49" w14:textId="77777777" w:rsidR="00C376E2" w:rsidRPr="00C376E2" w:rsidRDefault="00C376E2" w:rsidP="00196014">
            <w:pPr>
              <w:pStyle w:val="NoSpacing"/>
              <w:jc w:val="both"/>
              <w:rPr>
                <w:rFonts w:ascii="Times New Roman" w:hAnsi="Times New Roman"/>
                <w:sz w:val="24"/>
                <w:szCs w:val="24"/>
              </w:rPr>
            </w:pPr>
            <w:r>
              <w:rPr>
                <w:rFonts w:ascii="Times New Roman" w:hAnsi="Times New Roman"/>
                <w:sz w:val="24"/>
                <w:szCs w:val="24"/>
              </w:rPr>
              <w:t xml:space="preserve">A. </w:t>
            </w:r>
            <w:r w:rsidR="00054F27" w:rsidRPr="00196014">
              <w:rPr>
                <w:rFonts w:ascii="Times New Roman" w:hAnsi="Times New Roman"/>
                <w:sz w:val="24"/>
                <w:szCs w:val="24"/>
                <w:u w:val="single"/>
              </w:rPr>
              <w:t xml:space="preserve">The </w:t>
            </w:r>
            <w:r w:rsidRPr="00196014">
              <w:rPr>
                <w:rFonts w:ascii="Times New Roman" w:hAnsi="Times New Roman"/>
                <w:sz w:val="24"/>
                <w:szCs w:val="24"/>
                <w:u w:val="single"/>
              </w:rPr>
              <w:t>Trust’s Derivative Financial Products</w:t>
            </w:r>
            <w:r>
              <w:rPr>
                <w:rFonts w:ascii="Times New Roman" w:hAnsi="Times New Roman"/>
                <w:sz w:val="24"/>
                <w:szCs w:val="24"/>
              </w:rPr>
              <w:t xml:space="preserve">. </w:t>
            </w:r>
          </w:p>
        </w:tc>
      </w:tr>
      <w:tr w:rsidR="00054F27" w:rsidRPr="003B174D" w14:paraId="385BA13E" w14:textId="77777777" w:rsidTr="009A155E">
        <w:tc>
          <w:tcPr>
            <w:tcW w:w="630" w:type="dxa"/>
          </w:tcPr>
          <w:p w14:paraId="5FD649C6" w14:textId="77777777" w:rsidR="00054F27" w:rsidRDefault="00054F27" w:rsidP="000C6A90">
            <w:pPr>
              <w:pStyle w:val="NoSpacing"/>
              <w:jc w:val="both"/>
              <w:rPr>
                <w:rFonts w:ascii="Times New Roman" w:hAnsi="Times New Roman"/>
                <w:sz w:val="24"/>
                <w:szCs w:val="24"/>
              </w:rPr>
            </w:pPr>
          </w:p>
        </w:tc>
        <w:tc>
          <w:tcPr>
            <w:tcW w:w="8568" w:type="dxa"/>
          </w:tcPr>
          <w:p w14:paraId="3AD92B37" w14:textId="77777777" w:rsidR="00054F27" w:rsidRDefault="00054F27" w:rsidP="000C6A90">
            <w:pPr>
              <w:pStyle w:val="NoSpacing"/>
              <w:jc w:val="both"/>
              <w:rPr>
                <w:rFonts w:ascii="Times New Roman" w:hAnsi="Times New Roman"/>
                <w:sz w:val="24"/>
                <w:szCs w:val="24"/>
              </w:rPr>
            </w:pPr>
          </w:p>
        </w:tc>
      </w:tr>
      <w:tr w:rsidR="00054F27" w:rsidRPr="003B174D" w14:paraId="2C478A73" w14:textId="77777777" w:rsidTr="009A155E">
        <w:tc>
          <w:tcPr>
            <w:tcW w:w="630" w:type="dxa"/>
          </w:tcPr>
          <w:p w14:paraId="2E458D35" w14:textId="77777777" w:rsidR="00054F27" w:rsidRDefault="00054F27" w:rsidP="000C6A90">
            <w:pPr>
              <w:pStyle w:val="NoSpacing"/>
              <w:jc w:val="both"/>
              <w:rPr>
                <w:rFonts w:ascii="Times New Roman" w:hAnsi="Times New Roman"/>
                <w:sz w:val="24"/>
                <w:szCs w:val="24"/>
              </w:rPr>
            </w:pPr>
          </w:p>
        </w:tc>
        <w:tc>
          <w:tcPr>
            <w:tcW w:w="8568" w:type="dxa"/>
          </w:tcPr>
          <w:tbl>
            <w:tblPr>
              <w:tblW w:w="0" w:type="auto"/>
              <w:tblLook w:val="04A0" w:firstRow="1" w:lastRow="0" w:firstColumn="1" w:lastColumn="0" w:noHBand="0" w:noVBand="1"/>
            </w:tblPr>
            <w:tblGrid>
              <w:gridCol w:w="604"/>
              <w:gridCol w:w="7537"/>
            </w:tblGrid>
            <w:tr w:rsidR="00B80B0B" w14:paraId="0810C3E0" w14:textId="77777777" w:rsidTr="00186F85">
              <w:tc>
                <w:tcPr>
                  <w:tcW w:w="607" w:type="dxa"/>
                </w:tcPr>
                <w:p w14:paraId="3D47013F" w14:textId="77777777" w:rsidR="00B80B0B" w:rsidRPr="00186F85" w:rsidRDefault="00B80B0B" w:rsidP="00186F85">
                  <w:pPr>
                    <w:pStyle w:val="NoSpacing"/>
                    <w:jc w:val="both"/>
                    <w:rPr>
                      <w:rFonts w:ascii="Times New Roman" w:hAnsi="Times New Roman"/>
                      <w:sz w:val="24"/>
                      <w:szCs w:val="24"/>
                    </w:rPr>
                  </w:pPr>
                  <w:r w:rsidRPr="00186F85">
                    <w:rPr>
                      <w:rFonts w:ascii="Times New Roman" w:hAnsi="Times New Roman"/>
                      <w:sz w:val="24"/>
                      <w:szCs w:val="24"/>
                    </w:rPr>
                    <w:t>(</w:t>
                  </w:r>
                  <w:proofErr w:type="spellStart"/>
                  <w:r w:rsidRPr="00186F85">
                    <w:rPr>
                      <w:rFonts w:ascii="Times New Roman" w:hAnsi="Times New Roman"/>
                      <w:sz w:val="24"/>
                      <w:szCs w:val="24"/>
                    </w:rPr>
                    <w:t>i</w:t>
                  </w:r>
                  <w:proofErr w:type="spellEnd"/>
                  <w:r w:rsidRPr="00186F85">
                    <w:rPr>
                      <w:rFonts w:ascii="Times New Roman" w:hAnsi="Times New Roman"/>
                      <w:sz w:val="24"/>
                      <w:szCs w:val="24"/>
                    </w:rPr>
                    <w:t xml:space="preserve">) </w:t>
                  </w:r>
                </w:p>
              </w:tc>
              <w:tc>
                <w:tcPr>
                  <w:tcW w:w="7730" w:type="dxa"/>
                </w:tcPr>
                <w:p w14:paraId="6807A34E" w14:textId="77777777" w:rsidR="00B80B0B" w:rsidRPr="00186F85" w:rsidRDefault="007D3D26" w:rsidP="002B3935">
                  <w:pPr>
                    <w:pStyle w:val="NoSpacing"/>
                    <w:jc w:val="both"/>
                    <w:rPr>
                      <w:rFonts w:ascii="Times New Roman" w:hAnsi="Times New Roman"/>
                      <w:sz w:val="24"/>
                      <w:szCs w:val="24"/>
                    </w:rPr>
                  </w:pPr>
                  <w:r w:rsidRPr="00186F85">
                    <w:rPr>
                      <w:rFonts w:ascii="Times New Roman" w:hAnsi="Times New Roman"/>
                      <w:sz w:val="24"/>
                      <w:szCs w:val="24"/>
                    </w:rPr>
                    <w:t xml:space="preserve">As of the date of this Policy, </w:t>
                  </w:r>
                  <w:r w:rsidR="00B80B0B" w:rsidRPr="00186F85">
                    <w:rPr>
                      <w:rFonts w:ascii="Times New Roman" w:hAnsi="Times New Roman"/>
                      <w:sz w:val="24"/>
                      <w:szCs w:val="24"/>
                    </w:rPr>
                    <w:t xml:space="preserve">the Trust has limited exposure to </w:t>
                  </w:r>
                  <w:r w:rsidR="005A55BB" w:rsidRPr="00186F85">
                    <w:rPr>
                      <w:rFonts w:ascii="Times New Roman" w:hAnsi="Times New Roman"/>
                      <w:sz w:val="24"/>
                      <w:szCs w:val="24"/>
                    </w:rPr>
                    <w:t>D</w:t>
                  </w:r>
                  <w:r w:rsidR="00B80B0B" w:rsidRPr="00186F85">
                    <w:rPr>
                      <w:rFonts w:ascii="Times New Roman" w:hAnsi="Times New Roman"/>
                      <w:sz w:val="24"/>
                      <w:szCs w:val="24"/>
                    </w:rPr>
                    <w:t xml:space="preserve">erivative </w:t>
                  </w:r>
                  <w:r w:rsidR="005A55BB" w:rsidRPr="00186F85">
                    <w:rPr>
                      <w:rFonts w:ascii="Times New Roman" w:hAnsi="Times New Roman"/>
                      <w:sz w:val="24"/>
                      <w:szCs w:val="24"/>
                    </w:rPr>
                    <w:t>F</w:t>
                  </w:r>
                  <w:r w:rsidR="00B80B0B" w:rsidRPr="00186F85">
                    <w:rPr>
                      <w:rFonts w:ascii="Times New Roman" w:hAnsi="Times New Roman"/>
                      <w:sz w:val="24"/>
                      <w:szCs w:val="24"/>
                    </w:rPr>
                    <w:t xml:space="preserve">inancial </w:t>
                  </w:r>
                  <w:r w:rsidR="005A55BB" w:rsidRPr="00186F85">
                    <w:rPr>
                      <w:rFonts w:ascii="Times New Roman" w:hAnsi="Times New Roman"/>
                      <w:sz w:val="24"/>
                      <w:szCs w:val="24"/>
                    </w:rPr>
                    <w:t>P</w:t>
                  </w:r>
                  <w:r w:rsidR="00B80B0B" w:rsidRPr="00186F85">
                    <w:rPr>
                      <w:rFonts w:ascii="Times New Roman" w:hAnsi="Times New Roman"/>
                      <w:sz w:val="24"/>
                      <w:szCs w:val="24"/>
                    </w:rPr>
                    <w:t xml:space="preserve">roducts, as defined by </w:t>
                  </w:r>
                  <w:r w:rsidR="00B3132A">
                    <w:rPr>
                      <w:rFonts w:ascii="Times New Roman" w:hAnsi="Times New Roman"/>
                      <w:sz w:val="24"/>
                      <w:szCs w:val="24"/>
                    </w:rPr>
                    <w:t>the F&amp;G Regulations</w:t>
                  </w:r>
                  <w:r w:rsidR="00B80B0B" w:rsidRPr="00186F85">
                    <w:rPr>
                      <w:rFonts w:ascii="Times New Roman" w:hAnsi="Times New Roman"/>
                      <w:sz w:val="24"/>
                      <w:szCs w:val="24"/>
                    </w:rPr>
                    <w:t>.</w:t>
                  </w:r>
                  <w:r w:rsidR="00B80B0B" w:rsidRPr="00186F85">
                    <w:rPr>
                      <w:rStyle w:val="FootnoteReference"/>
                      <w:rFonts w:ascii="Times New Roman" w:hAnsi="Times New Roman"/>
                      <w:sz w:val="24"/>
                      <w:szCs w:val="24"/>
                    </w:rPr>
                    <w:footnoteReference w:id="3"/>
                  </w:r>
                  <w:r w:rsidR="00B80B0B" w:rsidRPr="00186F85">
                    <w:rPr>
                      <w:rFonts w:ascii="Times New Roman" w:hAnsi="Times New Roman"/>
                      <w:sz w:val="24"/>
                      <w:szCs w:val="24"/>
                    </w:rPr>
                    <w:t xml:space="preserve"> Trust debt is, with </w:t>
                  </w:r>
                  <w:r w:rsidR="00BB779C">
                    <w:rPr>
                      <w:rFonts w:ascii="Times New Roman" w:hAnsi="Times New Roman"/>
                      <w:sz w:val="24"/>
                      <w:szCs w:val="24"/>
                    </w:rPr>
                    <w:t xml:space="preserve">one </w:t>
                  </w:r>
                  <w:r w:rsidR="00B80B0B" w:rsidRPr="00186F85">
                    <w:rPr>
                      <w:rFonts w:ascii="Times New Roman" w:hAnsi="Times New Roman"/>
                      <w:sz w:val="24"/>
                      <w:szCs w:val="24"/>
                    </w:rPr>
                    <w:t xml:space="preserve">exception, fixed rate debt.  The </w:t>
                  </w:r>
                  <w:r w:rsidR="002B70DE" w:rsidRPr="00186F85">
                    <w:rPr>
                      <w:rFonts w:ascii="Times New Roman" w:hAnsi="Times New Roman"/>
                      <w:sz w:val="24"/>
                      <w:szCs w:val="24"/>
                    </w:rPr>
                    <w:t xml:space="preserve">current </w:t>
                  </w:r>
                  <w:r w:rsidR="00B80B0B" w:rsidRPr="00186F85">
                    <w:rPr>
                      <w:rFonts w:ascii="Times New Roman" w:hAnsi="Times New Roman"/>
                      <w:sz w:val="24"/>
                      <w:szCs w:val="24"/>
                    </w:rPr>
                    <w:t xml:space="preserve">exception </w:t>
                  </w:r>
                  <w:r w:rsidR="00BB779C">
                    <w:rPr>
                      <w:rFonts w:ascii="Times New Roman" w:hAnsi="Times New Roman"/>
                      <w:sz w:val="24"/>
                      <w:szCs w:val="24"/>
                    </w:rPr>
                    <w:t xml:space="preserve">is for </w:t>
                  </w:r>
                  <w:r w:rsidR="00B80B0B" w:rsidRPr="00186F85">
                    <w:rPr>
                      <w:rFonts w:ascii="Times New Roman" w:hAnsi="Times New Roman"/>
                      <w:sz w:val="24"/>
                      <w:szCs w:val="24"/>
                    </w:rPr>
                    <w:t>two maturities of the Trust’s Series 2006 Refunding Bonds.  The</w:t>
                  </w:r>
                  <w:r w:rsidRPr="00186F85">
                    <w:rPr>
                      <w:rFonts w:ascii="Times New Roman" w:hAnsi="Times New Roman"/>
                      <w:sz w:val="24"/>
                      <w:szCs w:val="24"/>
                    </w:rPr>
                    <w:t xml:space="preserve">se maturities have </w:t>
                  </w:r>
                  <w:r w:rsidR="00B80B0B" w:rsidRPr="00186F85">
                    <w:rPr>
                      <w:rFonts w:ascii="Times New Roman" w:hAnsi="Times New Roman"/>
                      <w:sz w:val="24"/>
                      <w:szCs w:val="24"/>
                    </w:rPr>
                    <w:t>an interest rate swap associated with th</w:t>
                  </w:r>
                  <w:r w:rsidRPr="00186F85">
                    <w:rPr>
                      <w:rFonts w:ascii="Times New Roman" w:hAnsi="Times New Roman"/>
                      <w:sz w:val="24"/>
                      <w:szCs w:val="24"/>
                    </w:rPr>
                    <w:t>em</w:t>
                  </w:r>
                  <w:r w:rsidR="00B80B0B" w:rsidRPr="00186F85">
                    <w:rPr>
                      <w:rFonts w:ascii="Times New Roman" w:hAnsi="Times New Roman"/>
                      <w:sz w:val="24"/>
                      <w:szCs w:val="24"/>
                    </w:rPr>
                    <w:t xml:space="preserve"> that synthetically sets the interest to a fixed rate (the “2006 Swap”).  </w:t>
                  </w:r>
                  <w:r w:rsidRPr="00186F85">
                    <w:rPr>
                      <w:rFonts w:ascii="Times New Roman" w:hAnsi="Times New Roman"/>
                      <w:sz w:val="24"/>
                      <w:szCs w:val="24"/>
                    </w:rPr>
                    <w:t xml:space="preserve">The Trust has no current plans to enter into future swap agreements or other </w:t>
                  </w:r>
                  <w:r w:rsidR="005A55BB" w:rsidRPr="00186F85">
                    <w:rPr>
                      <w:rFonts w:ascii="Times New Roman" w:hAnsi="Times New Roman"/>
                      <w:sz w:val="24"/>
                      <w:szCs w:val="24"/>
                    </w:rPr>
                    <w:t>Derivative Financial Products</w:t>
                  </w:r>
                  <w:r w:rsidRPr="00186F85">
                    <w:rPr>
                      <w:rFonts w:ascii="Times New Roman" w:hAnsi="Times New Roman"/>
                      <w:sz w:val="24"/>
                      <w:szCs w:val="24"/>
                    </w:rPr>
                    <w:t>.</w:t>
                  </w:r>
                </w:p>
              </w:tc>
            </w:tr>
            <w:tr w:rsidR="00B80B0B" w14:paraId="603E70C7" w14:textId="77777777" w:rsidTr="00186F85">
              <w:tc>
                <w:tcPr>
                  <w:tcW w:w="607" w:type="dxa"/>
                </w:tcPr>
                <w:p w14:paraId="0637285E" w14:textId="77777777" w:rsidR="00B80B0B" w:rsidRPr="00186F85" w:rsidRDefault="00B80B0B" w:rsidP="00186F85">
                  <w:pPr>
                    <w:pStyle w:val="NoSpacing"/>
                    <w:jc w:val="both"/>
                    <w:rPr>
                      <w:rFonts w:ascii="Times New Roman" w:hAnsi="Times New Roman"/>
                      <w:sz w:val="24"/>
                      <w:szCs w:val="24"/>
                    </w:rPr>
                  </w:pPr>
                </w:p>
              </w:tc>
              <w:tc>
                <w:tcPr>
                  <w:tcW w:w="7730" w:type="dxa"/>
                </w:tcPr>
                <w:p w14:paraId="0D145646" w14:textId="77777777" w:rsidR="00B80B0B" w:rsidRPr="00186F85" w:rsidRDefault="00B80B0B" w:rsidP="00186F85">
                  <w:pPr>
                    <w:pStyle w:val="NoSpacing"/>
                    <w:jc w:val="both"/>
                    <w:rPr>
                      <w:rFonts w:ascii="Times New Roman" w:hAnsi="Times New Roman"/>
                      <w:sz w:val="24"/>
                      <w:szCs w:val="24"/>
                    </w:rPr>
                  </w:pPr>
                </w:p>
              </w:tc>
            </w:tr>
            <w:tr w:rsidR="00B80B0B" w14:paraId="19B67B34" w14:textId="77777777" w:rsidTr="00186F85">
              <w:tc>
                <w:tcPr>
                  <w:tcW w:w="607" w:type="dxa"/>
                </w:tcPr>
                <w:p w14:paraId="567968B8" w14:textId="77777777" w:rsidR="00B80B0B" w:rsidRPr="00186F85" w:rsidRDefault="007D3D26" w:rsidP="00186F85">
                  <w:pPr>
                    <w:pStyle w:val="NoSpacing"/>
                    <w:jc w:val="both"/>
                    <w:rPr>
                      <w:rFonts w:ascii="Times New Roman" w:hAnsi="Times New Roman"/>
                      <w:sz w:val="24"/>
                      <w:szCs w:val="24"/>
                    </w:rPr>
                  </w:pPr>
                  <w:r w:rsidRPr="00186F85">
                    <w:rPr>
                      <w:rFonts w:ascii="Times New Roman" w:hAnsi="Times New Roman"/>
                      <w:sz w:val="24"/>
                      <w:szCs w:val="24"/>
                    </w:rPr>
                    <w:t xml:space="preserve">(ii) </w:t>
                  </w:r>
                </w:p>
              </w:tc>
              <w:tc>
                <w:tcPr>
                  <w:tcW w:w="7730" w:type="dxa"/>
                </w:tcPr>
                <w:p w14:paraId="0AB3404D" w14:textId="77777777" w:rsidR="00B80B0B" w:rsidRPr="00186F85" w:rsidRDefault="007D3D26" w:rsidP="003C4D01">
                  <w:pPr>
                    <w:pStyle w:val="NoSpacing"/>
                    <w:jc w:val="both"/>
                    <w:rPr>
                      <w:rFonts w:ascii="Times New Roman" w:hAnsi="Times New Roman"/>
                      <w:sz w:val="24"/>
                      <w:szCs w:val="24"/>
                    </w:rPr>
                  </w:pPr>
                  <w:r w:rsidRPr="00186F85">
                    <w:rPr>
                      <w:rFonts w:ascii="Times New Roman" w:hAnsi="Times New Roman"/>
                      <w:sz w:val="24"/>
                      <w:szCs w:val="24"/>
                      <w:u w:val="single"/>
                    </w:rPr>
                    <w:t>The 2006 Swap</w:t>
                  </w:r>
                  <w:r w:rsidRPr="00186F85">
                    <w:rPr>
                      <w:rFonts w:ascii="Times New Roman" w:hAnsi="Times New Roman"/>
                      <w:sz w:val="24"/>
                      <w:szCs w:val="24"/>
                    </w:rPr>
                    <w:t xml:space="preserve">. </w:t>
                  </w:r>
                  <w:r w:rsidR="00BB779C">
                    <w:rPr>
                      <w:rFonts w:ascii="Times New Roman" w:hAnsi="Times New Roman"/>
                      <w:sz w:val="24"/>
                      <w:szCs w:val="24"/>
                    </w:rPr>
                    <w:t xml:space="preserve">The 2006 Swap was entered into between </w:t>
                  </w:r>
                  <w:r w:rsidR="00BB779C" w:rsidRPr="00BB779C">
                    <w:rPr>
                      <w:rFonts w:ascii="Times New Roman" w:hAnsi="Times New Roman"/>
                      <w:sz w:val="24"/>
                      <w:szCs w:val="24"/>
                    </w:rPr>
                    <w:t xml:space="preserve">Bear Stearns Capital Markets Inc. </w:t>
                  </w:r>
                  <w:r w:rsidR="00BB779C">
                    <w:rPr>
                      <w:rFonts w:ascii="Times New Roman" w:hAnsi="Times New Roman"/>
                      <w:sz w:val="24"/>
                      <w:szCs w:val="24"/>
                    </w:rPr>
                    <w:t>(now J.P. Morgan Chase</w:t>
                  </w:r>
                  <w:r w:rsidR="00EF1CE6">
                    <w:rPr>
                      <w:rFonts w:ascii="Times New Roman" w:hAnsi="Times New Roman"/>
                      <w:sz w:val="24"/>
                      <w:szCs w:val="24"/>
                    </w:rPr>
                    <w:t xml:space="preserve"> &amp; Co., by merger</w:t>
                  </w:r>
                  <w:r w:rsidR="00BB779C">
                    <w:rPr>
                      <w:rFonts w:ascii="Times New Roman" w:hAnsi="Times New Roman"/>
                      <w:sz w:val="24"/>
                      <w:szCs w:val="24"/>
                    </w:rPr>
                    <w:t xml:space="preserve">) </w:t>
                  </w:r>
                  <w:r w:rsidR="00BB779C" w:rsidRPr="00BB779C">
                    <w:rPr>
                      <w:rFonts w:ascii="Times New Roman" w:hAnsi="Times New Roman"/>
                      <w:sz w:val="24"/>
                      <w:szCs w:val="24"/>
                    </w:rPr>
                    <w:t>and the Trust</w:t>
                  </w:r>
                  <w:r w:rsidR="00BB779C">
                    <w:rPr>
                      <w:rFonts w:ascii="Times New Roman" w:hAnsi="Times New Roman"/>
                      <w:sz w:val="24"/>
                      <w:szCs w:val="24"/>
                    </w:rPr>
                    <w:t xml:space="preserve"> on November 21, 2006. </w:t>
                  </w:r>
                  <w:r w:rsidR="00BB779C" w:rsidRPr="00BB779C">
                    <w:rPr>
                      <w:rFonts w:ascii="Times New Roman" w:hAnsi="Times New Roman"/>
                      <w:sz w:val="24"/>
                      <w:szCs w:val="24"/>
                    </w:rPr>
                    <w:t xml:space="preserve"> </w:t>
                  </w:r>
                  <w:r w:rsidRPr="00186F85">
                    <w:rPr>
                      <w:rFonts w:ascii="Times New Roman" w:hAnsi="Times New Roman"/>
                      <w:sz w:val="24"/>
                      <w:szCs w:val="24"/>
                    </w:rPr>
                    <w:t xml:space="preserve">As of February 1, </w:t>
                  </w:r>
                  <w:proofErr w:type="gramStart"/>
                  <w:r w:rsidRPr="00186F85">
                    <w:rPr>
                      <w:rFonts w:ascii="Times New Roman" w:hAnsi="Times New Roman"/>
                      <w:sz w:val="24"/>
                      <w:szCs w:val="24"/>
                    </w:rPr>
                    <w:t>2014</w:t>
                  </w:r>
                  <w:proofErr w:type="gramEnd"/>
                  <w:r w:rsidRPr="00186F85">
                    <w:rPr>
                      <w:rFonts w:ascii="Times New Roman" w:hAnsi="Times New Roman"/>
                      <w:sz w:val="24"/>
                      <w:szCs w:val="24"/>
                    </w:rPr>
                    <w:t xml:space="preserve"> the notional amount or contract principal of the 2006 Swap is $77,255,000, representing $30,650,000 for the 2022 maturity and $46,605,000 for the 2023 maturity.  </w:t>
                  </w:r>
                  <w:r w:rsidR="003C4D01">
                    <w:rPr>
                      <w:rFonts w:ascii="Times New Roman" w:hAnsi="Times New Roman"/>
                      <w:sz w:val="24"/>
                      <w:szCs w:val="24"/>
                    </w:rPr>
                    <w:t xml:space="preserve">The intention of the 2006 Swap was to hedge the Trust’s exposure to interest rate risk by effectively changing the Trust’s variable rate bonds maturing in 2022 and 2023 to a synthetic fixed rate to the Trust of 3.88% and 3.90%, respectively.  </w:t>
                  </w:r>
                  <w:proofErr w:type="gramStart"/>
                  <w:r w:rsidR="003C4D01">
                    <w:rPr>
                      <w:rFonts w:ascii="Times New Roman" w:hAnsi="Times New Roman"/>
                      <w:sz w:val="24"/>
                      <w:szCs w:val="24"/>
                    </w:rPr>
                    <w:t>The 2022</w:t>
                  </w:r>
                  <w:proofErr w:type="gramEnd"/>
                  <w:r w:rsidR="003C4D01">
                    <w:rPr>
                      <w:rFonts w:ascii="Times New Roman" w:hAnsi="Times New Roman"/>
                      <w:sz w:val="24"/>
                      <w:szCs w:val="24"/>
                    </w:rPr>
                    <w:t xml:space="preserve"> and 2023 maturities carry an interest rate indexed to the Municipal Consumer Price Index (Muni-CPI). </w:t>
                  </w:r>
                </w:p>
              </w:tc>
            </w:tr>
          </w:tbl>
          <w:p w14:paraId="08A13A55" w14:textId="77777777" w:rsidR="00054F27" w:rsidRDefault="00054F27" w:rsidP="00665E87">
            <w:pPr>
              <w:pStyle w:val="NoSpacing"/>
              <w:jc w:val="both"/>
              <w:rPr>
                <w:rFonts w:ascii="Times New Roman" w:hAnsi="Times New Roman"/>
                <w:sz w:val="24"/>
                <w:szCs w:val="24"/>
              </w:rPr>
            </w:pPr>
          </w:p>
        </w:tc>
      </w:tr>
      <w:tr w:rsidR="00B80B0B" w:rsidRPr="003B174D" w14:paraId="2A9CB547" w14:textId="77777777" w:rsidTr="009A155E">
        <w:tc>
          <w:tcPr>
            <w:tcW w:w="630" w:type="dxa"/>
          </w:tcPr>
          <w:p w14:paraId="4F9720C3" w14:textId="77777777" w:rsidR="00B80B0B" w:rsidRDefault="00B80B0B" w:rsidP="000C6A90">
            <w:pPr>
              <w:pStyle w:val="NoSpacing"/>
              <w:jc w:val="both"/>
              <w:rPr>
                <w:rFonts w:ascii="Times New Roman" w:hAnsi="Times New Roman"/>
                <w:sz w:val="24"/>
                <w:szCs w:val="24"/>
              </w:rPr>
            </w:pPr>
          </w:p>
        </w:tc>
        <w:tc>
          <w:tcPr>
            <w:tcW w:w="8568" w:type="dxa"/>
          </w:tcPr>
          <w:p w14:paraId="73D0C183" w14:textId="77777777" w:rsidR="00B80B0B" w:rsidRDefault="00B80B0B" w:rsidP="000C6A90">
            <w:pPr>
              <w:pStyle w:val="NoSpacing"/>
              <w:jc w:val="both"/>
              <w:rPr>
                <w:rFonts w:ascii="Times New Roman" w:hAnsi="Times New Roman"/>
                <w:sz w:val="24"/>
                <w:szCs w:val="24"/>
                <w:u w:val="single"/>
              </w:rPr>
            </w:pPr>
          </w:p>
        </w:tc>
      </w:tr>
      <w:tr w:rsidR="00C376E2" w:rsidRPr="003B174D" w14:paraId="42C0C3D0" w14:textId="77777777" w:rsidTr="009A155E">
        <w:tc>
          <w:tcPr>
            <w:tcW w:w="630" w:type="dxa"/>
          </w:tcPr>
          <w:p w14:paraId="58E333D7" w14:textId="77777777" w:rsidR="00C376E2" w:rsidRDefault="00C376E2" w:rsidP="000C6A90">
            <w:pPr>
              <w:pStyle w:val="NoSpacing"/>
              <w:jc w:val="both"/>
              <w:rPr>
                <w:rFonts w:ascii="Times New Roman" w:hAnsi="Times New Roman"/>
                <w:sz w:val="24"/>
                <w:szCs w:val="24"/>
              </w:rPr>
            </w:pPr>
          </w:p>
        </w:tc>
        <w:tc>
          <w:tcPr>
            <w:tcW w:w="8568" w:type="dxa"/>
          </w:tcPr>
          <w:p w14:paraId="1F48B126" w14:textId="77777777" w:rsidR="00C376E2" w:rsidRPr="00C376E2" w:rsidRDefault="00C376E2" w:rsidP="000C6A90">
            <w:pPr>
              <w:pStyle w:val="NoSpacing"/>
              <w:jc w:val="both"/>
              <w:rPr>
                <w:rFonts w:ascii="Times New Roman" w:hAnsi="Times New Roman"/>
                <w:sz w:val="24"/>
                <w:szCs w:val="24"/>
              </w:rPr>
            </w:pPr>
            <w:r>
              <w:rPr>
                <w:rFonts w:ascii="Times New Roman" w:hAnsi="Times New Roman"/>
                <w:sz w:val="24"/>
                <w:szCs w:val="24"/>
              </w:rPr>
              <w:t xml:space="preserve">B.  </w:t>
            </w:r>
            <w:r w:rsidRPr="00C376E2">
              <w:rPr>
                <w:rFonts w:ascii="Times New Roman" w:hAnsi="Times New Roman"/>
                <w:sz w:val="24"/>
                <w:szCs w:val="24"/>
                <w:u w:val="single"/>
              </w:rPr>
              <w:t>Compliance with Finance and Governance Board</w:t>
            </w:r>
            <w:r>
              <w:rPr>
                <w:rFonts w:ascii="Times New Roman" w:hAnsi="Times New Roman"/>
                <w:sz w:val="24"/>
                <w:szCs w:val="24"/>
              </w:rPr>
              <w:t>.</w:t>
            </w:r>
          </w:p>
        </w:tc>
      </w:tr>
      <w:tr w:rsidR="00F309A3" w:rsidRPr="003B174D" w14:paraId="04524688" w14:textId="77777777" w:rsidTr="009A155E">
        <w:tc>
          <w:tcPr>
            <w:tcW w:w="630" w:type="dxa"/>
          </w:tcPr>
          <w:p w14:paraId="7824E790" w14:textId="77777777" w:rsidR="00F309A3" w:rsidRDefault="00F309A3" w:rsidP="000C6A90">
            <w:pPr>
              <w:pStyle w:val="NoSpacing"/>
              <w:jc w:val="both"/>
              <w:rPr>
                <w:rFonts w:ascii="Times New Roman" w:hAnsi="Times New Roman"/>
                <w:sz w:val="24"/>
                <w:szCs w:val="24"/>
              </w:rPr>
            </w:pPr>
          </w:p>
        </w:tc>
        <w:tc>
          <w:tcPr>
            <w:tcW w:w="8568" w:type="dxa"/>
          </w:tcPr>
          <w:p w14:paraId="3AD479D2" w14:textId="77777777" w:rsidR="00F309A3" w:rsidRDefault="00F309A3" w:rsidP="000C6A90">
            <w:pPr>
              <w:pStyle w:val="NoSpacing"/>
              <w:jc w:val="both"/>
              <w:rPr>
                <w:rFonts w:ascii="Times New Roman" w:hAnsi="Times New Roman"/>
                <w:sz w:val="24"/>
                <w:szCs w:val="24"/>
              </w:rPr>
            </w:pPr>
          </w:p>
        </w:tc>
      </w:tr>
      <w:tr w:rsidR="00F309A3" w:rsidRPr="003B174D" w14:paraId="71FE99AE" w14:textId="77777777" w:rsidTr="009A155E">
        <w:tc>
          <w:tcPr>
            <w:tcW w:w="630" w:type="dxa"/>
          </w:tcPr>
          <w:p w14:paraId="63688FB1" w14:textId="77777777" w:rsidR="00F309A3" w:rsidRDefault="00F309A3" w:rsidP="000C6A90">
            <w:pPr>
              <w:pStyle w:val="NoSpacing"/>
              <w:jc w:val="both"/>
              <w:rPr>
                <w:rFonts w:ascii="Times New Roman" w:hAnsi="Times New Roman"/>
                <w:sz w:val="24"/>
                <w:szCs w:val="24"/>
              </w:rPr>
            </w:pPr>
          </w:p>
        </w:tc>
        <w:tc>
          <w:tcPr>
            <w:tcW w:w="8568" w:type="dxa"/>
          </w:tcPr>
          <w:tbl>
            <w:tblPr>
              <w:tblW w:w="0" w:type="auto"/>
              <w:tblLook w:val="04A0" w:firstRow="1" w:lastRow="0" w:firstColumn="1" w:lastColumn="0" w:noHBand="0" w:noVBand="1"/>
            </w:tblPr>
            <w:tblGrid>
              <w:gridCol w:w="576"/>
              <w:gridCol w:w="7565"/>
            </w:tblGrid>
            <w:tr w:rsidR="00B26F87" w14:paraId="19B7ECB1" w14:textId="77777777" w:rsidTr="005063FB">
              <w:tc>
                <w:tcPr>
                  <w:tcW w:w="517" w:type="dxa"/>
                </w:tcPr>
                <w:p w14:paraId="3D5D73A9" w14:textId="77777777" w:rsidR="00B26F87" w:rsidRPr="005063FB" w:rsidRDefault="00B26F87" w:rsidP="005063FB">
                  <w:pPr>
                    <w:pStyle w:val="NoSpacing"/>
                    <w:jc w:val="both"/>
                    <w:rPr>
                      <w:rFonts w:ascii="Times New Roman" w:hAnsi="Times New Roman"/>
                      <w:sz w:val="24"/>
                      <w:szCs w:val="24"/>
                    </w:rPr>
                  </w:pPr>
                  <w:r w:rsidRPr="005063FB">
                    <w:rPr>
                      <w:rFonts w:ascii="Times New Roman" w:hAnsi="Times New Roman"/>
                      <w:sz w:val="24"/>
                      <w:szCs w:val="24"/>
                    </w:rPr>
                    <w:t>(</w:t>
                  </w:r>
                  <w:proofErr w:type="spellStart"/>
                  <w:r w:rsidRPr="005063FB">
                    <w:rPr>
                      <w:rFonts w:ascii="Times New Roman" w:hAnsi="Times New Roman"/>
                      <w:sz w:val="24"/>
                      <w:szCs w:val="24"/>
                    </w:rPr>
                    <w:t>i</w:t>
                  </w:r>
                  <w:proofErr w:type="spellEnd"/>
                  <w:r w:rsidRPr="005063FB">
                    <w:rPr>
                      <w:rFonts w:ascii="Times New Roman" w:hAnsi="Times New Roman"/>
                      <w:sz w:val="24"/>
                      <w:szCs w:val="24"/>
                    </w:rPr>
                    <w:t>)</w:t>
                  </w:r>
                </w:p>
              </w:tc>
              <w:tc>
                <w:tcPr>
                  <w:tcW w:w="7820" w:type="dxa"/>
                </w:tcPr>
                <w:p w14:paraId="452AE59F" w14:textId="77777777" w:rsidR="00B26F87" w:rsidRPr="005063FB" w:rsidRDefault="00B26F87" w:rsidP="003A081A">
                  <w:pPr>
                    <w:jc w:val="both"/>
                  </w:pPr>
                  <w:r w:rsidRPr="005063FB">
                    <w:t xml:space="preserve">If the Trust </w:t>
                  </w:r>
                  <w:r w:rsidR="00B3132A">
                    <w:t xml:space="preserve">elects to </w:t>
                  </w:r>
                  <w:r w:rsidR="00BA3832">
                    <w:t xml:space="preserve">restructure </w:t>
                  </w:r>
                  <w:r w:rsidRPr="005063FB">
                    <w:t>the 2006 Swap</w:t>
                  </w:r>
                  <w:r w:rsidR="00BA3832">
                    <w:t xml:space="preserve">, or any Derivative Financial Product it may enter into in the future, </w:t>
                  </w:r>
                  <w:r w:rsidR="00B3132A">
                    <w:t xml:space="preserve">it will submit a letter to the Finance and Governance Board, signed by the executive director, prior to the restructuring that </w:t>
                  </w:r>
                  <w:r w:rsidR="00B3132A" w:rsidRPr="00D65F6C">
                    <w:t>demonstrate</w:t>
                  </w:r>
                  <w:r w:rsidR="00B3132A">
                    <w:t>s</w:t>
                  </w:r>
                  <w:r w:rsidR="00B3132A" w:rsidRPr="00D65F6C">
                    <w:t xml:space="preserve"> (</w:t>
                  </w:r>
                  <w:r w:rsidR="00B3132A">
                    <w:t>a</w:t>
                  </w:r>
                  <w:r w:rsidR="00B3132A" w:rsidRPr="00D65F6C">
                    <w:t xml:space="preserve">) the restructuring </w:t>
                  </w:r>
                  <w:r w:rsidR="00B3132A">
                    <w:t xml:space="preserve">will </w:t>
                  </w:r>
                  <w:r w:rsidR="00B3132A" w:rsidRPr="00D65F6C">
                    <w:t>result in a reduction of risk or (</w:t>
                  </w:r>
                  <w:r w:rsidR="00B3132A">
                    <w:t>b</w:t>
                  </w:r>
                  <w:r w:rsidR="00B3132A" w:rsidRPr="00D65F6C">
                    <w:t>) based on a cost-benefit analysis, the benefits of such restructuring significantly outweigh</w:t>
                  </w:r>
                  <w:r w:rsidR="00B3132A">
                    <w:t>s</w:t>
                  </w:r>
                  <w:r w:rsidR="00B3132A" w:rsidRPr="00D65F6C">
                    <w:t xml:space="preserve"> any additional risks posed by such restructuring, and any additional risks are manageable and reasonable. </w:t>
                  </w:r>
                </w:p>
              </w:tc>
            </w:tr>
            <w:tr w:rsidR="00B26F87" w14:paraId="19A5CABB" w14:textId="77777777" w:rsidTr="005063FB">
              <w:tc>
                <w:tcPr>
                  <w:tcW w:w="517" w:type="dxa"/>
                </w:tcPr>
                <w:p w14:paraId="3FFFF34E" w14:textId="77777777" w:rsidR="00B26F87" w:rsidRPr="005063FB" w:rsidRDefault="00B26F87" w:rsidP="005063FB">
                  <w:pPr>
                    <w:pStyle w:val="NoSpacing"/>
                    <w:jc w:val="both"/>
                    <w:rPr>
                      <w:rFonts w:ascii="Times New Roman" w:hAnsi="Times New Roman"/>
                      <w:sz w:val="24"/>
                      <w:szCs w:val="24"/>
                    </w:rPr>
                  </w:pPr>
                </w:p>
              </w:tc>
              <w:tc>
                <w:tcPr>
                  <w:tcW w:w="7820" w:type="dxa"/>
                </w:tcPr>
                <w:p w14:paraId="5925C93B" w14:textId="77777777" w:rsidR="00B26F87" w:rsidRPr="005063FB" w:rsidRDefault="00B26F87" w:rsidP="005063FB">
                  <w:pPr>
                    <w:pStyle w:val="NoSpacing"/>
                    <w:jc w:val="both"/>
                    <w:rPr>
                      <w:rFonts w:ascii="Times New Roman" w:hAnsi="Times New Roman"/>
                      <w:sz w:val="24"/>
                      <w:szCs w:val="24"/>
                    </w:rPr>
                  </w:pPr>
                </w:p>
              </w:tc>
            </w:tr>
            <w:tr w:rsidR="00B26F87" w14:paraId="1571FB7A" w14:textId="77777777" w:rsidTr="005063FB">
              <w:tc>
                <w:tcPr>
                  <w:tcW w:w="517" w:type="dxa"/>
                </w:tcPr>
                <w:p w14:paraId="085F29CD" w14:textId="77777777" w:rsidR="00B26F87" w:rsidRPr="005063FB" w:rsidRDefault="00B26F87" w:rsidP="005063FB">
                  <w:pPr>
                    <w:pStyle w:val="NoSpacing"/>
                    <w:jc w:val="both"/>
                    <w:rPr>
                      <w:rFonts w:ascii="Times New Roman" w:hAnsi="Times New Roman"/>
                      <w:sz w:val="24"/>
                      <w:szCs w:val="24"/>
                    </w:rPr>
                  </w:pPr>
                  <w:r w:rsidRPr="005063FB">
                    <w:rPr>
                      <w:rFonts w:ascii="Times New Roman" w:hAnsi="Times New Roman"/>
                      <w:sz w:val="24"/>
                      <w:szCs w:val="24"/>
                    </w:rPr>
                    <w:t>(ii)</w:t>
                  </w:r>
                </w:p>
              </w:tc>
              <w:tc>
                <w:tcPr>
                  <w:tcW w:w="7820" w:type="dxa"/>
                </w:tcPr>
                <w:p w14:paraId="45D343FC" w14:textId="77777777" w:rsidR="00B3132A" w:rsidRDefault="00B3132A" w:rsidP="00B3132A">
                  <w:pPr>
                    <w:pStyle w:val="NoSpacing"/>
                    <w:jc w:val="both"/>
                    <w:rPr>
                      <w:rFonts w:ascii="Times New Roman" w:hAnsi="Times New Roman"/>
                      <w:sz w:val="24"/>
                      <w:szCs w:val="24"/>
                    </w:rPr>
                  </w:pPr>
                  <w:r>
                    <w:rPr>
                      <w:rFonts w:ascii="Times New Roman" w:hAnsi="Times New Roman"/>
                      <w:sz w:val="24"/>
                      <w:szCs w:val="24"/>
                    </w:rPr>
                    <w:t xml:space="preserve">If the Trust elects to </w:t>
                  </w:r>
                  <w:proofErr w:type="gramStart"/>
                  <w:r w:rsidR="00BA3832" w:rsidRPr="00BA3832">
                    <w:rPr>
                      <w:rFonts w:ascii="Times New Roman" w:hAnsi="Times New Roman"/>
                      <w:sz w:val="24"/>
                      <w:szCs w:val="24"/>
                    </w:rPr>
                    <w:t>enter into</w:t>
                  </w:r>
                  <w:proofErr w:type="gramEnd"/>
                  <w:r w:rsidR="00BA3832" w:rsidRPr="00BA3832">
                    <w:rPr>
                      <w:rFonts w:ascii="Times New Roman" w:hAnsi="Times New Roman"/>
                      <w:sz w:val="24"/>
                      <w:szCs w:val="24"/>
                    </w:rPr>
                    <w:t xml:space="preserve"> a new financial transaction that involves a new Derivative Financial Product, the Trust will </w:t>
                  </w:r>
                  <w:r>
                    <w:rPr>
                      <w:rFonts w:ascii="Times New Roman" w:hAnsi="Times New Roman"/>
                      <w:sz w:val="24"/>
                      <w:szCs w:val="24"/>
                    </w:rPr>
                    <w:t>take the following steps</w:t>
                  </w:r>
                  <w:r w:rsidR="00BA3832" w:rsidRPr="00BA3832">
                    <w:rPr>
                      <w:rFonts w:ascii="Times New Roman" w:hAnsi="Times New Roman"/>
                      <w:sz w:val="24"/>
                      <w:szCs w:val="24"/>
                    </w:rPr>
                    <w:t xml:space="preserve">:  </w:t>
                  </w:r>
                </w:p>
                <w:tbl>
                  <w:tblPr>
                    <w:tblW w:w="0" w:type="auto"/>
                    <w:tblLook w:val="04A0" w:firstRow="1" w:lastRow="0" w:firstColumn="1" w:lastColumn="0" w:noHBand="0" w:noVBand="1"/>
                  </w:tblPr>
                  <w:tblGrid>
                    <w:gridCol w:w="461"/>
                    <w:gridCol w:w="6888"/>
                  </w:tblGrid>
                  <w:tr w:rsidR="00B3132A" w14:paraId="2C427545" w14:textId="77777777" w:rsidTr="006303DE">
                    <w:tc>
                      <w:tcPr>
                        <w:tcW w:w="463" w:type="dxa"/>
                      </w:tcPr>
                      <w:p w14:paraId="54E40252" w14:textId="77777777" w:rsidR="00B3132A" w:rsidRPr="006303DE" w:rsidRDefault="00B3132A" w:rsidP="006303DE">
                        <w:pPr>
                          <w:pStyle w:val="NoSpacing"/>
                          <w:jc w:val="both"/>
                          <w:rPr>
                            <w:rFonts w:ascii="Times New Roman" w:hAnsi="Times New Roman"/>
                            <w:sz w:val="24"/>
                            <w:szCs w:val="24"/>
                          </w:rPr>
                        </w:pPr>
                      </w:p>
                    </w:tc>
                    <w:tc>
                      <w:tcPr>
                        <w:tcW w:w="7082" w:type="dxa"/>
                      </w:tcPr>
                      <w:p w14:paraId="4A39F395" w14:textId="77777777" w:rsidR="00B3132A" w:rsidRPr="006303DE" w:rsidRDefault="00B3132A" w:rsidP="006303DE">
                        <w:pPr>
                          <w:pStyle w:val="NoSpacing"/>
                          <w:jc w:val="both"/>
                          <w:rPr>
                            <w:rFonts w:ascii="Times New Roman" w:hAnsi="Times New Roman"/>
                            <w:sz w:val="24"/>
                            <w:szCs w:val="24"/>
                          </w:rPr>
                        </w:pPr>
                      </w:p>
                    </w:tc>
                  </w:tr>
                  <w:tr w:rsidR="00B3132A" w14:paraId="34748542" w14:textId="77777777" w:rsidTr="006303DE">
                    <w:tc>
                      <w:tcPr>
                        <w:tcW w:w="463" w:type="dxa"/>
                      </w:tcPr>
                      <w:p w14:paraId="0C999F40" w14:textId="77777777" w:rsidR="00B3132A" w:rsidRPr="006303DE" w:rsidRDefault="00B3132A" w:rsidP="006303DE">
                        <w:pPr>
                          <w:pStyle w:val="NoSpacing"/>
                          <w:jc w:val="both"/>
                          <w:rPr>
                            <w:rFonts w:ascii="Times New Roman" w:hAnsi="Times New Roman"/>
                            <w:sz w:val="24"/>
                            <w:szCs w:val="24"/>
                          </w:rPr>
                        </w:pPr>
                        <w:r w:rsidRPr="006303DE">
                          <w:rPr>
                            <w:rFonts w:ascii="Times New Roman" w:hAnsi="Times New Roman"/>
                            <w:sz w:val="24"/>
                            <w:szCs w:val="24"/>
                          </w:rPr>
                          <w:t>a.</w:t>
                        </w:r>
                      </w:p>
                    </w:tc>
                    <w:tc>
                      <w:tcPr>
                        <w:tcW w:w="7082" w:type="dxa"/>
                      </w:tcPr>
                      <w:p w14:paraId="7C7F2327" w14:textId="77777777" w:rsidR="00B3132A" w:rsidRPr="006303DE" w:rsidRDefault="003A081A" w:rsidP="006303DE">
                        <w:pPr>
                          <w:pStyle w:val="NoSpacing"/>
                          <w:jc w:val="both"/>
                          <w:rPr>
                            <w:rFonts w:ascii="Times New Roman" w:hAnsi="Times New Roman"/>
                            <w:sz w:val="24"/>
                            <w:szCs w:val="24"/>
                          </w:rPr>
                        </w:pPr>
                        <w:r w:rsidRPr="006303DE">
                          <w:rPr>
                            <w:rFonts w:ascii="Times New Roman" w:hAnsi="Times New Roman"/>
                            <w:sz w:val="24"/>
                            <w:szCs w:val="24"/>
                          </w:rPr>
                          <w:t>p</w:t>
                        </w:r>
                        <w:r w:rsidR="00284540" w:rsidRPr="006303DE">
                          <w:rPr>
                            <w:rFonts w:ascii="Times New Roman" w:hAnsi="Times New Roman"/>
                            <w:sz w:val="24"/>
                            <w:szCs w:val="24"/>
                          </w:rPr>
                          <w:t xml:space="preserve">repare </w:t>
                        </w:r>
                        <w:r w:rsidR="00B3132A" w:rsidRPr="006303DE">
                          <w:rPr>
                            <w:rFonts w:ascii="Times New Roman" w:hAnsi="Times New Roman"/>
                            <w:sz w:val="24"/>
                            <w:szCs w:val="24"/>
                          </w:rPr>
                          <w:t xml:space="preserve">a derivatives policy that </w:t>
                        </w:r>
                        <w:proofErr w:type="gramStart"/>
                        <w:r w:rsidR="00B3132A" w:rsidRPr="006303DE">
                          <w:rPr>
                            <w:rFonts w:ascii="Times New Roman" w:hAnsi="Times New Roman"/>
                            <w:sz w:val="24"/>
                            <w:szCs w:val="24"/>
                          </w:rPr>
                          <w:t>is in compliance with</w:t>
                        </w:r>
                        <w:proofErr w:type="gramEnd"/>
                        <w:r w:rsidR="00B3132A" w:rsidRPr="006303DE">
                          <w:rPr>
                            <w:rFonts w:ascii="Times New Roman" w:hAnsi="Times New Roman"/>
                            <w:sz w:val="24"/>
                            <w:szCs w:val="24"/>
                          </w:rPr>
                          <w:t xml:space="preserve"> the </w:t>
                        </w:r>
                        <w:r w:rsidR="00284540" w:rsidRPr="006303DE">
                          <w:rPr>
                            <w:rFonts w:ascii="Times New Roman" w:hAnsi="Times New Roman"/>
                            <w:sz w:val="24"/>
                            <w:szCs w:val="24"/>
                          </w:rPr>
                          <w:t xml:space="preserve">F&amp;G Regulations </w:t>
                        </w:r>
                        <w:r w:rsidR="00B3132A" w:rsidRPr="006303DE">
                          <w:rPr>
                            <w:rFonts w:ascii="Times New Roman" w:hAnsi="Times New Roman"/>
                            <w:sz w:val="24"/>
                            <w:szCs w:val="24"/>
                          </w:rPr>
                          <w:t xml:space="preserve">or determine that this Policy’s provisions on </w:t>
                        </w:r>
                        <w:r w:rsidR="00284540" w:rsidRPr="006303DE">
                          <w:rPr>
                            <w:rFonts w:ascii="Times New Roman" w:hAnsi="Times New Roman"/>
                            <w:sz w:val="24"/>
                            <w:szCs w:val="24"/>
                          </w:rPr>
                          <w:t>d</w:t>
                        </w:r>
                        <w:r w:rsidR="00B3132A" w:rsidRPr="006303DE">
                          <w:rPr>
                            <w:rFonts w:ascii="Times New Roman" w:hAnsi="Times New Roman"/>
                            <w:sz w:val="24"/>
                            <w:szCs w:val="24"/>
                          </w:rPr>
                          <w:t xml:space="preserve">erivatives </w:t>
                        </w:r>
                        <w:proofErr w:type="gramStart"/>
                        <w:r w:rsidR="002B2F9F" w:rsidRPr="006303DE">
                          <w:rPr>
                            <w:rFonts w:ascii="Times New Roman" w:hAnsi="Times New Roman"/>
                            <w:sz w:val="24"/>
                            <w:szCs w:val="24"/>
                          </w:rPr>
                          <w:t>does</w:t>
                        </w:r>
                        <w:proofErr w:type="gramEnd"/>
                        <w:r w:rsidR="00B3132A" w:rsidRPr="006303DE">
                          <w:rPr>
                            <w:rFonts w:ascii="Times New Roman" w:hAnsi="Times New Roman"/>
                            <w:sz w:val="24"/>
                            <w:szCs w:val="24"/>
                          </w:rPr>
                          <w:t xml:space="preserve"> or can be amended to comply with the F&amp;G Regulations</w:t>
                        </w:r>
                        <w:r w:rsidR="00284540" w:rsidRPr="006303DE">
                          <w:rPr>
                            <w:rFonts w:ascii="Times New Roman" w:hAnsi="Times New Roman"/>
                            <w:sz w:val="24"/>
                            <w:szCs w:val="24"/>
                          </w:rPr>
                          <w:t>; whereupon the derivatives policy will be submitted to the Board for adoption by the Trust;</w:t>
                        </w:r>
                        <w:r w:rsidR="00EF1CE6" w:rsidRPr="006303DE">
                          <w:rPr>
                            <w:rStyle w:val="FootnoteReference"/>
                            <w:rFonts w:ascii="Times New Roman" w:hAnsi="Times New Roman"/>
                            <w:sz w:val="24"/>
                            <w:szCs w:val="24"/>
                          </w:rPr>
                          <w:footnoteReference w:id="4"/>
                        </w:r>
                      </w:p>
                    </w:tc>
                  </w:tr>
                  <w:tr w:rsidR="00B3132A" w14:paraId="4E84F53B" w14:textId="77777777" w:rsidTr="006303DE">
                    <w:tc>
                      <w:tcPr>
                        <w:tcW w:w="463" w:type="dxa"/>
                      </w:tcPr>
                      <w:p w14:paraId="7528F2A4" w14:textId="77777777" w:rsidR="00B3132A" w:rsidRPr="006303DE" w:rsidRDefault="00B3132A" w:rsidP="006303DE">
                        <w:pPr>
                          <w:pStyle w:val="NoSpacing"/>
                          <w:jc w:val="both"/>
                          <w:rPr>
                            <w:rFonts w:ascii="Times New Roman" w:hAnsi="Times New Roman"/>
                            <w:sz w:val="24"/>
                            <w:szCs w:val="24"/>
                          </w:rPr>
                        </w:pPr>
                      </w:p>
                    </w:tc>
                    <w:tc>
                      <w:tcPr>
                        <w:tcW w:w="7082" w:type="dxa"/>
                      </w:tcPr>
                      <w:p w14:paraId="3EF16A39" w14:textId="77777777" w:rsidR="00B3132A" w:rsidRPr="006303DE" w:rsidRDefault="00B3132A" w:rsidP="006303DE">
                        <w:pPr>
                          <w:pStyle w:val="NoSpacing"/>
                          <w:jc w:val="both"/>
                          <w:rPr>
                            <w:rFonts w:ascii="Times New Roman" w:hAnsi="Times New Roman"/>
                            <w:sz w:val="24"/>
                            <w:szCs w:val="24"/>
                          </w:rPr>
                        </w:pPr>
                      </w:p>
                    </w:tc>
                  </w:tr>
                  <w:tr w:rsidR="00B3132A" w14:paraId="4EB48413" w14:textId="77777777" w:rsidTr="006303DE">
                    <w:tc>
                      <w:tcPr>
                        <w:tcW w:w="463" w:type="dxa"/>
                      </w:tcPr>
                      <w:p w14:paraId="5DC0C12F" w14:textId="77777777" w:rsidR="00B3132A" w:rsidRPr="006303DE" w:rsidRDefault="00284540" w:rsidP="006303DE">
                        <w:pPr>
                          <w:pStyle w:val="NoSpacing"/>
                          <w:jc w:val="both"/>
                          <w:rPr>
                            <w:rFonts w:ascii="Times New Roman" w:hAnsi="Times New Roman"/>
                            <w:sz w:val="24"/>
                            <w:szCs w:val="24"/>
                          </w:rPr>
                        </w:pPr>
                        <w:r w:rsidRPr="006303DE">
                          <w:rPr>
                            <w:rFonts w:ascii="Times New Roman" w:hAnsi="Times New Roman"/>
                            <w:sz w:val="24"/>
                            <w:szCs w:val="24"/>
                          </w:rPr>
                          <w:t>b.</w:t>
                        </w:r>
                      </w:p>
                    </w:tc>
                    <w:tc>
                      <w:tcPr>
                        <w:tcW w:w="7082" w:type="dxa"/>
                      </w:tcPr>
                      <w:p w14:paraId="46BFFF5E" w14:textId="77777777" w:rsidR="00B3132A" w:rsidRPr="006303DE" w:rsidRDefault="003A081A" w:rsidP="006303DE">
                        <w:pPr>
                          <w:pStyle w:val="NoSpacing"/>
                          <w:jc w:val="both"/>
                          <w:rPr>
                            <w:rFonts w:ascii="Times New Roman" w:hAnsi="Times New Roman"/>
                            <w:sz w:val="24"/>
                            <w:szCs w:val="24"/>
                          </w:rPr>
                        </w:pPr>
                        <w:r w:rsidRPr="006303DE">
                          <w:rPr>
                            <w:rFonts w:ascii="Times New Roman" w:hAnsi="Times New Roman"/>
                            <w:sz w:val="24"/>
                            <w:szCs w:val="24"/>
                          </w:rPr>
                          <w:t>s</w:t>
                        </w:r>
                        <w:r w:rsidR="00284540" w:rsidRPr="006303DE">
                          <w:rPr>
                            <w:rFonts w:ascii="Times New Roman" w:hAnsi="Times New Roman"/>
                            <w:sz w:val="24"/>
                            <w:szCs w:val="24"/>
                          </w:rPr>
                          <w:t>ubmit to the Finance and Governance Board a written analysis of the transaction by an independent financial advisor with relevant expertise with such financial advisor’s recommendation on whether the Trust should enter into such a transaction; such an analysis should include, without limitation, (I) a detailed description of the Derivative Financial Product</w:t>
                        </w:r>
                        <w:r w:rsidR="008B03B6" w:rsidRPr="006303DE">
                          <w:rPr>
                            <w:rFonts w:ascii="Times New Roman" w:hAnsi="Times New Roman"/>
                            <w:sz w:val="24"/>
                            <w:szCs w:val="24"/>
                          </w:rPr>
                          <w:t>,</w:t>
                        </w:r>
                        <w:r w:rsidR="00284540" w:rsidRPr="006303DE">
                          <w:rPr>
                            <w:rFonts w:ascii="Times New Roman" w:hAnsi="Times New Roman"/>
                            <w:sz w:val="24"/>
                            <w:szCs w:val="24"/>
                          </w:rPr>
                          <w:t xml:space="preserve"> (II) a description of risks, strategies for mitigating any such risks, and benefits of the transaction, and (III) scenario analyses or stress tests demonstrating the impact on the Trust of extreme market events or conditions</w:t>
                        </w:r>
                        <w:r w:rsidRPr="006303DE">
                          <w:rPr>
                            <w:rFonts w:ascii="Times New Roman" w:hAnsi="Times New Roman"/>
                            <w:sz w:val="24"/>
                            <w:szCs w:val="24"/>
                          </w:rPr>
                          <w:t>;</w:t>
                        </w:r>
                        <w:r w:rsidR="00EF1CE6" w:rsidRPr="006303DE">
                          <w:rPr>
                            <w:rStyle w:val="FootnoteReference"/>
                            <w:rFonts w:ascii="Times New Roman" w:hAnsi="Times New Roman"/>
                            <w:sz w:val="24"/>
                            <w:szCs w:val="24"/>
                          </w:rPr>
                          <w:footnoteReference w:id="5"/>
                        </w:r>
                        <w:r w:rsidRPr="006303DE">
                          <w:rPr>
                            <w:rFonts w:ascii="Times New Roman" w:hAnsi="Times New Roman"/>
                            <w:sz w:val="24"/>
                            <w:szCs w:val="24"/>
                          </w:rPr>
                          <w:t xml:space="preserve"> and</w:t>
                        </w:r>
                      </w:p>
                    </w:tc>
                  </w:tr>
                  <w:tr w:rsidR="008B03B6" w14:paraId="64BE6A57" w14:textId="77777777" w:rsidTr="006303DE">
                    <w:tc>
                      <w:tcPr>
                        <w:tcW w:w="463" w:type="dxa"/>
                      </w:tcPr>
                      <w:p w14:paraId="7E3BBF50" w14:textId="77777777" w:rsidR="008B03B6" w:rsidRPr="006303DE" w:rsidRDefault="008B03B6" w:rsidP="006303DE">
                        <w:pPr>
                          <w:pStyle w:val="NoSpacing"/>
                          <w:jc w:val="both"/>
                          <w:rPr>
                            <w:rFonts w:ascii="Times New Roman" w:hAnsi="Times New Roman"/>
                            <w:sz w:val="24"/>
                            <w:szCs w:val="24"/>
                          </w:rPr>
                        </w:pPr>
                      </w:p>
                    </w:tc>
                    <w:tc>
                      <w:tcPr>
                        <w:tcW w:w="7082" w:type="dxa"/>
                      </w:tcPr>
                      <w:p w14:paraId="55276E47" w14:textId="77777777" w:rsidR="008B03B6" w:rsidRPr="006303DE" w:rsidRDefault="008B03B6" w:rsidP="006303DE">
                        <w:pPr>
                          <w:pStyle w:val="NoSpacing"/>
                          <w:jc w:val="both"/>
                          <w:rPr>
                            <w:rFonts w:ascii="Times New Roman" w:hAnsi="Times New Roman"/>
                            <w:sz w:val="24"/>
                            <w:szCs w:val="24"/>
                          </w:rPr>
                        </w:pPr>
                      </w:p>
                    </w:tc>
                  </w:tr>
                  <w:tr w:rsidR="008B03B6" w14:paraId="65CB34B2" w14:textId="77777777" w:rsidTr="006303DE">
                    <w:tc>
                      <w:tcPr>
                        <w:tcW w:w="463" w:type="dxa"/>
                      </w:tcPr>
                      <w:p w14:paraId="78026F8F" w14:textId="77777777" w:rsidR="008B03B6" w:rsidRPr="006303DE" w:rsidRDefault="008B03B6" w:rsidP="006303DE">
                        <w:pPr>
                          <w:pStyle w:val="NoSpacing"/>
                          <w:jc w:val="both"/>
                          <w:rPr>
                            <w:rFonts w:ascii="Times New Roman" w:hAnsi="Times New Roman"/>
                            <w:sz w:val="24"/>
                            <w:szCs w:val="24"/>
                          </w:rPr>
                        </w:pPr>
                        <w:r w:rsidRPr="006303DE">
                          <w:rPr>
                            <w:rFonts w:ascii="Times New Roman" w:hAnsi="Times New Roman"/>
                            <w:sz w:val="24"/>
                            <w:szCs w:val="24"/>
                          </w:rPr>
                          <w:t xml:space="preserve">c. </w:t>
                        </w:r>
                      </w:p>
                    </w:tc>
                    <w:tc>
                      <w:tcPr>
                        <w:tcW w:w="7082" w:type="dxa"/>
                      </w:tcPr>
                      <w:p w14:paraId="107EA6A1" w14:textId="77777777" w:rsidR="008B03B6" w:rsidRPr="006303DE" w:rsidRDefault="003A081A" w:rsidP="006303DE">
                        <w:pPr>
                          <w:pStyle w:val="NoSpacing"/>
                          <w:jc w:val="both"/>
                          <w:rPr>
                            <w:rFonts w:ascii="Times New Roman" w:hAnsi="Times New Roman"/>
                            <w:sz w:val="24"/>
                            <w:szCs w:val="24"/>
                          </w:rPr>
                        </w:pPr>
                        <w:r w:rsidRPr="006303DE">
                          <w:rPr>
                            <w:rFonts w:ascii="Times New Roman" w:hAnsi="Times New Roman"/>
                            <w:sz w:val="24"/>
                            <w:szCs w:val="24"/>
                          </w:rPr>
                          <w:t>f</w:t>
                        </w:r>
                        <w:r w:rsidR="008B03B6" w:rsidRPr="006303DE">
                          <w:rPr>
                            <w:rFonts w:ascii="Times New Roman" w:hAnsi="Times New Roman"/>
                            <w:sz w:val="24"/>
                            <w:szCs w:val="24"/>
                          </w:rPr>
                          <w:t>ile with the Finance and Governance Board a certified copy of the relevant Board minutes showing that the written analysis and recommendation of the independent financial advisor was presented to the Board</w:t>
                        </w:r>
                        <w:r w:rsidR="00EF1CE6" w:rsidRPr="006303DE">
                          <w:rPr>
                            <w:rFonts w:ascii="Times New Roman" w:hAnsi="Times New Roman"/>
                            <w:sz w:val="24"/>
                            <w:szCs w:val="24"/>
                          </w:rPr>
                          <w:t xml:space="preserve"> and evidence </w:t>
                        </w:r>
                        <w:r w:rsidR="008B03B6" w:rsidRPr="006303DE">
                          <w:rPr>
                            <w:rFonts w:ascii="Times New Roman" w:hAnsi="Times New Roman"/>
                            <w:sz w:val="24"/>
                            <w:szCs w:val="24"/>
                          </w:rPr>
                          <w:t xml:space="preserve">(I) that the transaction is consistent with the Trust’s core mission, (II) that the structure of the Derivative Financial Product is consistent with the Trust’s derivatives policy, </w:t>
                        </w:r>
                        <w:r w:rsidR="00EF1CE6" w:rsidRPr="006303DE">
                          <w:rPr>
                            <w:rFonts w:ascii="Times New Roman" w:hAnsi="Times New Roman"/>
                            <w:sz w:val="24"/>
                            <w:szCs w:val="24"/>
                          </w:rPr>
                          <w:t>(III</w:t>
                        </w:r>
                        <w:r w:rsidR="008B03B6" w:rsidRPr="006303DE">
                          <w:rPr>
                            <w:rFonts w:ascii="Times New Roman" w:hAnsi="Times New Roman"/>
                            <w:sz w:val="24"/>
                            <w:szCs w:val="24"/>
                          </w:rPr>
                          <w:t xml:space="preserve">) that </w:t>
                        </w:r>
                        <w:r w:rsidR="00EF1CE6" w:rsidRPr="006303DE">
                          <w:rPr>
                            <w:rFonts w:ascii="Times New Roman" w:hAnsi="Times New Roman"/>
                            <w:sz w:val="24"/>
                            <w:szCs w:val="24"/>
                          </w:rPr>
                          <w:t>the benefit</w:t>
                        </w:r>
                        <w:r w:rsidRPr="006303DE">
                          <w:rPr>
                            <w:rFonts w:ascii="Times New Roman" w:hAnsi="Times New Roman"/>
                            <w:sz w:val="24"/>
                            <w:szCs w:val="24"/>
                          </w:rPr>
                          <w:t>s of the Derivative Financial P</w:t>
                        </w:r>
                        <w:r w:rsidR="00EF1CE6" w:rsidRPr="006303DE">
                          <w:rPr>
                            <w:rFonts w:ascii="Times New Roman" w:hAnsi="Times New Roman"/>
                            <w:sz w:val="24"/>
                            <w:szCs w:val="24"/>
                          </w:rPr>
                          <w:t>r</w:t>
                        </w:r>
                        <w:r w:rsidRPr="006303DE">
                          <w:rPr>
                            <w:rFonts w:ascii="Times New Roman" w:hAnsi="Times New Roman"/>
                            <w:sz w:val="24"/>
                            <w:szCs w:val="24"/>
                          </w:rPr>
                          <w:t>o</w:t>
                        </w:r>
                        <w:r w:rsidR="00EF1CE6" w:rsidRPr="006303DE">
                          <w:rPr>
                            <w:rFonts w:ascii="Times New Roman" w:hAnsi="Times New Roman"/>
                            <w:sz w:val="24"/>
                            <w:szCs w:val="24"/>
                          </w:rPr>
                          <w:t xml:space="preserve">duct cannot be substantially achieved without the use of a Derivative Financial Product, </w:t>
                        </w:r>
                        <w:r w:rsidR="008B03B6" w:rsidRPr="006303DE">
                          <w:rPr>
                            <w:rFonts w:ascii="Times New Roman" w:hAnsi="Times New Roman"/>
                            <w:sz w:val="24"/>
                            <w:szCs w:val="24"/>
                          </w:rPr>
                          <w:t>and (</w:t>
                        </w:r>
                        <w:r w:rsidR="00EF1CE6" w:rsidRPr="006303DE">
                          <w:rPr>
                            <w:rFonts w:ascii="Times New Roman" w:hAnsi="Times New Roman"/>
                            <w:sz w:val="24"/>
                            <w:szCs w:val="24"/>
                          </w:rPr>
                          <w:t>I</w:t>
                        </w:r>
                        <w:r w:rsidR="008B03B6" w:rsidRPr="006303DE">
                          <w:rPr>
                            <w:rFonts w:ascii="Times New Roman" w:hAnsi="Times New Roman"/>
                            <w:sz w:val="24"/>
                            <w:szCs w:val="24"/>
                          </w:rPr>
                          <w:t>V) that the Board approved the transaction</w:t>
                        </w:r>
                        <w:r w:rsidR="00EF1CE6" w:rsidRPr="006303DE">
                          <w:rPr>
                            <w:rFonts w:ascii="Times New Roman" w:hAnsi="Times New Roman"/>
                            <w:sz w:val="24"/>
                            <w:szCs w:val="24"/>
                          </w:rPr>
                          <w:t>.</w:t>
                        </w:r>
                        <w:r w:rsidR="00EF1CE6" w:rsidRPr="006303DE">
                          <w:rPr>
                            <w:rStyle w:val="FootnoteReference"/>
                            <w:rFonts w:ascii="Times New Roman" w:hAnsi="Times New Roman"/>
                            <w:sz w:val="24"/>
                            <w:szCs w:val="24"/>
                          </w:rPr>
                          <w:footnoteReference w:id="6"/>
                        </w:r>
                      </w:p>
                    </w:tc>
                  </w:tr>
                </w:tbl>
                <w:p w14:paraId="3FB17212" w14:textId="77777777" w:rsidR="00B26F87" w:rsidRPr="005063FB" w:rsidRDefault="00B26F87" w:rsidP="008B03B6">
                  <w:pPr>
                    <w:pStyle w:val="NoSpacing"/>
                    <w:jc w:val="both"/>
                    <w:rPr>
                      <w:rFonts w:ascii="Times New Roman" w:hAnsi="Times New Roman"/>
                      <w:sz w:val="24"/>
                      <w:szCs w:val="24"/>
                    </w:rPr>
                  </w:pPr>
                </w:p>
              </w:tc>
            </w:tr>
            <w:tr w:rsidR="00BA3832" w14:paraId="481B2148" w14:textId="77777777" w:rsidTr="005063FB">
              <w:tc>
                <w:tcPr>
                  <w:tcW w:w="517" w:type="dxa"/>
                </w:tcPr>
                <w:p w14:paraId="50C9301E" w14:textId="77777777" w:rsidR="00BA3832" w:rsidRPr="005063FB" w:rsidRDefault="00BA3832" w:rsidP="005063FB">
                  <w:pPr>
                    <w:pStyle w:val="NoSpacing"/>
                    <w:jc w:val="both"/>
                    <w:rPr>
                      <w:rFonts w:ascii="Times New Roman" w:hAnsi="Times New Roman"/>
                      <w:sz w:val="24"/>
                      <w:szCs w:val="24"/>
                    </w:rPr>
                  </w:pPr>
                </w:p>
              </w:tc>
              <w:tc>
                <w:tcPr>
                  <w:tcW w:w="7820" w:type="dxa"/>
                </w:tcPr>
                <w:p w14:paraId="5147BC99" w14:textId="77777777" w:rsidR="00BA3832" w:rsidRPr="00BA3832" w:rsidRDefault="00BA3832" w:rsidP="00634576">
                  <w:pPr>
                    <w:pStyle w:val="NoSpacing"/>
                    <w:jc w:val="both"/>
                    <w:rPr>
                      <w:rFonts w:ascii="Times New Roman" w:hAnsi="Times New Roman"/>
                      <w:sz w:val="24"/>
                      <w:szCs w:val="24"/>
                    </w:rPr>
                  </w:pPr>
                </w:p>
              </w:tc>
            </w:tr>
            <w:tr w:rsidR="00BA3832" w14:paraId="5A0AF238" w14:textId="77777777" w:rsidTr="005063FB">
              <w:tc>
                <w:tcPr>
                  <w:tcW w:w="517" w:type="dxa"/>
                </w:tcPr>
                <w:p w14:paraId="53D8AFFB" w14:textId="77777777" w:rsidR="00BA3832" w:rsidRPr="005063FB" w:rsidRDefault="00BA3832" w:rsidP="005063FB">
                  <w:pPr>
                    <w:pStyle w:val="NoSpacing"/>
                    <w:jc w:val="both"/>
                    <w:rPr>
                      <w:rFonts w:ascii="Times New Roman" w:hAnsi="Times New Roman"/>
                      <w:sz w:val="24"/>
                      <w:szCs w:val="24"/>
                    </w:rPr>
                  </w:pPr>
                  <w:r>
                    <w:rPr>
                      <w:rFonts w:ascii="Times New Roman" w:hAnsi="Times New Roman"/>
                      <w:sz w:val="24"/>
                      <w:szCs w:val="24"/>
                    </w:rPr>
                    <w:t>(iii)</w:t>
                  </w:r>
                </w:p>
              </w:tc>
              <w:tc>
                <w:tcPr>
                  <w:tcW w:w="7820" w:type="dxa"/>
                </w:tcPr>
                <w:p w14:paraId="3AE40E72" w14:textId="77777777" w:rsidR="00BA3832" w:rsidRPr="00BA3832" w:rsidRDefault="0016608F" w:rsidP="0016608F">
                  <w:pPr>
                    <w:pStyle w:val="NoSpacing"/>
                    <w:jc w:val="both"/>
                    <w:rPr>
                      <w:rFonts w:ascii="Times New Roman" w:hAnsi="Times New Roman"/>
                      <w:sz w:val="24"/>
                      <w:szCs w:val="24"/>
                    </w:rPr>
                  </w:pPr>
                  <w:r>
                    <w:rPr>
                      <w:rFonts w:ascii="Times New Roman" w:hAnsi="Times New Roman"/>
                      <w:sz w:val="24"/>
                      <w:szCs w:val="24"/>
                    </w:rPr>
                    <w:t xml:space="preserve">The Trust will file documents required to be filed under the above procedures no later than ten days in advance of a meeting of the Finance and Governance Board at which the Trust’s document will be taken up.  </w:t>
                  </w:r>
                  <w:r w:rsidRPr="0016608F">
                    <w:rPr>
                      <w:rFonts w:ascii="Times New Roman" w:hAnsi="Times New Roman"/>
                      <w:sz w:val="24"/>
                      <w:szCs w:val="24"/>
                    </w:rPr>
                    <w:t>The Trust will also notify the executive director of the Finance and Governance Board, as soon as possible after the decision of the Board, to discuss the filing and the details of presenting the required documents to the Finance and Governance Board.</w:t>
                  </w:r>
                </w:p>
              </w:tc>
            </w:tr>
          </w:tbl>
          <w:p w14:paraId="70FB4122" w14:textId="77777777" w:rsidR="00F309A3" w:rsidRDefault="00F309A3" w:rsidP="00B26F87">
            <w:pPr>
              <w:pStyle w:val="NoSpacing"/>
              <w:jc w:val="both"/>
              <w:rPr>
                <w:rFonts w:ascii="Times New Roman" w:hAnsi="Times New Roman"/>
                <w:sz w:val="24"/>
                <w:szCs w:val="24"/>
              </w:rPr>
            </w:pPr>
          </w:p>
        </w:tc>
      </w:tr>
      <w:tr w:rsidR="00B26F87" w:rsidRPr="003B174D" w14:paraId="7D6C75B4" w14:textId="77777777" w:rsidTr="009A155E">
        <w:tc>
          <w:tcPr>
            <w:tcW w:w="630" w:type="dxa"/>
          </w:tcPr>
          <w:p w14:paraId="4F5A8A71" w14:textId="77777777" w:rsidR="00B26F87" w:rsidRDefault="00B26F87" w:rsidP="000C6A90">
            <w:pPr>
              <w:pStyle w:val="NoSpacing"/>
              <w:jc w:val="both"/>
              <w:rPr>
                <w:rFonts w:ascii="Times New Roman" w:hAnsi="Times New Roman"/>
                <w:sz w:val="24"/>
                <w:szCs w:val="24"/>
              </w:rPr>
            </w:pPr>
          </w:p>
        </w:tc>
        <w:tc>
          <w:tcPr>
            <w:tcW w:w="8568" w:type="dxa"/>
          </w:tcPr>
          <w:p w14:paraId="5F7DEFFC" w14:textId="77777777" w:rsidR="00B26F87" w:rsidRDefault="00B26F87" w:rsidP="00B26F87">
            <w:pPr>
              <w:pStyle w:val="NoSpacing"/>
              <w:jc w:val="both"/>
              <w:rPr>
                <w:rFonts w:ascii="Times New Roman" w:hAnsi="Times New Roman"/>
                <w:sz w:val="24"/>
                <w:szCs w:val="24"/>
              </w:rPr>
            </w:pPr>
          </w:p>
        </w:tc>
      </w:tr>
      <w:tr w:rsidR="00C376E2" w:rsidRPr="003B174D" w14:paraId="30DEE3CD" w14:textId="77777777" w:rsidTr="009A155E">
        <w:tc>
          <w:tcPr>
            <w:tcW w:w="630" w:type="dxa"/>
          </w:tcPr>
          <w:p w14:paraId="44EC6E74" w14:textId="77777777" w:rsidR="00C376E2" w:rsidRDefault="00C376E2" w:rsidP="000C6A90">
            <w:pPr>
              <w:pStyle w:val="NoSpacing"/>
              <w:jc w:val="both"/>
              <w:rPr>
                <w:rFonts w:ascii="Times New Roman" w:hAnsi="Times New Roman"/>
                <w:sz w:val="24"/>
                <w:szCs w:val="24"/>
              </w:rPr>
            </w:pPr>
          </w:p>
        </w:tc>
        <w:tc>
          <w:tcPr>
            <w:tcW w:w="8568" w:type="dxa"/>
          </w:tcPr>
          <w:p w14:paraId="3D563FEB" w14:textId="77777777" w:rsidR="00C376E2" w:rsidRPr="00634576" w:rsidRDefault="00C376E2" w:rsidP="00CC08F0">
            <w:pPr>
              <w:pStyle w:val="NoSpacing"/>
              <w:jc w:val="both"/>
              <w:rPr>
                <w:rFonts w:ascii="Times New Roman" w:hAnsi="Times New Roman"/>
                <w:sz w:val="24"/>
                <w:szCs w:val="24"/>
              </w:rPr>
            </w:pPr>
            <w:r>
              <w:rPr>
                <w:rFonts w:ascii="Times New Roman" w:hAnsi="Times New Roman"/>
                <w:sz w:val="24"/>
                <w:szCs w:val="24"/>
              </w:rPr>
              <w:t xml:space="preserve">C.  </w:t>
            </w:r>
            <w:r w:rsidR="002B3935" w:rsidRPr="002B3935">
              <w:rPr>
                <w:rFonts w:ascii="Times New Roman" w:hAnsi="Times New Roman"/>
                <w:sz w:val="24"/>
                <w:szCs w:val="24"/>
                <w:u w:val="single"/>
              </w:rPr>
              <w:t>Dodd-Frank Wall Street Reform and Consumer Protection Act (“Dodd-Frank”)</w:t>
            </w:r>
            <w:r w:rsidR="00634576">
              <w:rPr>
                <w:rFonts w:ascii="Times New Roman" w:hAnsi="Times New Roman"/>
                <w:sz w:val="24"/>
                <w:szCs w:val="24"/>
              </w:rPr>
              <w:t>.</w:t>
            </w:r>
          </w:p>
        </w:tc>
      </w:tr>
      <w:tr w:rsidR="00061FE8" w:rsidRPr="003B174D" w14:paraId="778B9465" w14:textId="77777777" w:rsidTr="009A155E">
        <w:tc>
          <w:tcPr>
            <w:tcW w:w="630" w:type="dxa"/>
          </w:tcPr>
          <w:p w14:paraId="71D6099C" w14:textId="77777777" w:rsidR="00061FE8" w:rsidRDefault="00061FE8" w:rsidP="000C6A90">
            <w:pPr>
              <w:pStyle w:val="NoSpacing"/>
              <w:jc w:val="both"/>
              <w:rPr>
                <w:rFonts w:ascii="Times New Roman" w:hAnsi="Times New Roman"/>
                <w:sz w:val="24"/>
                <w:szCs w:val="24"/>
              </w:rPr>
            </w:pPr>
          </w:p>
        </w:tc>
        <w:tc>
          <w:tcPr>
            <w:tcW w:w="8568" w:type="dxa"/>
          </w:tcPr>
          <w:p w14:paraId="3B3B9338" w14:textId="77777777" w:rsidR="00061FE8" w:rsidRDefault="00061FE8" w:rsidP="000C6A90">
            <w:pPr>
              <w:pStyle w:val="NoSpacing"/>
              <w:jc w:val="both"/>
              <w:rPr>
                <w:rFonts w:ascii="Times New Roman" w:hAnsi="Times New Roman"/>
                <w:sz w:val="24"/>
                <w:szCs w:val="24"/>
              </w:rPr>
            </w:pPr>
          </w:p>
        </w:tc>
      </w:tr>
      <w:tr w:rsidR="00061FE8" w:rsidRPr="003B174D" w14:paraId="098DD0C3" w14:textId="77777777" w:rsidTr="009A155E">
        <w:tc>
          <w:tcPr>
            <w:tcW w:w="630" w:type="dxa"/>
          </w:tcPr>
          <w:p w14:paraId="40C8EAB7" w14:textId="77777777" w:rsidR="00061FE8" w:rsidRDefault="00061FE8" w:rsidP="000C6A90">
            <w:pPr>
              <w:pStyle w:val="NoSpacing"/>
              <w:jc w:val="both"/>
              <w:rPr>
                <w:rFonts w:ascii="Times New Roman" w:hAnsi="Times New Roman"/>
                <w:sz w:val="24"/>
                <w:szCs w:val="24"/>
              </w:rPr>
            </w:pPr>
          </w:p>
        </w:tc>
        <w:tc>
          <w:tcPr>
            <w:tcW w:w="8568" w:type="dxa"/>
          </w:tcPr>
          <w:tbl>
            <w:tblPr>
              <w:tblW w:w="0" w:type="auto"/>
              <w:tblLook w:val="04A0" w:firstRow="1" w:lastRow="0" w:firstColumn="1" w:lastColumn="0" w:noHBand="0" w:noVBand="1"/>
            </w:tblPr>
            <w:tblGrid>
              <w:gridCol w:w="576"/>
              <w:gridCol w:w="7565"/>
            </w:tblGrid>
            <w:tr w:rsidR="00F3454F" w14:paraId="1DFC7459" w14:textId="77777777" w:rsidTr="00627B81">
              <w:tc>
                <w:tcPr>
                  <w:tcW w:w="576" w:type="dxa"/>
                </w:tcPr>
                <w:p w14:paraId="76E14A6A" w14:textId="77777777" w:rsidR="00F3454F" w:rsidRPr="004146DD" w:rsidRDefault="00F3454F" w:rsidP="004146DD">
                  <w:pPr>
                    <w:pStyle w:val="NoSpacing"/>
                    <w:jc w:val="both"/>
                    <w:rPr>
                      <w:rFonts w:ascii="Times New Roman" w:hAnsi="Times New Roman"/>
                      <w:sz w:val="24"/>
                      <w:szCs w:val="24"/>
                    </w:rPr>
                  </w:pPr>
                  <w:r w:rsidRPr="004146DD">
                    <w:rPr>
                      <w:rFonts w:ascii="Times New Roman" w:hAnsi="Times New Roman"/>
                      <w:sz w:val="24"/>
                      <w:szCs w:val="24"/>
                    </w:rPr>
                    <w:t>(</w:t>
                  </w:r>
                  <w:proofErr w:type="spellStart"/>
                  <w:r w:rsidRPr="004146DD">
                    <w:rPr>
                      <w:rFonts w:ascii="Times New Roman" w:hAnsi="Times New Roman"/>
                      <w:sz w:val="24"/>
                      <w:szCs w:val="24"/>
                    </w:rPr>
                    <w:t>i</w:t>
                  </w:r>
                  <w:proofErr w:type="spellEnd"/>
                  <w:r w:rsidRPr="004146DD">
                    <w:rPr>
                      <w:rFonts w:ascii="Times New Roman" w:hAnsi="Times New Roman"/>
                      <w:sz w:val="24"/>
                      <w:szCs w:val="24"/>
                    </w:rPr>
                    <w:t>)</w:t>
                  </w:r>
                </w:p>
              </w:tc>
              <w:tc>
                <w:tcPr>
                  <w:tcW w:w="7776" w:type="dxa"/>
                </w:tcPr>
                <w:p w14:paraId="3BF0BFD7" w14:textId="77777777" w:rsidR="00F3454F" w:rsidRPr="004146DD" w:rsidRDefault="00F3454F" w:rsidP="001D0051">
                  <w:pPr>
                    <w:pStyle w:val="NoSpacing"/>
                    <w:jc w:val="both"/>
                    <w:rPr>
                      <w:rFonts w:ascii="Times New Roman" w:hAnsi="Times New Roman"/>
                      <w:sz w:val="24"/>
                      <w:szCs w:val="24"/>
                    </w:rPr>
                  </w:pPr>
                  <w:r w:rsidRPr="001D0051">
                    <w:rPr>
                      <w:rFonts w:ascii="Times New Roman" w:hAnsi="Times New Roman"/>
                      <w:sz w:val="24"/>
                      <w:szCs w:val="24"/>
                      <w:u w:val="single"/>
                    </w:rPr>
                    <w:t>CICI Identifier</w:t>
                  </w:r>
                  <w:r w:rsidRPr="004146DD">
                    <w:rPr>
                      <w:rFonts w:ascii="Times New Roman" w:hAnsi="Times New Roman"/>
                      <w:sz w:val="24"/>
                      <w:szCs w:val="24"/>
                    </w:rPr>
                    <w:t>. On March 10, 2013, the Trust applied for and obtained a C</w:t>
                  </w:r>
                  <w:r w:rsidR="001D0051">
                    <w:rPr>
                      <w:rFonts w:ascii="Times New Roman" w:hAnsi="Times New Roman"/>
                      <w:sz w:val="24"/>
                      <w:szCs w:val="24"/>
                    </w:rPr>
                    <w:t xml:space="preserve">ommodities </w:t>
                  </w:r>
                  <w:r w:rsidRPr="004146DD">
                    <w:rPr>
                      <w:rFonts w:ascii="Times New Roman" w:hAnsi="Times New Roman"/>
                      <w:sz w:val="24"/>
                      <w:szCs w:val="24"/>
                    </w:rPr>
                    <w:t>F</w:t>
                  </w:r>
                  <w:r w:rsidR="001D0051">
                    <w:rPr>
                      <w:rFonts w:ascii="Times New Roman" w:hAnsi="Times New Roman"/>
                      <w:sz w:val="24"/>
                      <w:szCs w:val="24"/>
                    </w:rPr>
                    <w:t xml:space="preserve">utures </w:t>
                  </w:r>
                  <w:r w:rsidRPr="004146DD">
                    <w:rPr>
                      <w:rFonts w:ascii="Times New Roman" w:hAnsi="Times New Roman"/>
                      <w:sz w:val="24"/>
                      <w:szCs w:val="24"/>
                    </w:rPr>
                    <w:t>T</w:t>
                  </w:r>
                  <w:r w:rsidR="00B65BD2">
                    <w:rPr>
                      <w:rFonts w:ascii="Times New Roman" w:hAnsi="Times New Roman"/>
                      <w:sz w:val="24"/>
                      <w:szCs w:val="24"/>
                    </w:rPr>
                    <w:t>r</w:t>
                  </w:r>
                  <w:r w:rsidR="001D0051">
                    <w:rPr>
                      <w:rFonts w:ascii="Times New Roman" w:hAnsi="Times New Roman"/>
                      <w:sz w:val="24"/>
                      <w:szCs w:val="24"/>
                    </w:rPr>
                    <w:t xml:space="preserve">ading </w:t>
                  </w:r>
                  <w:r w:rsidRPr="004146DD">
                    <w:rPr>
                      <w:rFonts w:ascii="Times New Roman" w:hAnsi="Times New Roman"/>
                      <w:sz w:val="24"/>
                      <w:szCs w:val="24"/>
                    </w:rPr>
                    <w:t>C</w:t>
                  </w:r>
                  <w:r w:rsidR="001D0051">
                    <w:rPr>
                      <w:rFonts w:ascii="Times New Roman" w:hAnsi="Times New Roman"/>
                      <w:sz w:val="24"/>
                      <w:szCs w:val="24"/>
                    </w:rPr>
                    <w:t>ommission</w:t>
                  </w:r>
                  <w:r w:rsidRPr="004146DD">
                    <w:rPr>
                      <w:rFonts w:ascii="Times New Roman" w:hAnsi="Times New Roman"/>
                      <w:sz w:val="24"/>
                      <w:szCs w:val="24"/>
                    </w:rPr>
                    <w:t xml:space="preserve"> </w:t>
                  </w:r>
                  <w:r w:rsidR="00B65BD2">
                    <w:rPr>
                      <w:rFonts w:ascii="Times New Roman" w:hAnsi="Times New Roman"/>
                      <w:sz w:val="24"/>
                      <w:szCs w:val="24"/>
                    </w:rPr>
                    <w:t xml:space="preserve">(“CFTC”) </w:t>
                  </w:r>
                  <w:r w:rsidRPr="004146DD">
                    <w:rPr>
                      <w:rFonts w:ascii="Times New Roman" w:hAnsi="Times New Roman"/>
                      <w:sz w:val="24"/>
                      <w:szCs w:val="24"/>
                    </w:rPr>
                    <w:t xml:space="preserve">Interim Compliance Identifier (CICI) number, which is a unique legal entity identifier that </w:t>
                  </w:r>
                  <w:r w:rsidR="001D0051">
                    <w:rPr>
                      <w:rFonts w:ascii="Times New Roman" w:hAnsi="Times New Roman"/>
                      <w:sz w:val="24"/>
                      <w:szCs w:val="24"/>
                    </w:rPr>
                    <w:t xml:space="preserve">Dodd-Frank </w:t>
                  </w:r>
                  <w:r w:rsidRPr="004146DD">
                    <w:rPr>
                      <w:rFonts w:ascii="Times New Roman" w:hAnsi="Times New Roman"/>
                      <w:sz w:val="24"/>
                      <w:szCs w:val="24"/>
                    </w:rPr>
                    <w:t>requires of any counterparty, including the Trust, that is subject to the Commodities Futures Trade Commission regulations.</w:t>
                  </w:r>
                  <w:r w:rsidR="001D0051">
                    <w:rPr>
                      <w:rFonts w:ascii="Times New Roman" w:hAnsi="Times New Roman"/>
                      <w:sz w:val="24"/>
                      <w:szCs w:val="24"/>
                    </w:rPr>
                    <w:t xml:space="preserve">  The Trust will annually renew its CICI number, which currently cost</w:t>
                  </w:r>
                  <w:r w:rsidR="00634576">
                    <w:rPr>
                      <w:rFonts w:ascii="Times New Roman" w:hAnsi="Times New Roman"/>
                      <w:sz w:val="24"/>
                      <w:szCs w:val="24"/>
                    </w:rPr>
                    <w:t>s</w:t>
                  </w:r>
                  <w:r w:rsidR="001D0051">
                    <w:rPr>
                      <w:rFonts w:ascii="Times New Roman" w:hAnsi="Times New Roman"/>
                      <w:sz w:val="24"/>
                      <w:szCs w:val="24"/>
                    </w:rPr>
                    <w:t xml:space="preserve"> $100.</w:t>
                  </w:r>
                </w:p>
              </w:tc>
            </w:tr>
            <w:tr w:rsidR="00F3454F" w14:paraId="488C12C8" w14:textId="77777777" w:rsidTr="00627B81">
              <w:tc>
                <w:tcPr>
                  <w:tcW w:w="576" w:type="dxa"/>
                </w:tcPr>
                <w:p w14:paraId="79083A9E" w14:textId="77777777" w:rsidR="003A081A" w:rsidRPr="004146DD" w:rsidRDefault="003A081A" w:rsidP="004146DD">
                  <w:pPr>
                    <w:pStyle w:val="NoSpacing"/>
                    <w:jc w:val="both"/>
                    <w:rPr>
                      <w:rFonts w:ascii="Times New Roman" w:hAnsi="Times New Roman"/>
                      <w:sz w:val="24"/>
                      <w:szCs w:val="24"/>
                    </w:rPr>
                  </w:pPr>
                </w:p>
              </w:tc>
              <w:tc>
                <w:tcPr>
                  <w:tcW w:w="7776" w:type="dxa"/>
                </w:tcPr>
                <w:p w14:paraId="4BBDB9C2" w14:textId="77777777" w:rsidR="00F3454F" w:rsidRPr="004146DD" w:rsidRDefault="00F3454F" w:rsidP="004146DD">
                  <w:pPr>
                    <w:pStyle w:val="NoSpacing"/>
                    <w:jc w:val="both"/>
                    <w:rPr>
                      <w:rFonts w:ascii="Times New Roman" w:hAnsi="Times New Roman"/>
                      <w:sz w:val="24"/>
                      <w:szCs w:val="24"/>
                    </w:rPr>
                  </w:pPr>
                </w:p>
              </w:tc>
            </w:tr>
            <w:tr w:rsidR="00F3454F" w14:paraId="7CDF62D8" w14:textId="77777777" w:rsidTr="00627B81">
              <w:tc>
                <w:tcPr>
                  <w:tcW w:w="576" w:type="dxa"/>
                </w:tcPr>
                <w:p w14:paraId="40B94B30" w14:textId="77777777" w:rsidR="00F3454F" w:rsidRPr="004146DD" w:rsidRDefault="00F3454F" w:rsidP="004146DD">
                  <w:pPr>
                    <w:pStyle w:val="NoSpacing"/>
                    <w:jc w:val="both"/>
                    <w:rPr>
                      <w:rFonts w:ascii="Times New Roman" w:hAnsi="Times New Roman"/>
                      <w:sz w:val="24"/>
                      <w:szCs w:val="24"/>
                    </w:rPr>
                  </w:pPr>
                  <w:r w:rsidRPr="004146DD">
                    <w:rPr>
                      <w:rFonts w:ascii="Times New Roman" w:hAnsi="Times New Roman"/>
                      <w:sz w:val="24"/>
                      <w:szCs w:val="24"/>
                    </w:rPr>
                    <w:t>(ii)</w:t>
                  </w:r>
                </w:p>
              </w:tc>
              <w:tc>
                <w:tcPr>
                  <w:tcW w:w="7776" w:type="dxa"/>
                </w:tcPr>
                <w:p w14:paraId="1F8643AF" w14:textId="77777777" w:rsidR="00F3454F" w:rsidRPr="001D0051" w:rsidRDefault="001D0051" w:rsidP="00634576">
                  <w:pPr>
                    <w:pStyle w:val="NoSpacing"/>
                    <w:jc w:val="both"/>
                    <w:rPr>
                      <w:rFonts w:ascii="Times New Roman" w:hAnsi="Times New Roman"/>
                      <w:sz w:val="24"/>
                      <w:szCs w:val="24"/>
                    </w:rPr>
                  </w:pPr>
                  <w:r>
                    <w:rPr>
                      <w:rFonts w:ascii="Times New Roman" w:hAnsi="Times New Roman"/>
                      <w:sz w:val="24"/>
                      <w:szCs w:val="24"/>
                      <w:u w:val="single"/>
                    </w:rPr>
                    <w:t>Business Conduct Rules for Swap Dealers</w:t>
                  </w:r>
                  <w:r>
                    <w:rPr>
                      <w:rFonts w:ascii="Times New Roman" w:hAnsi="Times New Roman"/>
                      <w:sz w:val="24"/>
                      <w:szCs w:val="24"/>
                    </w:rPr>
                    <w:t>.  Dodd-Frank imposes business conduct requirements</w:t>
                  </w:r>
                  <w:r w:rsidR="005A122E">
                    <w:rPr>
                      <w:rFonts w:ascii="Times New Roman" w:hAnsi="Times New Roman"/>
                      <w:sz w:val="24"/>
                      <w:szCs w:val="24"/>
                    </w:rPr>
                    <w:t xml:space="preserve">, </w:t>
                  </w:r>
                  <w:r w:rsidR="00F97B02">
                    <w:rPr>
                      <w:rFonts w:ascii="Times New Roman" w:hAnsi="Times New Roman"/>
                      <w:sz w:val="24"/>
                      <w:szCs w:val="24"/>
                    </w:rPr>
                    <w:t>including</w:t>
                  </w:r>
                  <w:r w:rsidR="00F97B02">
                    <w:t xml:space="preserve"> </w:t>
                  </w:r>
                  <w:r w:rsidR="00F97B02" w:rsidRPr="00F97B02">
                    <w:rPr>
                      <w:rFonts w:ascii="Times New Roman" w:hAnsi="Times New Roman"/>
                      <w:sz w:val="24"/>
                      <w:szCs w:val="24"/>
                    </w:rPr>
                    <w:t>notices, representations, and covenants</w:t>
                  </w:r>
                  <w:r w:rsidR="00F97B02">
                    <w:rPr>
                      <w:rFonts w:ascii="Times New Roman" w:hAnsi="Times New Roman"/>
                      <w:sz w:val="24"/>
                      <w:szCs w:val="24"/>
                    </w:rPr>
                    <w:t>,</w:t>
                  </w:r>
                  <w:r>
                    <w:rPr>
                      <w:rFonts w:ascii="Times New Roman" w:hAnsi="Times New Roman"/>
                      <w:sz w:val="24"/>
                      <w:szCs w:val="24"/>
                    </w:rPr>
                    <w:t xml:space="preserve"> on swap dealers</w:t>
                  </w:r>
                  <w:r w:rsidR="005A122E">
                    <w:rPr>
                      <w:rFonts w:ascii="Times New Roman" w:hAnsi="Times New Roman"/>
                      <w:sz w:val="24"/>
                      <w:szCs w:val="24"/>
                    </w:rPr>
                    <w:t xml:space="preserve"> that existing swap agreements do not </w:t>
                  </w:r>
                  <w:r w:rsidR="00A31519">
                    <w:rPr>
                      <w:rFonts w:ascii="Times New Roman" w:hAnsi="Times New Roman"/>
                      <w:sz w:val="24"/>
                      <w:szCs w:val="24"/>
                    </w:rPr>
                    <w:t xml:space="preserve">typically </w:t>
                  </w:r>
                  <w:r w:rsidR="005A122E">
                    <w:rPr>
                      <w:rFonts w:ascii="Times New Roman" w:hAnsi="Times New Roman"/>
                      <w:sz w:val="24"/>
                      <w:szCs w:val="24"/>
                    </w:rPr>
                    <w:t xml:space="preserve">include. </w:t>
                  </w:r>
                  <w:proofErr w:type="gramStart"/>
                  <w:r w:rsidR="00A31519">
                    <w:rPr>
                      <w:rFonts w:ascii="Times New Roman" w:hAnsi="Times New Roman"/>
                      <w:sz w:val="24"/>
                      <w:szCs w:val="24"/>
                    </w:rPr>
                    <w:t>In order for</w:t>
                  </w:r>
                  <w:proofErr w:type="gramEnd"/>
                  <w:r w:rsidR="00A31519">
                    <w:rPr>
                      <w:rFonts w:ascii="Times New Roman" w:hAnsi="Times New Roman"/>
                      <w:sz w:val="24"/>
                      <w:szCs w:val="24"/>
                    </w:rPr>
                    <w:t xml:space="preserve"> the Trust to </w:t>
                  </w:r>
                  <w:proofErr w:type="gramStart"/>
                  <w:r w:rsidR="00A31519">
                    <w:rPr>
                      <w:rFonts w:ascii="Times New Roman" w:hAnsi="Times New Roman"/>
                      <w:sz w:val="24"/>
                      <w:szCs w:val="24"/>
                    </w:rPr>
                    <w:t>enter into</w:t>
                  </w:r>
                  <w:proofErr w:type="gramEnd"/>
                  <w:r w:rsidR="00A31519">
                    <w:rPr>
                      <w:rFonts w:ascii="Times New Roman" w:hAnsi="Times New Roman"/>
                      <w:sz w:val="24"/>
                      <w:szCs w:val="24"/>
                    </w:rPr>
                    <w:t xml:space="preserve"> future swaps or amend</w:t>
                  </w:r>
                  <w:r w:rsidR="00627B81">
                    <w:rPr>
                      <w:rFonts w:ascii="Times New Roman" w:hAnsi="Times New Roman"/>
                      <w:sz w:val="24"/>
                      <w:szCs w:val="24"/>
                    </w:rPr>
                    <w:t>, transfer, novate,</w:t>
                  </w:r>
                  <w:r w:rsidR="00A31519">
                    <w:rPr>
                      <w:rFonts w:ascii="Times New Roman" w:hAnsi="Times New Roman"/>
                      <w:sz w:val="24"/>
                      <w:szCs w:val="24"/>
                    </w:rPr>
                    <w:t xml:space="preserve"> or terminate the 2006 Swap, these provisions must be incorporated into any new agreement</w:t>
                  </w:r>
                  <w:r w:rsidR="005A122E">
                    <w:rPr>
                      <w:rFonts w:ascii="Times New Roman" w:hAnsi="Times New Roman"/>
                      <w:sz w:val="24"/>
                      <w:szCs w:val="24"/>
                    </w:rPr>
                    <w:t xml:space="preserve"> </w:t>
                  </w:r>
                  <w:r w:rsidR="00A31519">
                    <w:rPr>
                      <w:rFonts w:ascii="Times New Roman" w:hAnsi="Times New Roman"/>
                      <w:sz w:val="24"/>
                      <w:szCs w:val="24"/>
                    </w:rPr>
                    <w:t xml:space="preserve">or the existing 2006 Swap agreement.  Such incorporation can be accomplished in one of two ways: (1) by entering into the International Swaps and Derivatives Association’s </w:t>
                  </w:r>
                  <w:r w:rsidR="00A31519">
                    <w:rPr>
                      <w:rFonts w:ascii="Times New Roman" w:hAnsi="Times New Roman"/>
                      <w:i/>
                      <w:sz w:val="24"/>
                      <w:szCs w:val="24"/>
                    </w:rPr>
                    <w:t xml:space="preserve">ISDA August 2012 Dodd-Frank Protocol </w:t>
                  </w:r>
                  <w:r w:rsidR="00A31519">
                    <w:rPr>
                      <w:rFonts w:ascii="Times New Roman" w:hAnsi="Times New Roman"/>
                      <w:sz w:val="24"/>
                      <w:szCs w:val="24"/>
                    </w:rPr>
                    <w:t>(the “Protocol”), which will incorporate the Dodd-Frank notices, representations, and covenants into new and existing swaps</w:t>
                  </w:r>
                  <w:r w:rsidR="00EC4A9C">
                    <w:rPr>
                      <w:rFonts w:ascii="Times New Roman" w:hAnsi="Times New Roman"/>
                      <w:sz w:val="24"/>
                      <w:szCs w:val="24"/>
                    </w:rPr>
                    <w:t>;</w:t>
                  </w:r>
                  <w:r w:rsidR="00A31519">
                    <w:rPr>
                      <w:rFonts w:ascii="Times New Roman" w:hAnsi="Times New Roman"/>
                      <w:sz w:val="24"/>
                      <w:szCs w:val="24"/>
                    </w:rPr>
                    <w:t xml:space="preserve"> or (2) entering into a bilateral agreement with the 2006 Swap’s counterparty, J.P. Morgan Chase.</w:t>
                  </w:r>
                  <w:r w:rsidR="00EC4A9C">
                    <w:rPr>
                      <w:rFonts w:ascii="Times New Roman" w:hAnsi="Times New Roman"/>
                      <w:sz w:val="24"/>
                      <w:szCs w:val="24"/>
                    </w:rPr>
                    <w:t xml:space="preserve">  If the Trust decides to amend</w:t>
                  </w:r>
                  <w:r w:rsidR="00627B81">
                    <w:rPr>
                      <w:rFonts w:ascii="Times New Roman" w:hAnsi="Times New Roman"/>
                      <w:sz w:val="24"/>
                      <w:szCs w:val="24"/>
                    </w:rPr>
                    <w:t>, transfer, novate,</w:t>
                  </w:r>
                  <w:r w:rsidR="00EC4A9C">
                    <w:rPr>
                      <w:rFonts w:ascii="Times New Roman" w:hAnsi="Times New Roman"/>
                      <w:sz w:val="24"/>
                      <w:szCs w:val="24"/>
                    </w:rPr>
                    <w:t xml:space="preserve"> or terminate the 2006 Swap or enter into a new swap agreement, the Trust will consult with its program counsel and other professional advisors to determine whether (1) to enter into the Protocol, (2) enter into a bilateral agreement with J.P. Morgan Chase or a new swap counterparty</w:t>
                  </w:r>
                  <w:r w:rsidR="00634576">
                    <w:rPr>
                      <w:rFonts w:ascii="Times New Roman" w:hAnsi="Times New Roman"/>
                      <w:sz w:val="24"/>
                      <w:szCs w:val="24"/>
                    </w:rPr>
                    <w:t>,</w:t>
                  </w:r>
                  <w:r w:rsidR="00EC4A9C">
                    <w:rPr>
                      <w:rFonts w:ascii="Times New Roman" w:hAnsi="Times New Roman"/>
                      <w:sz w:val="24"/>
                      <w:szCs w:val="24"/>
                    </w:rPr>
                    <w:t xml:space="preserve"> or (3) take some other action available at that time.</w:t>
                  </w:r>
                </w:p>
              </w:tc>
            </w:tr>
            <w:tr w:rsidR="00F3454F" w14:paraId="31F25B10" w14:textId="77777777" w:rsidTr="00627B81">
              <w:tc>
                <w:tcPr>
                  <w:tcW w:w="576" w:type="dxa"/>
                </w:tcPr>
                <w:p w14:paraId="20DFE33E" w14:textId="77777777" w:rsidR="00F3454F" w:rsidRPr="004146DD" w:rsidRDefault="00F3454F" w:rsidP="004146DD">
                  <w:pPr>
                    <w:pStyle w:val="NoSpacing"/>
                    <w:jc w:val="both"/>
                    <w:rPr>
                      <w:rFonts w:ascii="Times New Roman" w:hAnsi="Times New Roman"/>
                      <w:sz w:val="24"/>
                      <w:szCs w:val="24"/>
                    </w:rPr>
                  </w:pPr>
                </w:p>
              </w:tc>
              <w:tc>
                <w:tcPr>
                  <w:tcW w:w="7776" w:type="dxa"/>
                </w:tcPr>
                <w:p w14:paraId="481D9538" w14:textId="77777777" w:rsidR="00F3454F" w:rsidRPr="004146DD" w:rsidRDefault="00F3454F" w:rsidP="004146DD">
                  <w:pPr>
                    <w:pStyle w:val="NoSpacing"/>
                    <w:jc w:val="both"/>
                    <w:rPr>
                      <w:rFonts w:ascii="Times New Roman" w:hAnsi="Times New Roman"/>
                      <w:sz w:val="24"/>
                      <w:szCs w:val="24"/>
                    </w:rPr>
                  </w:pPr>
                </w:p>
              </w:tc>
            </w:tr>
            <w:tr w:rsidR="00F3454F" w14:paraId="1C9D945E" w14:textId="77777777" w:rsidTr="00627B81">
              <w:tc>
                <w:tcPr>
                  <w:tcW w:w="576" w:type="dxa"/>
                </w:tcPr>
                <w:p w14:paraId="399C46DC" w14:textId="77777777" w:rsidR="00F3454F" w:rsidRPr="004146DD" w:rsidRDefault="00F3454F" w:rsidP="004146DD">
                  <w:pPr>
                    <w:pStyle w:val="NoSpacing"/>
                    <w:jc w:val="both"/>
                    <w:rPr>
                      <w:rFonts w:ascii="Times New Roman" w:hAnsi="Times New Roman"/>
                      <w:sz w:val="24"/>
                      <w:szCs w:val="24"/>
                    </w:rPr>
                  </w:pPr>
                  <w:r w:rsidRPr="004146DD">
                    <w:rPr>
                      <w:rFonts w:ascii="Times New Roman" w:hAnsi="Times New Roman"/>
                      <w:sz w:val="24"/>
                      <w:szCs w:val="24"/>
                    </w:rPr>
                    <w:t>(iii)</w:t>
                  </w:r>
                </w:p>
              </w:tc>
              <w:tc>
                <w:tcPr>
                  <w:tcW w:w="7776" w:type="dxa"/>
                </w:tcPr>
                <w:p w14:paraId="3B573BCA" w14:textId="77777777" w:rsidR="00F3454F" w:rsidRPr="00F97B02" w:rsidRDefault="00F97B02" w:rsidP="00942014">
                  <w:pPr>
                    <w:pStyle w:val="NoSpacing"/>
                    <w:jc w:val="both"/>
                    <w:rPr>
                      <w:rFonts w:ascii="Times New Roman" w:hAnsi="Times New Roman"/>
                      <w:sz w:val="24"/>
                      <w:szCs w:val="24"/>
                    </w:rPr>
                  </w:pPr>
                  <w:r w:rsidRPr="00F97B02">
                    <w:rPr>
                      <w:rFonts w:ascii="Times New Roman" w:hAnsi="Times New Roman"/>
                      <w:sz w:val="24"/>
                      <w:szCs w:val="24"/>
                      <w:u w:val="single"/>
                    </w:rPr>
                    <w:t>Record Keeping Procedures</w:t>
                  </w:r>
                  <w:r>
                    <w:rPr>
                      <w:rFonts w:ascii="Times New Roman" w:hAnsi="Times New Roman"/>
                      <w:sz w:val="24"/>
                      <w:szCs w:val="24"/>
                    </w:rPr>
                    <w:t xml:space="preserve">. </w:t>
                  </w:r>
                  <w:r w:rsidRPr="004146DD">
                    <w:rPr>
                      <w:rFonts w:ascii="Times New Roman" w:hAnsi="Times New Roman"/>
                      <w:sz w:val="24"/>
                      <w:szCs w:val="24"/>
                    </w:rPr>
                    <w:t xml:space="preserve">The Trust currently has </w:t>
                  </w:r>
                  <w:r>
                    <w:rPr>
                      <w:rFonts w:ascii="Times New Roman" w:hAnsi="Times New Roman"/>
                      <w:sz w:val="24"/>
                      <w:szCs w:val="24"/>
                    </w:rPr>
                    <w:t>only the 2006 S</w:t>
                  </w:r>
                  <w:r w:rsidRPr="004146DD">
                    <w:rPr>
                      <w:rFonts w:ascii="Times New Roman" w:hAnsi="Times New Roman"/>
                      <w:sz w:val="24"/>
                      <w:szCs w:val="24"/>
                    </w:rPr>
                    <w:t xml:space="preserve">wap </w:t>
                  </w:r>
                  <w:r>
                    <w:rPr>
                      <w:rFonts w:ascii="Times New Roman" w:hAnsi="Times New Roman"/>
                      <w:sz w:val="24"/>
                      <w:szCs w:val="24"/>
                    </w:rPr>
                    <w:t>outstanding as a “Covered Swap</w:t>
                  </w:r>
                  <w:r w:rsidR="005A55BB">
                    <w:rPr>
                      <w:rFonts w:ascii="Times New Roman" w:hAnsi="Times New Roman"/>
                      <w:sz w:val="24"/>
                      <w:szCs w:val="24"/>
                    </w:rPr>
                    <w:t>” with a notional/principal amount of $77,255,000</w:t>
                  </w:r>
                  <w:r>
                    <w:rPr>
                      <w:rFonts w:ascii="Times New Roman" w:hAnsi="Times New Roman"/>
                      <w:sz w:val="24"/>
                      <w:szCs w:val="24"/>
                    </w:rPr>
                    <w:t xml:space="preserve">.  </w:t>
                  </w:r>
                  <w:r w:rsidRPr="004146DD">
                    <w:rPr>
                      <w:rFonts w:ascii="Times New Roman" w:hAnsi="Times New Roman"/>
                      <w:sz w:val="24"/>
                      <w:szCs w:val="24"/>
                    </w:rPr>
                    <w:t>Consequently, the Trust is not a “Major Swap Participant”</w:t>
                  </w:r>
                  <w:r>
                    <w:rPr>
                      <w:rStyle w:val="FootnoteReference"/>
                      <w:rFonts w:ascii="Times New Roman" w:hAnsi="Times New Roman"/>
                      <w:sz w:val="24"/>
                      <w:szCs w:val="24"/>
                    </w:rPr>
                    <w:footnoteReference w:id="7"/>
                  </w:r>
                  <w:r w:rsidR="005A55BB">
                    <w:rPr>
                      <w:rFonts w:ascii="Times New Roman" w:hAnsi="Times New Roman"/>
                      <w:sz w:val="24"/>
                      <w:szCs w:val="24"/>
                    </w:rPr>
                    <w:t xml:space="preserve"> under Dodd-Frank</w:t>
                  </w:r>
                  <w:r w:rsidRPr="004146DD">
                    <w:rPr>
                      <w:rFonts w:ascii="Times New Roman" w:hAnsi="Times New Roman"/>
                      <w:sz w:val="24"/>
                      <w:szCs w:val="24"/>
                    </w:rPr>
                    <w:t xml:space="preserve"> and is not subject to the record keeping requirements of 17 CRF Part 23, other than the requirement that it keep full, complete, and systematic records, together with all pertinent data and memoranda, on the swap</w:t>
                  </w:r>
                  <w:r w:rsidR="005A55BB">
                    <w:rPr>
                      <w:rFonts w:ascii="Times New Roman" w:hAnsi="Times New Roman"/>
                      <w:sz w:val="24"/>
                      <w:szCs w:val="24"/>
                    </w:rPr>
                    <w:t xml:space="preserve">.  </w:t>
                  </w:r>
                </w:p>
              </w:tc>
            </w:tr>
            <w:tr w:rsidR="00942014" w14:paraId="6FCA3B56" w14:textId="77777777" w:rsidTr="00627B81">
              <w:tc>
                <w:tcPr>
                  <w:tcW w:w="576" w:type="dxa"/>
                </w:tcPr>
                <w:p w14:paraId="6451A7C6" w14:textId="77777777" w:rsidR="00942014" w:rsidRPr="004146DD" w:rsidRDefault="00942014" w:rsidP="004146DD">
                  <w:pPr>
                    <w:pStyle w:val="NoSpacing"/>
                    <w:jc w:val="both"/>
                    <w:rPr>
                      <w:rFonts w:ascii="Times New Roman" w:hAnsi="Times New Roman"/>
                      <w:sz w:val="24"/>
                      <w:szCs w:val="24"/>
                    </w:rPr>
                  </w:pPr>
                </w:p>
              </w:tc>
              <w:tc>
                <w:tcPr>
                  <w:tcW w:w="7776" w:type="dxa"/>
                </w:tcPr>
                <w:p w14:paraId="2B9E37AA" w14:textId="77777777" w:rsidR="00942014" w:rsidRPr="004146DD" w:rsidRDefault="00942014" w:rsidP="004146DD">
                  <w:pPr>
                    <w:pStyle w:val="NoSpacing"/>
                    <w:jc w:val="both"/>
                    <w:rPr>
                      <w:rFonts w:ascii="Times New Roman" w:hAnsi="Times New Roman"/>
                      <w:sz w:val="24"/>
                      <w:szCs w:val="24"/>
                    </w:rPr>
                  </w:pPr>
                </w:p>
              </w:tc>
            </w:tr>
            <w:tr w:rsidR="00942014" w14:paraId="3709A859" w14:textId="77777777" w:rsidTr="00627B81">
              <w:tc>
                <w:tcPr>
                  <w:tcW w:w="576" w:type="dxa"/>
                </w:tcPr>
                <w:p w14:paraId="3C53567E" w14:textId="77777777" w:rsidR="00942014" w:rsidRPr="004146DD" w:rsidRDefault="00942014" w:rsidP="004146DD">
                  <w:pPr>
                    <w:pStyle w:val="NoSpacing"/>
                    <w:jc w:val="both"/>
                    <w:rPr>
                      <w:rFonts w:ascii="Times New Roman" w:hAnsi="Times New Roman"/>
                      <w:sz w:val="24"/>
                      <w:szCs w:val="24"/>
                    </w:rPr>
                  </w:pPr>
                </w:p>
              </w:tc>
              <w:tc>
                <w:tcPr>
                  <w:tcW w:w="7776" w:type="dxa"/>
                </w:tcPr>
                <w:p w14:paraId="6429EA2D" w14:textId="77777777" w:rsidR="00942014" w:rsidRPr="009419D8" w:rsidRDefault="00942014" w:rsidP="00A52637">
                  <w:pPr>
                    <w:autoSpaceDE w:val="0"/>
                    <w:autoSpaceDN w:val="0"/>
                    <w:adjustRightInd w:val="0"/>
                    <w:jc w:val="both"/>
                  </w:pPr>
                  <w:r>
                    <w:t xml:space="preserve">To comply with the record keeping requirements of Dodd-Frank with respect to the 2006 Swap, the Trust shall maintain all records, including, without limitation, </w:t>
                  </w:r>
                  <w:r w:rsidR="009419D8">
                    <w:t>The ISDA Master Agreement,</w:t>
                  </w:r>
                  <w:r w:rsidR="00CB47E1">
                    <w:t xml:space="preserve"> with Credit Support Annex attached thereto,</w:t>
                  </w:r>
                  <w:r w:rsidR="009419D8">
                    <w:t xml:space="preserve"> the Schedule to the Master Agreement, the </w:t>
                  </w:r>
                  <w:r w:rsidR="00910E13">
                    <w:t xml:space="preserve">Fixed Income Derivatives Confirmations for the 2022 and 2023 maturities, </w:t>
                  </w:r>
                  <w:r w:rsidR="009419D8">
                    <w:t xml:space="preserve">the </w:t>
                  </w:r>
                  <w:r w:rsidR="009419D8">
                    <w:rPr>
                      <w:sz w:val="22"/>
                    </w:rPr>
                    <w:t xml:space="preserve"> </w:t>
                  </w:r>
                  <w:r w:rsidR="009419D8">
                    <w:t>Guaranty of Bear Stea</w:t>
                  </w:r>
                  <w:r w:rsidR="00733931">
                    <w:t>n</w:t>
                  </w:r>
                  <w:r w:rsidR="009419D8">
                    <w:t>s Capital Markets Inc., the Incumbency Certificate of Bear Steams Capital Markets Inc.,</w:t>
                  </w:r>
                  <w:r w:rsidR="00733931">
                    <w:t xml:space="preserve"> and</w:t>
                  </w:r>
                  <w:r w:rsidR="009419D8">
                    <w:t xml:space="preserve"> opinions of counsel</w:t>
                  </w:r>
                  <w:r w:rsidR="00733931">
                    <w:t>, all dated November 21, 2006</w:t>
                  </w:r>
                  <w:r w:rsidR="009419D8">
                    <w:t xml:space="preserve"> (the “Primary Swap Documents”), together with </w:t>
                  </w:r>
                  <w:r>
                    <w:t xml:space="preserve">all trust calculations, counterparty trade advices, memoranda, correspondence, Bureau of Labor Statistics CPI Index press releases, </w:t>
                  </w:r>
                  <w:r w:rsidR="00CB47E1">
                    <w:t>documents related to the merger of Bear Stearns and J.P. Morgan Chase,</w:t>
                  </w:r>
                  <w:r>
                    <w:t xml:space="preserve"> </w:t>
                  </w:r>
                  <w:r w:rsidR="00910E13">
                    <w:t xml:space="preserve">and other pertinent records, </w:t>
                  </w:r>
                  <w:r>
                    <w:t xml:space="preserve">as electronic records on the Trust’s shared drive at </w:t>
                  </w:r>
                  <w:r w:rsidRPr="0095764E">
                    <w:rPr>
                      <w:b/>
                    </w:rPr>
                    <w:t>WPAT/Pool History/Pool 12/CPI Swap</w:t>
                  </w:r>
                  <w:r>
                    <w:rPr>
                      <w:b/>
                    </w:rPr>
                    <w:t>.</w:t>
                  </w:r>
                  <w:r w:rsidR="009419D8">
                    <w:rPr>
                      <w:b/>
                    </w:rPr>
                    <w:t xml:space="preserve">  </w:t>
                  </w:r>
                  <w:r w:rsidR="00CB47E1">
                    <w:t>The Primary Swap Documents</w:t>
                  </w:r>
                  <w:r w:rsidR="009419D8">
                    <w:t xml:space="preserve"> are also included in the bound transcript of the </w:t>
                  </w:r>
                  <w:r w:rsidR="002437FE">
                    <w:t xml:space="preserve">Series 12 and </w:t>
                  </w:r>
                  <w:r w:rsidR="00A52637">
                    <w:t xml:space="preserve">Series 2006 </w:t>
                  </w:r>
                  <w:r w:rsidR="002437FE">
                    <w:t xml:space="preserve">Refunding </w:t>
                  </w:r>
                  <w:r w:rsidR="00A52637">
                    <w:t>B</w:t>
                  </w:r>
                  <w:r w:rsidR="009419D8">
                    <w:t xml:space="preserve">onds that </w:t>
                  </w:r>
                  <w:proofErr w:type="gramStart"/>
                  <w:r w:rsidR="009419D8">
                    <w:t>are located in</w:t>
                  </w:r>
                  <w:proofErr w:type="gramEnd"/>
                  <w:r w:rsidR="009419D8">
                    <w:t xml:space="preserve"> the Trust’s offices and in the offices of the Trust’s bond counsel and program counsel.</w:t>
                  </w:r>
                </w:p>
              </w:tc>
            </w:tr>
            <w:tr w:rsidR="00A0483D" w14:paraId="2EB9F4DD" w14:textId="77777777" w:rsidTr="00627B81">
              <w:tc>
                <w:tcPr>
                  <w:tcW w:w="576" w:type="dxa"/>
                </w:tcPr>
                <w:p w14:paraId="088C3CAC" w14:textId="77777777" w:rsidR="00A0483D" w:rsidRPr="004146DD" w:rsidRDefault="00A0483D" w:rsidP="004146DD">
                  <w:pPr>
                    <w:pStyle w:val="NoSpacing"/>
                    <w:jc w:val="both"/>
                    <w:rPr>
                      <w:rFonts w:ascii="Times New Roman" w:hAnsi="Times New Roman"/>
                      <w:sz w:val="24"/>
                      <w:szCs w:val="24"/>
                    </w:rPr>
                  </w:pPr>
                </w:p>
              </w:tc>
              <w:tc>
                <w:tcPr>
                  <w:tcW w:w="7776" w:type="dxa"/>
                </w:tcPr>
                <w:p w14:paraId="070039E7" w14:textId="77777777" w:rsidR="00A0483D" w:rsidRPr="004146DD" w:rsidRDefault="00A0483D" w:rsidP="004146DD">
                  <w:pPr>
                    <w:pStyle w:val="NoSpacing"/>
                    <w:jc w:val="both"/>
                    <w:rPr>
                      <w:rFonts w:ascii="Times New Roman" w:hAnsi="Times New Roman"/>
                      <w:sz w:val="24"/>
                      <w:szCs w:val="24"/>
                    </w:rPr>
                  </w:pPr>
                </w:p>
              </w:tc>
            </w:tr>
            <w:tr w:rsidR="00A0483D" w14:paraId="1C42F6CA" w14:textId="77777777" w:rsidTr="00627B81">
              <w:tc>
                <w:tcPr>
                  <w:tcW w:w="576" w:type="dxa"/>
                </w:tcPr>
                <w:p w14:paraId="2EF380A0" w14:textId="77777777" w:rsidR="00A0483D" w:rsidRPr="004146DD" w:rsidRDefault="00A0483D" w:rsidP="004146DD">
                  <w:pPr>
                    <w:pStyle w:val="NoSpacing"/>
                    <w:jc w:val="both"/>
                    <w:rPr>
                      <w:rFonts w:ascii="Times New Roman" w:hAnsi="Times New Roman"/>
                      <w:sz w:val="24"/>
                      <w:szCs w:val="24"/>
                    </w:rPr>
                  </w:pPr>
                  <w:r w:rsidRPr="004146DD">
                    <w:rPr>
                      <w:rFonts w:ascii="Times New Roman" w:hAnsi="Times New Roman"/>
                      <w:sz w:val="24"/>
                      <w:szCs w:val="24"/>
                    </w:rPr>
                    <w:t>(iv)</w:t>
                  </w:r>
                </w:p>
              </w:tc>
              <w:tc>
                <w:tcPr>
                  <w:tcW w:w="7776" w:type="dxa"/>
                </w:tcPr>
                <w:p w14:paraId="4E9A58C2" w14:textId="77777777" w:rsidR="00627B81" w:rsidRDefault="00627B81" w:rsidP="00F97B02">
                  <w:pPr>
                    <w:pStyle w:val="NoSpacing"/>
                    <w:jc w:val="both"/>
                    <w:rPr>
                      <w:rFonts w:ascii="Times New Roman" w:hAnsi="Times New Roman"/>
                      <w:sz w:val="24"/>
                      <w:szCs w:val="24"/>
                    </w:rPr>
                  </w:pPr>
                  <w:r>
                    <w:rPr>
                      <w:rFonts w:ascii="Times New Roman" w:hAnsi="Times New Roman"/>
                      <w:sz w:val="24"/>
                      <w:szCs w:val="24"/>
                      <w:u w:val="single"/>
                    </w:rPr>
                    <w:t>Qualified Independent Representative</w:t>
                  </w:r>
                  <w:r>
                    <w:rPr>
                      <w:rFonts w:ascii="Times New Roman" w:hAnsi="Times New Roman"/>
                      <w:sz w:val="24"/>
                      <w:szCs w:val="24"/>
                    </w:rPr>
                    <w:t xml:space="preserve">. If the Trust enters into a new swap agreement or seeks the modification, transfer, novation, or termination of the 2006 Swap, it will engage the services of a Qualified Independent Representative (“QIR”).  </w:t>
                  </w:r>
                </w:p>
                <w:tbl>
                  <w:tblPr>
                    <w:tblW w:w="0" w:type="auto"/>
                    <w:tblLook w:val="04A0" w:firstRow="1" w:lastRow="0" w:firstColumn="1" w:lastColumn="0" w:noHBand="0" w:noVBand="1"/>
                  </w:tblPr>
                  <w:tblGrid>
                    <w:gridCol w:w="552"/>
                    <w:gridCol w:w="6797"/>
                  </w:tblGrid>
                  <w:tr w:rsidR="00627B81" w14:paraId="0C72E468" w14:textId="77777777" w:rsidTr="00186F85">
                    <w:tc>
                      <w:tcPr>
                        <w:tcW w:w="558" w:type="dxa"/>
                      </w:tcPr>
                      <w:p w14:paraId="124BF421" w14:textId="77777777" w:rsidR="00627B81" w:rsidRPr="00186F85" w:rsidRDefault="00627B81" w:rsidP="00186F85">
                        <w:pPr>
                          <w:pStyle w:val="NoSpacing"/>
                          <w:jc w:val="both"/>
                          <w:rPr>
                            <w:rFonts w:ascii="Times New Roman" w:hAnsi="Times New Roman"/>
                            <w:sz w:val="24"/>
                            <w:szCs w:val="24"/>
                          </w:rPr>
                        </w:pPr>
                      </w:p>
                    </w:tc>
                    <w:tc>
                      <w:tcPr>
                        <w:tcW w:w="6987" w:type="dxa"/>
                      </w:tcPr>
                      <w:p w14:paraId="06E14DD0" w14:textId="77777777" w:rsidR="00627B81" w:rsidRPr="00186F85" w:rsidRDefault="00627B81" w:rsidP="00186F85">
                        <w:pPr>
                          <w:pStyle w:val="NoSpacing"/>
                          <w:jc w:val="both"/>
                          <w:rPr>
                            <w:rFonts w:ascii="Times New Roman" w:hAnsi="Times New Roman"/>
                            <w:sz w:val="24"/>
                            <w:szCs w:val="24"/>
                          </w:rPr>
                        </w:pPr>
                      </w:p>
                    </w:tc>
                  </w:tr>
                  <w:tr w:rsidR="00627B81" w14:paraId="75A0F540" w14:textId="77777777" w:rsidTr="00186F85">
                    <w:tc>
                      <w:tcPr>
                        <w:tcW w:w="558" w:type="dxa"/>
                      </w:tcPr>
                      <w:p w14:paraId="2EB113F8" w14:textId="77777777" w:rsidR="00627B81" w:rsidRPr="00186F85" w:rsidRDefault="00627B81" w:rsidP="00186F85">
                        <w:pPr>
                          <w:pStyle w:val="NoSpacing"/>
                          <w:jc w:val="both"/>
                          <w:rPr>
                            <w:rFonts w:ascii="Times New Roman" w:hAnsi="Times New Roman"/>
                            <w:sz w:val="24"/>
                            <w:szCs w:val="24"/>
                          </w:rPr>
                        </w:pPr>
                        <w:r w:rsidRPr="00186F85">
                          <w:rPr>
                            <w:rFonts w:ascii="Times New Roman" w:hAnsi="Times New Roman"/>
                            <w:sz w:val="24"/>
                            <w:szCs w:val="24"/>
                          </w:rPr>
                          <w:t xml:space="preserve">1. </w:t>
                        </w:r>
                      </w:p>
                    </w:tc>
                    <w:tc>
                      <w:tcPr>
                        <w:tcW w:w="6987" w:type="dxa"/>
                      </w:tcPr>
                      <w:p w14:paraId="5A57CEAF" w14:textId="77777777" w:rsidR="00627B81" w:rsidRPr="00186F85" w:rsidRDefault="00627B81" w:rsidP="00001EEB">
                        <w:pPr>
                          <w:pStyle w:val="NoSpacing"/>
                          <w:jc w:val="both"/>
                          <w:rPr>
                            <w:rFonts w:ascii="Times New Roman" w:hAnsi="Times New Roman"/>
                            <w:sz w:val="24"/>
                            <w:szCs w:val="24"/>
                          </w:rPr>
                        </w:pPr>
                        <w:r w:rsidRPr="00186F85">
                          <w:rPr>
                            <w:rFonts w:ascii="Times New Roman" w:hAnsi="Times New Roman"/>
                            <w:sz w:val="24"/>
                            <w:szCs w:val="24"/>
                          </w:rPr>
                          <w:t xml:space="preserve">The </w:t>
                        </w:r>
                        <w:r w:rsidR="00001EEB">
                          <w:rPr>
                            <w:rFonts w:ascii="Times New Roman" w:hAnsi="Times New Roman"/>
                            <w:sz w:val="24"/>
                            <w:szCs w:val="24"/>
                          </w:rPr>
                          <w:t xml:space="preserve">Trust will issue </w:t>
                        </w:r>
                        <w:proofErr w:type="gramStart"/>
                        <w:r w:rsidR="00001EEB">
                          <w:rPr>
                            <w:rFonts w:ascii="Times New Roman" w:hAnsi="Times New Roman"/>
                            <w:sz w:val="24"/>
                            <w:szCs w:val="24"/>
                          </w:rPr>
                          <w:t>a RFR</w:t>
                        </w:r>
                        <w:proofErr w:type="gramEnd"/>
                        <w:r w:rsidRPr="00186F85">
                          <w:rPr>
                            <w:rFonts w:ascii="Times New Roman" w:hAnsi="Times New Roman"/>
                            <w:sz w:val="24"/>
                            <w:szCs w:val="24"/>
                          </w:rPr>
                          <w:t xml:space="preserve"> to relevant firms in accordance with the </w:t>
                        </w:r>
                        <w:r w:rsidR="003B20E8">
                          <w:rPr>
                            <w:rFonts w:ascii="Times New Roman" w:hAnsi="Times New Roman"/>
                            <w:sz w:val="24"/>
                            <w:szCs w:val="24"/>
                          </w:rPr>
                          <w:t xml:space="preserve">Office of the </w:t>
                        </w:r>
                        <w:r w:rsidRPr="00186F85">
                          <w:rPr>
                            <w:rFonts w:ascii="Times New Roman" w:hAnsi="Times New Roman"/>
                            <w:sz w:val="24"/>
                            <w:szCs w:val="24"/>
                          </w:rPr>
                          <w:t xml:space="preserve">State Treasurer’s </w:t>
                        </w:r>
                        <w:r w:rsidR="00BB1D53">
                          <w:rPr>
                            <w:rFonts w:ascii="Times New Roman" w:hAnsi="Times New Roman"/>
                            <w:sz w:val="24"/>
                            <w:szCs w:val="24"/>
                          </w:rPr>
                          <w:t xml:space="preserve">procurement </w:t>
                        </w:r>
                        <w:r w:rsidRPr="00186F85">
                          <w:rPr>
                            <w:rFonts w:ascii="Times New Roman" w:hAnsi="Times New Roman"/>
                            <w:sz w:val="24"/>
                            <w:szCs w:val="24"/>
                          </w:rPr>
                          <w:t xml:space="preserve">policies and procedures.  The Trust will select a firm (or firms) that has the qualifications to act as a QIR in accordance with the requirements of </w:t>
                        </w:r>
                        <w:r w:rsidR="00C158FD">
                          <w:rPr>
                            <w:rFonts w:ascii="Times New Roman" w:hAnsi="Times New Roman"/>
                            <w:sz w:val="24"/>
                            <w:szCs w:val="24"/>
                          </w:rPr>
                          <w:t xml:space="preserve">the applicable </w:t>
                        </w:r>
                        <w:r w:rsidRPr="00186F85">
                          <w:rPr>
                            <w:rFonts w:ascii="Times New Roman" w:hAnsi="Times New Roman"/>
                            <w:sz w:val="24"/>
                            <w:szCs w:val="24"/>
                          </w:rPr>
                          <w:t>CFTC Regulation</w:t>
                        </w:r>
                        <w:r w:rsidR="00C158FD">
                          <w:rPr>
                            <w:rFonts w:ascii="Times New Roman" w:hAnsi="Times New Roman"/>
                            <w:sz w:val="24"/>
                            <w:szCs w:val="24"/>
                          </w:rPr>
                          <w:t>.</w:t>
                        </w:r>
                        <w:r w:rsidR="00C158FD">
                          <w:rPr>
                            <w:rStyle w:val="FootnoteReference"/>
                            <w:rFonts w:ascii="Times New Roman" w:hAnsi="Times New Roman"/>
                            <w:sz w:val="24"/>
                            <w:szCs w:val="24"/>
                          </w:rPr>
                          <w:footnoteReference w:id="8"/>
                        </w:r>
                        <w:r w:rsidRPr="00186F85">
                          <w:rPr>
                            <w:rFonts w:ascii="Times New Roman" w:hAnsi="Times New Roman"/>
                            <w:sz w:val="24"/>
                            <w:szCs w:val="24"/>
                          </w:rPr>
                          <w:t xml:space="preserve"> </w:t>
                        </w:r>
                        <w:r w:rsidR="00001EEB">
                          <w:rPr>
                            <w:rFonts w:ascii="Times New Roman" w:hAnsi="Times New Roman"/>
                            <w:sz w:val="24"/>
                            <w:szCs w:val="24"/>
                          </w:rPr>
                          <w:t xml:space="preserve"> The </w:t>
                        </w:r>
                        <w:r w:rsidRPr="00186F85">
                          <w:rPr>
                            <w:rFonts w:ascii="Times New Roman" w:hAnsi="Times New Roman"/>
                            <w:sz w:val="24"/>
                            <w:szCs w:val="24"/>
                          </w:rPr>
                          <w:t>contract</w:t>
                        </w:r>
                        <w:r w:rsidR="00001EEB">
                          <w:rPr>
                            <w:rFonts w:ascii="Times New Roman" w:hAnsi="Times New Roman"/>
                            <w:sz w:val="24"/>
                            <w:szCs w:val="24"/>
                          </w:rPr>
                          <w:t xml:space="preserve"> with</w:t>
                        </w:r>
                        <w:r w:rsidRPr="00186F85">
                          <w:rPr>
                            <w:rFonts w:ascii="Times New Roman" w:hAnsi="Times New Roman"/>
                            <w:sz w:val="24"/>
                            <w:szCs w:val="24"/>
                          </w:rPr>
                          <w:t xml:space="preserve"> such firm or firms will </w:t>
                        </w:r>
                        <w:r w:rsidR="00001EEB">
                          <w:rPr>
                            <w:rFonts w:ascii="Times New Roman" w:hAnsi="Times New Roman"/>
                            <w:sz w:val="24"/>
                            <w:szCs w:val="24"/>
                          </w:rPr>
                          <w:t xml:space="preserve">include </w:t>
                        </w:r>
                        <w:r w:rsidRPr="00186F85">
                          <w:rPr>
                            <w:rFonts w:ascii="Times New Roman" w:hAnsi="Times New Roman"/>
                            <w:sz w:val="24"/>
                            <w:szCs w:val="24"/>
                          </w:rPr>
                          <w:t xml:space="preserve"> representations and </w:t>
                        </w:r>
                        <w:r w:rsidR="00001EEB">
                          <w:rPr>
                            <w:rFonts w:ascii="Times New Roman" w:hAnsi="Times New Roman"/>
                            <w:sz w:val="24"/>
                            <w:szCs w:val="24"/>
                          </w:rPr>
                          <w:t>covenants</w:t>
                        </w:r>
                        <w:r w:rsidRPr="00186F85">
                          <w:rPr>
                            <w:rFonts w:ascii="Times New Roman" w:hAnsi="Times New Roman"/>
                            <w:sz w:val="24"/>
                            <w:szCs w:val="24"/>
                          </w:rPr>
                          <w:t xml:space="preserve"> </w:t>
                        </w:r>
                        <w:r w:rsidR="00001EEB">
                          <w:rPr>
                            <w:rFonts w:ascii="Times New Roman" w:hAnsi="Times New Roman"/>
                            <w:sz w:val="24"/>
                            <w:szCs w:val="24"/>
                          </w:rPr>
                          <w:t xml:space="preserve">by the selected firm or firms </w:t>
                        </w:r>
                        <w:r w:rsidRPr="00186F85">
                          <w:rPr>
                            <w:rFonts w:ascii="Times New Roman" w:hAnsi="Times New Roman"/>
                            <w:sz w:val="24"/>
                            <w:szCs w:val="24"/>
                          </w:rPr>
                          <w:t xml:space="preserve">to satisfy the requirements and safe harbors of </w:t>
                        </w:r>
                        <w:r w:rsidR="00001EEB">
                          <w:rPr>
                            <w:rFonts w:ascii="Times New Roman" w:hAnsi="Times New Roman"/>
                            <w:sz w:val="24"/>
                            <w:szCs w:val="24"/>
                          </w:rPr>
                          <w:t xml:space="preserve">the </w:t>
                        </w:r>
                        <w:r w:rsidRPr="00186F85">
                          <w:rPr>
                            <w:rFonts w:ascii="Times New Roman" w:hAnsi="Times New Roman"/>
                            <w:sz w:val="24"/>
                            <w:szCs w:val="24"/>
                          </w:rPr>
                          <w:t>CFTC Regulation</w:t>
                        </w:r>
                        <w:r w:rsidR="00001EEB">
                          <w:rPr>
                            <w:rFonts w:ascii="Times New Roman" w:hAnsi="Times New Roman"/>
                            <w:sz w:val="24"/>
                            <w:szCs w:val="24"/>
                          </w:rPr>
                          <w:t xml:space="preserve"> </w:t>
                        </w:r>
                        <w:r w:rsidRPr="00186F85">
                          <w:rPr>
                            <w:rFonts w:ascii="Times New Roman" w:hAnsi="Times New Roman"/>
                            <w:sz w:val="24"/>
                            <w:szCs w:val="24"/>
                          </w:rPr>
                          <w:t xml:space="preserve">in a manner satisfactory to the Trust.  </w:t>
                        </w:r>
                      </w:p>
                    </w:tc>
                  </w:tr>
                  <w:tr w:rsidR="00627B81" w14:paraId="3C241AB5" w14:textId="77777777" w:rsidTr="00186F85">
                    <w:tc>
                      <w:tcPr>
                        <w:tcW w:w="558" w:type="dxa"/>
                      </w:tcPr>
                      <w:p w14:paraId="3AED84BF" w14:textId="77777777" w:rsidR="00627B81" w:rsidRPr="00186F85" w:rsidRDefault="00627B81" w:rsidP="00186F85">
                        <w:pPr>
                          <w:pStyle w:val="NoSpacing"/>
                          <w:jc w:val="both"/>
                          <w:rPr>
                            <w:rFonts w:ascii="Times New Roman" w:hAnsi="Times New Roman"/>
                            <w:sz w:val="24"/>
                            <w:szCs w:val="24"/>
                          </w:rPr>
                        </w:pPr>
                      </w:p>
                    </w:tc>
                    <w:tc>
                      <w:tcPr>
                        <w:tcW w:w="6987" w:type="dxa"/>
                      </w:tcPr>
                      <w:p w14:paraId="450A6DD3" w14:textId="77777777" w:rsidR="00627B81" w:rsidRPr="00186F85" w:rsidRDefault="00627B81" w:rsidP="00186F85">
                        <w:pPr>
                          <w:pStyle w:val="NoSpacing"/>
                          <w:jc w:val="both"/>
                          <w:rPr>
                            <w:rFonts w:ascii="Times New Roman" w:hAnsi="Times New Roman"/>
                            <w:sz w:val="24"/>
                            <w:szCs w:val="24"/>
                          </w:rPr>
                        </w:pPr>
                      </w:p>
                    </w:tc>
                  </w:tr>
                  <w:tr w:rsidR="00627B81" w14:paraId="19108C01" w14:textId="77777777" w:rsidTr="00186F85">
                    <w:tc>
                      <w:tcPr>
                        <w:tcW w:w="558" w:type="dxa"/>
                      </w:tcPr>
                      <w:p w14:paraId="5021708A" w14:textId="77777777" w:rsidR="00627B81" w:rsidRPr="00186F85" w:rsidRDefault="00627B81" w:rsidP="00186F85">
                        <w:pPr>
                          <w:pStyle w:val="NoSpacing"/>
                          <w:jc w:val="both"/>
                          <w:rPr>
                            <w:rFonts w:ascii="Times New Roman" w:hAnsi="Times New Roman"/>
                            <w:sz w:val="24"/>
                            <w:szCs w:val="24"/>
                          </w:rPr>
                        </w:pPr>
                        <w:r w:rsidRPr="00186F85">
                          <w:rPr>
                            <w:rFonts w:ascii="Times New Roman" w:hAnsi="Times New Roman"/>
                            <w:sz w:val="24"/>
                            <w:szCs w:val="24"/>
                          </w:rPr>
                          <w:t>2.</w:t>
                        </w:r>
                      </w:p>
                    </w:tc>
                    <w:tc>
                      <w:tcPr>
                        <w:tcW w:w="6987" w:type="dxa"/>
                      </w:tcPr>
                      <w:p w14:paraId="2DE72F5B" w14:textId="77777777" w:rsidR="00627B81" w:rsidRPr="00186F85" w:rsidRDefault="00627B81" w:rsidP="00001EEB">
                        <w:pPr>
                          <w:pStyle w:val="NoSpacing"/>
                          <w:jc w:val="both"/>
                          <w:rPr>
                            <w:rFonts w:ascii="Times New Roman" w:hAnsi="Times New Roman"/>
                            <w:sz w:val="24"/>
                            <w:szCs w:val="24"/>
                          </w:rPr>
                        </w:pPr>
                        <w:r w:rsidRPr="00186F85">
                          <w:rPr>
                            <w:rFonts w:ascii="Times New Roman" w:hAnsi="Times New Roman"/>
                            <w:sz w:val="24"/>
                            <w:szCs w:val="24"/>
                          </w:rPr>
                          <w:t xml:space="preserve">The Trust will utilize the services of such </w:t>
                        </w:r>
                        <w:r w:rsidR="00001EEB">
                          <w:rPr>
                            <w:rFonts w:ascii="Times New Roman" w:hAnsi="Times New Roman"/>
                            <w:sz w:val="24"/>
                            <w:szCs w:val="24"/>
                          </w:rPr>
                          <w:t>QIR</w:t>
                        </w:r>
                        <w:r w:rsidRPr="00186F85">
                          <w:rPr>
                            <w:rFonts w:ascii="Times New Roman" w:hAnsi="Times New Roman"/>
                            <w:sz w:val="24"/>
                            <w:szCs w:val="24"/>
                          </w:rPr>
                          <w:t xml:space="preserve"> when (</w:t>
                        </w:r>
                        <w:r w:rsidR="00AF255E" w:rsidRPr="00186F85">
                          <w:rPr>
                            <w:rFonts w:ascii="Times New Roman" w:hAnsi="Times New Roman"/>
                            <w:sz w:val="24"/>
                            <w:szCs w:val="24"/>
                          </w:rPr>
                          <w:t>A</w:t>
                        </w:r>
                        <w:r w:rsidRPr="00186F85">
                          <w:rPr>
                            <w:rFonts w:ascii="Times New Roman" w:hAnsi="Times New Roman"/>
                            <w:sz w:val="24"/>
                            <w:szCs w:val="24"/>
                          </w:rPr>
                          <w:t xml:space="preserve">) </w:t>
                        </w:r>
                        <w:proofErr w:type="gramStart"/>
                        <w:r w:rsidRPr="00186F85">
                          <w:rPr>
                            <w:rFonts w:ascii="Times New Roman" w:hAnsi="Times New Roman"/>
                            <w:sz w:val="24"/>
                            <w:szCs w:val="24"/>
                          </w:rPr>
                          <w:t>entering into</w:t>
                        </w:r>
                        <w:proofErr w:type="gramEnd"/>
                        <w:r w:rsidRPr="00186F85">
                          <w:rPr>
                            <w:rFonts w:ascii="Times New Roman" w:hAnsi="Times New Roman"/>
                            <w:sz w:val="24"/>
                            <w:szCs w:val="24"/>
                          </w:rPr>
                          <w:t xml:space="preserve"> a new swap transaction, (</w:t>
                        </w:r>
                        <w:r w:rsidR="00AF255E" w:rsidRPr="00186F85">
                          <w:rPr>
                            <w:rFonts w:ascii="Times New Roman" w:hAnsi="Times New Roman"/>
                            <w:sz w:val="24"/>
                            <w:szCs w:val="24"/>
                          </w:rPr>
                          <w:t>B</w:t>
                        </w:r>
                        <w:r w:rsidRPr="00186F85">
                          <w:rPr>
                            <w:rFonts w:ascii="Times New Roman" w:hAnsi="Times New Roman"/>
                            <w:sz w:val="24"/>
                            <w:szCs w:val="24"/>
                          </w:rPr>
                          <w:t>) modifying, terminating (in whole or in part), transferring</w:t>
                        </w:r>
                        <w:r w:rsidR="00B65BD2">
                          <w:rPr>
                            <w:rFonts w:ascii="Times New Roman" w:hAnsi="Times New Roman"/>
                            <w:sz w:val="24"/>
                            <w:szCs w:val="24"/>
                          </w:rPr>
                          <w:t>,</w:t>
                        </w:r>
                        <w:r w:rsidRPr="00186F85">
                          <w:rPr>
                            <w:rFonts w:ascii="Times New Roman" w:hAnsi="Times New Roman"/>
                            <w:sz w:val="24"/>
                            <w:szCs w:val="24"/>
                          </w:rPr>
                          <w:t xml:space="preserve"> or novating</w:t>
                        </w:r>
                        <w:r w:rsidR="00B65BD2">
                          <w:rPr>
                            <w:rFonts w:ascii="Times New Roman" w:hAnsi="Times New Roman"/>
                            <w:sz w:val="24"/>
                            <w:szCs w:val="24"/>
                          </w:rPr>
                          <w:t xml:space="preserve"> the 2006 Swap</w:t>
                        </w:r>
                        <w:r w:rsidRPr="00186F85">
                          <w:rPr>
                            <w:rFonts w:ascii="Times New Roman" w:hAnsi="Times New Roman"/>
                            <w:sz w:val="24"/>
                            <w:szCs w:val="24"/>
                          </w:rPr>
                          <w:t>, or (</w:t>
                        </w:r>
                        <w:r w:rsidR="00AF255E" w:rsidRPr="00186F85">
                          <w:rPr>
                            <w:rFonts w:ascii="Times New Roman" w:hAnsi="Times New Roman"/>
                            <w:sz w:val="24"/>
                            <w:szCs w:val="24"/>
                          </w:rPr>
                          <w:t>C</w:t>
                        </w:r>
                        <w:r w:rsidRPr="00186F85">
                          <w:rPr>
                            <w:rFonts w:ascii="Times New Roman" w:hAnsi="Times New Roman"/>
                            <w:sz w:val="24"/>
                            <w:szCs w:val="24"/>
                          </w:rPr>
                          <w:t>)</w:t>
                        </w:r>
                        <w:r w:rsidR="00AF255E" w:rsidRPr="00186F85">
                          <w:rPr>
                            <w:rFonts w:ascii="Times New Roman" w:hAnsi="Times New Roman"/>
                            <w:sz w:val="24"/>
                            <w:szCs w:val="24"/>
                          </w:rPr>
                          <w:t xml:space="preserve"> </w:t>
                        </w:r>
                        <w:r w:rsidRPr="00186F85">
                          <w:rPr>
                            <w:rFonts w:ascii="Times New Roman" w:hAnsi="Times New Roman"/>
                            <w:sz w:val="24"/>
                            <w:szCs w:val="24"/>
                          </w:rPr>
                          <w:t>discussing the possibility of the transactions in (</w:t>
                        </w:r>
                        <w:r w:rsidR="00AF255E" w:rsidRPr="00186F85">
                          <w:rPr>
                            <w:rFonts w:ascii="Times New Roman" w:hAnsi="Times New Roman"/>
                            <w:sz w:val="24"/>
                            <w:szCs w:val="24"/>
                          </w:rPr>
                          <w:t>A</w:t>
                        </w:r>
                        <w:r w:rsidRPr="00186F85">
                          <w:rPr>
                            <w:rFonts w:ascii="Times New Roman" w:hAnsi="Times New Roman"/>
                            <w:sz w:val="24"/>
                            <w:szCs w:val="24"/>
                          </w:rPr>
                          <w:t>) and/or (</w:t>
                        </w:r>
                        <w:r w:rsidR="00AF255E" w:rsidRPr="00186F85">
                          <w:rPr>
                            <w:rFonts w:ascii="Times New Roman" w:hAnsi="Times New Roman"/>
                            <w:sz w:val="24"/>
                            <w:szCs w:val="24"/>
                          </w:rPr>
                          <w:t>B</w:t>
                        </w:r>
                        <w:r w:rsidRPr="00186F85">
                          <w:rPr>
                            <w:rFonts w:ascii="Times New Roman" w:hAnsi="Times New Roman"/>
                            <w:sz w:val="24"/>
                            <w:szCs w:val="24"/>
                          </w:rPr>
                          <w:t>) with a swap counterparty.</w:t>
                        </w:r>
                      </w:p>
                    </w:tc>
                  </w:tr>
                  <w:tr w:rsidR="00627B81" w14:paraId="7AFD708C" w14:textId="77777777" w:rsidTr="00186F85">
                    <w:tc>
                      <w:tcPr>
                        <w:tcW w:w="558" w:type="dxa"/>
                      </w:tcPr>
                      <w:p w14:paraId="2AD7C2F4" w14:textId="77777777" w:rsidR="00627B81" w:rsidRPr="00186F85" w:rsidRDefault="00627B81" w:rsidP="00186F85">
                        <w:pPr>
                          <w:pStyle w:val="NoSpacing"/>
                          <w:jc w:val="both"/>
                          <w:rPr>
                            <w:rFonts w:ascii="Times New Roman" w:hAnsi="Times New Roman"/>
                            <w:sz w:val="24"/>
                            <w:szCs w:val="24"/>
                          </w:rPr>
                        </w:pPr>
                      </w:p>
                    </w:tc>
                    <w:tc>
                      <w:tcPr>
                        <w:tcW w:w="6987" w:type="dxa"/>
                      </w:tcPr>
                      <w:p w14:paraId="325ED425" w14:textId="77777777" w:rsidR="00627B81" w:rsidRPr="00186F85" w:rsidRDefault="00627B81" w:rsidP="00186F85">
                        <w:pPr>
                          <w:pStyle w:val="NoSpacing"/>
                          <w:jc w:val="both"/>
                          <w:rPr>
                            <w:rFonts w:ascii="Times New Roman" w:hAnsi="Times New Roman"/>
                            <w:sz w:val="24"/>
                            <w:szCs w:val="24"/>
                          </w:rPr>
                        </w:pPr>
                      </w:p>
                    </w:tc>
                  </w:tr>
                  <w:tr w:rsidR="00627B81" w14:paraId="1DA5CD8C" w14:textId="77777777" w:rsidTr="00186F85">
                    <w:tc>
                      <w:tcPr>
                        <w:tcW w:w="558" w:type="dxa"/>
                      </w:tcPr>
                      <w:p w14:paraId="67D39448" w14:textId="77777777" w:rsidR="00627B81" w:rsidRPr="00186F85" w:rsidRDefault="00627B81" w:rsidP="00186F85">
                        <w:pPr>
                          <w:pStyle w:val="NoSpacing"/>
                          <w:jc w:val="both"/>
                          <w:rPr>
                            <w:rFonts w:ascii="Times New Roman" w:hAnsi="Times New Roman"/>
                            <w:sz w:val="24"/>
                            <w:szCs w:val="24"/>
                          </w:rPr>
                        </w:pPr>
                        <w:r w:rsidRPr="00186F85">
                          <w:rPr>
                            <w:rFonts w:ascii="Times New Roman" w:hAnsi="Times New Roman"/>
                            <w:sz w:val="24"/>
                            <w:szCs w:val="24"/>
                          </w:rPr>
                          <w:t>3.</w:t>
                        </w:r>
                      </w:p>
                    </w:tc>
                    <w:tc>
                      <w:tcPr>
                        <w:tcW w:w="6987" w:type="dxa"/>
                      </w:tcPr>
                      <w:p w14:paraId="3AEC7DE0" w14:textId="77777777" w:rsidR="00627B81" w:rsidRPr="00186F85" w:rsidRDefault="00627B81" w:rsidP="00001EEB">
                        <w:pPr>
                          <w:pStyle w:val="NoSpacing"/>
                          <w:jc w:val="both"/>
                          <w:rPr>
                            <w:rFonts w:ascii="Times New Roman" w:hAnsi="Times New Roman"/>
                            <w:sz w:val="24"/>
                            <w:szCs w:val="24"/>
                          </w:rPr>
                        </w:pPr>
                        <w:r w:rsidRPr="00186F85">
                          <w:rPr>
                            <w:rFonts w:ascii="Times New Roman" w:hAnsi="Times New Roman"/>
                            <w:sz w:val="24"/>
                            <w:szCs w:val="24"/>
                          </w:rPr>
                          <w:t xml:space="preserve">The Trust will monitor the continued performance of each </w:t>
                        </w:r>
                        <w:r w:rsidR="00001EEB">
                          <w:rPr>
                            <w:rFonts w:ascii="Times New Roman" w:hAnsi="Times New Roman"/>
                            <w:sz w:val="24"/>
                            <w:szCs w:val="24"/>
                          </w:rPr>
                          <w:t>QIR</w:t>
                        </w:r>
                        <w:r w:rsidRPr="00186F85">
                          <w:rPr>
                            <w:rFonts w:ascii="Times New Roman" w:hAnsi="Times New Roman"/>
                            <w:sz w:val="24"/>
                            <w:szCs w:val="24"/>
                          </w:rPr>
                          <w:t xml:space="preserve"> by requesting certifications at least annually restating that the representations and </w:t>
                        </w:r>
                        <w:r w:rsidR="00001EEB">
                          <w:rPr>
                            <w:rFonts w:ascii="Times New Roman" w:hAnsi="Times New Roman"/>
                            <w:sz w:val="24"/>
                            <w:szCs w:val="24"/>
                          </w:rPr>
                          <w:t>covenants</w:t>
                        </w:r>
                        <w:r w:rsidRPr="00186F85">
                          <w:rPr>
                            <w:rFonts w:ascii="Times New Roman" w:hAnsi="Times New Roman"/>
                            <w:sz w:val="24"/>
                            <w:szCs w:val="24"/>
                          </w:rPr>
                          <w:t xml:space="preserve"> in the contract described above are true and correct and by requiring in the contract described above prompt notice by the </w:t>
                        </w:r>
                        <w:r w:rsidR="00001EEB">
                          <w:rPr>
                            <w:rFonts w:ascii="Times New Roman" w:hAnsi="Times New Roman"/>
                            <w:sz w:val="24"/>
                            <w:szCs w:val="24"/>
                          </w:rPr>
                          <w:t xml:space="preserve">QIR </w:t>
                        </w:r>
                        <w:r w:rsidRPr="00186F85">
                          <w:rPr>
                            <w:rFonts w:ascii="Times New Roman" w:hAnsi="Times New Roman"/>
                            <w:sz w:val="24"/>
                            <w:szCs w:val="24"/>
                          </w:rPr>
                          <w:t xml:space="preserve">of any failure of a representation or </w:t>
                        </w:r>
                        <w:r w:rsidR="00001EEB">
                          <w:rPr>
                            <w:rFonts w:ascii="Times New Roman" w:hAnsi="Times New Roman"/>
                            <w:sz w:val="24"/>
                            <w:szCs w:val="24"/>
                          </w:rPr>
                          <w:t>covenant</w:t>
                        </w:r>
                        <w:r w:rsidRPr="00186F85">
                          <w:rPr>
                            <w:rFonts w:ascii="Times New Roman" w:hAnsi="Times New Roman"/>
                            <w:sz w:val="24"/>
                            <w:szCs w:val="24"/>
                          </w:rPr>
                          <w:t xml:space="preserve"> to be true.</w:t>
                        </w:r>
                      </w:p>
                    </w:tc>
                  </w:tr>
                </w:tbl>
                <w:p w14:paraId="7CCB3F29" w14:textId="77777777" w:rsidR="00A0483D" w:rsidRPr="00627B81" w:rsidRDefault="00A0483D" w:rsidP="00F97B02">
                  <w:pPr>
                    <w:pStyle w:val="NoSpacing"/>
                    <w:jc w:val="both"/>
                    <w:rPr>
                      <w:rFonts w:ascii="Times New Roman" w:hAnsi="Times New Roman"/>
                      <w:sz w:val="24"/>
                      <w:szCs w:val="24"/>
                    </w:rPr>
                  </w:pPr>
                </w:p>
              </w:tc>
            </w:tr>
          </w:tbl>
          <w:p w14:paraId="500276A1" w14:textId="77777777" w:rsidR="00061FE8" w:rsidRDefault="00061FE8" w:rsidP="000C6A90">
            <w:pPr>
              <w:pStyle w:val="NoSpacing"/>
              <w:jc w:val="both"/>
              <w:rPr>
                <w:rFonts w:ascii="Times New Roman" w:hAnsi="Times New Roman"/>
                <w:sz w:val="24"/>
                <w:szCs w:val="24"/>
              </w:rPr>
            </w:pPr>
          </w:p>
        </w:tc>
      </w:tr>
      <w:tr w:rsidR="00C376E2" w:rsidRPr="003B174D" w14:paraId="471470C3" w14:textId="77777777" w:rsidTr="009A155E">
        <w:tc>
          <w:tcPr>
            <w:tcW w:w="630" w:type="dxa"/>
          </w:tcPr>
          <w:p w14:paraId="208E8D40" w14:textId="77777777" w:rsidR="00C376E2" w:rsidRDefault="00C376E2" w:rsidP="000C6A90">
            <w:pPr>
              <w:pStyle w:val="NoSpacing"/>
              <w:jc w:val="both"/>
              <w:rPr>
                <w:rFonts w:ascii="Times New Roman" w:hAnsi="Times New Roman"/>
                <w:sz w:val="24"/>
                <w:szCs w:val="24"/>
              </w:rPr>
            </w:pPr>
          </w:p>
        </w:tc>
        <w:tc>
          <w:tcPr>
            <w:tcW w:w="8568" w:type="dxa"/>
          </w:tcPr>
          <w:p w14:paraId="17CDA3DF" w14:textId="77777777" w:rsidR="00C376E2" w:rsidRDefault="00C376E2" w:rsidP="000C6A90">
            <w:pPr>
              <w:pStyle w:val="NoSpacing"/>
              <w:jc w:val="both"/>
              <w:rPr>
                <w:rFonts w:ascii="Times New Roman" w:hAnsi="Times New Roman"/>
                <w:b/>
                <w:sz w:val="24"/>
                <w:szCs w:val="24"/>
              </w:rPr>
            </w:pPr>
          </w:p>
        </w:tc>
      </w:tr>
      <w:tr w:rsidR="00656D1A" w:rsidRPr="003B174D" w14:paraId="1EE598ED" w14:textId="77777777" w:rsidTr="009A155E">
        <w:tc>
          <w:tcPr>
            <w:tcW w:w="630" w:type="dxa"/>
          </w:tcPr>
          <w:p w14:paraId="7636BF01" w14:textId="77777777" w:rsidR="00656D1A" w:rsidRDefault="00656D1A" w:rsidP="000C6A90">
            <w:pPr>
              <w:pStyle w:val="NoSpacing"/>
              <w:jc w:val="both"/>
              <w:rPr>
                <w:rFonts w:ascii="Times New Roman" w:hAnsi="Times New Roman"/>
                <w:sz w:val="24"/>
                <w:szCs w:val="24"/>
              </w:rPr>
            </w:pPr>
            <w:r>
              <w:rPr>
                <w:rFonts w:ascii="Times New Roman" w:hAnsi="Times New Roman"/>
                <w:sz w:val="24"/>
                <w:szCs w:val="24"/>
              </w:rPr>
              <w:t>12.</w:t>
            </w:r>
          </w:p>
        </w:tc>
        <w:tc>
          <w:tcPr>
            <w:tcW w:w="8568" w:type="dxa"/>
          </w:tcPr>
          <w:p w14:paraId="2D4A8539" w14:textId="77777777" w:rsidR="00656D1A" w:rsidRDefault="00656D1A" w:rsidP="000C6A90">
            <w:pPr>
              <w:pStyle w:val="NoSpacing"/>
              <w:jc w:val="both"/>
              <w:rPr>
                <w:rFonts w:ascii="Times New Roman" w:hAnsi="Times New Roman"/>
                <w:b/>
                <w:sz w:val="24"/>
                <w:szCs w:val="24"/>
              </w:rPr>
            </w:pPr>
            <w:r>
              <w:rPr>
                <w:rFonts w:ascii="Times New Roman" w:hAnsi="Times New Roman"/>
                <w:b/>
                <w:sz w:val="24"/>
                <w:szCs w:val="24"/>
              </w:rPr>
              <w:t>Post-Sale Monitoring, Management, Compliance.</w:t>
            </w:r>
          </w:p>
        </w:tc>
      </w:tr>
      <w:tr w:rsidR="00656D1A" w:rsidRPr="003B174D" w14:paraId="2D0379E1" w14:textId="77777777" w:rsidTr="009A155E">
        <w:tc>
          <w:tcPr>
            <w:tcW w:w="630" w:type="dxa"/>
          </w:tcPr>
          <w:p w14:paraId="69287EEE" w14:textId="77777777" w:rsidR="00656D1A" w:rsidRDefault="00656D1A" w:rsidP="000C6A90">
            <w:pPr>
              <w:pStyle w:val="NoSpacing"/>
              <w:jc w:val="both"/>
              <w:rPr>
                <w:rFonts w:ascii="Times New Roman" w:hAnsi="Times New Roman"/>
                <w:sz w:val="24"/>
                <w:szCs w:val="24"/>
              </w:rPr>
            </w:pPr>
          </w:p>
        </w:tc>
        <w:tc>
          <w:tcPr>
            <w:tcW w:w="8568" w:type="dxa"/>
          </w:tcPr>
          <w:p w14:paraId="519A7190" w14:textId="77777777" w:rsidR="00656D1A" w:rsidRDefault="00656D1A" w:rsidP="000C6A90">
            <w:pPr>
              <w:pStyle w:val="NoSpacing"/>
              <w:jc w:val="both"/>
              <w:rPr>
                <w:rFonts w:ascii="Times New Roman" w:hAnsi="Times New Roman"/>
                <w:b/>
                <w:sz w:val="24"/>
                <w:szCs w:val="24"/>
              </w:rPr>
            </w:pPr>
          </w:p>
        </w:tc>
      </w:tr>
      <w:tr w:rsidR="00842D1F" w:rsidRPr="003B174D" w14:paraId="0C88C7EB" w14:textId="77777777" w:rsidTr="009A155E">
        <w:tc>
          <w:tcPr>
            <w:tcW w:w="630" w:type="dxa"/>
          </w:tcPr>
          <w:p w14:paraId="79677B09" w14:textId="77777777" w:rsidR="00842D1F" w:rsidRDefault="00842D1F" w:rsidP="000C6A90">
            <w:pPr>
              <w:pStyle w:val="NoSpacing"/>
              <w:jc w:val="both"/>
              <w:rPr>
                <w:rFonts w:ascii="Times New Roman" w:hAnsi="Times New Roman"/>
                <w:sz w:val="24"/>
                <w:szCs w:val="24"/>
              </w:rPr>
            </w:pPr>
          </w:p>
        </w:tc>
        <w:tc>
          <w:tcPr>
            <w:tcW w:w="8568" w:type="dxa"/>
          </w:tcPr>
          <w:p w14:paraId="11E8015B" w14:textId="77777777" w:rsidR="00842D1F" w:rsidRPr="00842D1F" w:rsidRDefault="00842D1F" w:rsidP="000C6A90">
            <w:pPr>
              <w:pStyle w:val="NoSpacing"/>
              <w:jc w:val="both"/>
              <w:rPr>
                <w:rFonts w:ascii="Times New Roman" w:hAnsi="Times New Roman"/>
                <w:sz w:val="24"/>
                <w:szCs w:val="24"/>
              </w:rPr>
            </w:pPr>
            <w:r w:rsidRPr="00842D1F">
              <w:rPr>
                <w:rFonts w:ascii="Times New Roman" w:hAnsi="Times New Roman"/>
                <w:sz w:val="24"/>
                <w:szCs w:val="24"/>
              </w:rPr>
              <w:t>The Trust manages compliance with applicable tax laws, rules, and regulations by means of its Post Bond Issuance Policy.  The Trust monitors compliance with bond covenants, statutory and regulatory requirements, and other on-going duties associated with outstanding debt by means of its policies, procedures, and internal controls, including its Investment Policy</w:t>
            </w:r>
            <w:r w:rsidR="00B65BD2">
              <w:rPr>
                <w:rFonts w:ascii="Times New Roman" w:hAnsi="Times New Roman"/>
                <w:sz w:val="24"/>
                <w:szCs w:val="24"/>
              </w:rPr>
              <w:t xml:space="preserve"> and Post Bond Issuance Policy</w:t>
            </w:r>
            <w:r w:rsidRPr="00842D1F">
              <w:rPr>
                <w:rFonts w:ascii="Times New Roman" w:hAnsi="Times New Roman"/>
                <w:sz w:val="24"/>
                <w:szCs w:val="24"/>
              </w:rPr>
              <w:t xml:space="preserve">.  </w:t>
            </w:r>
          </w:p>
        </w:tc>
      </w:tr>
      <w:tr w:rsidR="002437FE" w:rsidRPr="003B174D" w14:paraId="481BFC81" w14:textId="77777777" w:rsidTr="009A155E">
        <w:tc>
          <w:tcPr>
            <w:tcW w:w="630" w:type="dxa"/>
          </w:tcPr>
          <w:p w14:paraId="766A3D43" w14:textId="77777777" w:rsidR="002437FE" w:rsidRDefault="002437FE" w:rsidP="000C6A90">
            <w:pPr>
              <w:pStyle w:val="NoSpacing"/>
              <w:jc w:val="both"/>
              <w:rPr>
                <w:rFonts w:ascii="Times New Roman" w:hAnsi="Times New Roman"/>
                <w:sz w:val="24"/>
                <w:szCs w:val="24"/>
              </w:rPr>
            </w:pPr>
          </w:p>
        </w:tc>
        <w:tc>
          <w:tcPr>
            <w:tcW w:w="8568" w:type="dxa"/>
          </w:tcPr>
          <w:p w14:paraId="64BD2AB3" w14:textId="77777777" w:rsidR="002437FE" w:rsidRDefault="002437FE" w:rsidP="000C6A90">
            <w:pPr>
              <w:pStyle w:val="NoSpacing"/>
              <w:jc w:val="both"/>
              <w:rPr>
                <w:rFonts w:ascii="Times New Roman" w:hAnsi="Times New Roman"/>
                <w:b/>
                <w:sz w:val="24"/>
                <w:szCs w:val="24"/>
              </w:rPr>
            </w:pPr>
          </w:p>
        </w:tc>
      </w:tr>
      <w:tr w:rsidR="00656D1A" w:rsidRPr="003B174D" w14:paraId="32915AEA" w14:textId="77777777" w:rsidTr="009A155E">
        <w:tc>
          <w:tcPr>
            <w:tcW w:w="630" w:type="dxa"/>
          </w:tcPr>
          <w:p w14:paraId="74B2B4C8" w14:textId="77777777" w:rsidR="00656D1A" w:rsidRDefault="00656D1A" w:rsidP="000C6A90">
            <w:pPr>
              <w:pStyle w:val="NoSpacing"/>
              <w:jc w:val="both"/>
              <w:rPr>
                <w:rFonts w:ascii="Times New Roman" w:hAnsi="Times New Roman"/>
                <w:sz w:val="24"/>
                <w:szCs w:val="24"/>
              </w:rPr>
            </w:pPr>
            <w:r>
              <w:rPr>
                <w:rFonts w:ascii="Times New Roman" w:hAnsi="Times New Roman"/>
                <w:sz w:val="24"/>
                <w:szCs w:val="24"/>
              </w:rPr>
              <w:t>13.</w:t>
            </w:r>
          </w:p>
        </w:tc>
        <w:tc>
          <w:tcPr>
            <w:tcW w:w="8568" w:type="dxa"/>
          </w:tcPr>
          <w:p w14:paraId="06CE4748" w14:textId="77777777" w:rsidR="00656D1A" w:rsidRDefault="00656D1A" w:rsidP="000C6A90">
            <w:pPr>
              <w:pStyle w:val="NoSpacing"/>
              <w:jc w:val="both"/>
              <w:rPr>
                <w:rFonts w:ascii="Times New Roman" w:hAnsi="Times New Roman"/>
                <w:b/>
                <w:sz w:val="24"/>
                <w:szCs w:val="24"/>
              </w:rPr>
            </w:pPr>
            <w:r>
              <w:rPr>
                <w:rFonts w:ascii="Times New Roman" w:hAnsi="Times New Roman"/>
                <w:b/>
                <w:sz w:val="24"/>
                <w:szCs w:val="24"/>
              </w:rPr>
              <w:t>Continuing Disclosure.</w:t>
            </w:r>
          </w:p>
        </w:tc>
      </w:tr>
      <w:tr w:rsidR="00656D1A" w:rsidRPr="003B174D" w14:paraId="6E04A83D" w14:textId="77777777" w:rsidTr="009A155E">
        <w:tc>
          <w:tcPr>
            <w:tcW w:w="630" w:type="dxa"/>
          </w:tcPr>
          <w:p w14:paraId="0D59A0F9" w14:textId="77777777" w:rsidR="00656D1A" w:rsidRDefault="00656D1A" w:rsidP="000C6A90">
            <w:pPr>
              <w:pStyle w:val="NoSpacing"/>
              <w:jc w:val="both"/>
              <w:rPr>
                <w:rFonts w:ascii="Times New Roman" w:hAnsi="Times New Roman"/>
                <w:sz w:val="24"/>
                <w:szCs w:val="24"/>
              </w:rPr>
            </w:pPr>
          </w:p>
        </w:tc>
        <w:tc>
          <w:tcPr>
            <w:tcW w:w="8568" w:type="dxa"/>
          </w:tcPr>
          <w:p w14:paraId="42811B64" w14:textId="77777777" w:rsidR="00656D1A" w:rsidRDefault="00656D1A" w:rsidP="000C6A90">
            <w:pPr>
              <w:pStyle w:val="NoSpacing"/>
              <w:jc w:val="both"/>
              <w:rPr>
                <w:rFonts w:ascii="Times New Roman" w:hAnsi="Times New Roman"/>
                <w:b/>
                <w:sz w:val="24"/>
                <w:szCs w:val="24"/>
              </w:rPr>
            </w:pPr>
          </w:p>
        </w:tc>
      </w:tr>
      <w:tr w:rsidR="00C376E2" w:rsidRPr="003B174D" w14:paraId="12EB9F99" w14:textId="77777777" w:rsidTr="009A155E">
        <w:tc>
          <w:tcPr>
            <w:tcW w:w="630" w:type="dxa"/>
          </w:tcPr>
          <w:p w14:paraId="43B70EFE" w14:textId="77777777" w:rsidR="00C376E2" w:rsidRDefault="00C376E2" w:rsidP="000C6A90">
            <w:pPr>
              <w:pStyle w:val="NoSpacing"/>
              <w:jc w:val="both"/>
              <w:rPr>
                <w:rFonts w:ascii="Times New Roman" w:hAnsi="Times New Roman"/>
                <w:sz w:val="24"/>
                <w:szCs w:val="24"/>
              </w:rPr>
            </w:pPr>
          </w:p>
        </w:tc>
        <w:tc>
          <w:tcPr>
            <w:tcW w:w="8568" w:type="dxa"/>
          </w:tcPr>
          <w:tbl>
            <w:tblPr>
              <w:tblW w:w="0" w:type="auto"/>
              <w:tblLook w:val="04A0" w:firstRow="1" w:lastRow="0" w:firstColumn="1" w:lastColumn="0" w:noHBand="0" w:noVBand="1"/>
            </w:tblPr>
            <w:tblGrid>
              <w:gridCol w:w="606"/>
              <w:gridCol w:w="7535"/>
            </w:tblGrid>
            <w:tr w:rsidR="00EE74D1" w14:paraId="117C5BD3" w14:textId="77777777" w:rsidTr="00613F77">
              <w:tc>
                <w:tcPr>
                  <w:tcW w:w="607" w:type="dxa"/>
                </w:tcPr>
                <w:p w14:paraId="60C6F03A" w14:textId="77777777" w:rsidR="00EE74D1" w:rsidRPr="00613F77" w:rsidRDefault="00EE74D1" w:rsidP="00613F77">
                  <w:pPr>
                    <w:pStyle w:val="NoSpacing"/>
                    <w:jc w:val="both"/>
                    <w:rPr>
                      <w:rFonts w:ascii="Times New Roman" w:hAnsi="Times New Roman"/>
                      <w:sz w:val="24"/>
                      <w:szCs w:val="24"/>
                    </w:rPr>
                  </w:pPr>
                  <w:r w:rsidRPr="00613F77">
                    <w:rPr>
                      <w:rFonts w:ascii="Times New Roman" w:hAnsi="Times New Roman"/>
                      <w:sz w:val="24"/>
                      <w:szCs w:val="24"/>
                    </w:rPr>
                    <w:t>(</w:t>
                  </w:r>
                  <w:proofErr w:type="spellStart"/>
                  <w:r w:rsidRPr="00613F77">
                    <w:rPr>
                      <w:rFonts w:ascii="Times New Roman" w:hAnsi="Times New Roman"/>
                      <w:sz w:val="24"/>
                      <w:szCs w:val="24"/>
                    </w:rPr>
                    <w:t>i</w:t>
                  </w:r>
                  <w:proofErr w:type="spellEnd"/>
                  <w:r w:rsidRPr="00613F77">
                    <w:rPr>
                      <w:rFonts w:ascii="Times New Roman" w:hAnsi="Times New Roman"/>
                      <w:sz w:val="24"/>
                      <w:szCs w:val="24"/>
                    </w:rPr>
                    <w:t>)</w:t>
                  </w:r>
                </w:p>
              </w:tc>
              <w:tc>
                <w:tcPr>
                  <w:tcW w:w="7730" w:type="dxa"/>
                </w:tcPr>
                <w:p w14:paraId="4AFAC5A0" w14:textId="77777777" w:rsidR="00EE74D1" w:rsidRPr="00613F77" w:rsidRDefault="00EE74D1" w:rsidP="00613F77">
                  <w:pPr>
                    <w:pStyle w:val="NoSpacing"/>
                    <w:jc w:val="both"/>
                    <w:rPr>
                      <w:rFonts w:ascii="Times New Roman" w:hAnsi="Times New Roman"/>
                      <w:sz w:val="24"/>
                      <w:szCs w:val="24"/>
                    </w:rPr>
                  </w:pPr>
                  <w:r w:rsidRPr="00613F77">
                    <w:rPr>
                      <w:rFonts w:ascii="Times New Roman" w:hAnsi="Times New Roman"/>
                      <w:sz w:val="24"/>
                      <w:szCs w:val="24"/>
                    </w:rPr>
                    <w:t>In accordance with the provisions of Rule 15c2-12(b)(5) under the Securities Exchange Act of 1934 (as amended, the “Rule”), the Trust has and will execute and deliver a continuing disclosure certificate upon issuance of any bonds or notes subject to the Rule agreeing for the benefit of the bond or note holders to provide certain continuing disclosure information relating to the Trust. The form of such continuing disclosure certificates may be modified to the extent necessary to conform to changes in the Rule.</w:t>
                  </w:r>
                </w:p>
              </w:tc>
            </w:tr>
            <w:tr w:rsidR="00EE74D1" w14:paraId="15B2F3C4" w14:textId="77777777" w:rsidTr="00613F77">
              <w:tc>
                <w:tcPr>
                  <w:tcW w:w="607" w:type="dxa"/>
                </w:tcPr>
                <w:p w14:paraId="6ADB792E" w14:textId="77777777" w:rsidR="00EE74D1" w:rsidRPr="00613F77" w:rsidRDefault="00EE74D1" w:rsidP="00613F77">
                  <w:pPr>
                    <w:pStyle w:val="NoSpacing"/>
                    <w:jc w:val="both"/>
                    <w:rPr>
                      <w:rFonts w:ascii="Times New Roman" w:hAnsi="Times New Roman"/>
                      <w:sz w:val="24"/>
                      <w:szCs w:val="24"/>
                    </w:rPr>
                  </w:pPr>
                </w:p>
              </w:tc>
              <w:tc>
                <w:tcPr>
                  <w:tcW w:w="7730" w:type="dxa"/>
                </w:tcPr>
                <w:p w14:paraId="00C4B727" w14:textId="77777777" w:rsidR="00EE74D1" w:rsidRPr="00613F77" w:rsidRDefault="00EE74D1" w:rsidP="00613F77">
                  <w:pPr>
                    <w:pStyle w:val="NoSpacing"/>
                    <w:jc w:val="both"/>
                    <w:rPr>
                      <w:rFonts w:ascii="Times New Roman" w:hAnsi="Times New Roman"/>
                      <w:sz w:val="24"/>
                      <w:szCs w:val="24"/>
                    </w:rPr>
                  </w:pPr>
                </w:p>
              </w:tc>
            </w:tr>
            <w:tr w:rsidR="00EE74D1" w14:paraId="18768DE0" w14:textId="77777777" w:rsidTr="00613F77">
              <w:tc>
                <w:tcPr>
                  <w:tcW w:w="607" w:type="dxa"/>
                </w:tcPr>
                <w:p w14:paraId="0D3E5A35" w14:textId="77777777" w:rsidR="00EE74D1" w:rsidRPr="00613F77" w:rsidRDefault="00EE74D1" w:rsidP="00613F77">
                  <w:pPr>
                    <w:pStyle w:val="NoSpacing"/>
                    <w:jc w:val="both"/>
                    <w:rPr>
                      <w:rFonts w:ascii="Times New Roman" w:hAnsi="Times New Roman"/>
                      <w:sz w:val="24"/>
                      <w:szCs w:val="24"/>
                    </w:rPr>
                  </w:pPr>
                  <w:r w:rsidRPr="00613F77">
                    <w:rPr>
                      <w:rFonts w:ascii="Times New Roman" w:hAnsi="Times New Roman"/>
                      <w:sz w:val="24"/>
                      <w:szCs w:val="24"/>
                    </w:rPr>
                    <w:t>(ii)</w:t>
                  </w:r>
                </w:p>
              </w:tc>
              <w:tc>
                <w:tcPr>
                  <w:tcW w:w="7730" w:type="dxa"/>
                </w:tcPr>
                <w:p w14:paraId="2C17647B" w14:textId="77777777" w:rsidR="00EE74D1" w:rsidRPr="00613F77" w:rsidRDefault="00EE74D1" w:rsidP="00613F77">
                  <w:pPr>
                    <w:pStyle w:val="NoSpacing"/>
                    <w:jc w:val="both"/>
                    <w:rPr>
                      <w:rFonts w:ascii="Times New Roman" w:hAnsi="Times New Roman"/>
                      <w:sz w:val="24"/>
                      <w:szCs w:val="24"/>
                    </w:rPr>
                  </w:pPr>
                  <w:r w:rsidRPr="00613F77">
                    <w:rPr>
                      <w:rFonts w:ascii="Times New Roman" w:hAnsi="Times New Roman"/>
                      <w:sz w:val="24"/>
                      <w:szCs w:val="24"/>
                    </w:rPr>
                    <w:t>In the Trust’s current continuing disclosure certificates, it has agreed to file or cause to be filed (</w:t>
                  </w:r>
                  <w:proofErr w:type="spellStart"/>
                  <w:r w:rsidRPr="00613F77">
                    <w:rPr>
                      <w:rFonts w:ascii="Times New Roman" w:hAnsi="Times New Roman"/>
                      <w:sz w:val="24"/>
                      <w:szCs w:val="24"/>
                    </w:rPr>
                    <w:t>i</w:t>
                  </w:r>
                  <w:proofErr w:type="spellEnd"/>
                  <w:r w:rsidRPr="00613F77">
                    <w:rPr>
                      <w:rFonts w:ascii="Times New Roman" w:hAnsi="Times New Roman"/>
                      <w:sz w:val="24"/>
                      <w:szCs w:val="24"/>
                    </w:rPr>
                    <w:t>) certain annual financial information, including the Trust’s most recently available audited financial statements and certain operating data relating to the Trust (the “Trust Annual Report”) and (ii) notices of the occurrence of certain enumerated events with the Municipal Securities Rulemaking Board (“MSRB”) through its Electronic Municipal Market Access (‘EMMA”).  The Trust currently uses Digital Assurance Certification, L.L.C as its dissemination agent for such filings.</w:t>
                  </w:r>
                </w:p>
              </w:tc>
            </w:tr>
            <w:tr w:rsidR="00EE74D1" w14:paraId="0071BA95" w14:textId="77777777" w:rsidTr="00613F77">
              <w:tc>
                <w:tcPr>
                  <w:tcW w:w="607" w:type="dxa"/>
                </w:tcPr>
                <w:p w14:paraId="172D9BA3" w14:textId="77777777" w:rsidR="00EE74D1" w:rsidRPr="00613F77" w:rsidRDefault="00EE74D1" w:rsidP="00613F77">
                  <w:pPr>
                    <w:pStyle w:val="NoSpacing"/>
                    <w:jc w:val="both"/>
                    <w:rPr>
                      <w:rFonts w:ascii="Times New Roman" w:hAnsi="Times New Roman"/>
                      <w:sz w:val="24"/>
                      <w:szCs w:val="24"/>
                    </w:rPr>
                  </w:pPr>
                </w:p>
              </w:tc>
              <w:tc>
                <w:tcPr>
                  <w:tcW w:w="7730" w:type="dxa"/>
                </w:tcPr>
                <w:p w14:paraId="4BB88276" w14:textId="77777777" w:rsidR="00EE74D1" w:rsidRPr="00613F77" w:rsidRDefault="00EE74D1" w:rsidP="00613F77">
                  <w:pPr>
                    <w:pStyle w:val="NoSpacing"/>
                    <w:jc w:val="both"/>
                    <w:rPr>
                      <w:rFonts w:ascii="Times New Roman" w:hAnsi="Times New Roman"/>
                      <w:sz w:val="24"/>
                      <w:szCs w:val="24"/>
                    </w:rPr>
                  </w:pPr>
                </w:p>
              </w:tc>
            </w:tr>
            <w:tr w:rsidR="00EE74D1" w14:paraId="40FDB395" w14:textId="77777777" w:rsidTr="00613F77">
              <w:tc>
                <w:tcPr>
                  <w:tcW w:w="607" w:type="dxa"/>
                </w:tcPr>
                <w:p w14:paraId="260F897F" w14:textId="77777777" w:rsidR="00EE74D1" w:rsidRPr="00613F77" w:rsidRDefault="00EE74D1" w:rsidP="00613F77">
                  <w:pPr>
                    <w:pStyle w:val="NoSpacing"/>
                    <w:jc w:val="both"/>
                    <w:rPr>
                      <w:rFonts w:ascii="Times New Roman" w:hAnsi="Times New Roman"/>
                      <w:sz w:val="24"/>
                      <w:szCs w:val="24"/>
                    </w:rPr>
                  </w:pPr>
                  <w:r w:rsidRPr="00613F77">
                    <w:rPr>
                      <w:rFonts w:ascii="Times New Roman" w:hAnsi="Times New Roman"/>
                      <w:sz w:val="24"/>
                      <w:szCs w:val="24"/>
                    </w:rPr>
                    <w:t>(iii)</w:t>
                  </w:r>
                </w:p>
              </w:tc>
              <w:tc>
                <w:tcPr>
                  <w:tcW w:w="7730" w:type="dxa"/>
                </w:tcPr>
                <w:p w14:paraId="3D1A9CCA" w14:textId="77777777" w:rsidR="00EE74D1" w:rsidRPr="00613F77" w:rsidRDefault="00EE74D1" w:rsidP="00613F77">
                  <w:pPr>
                    <w:pStyle w:val="NoSpacing"/>
                    <w:jc w:val="both"/>
                    <w:rPr>
                      <w:rFonts w:ascii="Times New Roman" w:hAnsi="Times New Roman"/>
                      <w:sz w:val="24"/>
                      <w:szCs w:val="24"/>
                    </w:rPr>
                  </w:pPr>
                  <w:r w:rsidRPr="00613F77">
                    <w:rPr>
                      <w:rFonts w:ascii="Times New Roman" w:hAnsi="Times New Roman"/>
                      <w:sz w:val="24"/>
                      <w:szCs w:val="24"/>
                    </w:rPr>
                    <w:t xml:space="preserve">The Trust will file its Annual Report no later than 180 days after the end of its fiscal year.  Notice of enumerated events, if </w:t>
                  </w:r>
                  <w:proofErr w:type="gramStart"/>
                  <w:r w:rsidRPr="00613F77">
                    <w:rPr>
                      <w:rFonts w:ascii="Times New Roman" w:hAnsi="Times New Roman"/>
                      <w:sz w:val="24"/>
                      <w:szCs w:val="24"/>
                    </w:rPr>
                    <w:t>any</w:t>
                  </w:r>
                  <w:proofErr w:type="gramEnd"/>
                  <w:r w:rsidRPr="00613F77">
                    <w:rPr>
                      <w:rFonts w:ascii="Times New Roman" w:hAnsi="Times New Roman"/>
                      <w:sz w:val="24"/>
                      <w:szCs w:val="24"/>
                    </w:rPr>
                    <w:t>, will be filed within ten business days of the occurrence of such an event.</w:t>
                  </w:r>
                </w:p>
              </w:tc>
            </w:tr>
            <w:tr w:rsidR="00EE74D1" w14:paraId="0631AECD" w14:textId="77777777" w:rsidTr="00613F77">
              <w:tc>
                <w:tcPr>
                  <w:tcW w:w="607" w:type="dxa"/>
                </w:tcPr>
                <w:p w14:paraId="5FDF3424" w14:textId="77777777" w:rsidR="00EE74D1" w:rsidRPr="00613F77" w:rsidRDefault="00EE74D1" w:rsidP="00613F77">
                  <w:pPr>
                    <w:pStyle w:val="NoSpacing"/>
                    <w:jc w:val="both"/>
                    <w:rPr>
                      <w:rFonts w:ascii="Times New Roman" w:hAnsi="Times New Roman"/>
                      <w:sz w:val="24"/>
                      <w:szCs w:val="24"/>
                    </w:rPr>
                  </w:pPr>
                </w:p>
              </w:tc>
              <w:tc>
                <w:tcPr>
                  <w:tcW w:w="7730" w:type="dxa"/>
                </w:tcPr>
                <w:p w14:paraId="10E04131" w14:textId="77777777" w:rsidR="00EE74D1" w:rsidRPr="00613F77" w:rsidRDefault="00EE74D1" w:rsidP="00613F77">
                  <w:pPr>
                    <w:pStyle w:val="NoSpacing"/>
                    <w:jc w:val="both"/>
                    <w:rPr>
                      <w:rFonts w:ascii="Times New Roman" w:hAnsi="Times New Roman"/>
                      <w:sz w:val="24"/>
                      <w:szCs w:val="24"/>
                    </w:rPr>
                  </w:pPr>
                </w:p>
              </w:tc>
            </w:tr>
            <w:tr w:rsidR="00EE74D1" w14:paraId="66113EA0" w14:textId="77777777" w:rsidTr="00613F77">
              <w:tc>
                <w:tcPr>
                  <w:tcW w:w="607" w:type="dxa"/>
                </w:tcPr>
                <w:p w14:paraId="3B0B9237" w14:textId="77777777" w:rsidR="00EE74D1" w:rsidRPr="00613F77" w:rsidRDefault="00EE74D1" w:rsidP="00613F77">
                  <w:pPr>
                    <w:pStyle w:val="NoSpacing"/>
                    <w:jc w:val="both"/>
                    <w:rPr>
                      <w:rFonts w:ascii="Times New Roman" w:hAnsi="Times New Roman"/>
                      <w:sz w:val="24"/>
                      <w:szCs w:val="24"/>
                    </w:rPr>
                  </w:pPr>
                  <w:r w:rsidRPr="00613F77">
                    <w:rPr>
                      <w:rFonts w:ascii="Times New Roman" w:hAnsi="Times New Roman"/>
                      <w:sz w:val="24"/>
                      <w:szCs w:val="24"/>
                    </w:rPr>
                    <w:t>(iv)</w:t>
                  </w:r>
                </w:p>
              </w:tc>
              <w:tc>
                <w:tcPr>
                  <w:tcW w:w="7730" w:type="dxa"/>
                </w:tcPr>
                <w:p w14:paraId="45F5141C" w14:textId="77777777" w:rsidR="00EE74D1" w:rsidRPr="00613F77" w:rsidRDefault="00EE74D1" w:rsidP="00613F77">
                  <w:pPr>
                    <w:pStyle w:val="NoSpacing"/>
                    <w:jc w:val="both"/>
                    <w:rPr>
                      <w:rFonts w:ascii="Times New Roman" w:hAnsi="Times New Roman"/>
                      <w:sz w:val="24"/>
                      <w:szCs w:val="24"/>
                    </w:rPr>
                  </w:pPr>
                  <w:r w:rsidRPr="00613F77">
                    <w:rPr>
                      <w:rFonts w:ascii="Times New Roman" w:hAnsi="Times New Roman"/>
                      <w:sz w:val="24"/>
                      <w:szCs w:val="24"/>
                    </w:rPr>
                    <w:t>In addition to the Trust’s continuing disclosure certificate, the commonwealth has and will enter into a continuing disclosure agreement upon issuance of any bonds or notes of the Trust subject to the Rule that are secured in whole or in part by contract assistance payments from the commonwealth.  Further, any borrower from the Trust who constitutes an “obligated person</w:t>
                  </w:r>
                  <w:r w:rsidR="000E4051">
                    <w:rPr>
                      <w:rStyle w:val="FootnoteReference"/>
                      <w:rFonts w:ascii="Times New Roman" w:hAnsi="Times New Roman"/>
                      <w:sz w:val="24"/>
                      <w:szCs w:val="24"/>
                    </w:rPr>
                    <w:footnoteReference w:id="9"/>
                  </w:r>
                  <w:r w:rsidRPr="00613F77">
                    <w:rPr>
                      <w:rFonts w:ascii="Times New Roman" w:hAnsi="Times New Roman"/>
                      <w:sz w:val="24"/>
                      <w:szCs w:val="24"/>
                    </w:rPr>
                    <w:t>” under the Rule with respect to any bonds and notes of the Trust has and will enter into a continuing disclosure agreement with respect to such bonds or notes. Under the existing continuing disclosure agreements of the commonwealth and such borrowers, the commonwealth and such borrowers have agreed for the benefit of the bond or note holders to file with the MSRB through EMMA certain annual continuing financial and operating data as well as notices of certain enumerated events, including any change in the credit rating of outstanding indebtedness of the commonwealth or such borrowers.</w:t>
                  </w:r>
                </w:p>
              </w:tc>
            </w:tr>
          </w:tbl>
          <w:p w14:paraId="3E9C72C4" w14:textId="77777777" w:rsidR="00C376E2" w:rsidRPr="00C376E2" w:rsidRDefault="00C376E2" w:rsidP="00EE74D1">
            <w:pPr>
              <w:pStyle w:val="NoSpacing"/>
              <w:jc w:val="both"/>
              <w:rPr>
                <w:rFonts w:ascii="Times New Roman" w:hAnsi="Times New Roman"/>
                <w:sz w:val="24"/>
                <w:szCs w:val="24"/>
              </w:rPr>
            </w:pPr>
          </w:p>
        </w:tc>
      </w:tr>
      <w:tr w:rsidR="00C376E2" w:rsidRPr="003B174D" w14:paraId="1A829991" w14:textId="77777777" w:rsidTr="009A155E">
        <w:tc>
          <w:tcPr>
            <w:tcW w:w="630" w:type="dxa"/>
          </w:tcPr>
          <w:p w14:paraId="7456749D" w14:textId="77777777" w:rsidR="00C376E2" w:rsidRDefault="00C376E2" w:rsidP="000C6A90">
            <w:pPr>
              <w:pStyle w:val="NoSpacing"/>
              <w:jc w:val="both"/>
              <w:rPr>
                <w:rFonts w:ascii="Times New Roman" w:hAnsi="Times New Roman"/>
                <w:sz w:val="24"/>
                <w:szCs w:val="24"/>
              </w:rPr>
            </w:pPr>
          </w:p>
        </w:tc>
        <w:tc>
          <w:tcPr>
            <w:tcW w:w="8568" w:type="dxa"/>
          </w:tcPr>
          <w:p w14:paraId="33C4A88B" w14:textId="77777777" w:rsidR="00C376E2" w:rsidRDefault="00C376E2" w:rsidP="000C6A90">
            <w:pPr>
              <w:pStyle w:val="NoSpacing"/>
              <w:jc w:val="both"/>
              <w:rPr>
                <w:rFonts w:ascii="Times New Roman" w:hAnsi="Times New Roman"/>
                <w:b/>
                <w:sz w:val="24"/>
                <w:szCs w:val="24"/>
              </w:rPr>
            </w:pPr>
          </w:p>
        </w:tc>
      </w:tr>
      <w:tr w:rsidR="00656D1A" w:rsidRPr="003B174D" w14:paraId="5797AD6B" w14:textId="77777777" w:rsidTr="009A155E">
        <w:tc>
          <w:tcPr>
            <w:tcW w:w="630" w:type="dxa"/>
          </w:tcPr>
          <w:p w14:paraId="1F4A0494" w14:textId="77777777" w:rsidR="00656D1A" w:rsidRDefault="00656D1A" w:rsidP="000C6A90">
            <w:pPr>
              <w:pStyle w:val="NoSpacing"/>
              <w:jc w:val="both"/>
              <w:rPr>
                <w:rFonts w:ascii="Times New Roman" w:hAnsi="Times New Roman"/>
                <w:sz w:val="24"/>
                <w:szCs w:val="24"/>
              </w:rPr>
            </w:pPr>
            <w:r>
              <w:rPr>
                <w:rFonts w:ascii="Times New Roman" w:hAnsi="Times New Roman"/>
                <w:sz w:val="24"/>
                <w:szCs w:val="24"/>
              </w:rPr>
              <w:t>14.</w:t>
            </w:r>
          </w:p>
        </w:tc>
        <w:tc>
          <w:tcPr>
            <w:tcW w:w="8568" w:type="dxa"/>
          </w:tcPr>
          <w:p w14:paraId="759E5E61" w14:textId="77777777" w:rsidR="00656D1A" w:rsidRPr="00656D1A" w:rsidRDefault="00656D1A" w:rsidP="00656D1A">
            <w:pPr>
              <w:pStyle w:val="NoSpacing"/>
              <w:jc w:val="both"/>
              <w:rPr>
                <w:rFonts w:ascii="Times New Roman" w:hAnsi="Times New Roman"/>
                <w:b/>
                <w:sz w:val="24"/>
                <w:szCs w:val="24"/>
              </w:rPr>
            </w:pPr>
            <w:r>
              <w:rPr>
                <w:rFonts w:ascii="Times New Roman" w:hAnsi="Times New Roman"/>
                <w:b/>
                <w:sz w:val="24"/>
                <w:szCs w:val="24"/>
              </w:rPr>
              <w:t>Other Reporting Requirements.</w:t>
            </w:r>
          </w:p>
        </w:tc>
      </w:tr>
      <w:tr w:rsidR="00656D1A" w:rsidRPr="003B174D" w14:paraId="1A4A7B7C" w14:textId="77777777" w:rsidTr="009A155E">
        <w:tc>
          <w:tcPr>
            <w:tcW w:w="630" w:type="dxa"/>
          </w:tcPr>
          <w:p w14:paraId="70E4B736" w14:textId="77777777" w:rsidR="00656D1A" w:rsidRDefault="00656D1A" w:rsidP="000C6A90">
            <w:pPr>
              <w:pStyle w:val="NoSpacing"/>
              <w:jc w:val="both"/>
              <w:rPr>
                <w:rFonts w:ascii="Times New Roman" w:hAnsi="Times New Roman"/>
                <w:sz w:val="24"/>
                <w:szCs w:val="24"/>
              </w:rPr>
            </w:pPr>
          </w:p>
        </w:tc>
        <w:tc>
          <w:tcPr>
            <w:tcW w:w="8568" w:type="dxa"/>
          </w:tcPr>
          <w:p w14:paraId="11558E8D" w14:textId="77777777" w:rsidR="00656D1A" w:rsidRDefault="00656D1A" w:rsidP="00656D1A">
            <w:pPr>
              <w:pStyle w:val="NoSpacing"/>
              <w:jc w:val="both"/>
              <w:rPr>
                <w:rFonts w:ascii="Times New Roman" w:hAnsi="Times New Roman"/>
                <w:b/>
                <w:sz w:val="24"/>
                <w:szCs w:val="24"/>
              </w:rPr>
            </w:pPr>
          </w:p>
        </w:tc>
      </w:tr>
      <w:tr w:rsidR="00842D1F" w:rsidRPr="003B174D" w14:paraId="354C5684" w14:textId="77777777" w:rsidTr="009A155E">
        <w:tc>
          <w:tcPr>
            <w:tcW w:w="630" w:type="dxa"/>
          </w:tcPr>
          <w:p w14:paraId="367009BB" w14:textId="77777777" w:rsidR="00842D1F" w:rsidRDefault="00842D1F" w:rsidP="000C6A90">
            <w:pPr>
              <w:pStyle w:val="NoSpacing"/>
              <w:jc w:val="both"/>
              <w:rPr>
                <w:rFonts w:ascii="Times New Roman" w:hAnsi="Times New Roman"/>
                <w:sz w:val="24"/>
                <w:szCs w:val="24"/>
              </w:rPr>
            </w:pPr>
          </w:p>
        </w:tc>
        <w:tc>
          <w:tcPr>
            <w:tcW w:w="8568" w:type="dxa"/>
          </w:tcPr>
          <w:p w14:paraId="033221EE" w14:textId="77777777" w:rsidR="00842D1F" w:rsidRPr="00842D1F" w:rsidRDefault="00842D1F" w:rsidP="003A081A">
            <w:pPr>
              <w:pStyle w:val="NoSpacing"/>
              <w:jc w:val="both"/>
              <w:rPr>
                <w:rFonts w:ascii="Times New Roman" w:hAnsi="Times New Roman"/>
                <w:sz w:val="24"/>
                <w:szCs w:val="24"/>
              </w:rPr>
            </w:pPr>
            <w:r>
              <w:rPr>
                <w:rFonts w:ascii="Times New Roman" w:hAnsi="Times New Roman"/>
                <w:sz w:val="24"/>
                <w:szCs w:val="24"/>
              </w:rPr>
              <w:t>Under the Trust’s existing operating agreements governing the drinking water and clean water SRFs, the Trust is required to notify EPA upon the issuance of debt</w:t>
            </w:r>
            <w:r w:rsidR="00001EEB">
              <w:rPr>
                <w:rFonts w:ascii="Times New Roman" w:hAnsi="Times New Roman"/>
                <w:sz w:val="24"/>
                <w:szCs w:val="24"/>
              </w:rPr>
              <w:t xml:space="preserve">.  The notice will be prepared by the Trust and submitted to EPA under the signature of the executive director. </w:t>
            </w:r>
          </w:p>
        </w:tc>
      </w:tr>
      <w:tr w:rsidR="00842D1F" w:rsidRPr="003B174D" w14:paraId="7C627E9E" w14:textId="77777777" w:rsidTr="009A155E">
        <w:tc>
          <w:tcPr>
            <w:tcW w:w="630" w:type="dxa"/>
          </w:tcPr>
          <w:p w14:paraId="4C9FE27E" w14:textId="77777777" w:rsidR="00842D1F" w:rsidRDefault="00842D1F" w:rsidP="000C6A90">
            <w:pPr>
              <w:pStyle w:val="NoSpacing"/>
              <w:jc w:val="both"/>
              <w:rPr>
                <w:rFonts w:ascii="Times New Roman" w:hAnsi="Times New Roman"/>
                <w:sz w:val="24"/>
                <w:szCs w:val="24"/>
              </w:rPr>
            </w:pPr>
          </w:p>
        </w:tc>
        <w:tc>
          <w:tcPr>
            <w:tcW w:w="8568" w:type="dxa"/>
          </w:tcPr>
          <w:p w14:paraId="2CC0D2C4" w14:textId="77777777" w:rsidR="00842D1F" w:rsidRDefault="00842D1F" w:rsidP="00656D1A">
            <w:pPr>
              <w:pStyle w:val="NoSpacing"/>
              <w:jc w:val="both"/>
              <w:rPr>
                <w:rFonts w:ascii="Times New Roman" w:hAnsi="Times New Roman"/>
                <w:b/>
                <w:sz w:val="24"/>
                <w:szCs w:val="24"/>
              </w:rPr>
            </w:pPr>
          </w:p>
        </w:tc>
      </w:tr>
      <w:tr w:rsidR="00656D1A" w:rsidRPr="003B174D" w14:paraId="7DF7C6B8" w14:textId="77777777" w:rsidTr="009A155E">
        <w:tc>
          <w:tcPr>
            <w:tcW w:w="630" w:type="dxa"/>
          </w:tcPr>
          <w:p w14:paraId="69A0764C" w14:textId="77777777" w:rsidR="00656D1A" w:rsidRDefault="00C376E2" w:rsidP="000C6A90">
            <w:pPr>
              <w:pStyle w:val="NoSpacing"/>
              <w:jc w:val="both"/>
              <w:rPr>
                <w:rFonts w:ascii="Times New Roman" w:hAnsi="Times New Roman"/>
                <w:sz w:val="24"/>
                <w:szCs w:val="24"/>
              </w:rPr>
            </w:pPr>
            <w:r>
              <w:rPr>
                <w:rFonts w:ascii="Times New Roman" w:hAnsi="Times New Roman"/>
                <w:sz w:val="24"/>
                <w:szCs w:val="24"/>
              </w:rPr>
              <w:t>15.</w:t>
            </w:r>
          </w:p>
        </w:tc>
        <w:tc>
          <w:tcPr>
            <w:tcW w:w="8568" w:type="dxa"/>
          </w:tcPr>
          <w:p w14:paraId="4BE72809" w14:textId="77777777" w:rsidR="00656D1A" w:rsidRPr="00C376E2" w:rsidRDefault="00C376E2" w:rsidP="00656D1A">
            <w:pPr>
              <w:pStyle w:val="NoSpacing"/>
              <w:jc w:val="both"/>
              <w:rPr>
                <w:rFonts w:ascii="Times New Roman" w:hAnsi="Times New Roman"/>
                <w:b/>
                <w:sz w:val="24"/>
                <w:szCs w:val="24"/>
              </w:rPr>
            </w:pPr>
            <w:r>
              <w:rPr>
                <w:rFonts w:ascii="Times New Roman" w:hAnsi="Times New Roman"/>
                <w:b/>
                <w:sz w:val="24"/>
                <w:szCs w:val="24"/>
              </w:rPr>
              <w:t>Filing of Debt Management Policy with the Finance and Governance Board.</w:t>
            </w:r>
          </w:p>
        </w:tc>
      </w:tr>
      <w:tr w:rsidR="007A48C2" w:rsidRPr="003B174D" w14:paraId="5D7D3272" w14:textId="77777777" w:rsidTr="009A155E">
        <w:tc>
          <w:tcPr>
            <w:tcW w:w="630" w:type="dxa"/>
          </w:tcPr>
          <w:p w14:paraId="258F7ECD" w14:textId="77777777" w:rsidR="007A48C2" w:rsidRPr="009A155E" w:rsidRDefault="007A48C2" w:rsidP="000C6A90">
            <w:pPr>
              <w:pStyle w:val="NoSpacing"/>
              <w:jc w:val="both"/>
              <w:rPr>
                <w:rFonts w:ascii="Times New Roman" w:hAnsi="Times New Roman"/>
                <w:sz w:val="24"/>
                <w:szCs w:val="24"/>
              </w:rPr>
            </w:pPr>
          </w:p>
        </w:tc>
        <w:tc>
          <w:tcPr>
            <w:tcW w:w="8568" w:type="dxa"/>
          </w:tcPr>
          <w:p w14:paraId="0D003EFD" w14:textId="77777777" w:rsidR="007A48C2" w:rsidRPr="009A155E" w:rsidRDefault="007A48C2" w:rsidP="000C6A90">
            <w:pPr>
              <w:pStyle w:val="NoSpacing"/>
              <w:jc w:val="both"/>
              <w:rPr>
                <w:rFonts w:ascii="Times New Roman" w:hAnsi="Times New Roman"/>
                <w:sz w:val="24"/>
                <w:szCs w:val="24"/>
              </w:rPr>
            </w:pPr>
          </w:p>
        </w:tc>
      </w:tr>
      <w:tr w:rsidR="007A48C2" w:rsidRPr="003B174D" w14:paraId="52C83D4A" w14:textId="77777777" w:rsidTr="009A155E">
        <w:tc>
          <w:tcPr>
            <w:tcW w:w="630" w:type="dxa"/>
          </w:tcPr>
          <w:p w14:paraId="270524A5" w14:textId="77777777" w:rsidR="007A48C2" w:rsidRPr="009A155E" w:rsidRDefault="007A48C2" w:rsidP="000C6A90">
            <w:pPr>
              <w:pStyle w:val="NoSpacing"/>
              <w:jc w:val="both"/>
              <w:rPr>
                <w:rFonts w:ascii="Times New Roman" w:hAnsi="Times New Roman"/>
                <w:sz w:val="24"/>
                <w:szCs w:val="24"/>
              </w:rPr>
            </w:pPr>
          </w:p>
        </w:tc>
        <w:tc>
          <w:tcPr>
            <w:tcW w:w="8568" w:type="dxa"/>
          </w:tcPr>
          <w:p w14:paraId="0B5B90A2" w14:textId="77777777" w:rsidR="007A48C2" w:rsidRPr="009A155E" w:rsidRDefault="00EE74D1" w:rsidP="003A081A">
            <w:pPr>
              <w:pStyle w:val="NoSpacing"/>
              <w:jc w:val="both"/>
              <w:rPr>
                <w:rFonts w:ascii="Times New Roman" w:hAnsi="Times New Roman"/>
                <w:sz w:val="24"/>
                <w:szCs w:val="24"/>
              </w:rPr>
            </w:pPr>
            <w:r>
              <w:rPr>
                <w:rFonts w:ascii="Times New Roman" w:hAnsi="Times New Roman"/>
                <w:sz w:val="24"/>
                <w:szCs w:val="24"/>
              </w:rPr>
              <w:t xml:space="preserve">The </w:t>
            </w:r>
            <w:r w:rsidR="0054498D">
              <w:rPr>
                <w:rFonts w:ascii="Times New Roman" w:hAnsi="Times New Roman"/>
                <w:sz w:val="24"/>
                <w:szCs w:val="24"/>
              </w:rPr>
              <w:t xml:space="preserve">Board </w:t>
            </w:r>
            <w:r>
              <w:rPr>
                <w:rFonts w:ascii="Times New Roman" w:hAnsi="Times New Roman"/>
                <w:sz w:val="24"/>
                <w:szCs w:val="24"/>
              </w:rPr>
              <w:t xml:space="preserve">will formally </w:t>
            </w:r>
            <w:r w:rsidR="0054498D">
              <w:rPr>
                <w:rFonts w:ascii="Times New Roman" w:hAnsi="Times New Roman"/>
                <w:sz w:val="24"/>
                <w:szCs w:val="24"/>
              </w:rPr>
              <w:t>re-</w:t>
            </w:r>
            <w:r>
              <w:rPr>
                <w:rFonts w:ascii="Times New Roman" w:hAnsi="Times New Roman"/>
                <w:sz w:val="24"/>
                <w:szCs w:val="24"/>
              </w:rPr>
              <w:t>adopt</w:t>
            </w:r>
            <w:r w:rsidR="0054498D">
              <w:rPr>
                <w:rFonts w:ascii="Times New Roman" w:hAnsi="Times New Roman"/>
                <w:sz w:val="24"/>
                <w:szCs w:val="24"/>
              </w:rPr>
              <w:t xml:space="preserve"> the Policy, or an amendment, revision, or replacement thereof,</w:t>
            </w:r>
            <w:r>
              <w:rPr>
                <w:rFonts w:ascii="Times New Roman" w:hAnsi="Times New Roman"/>
                <w:sz w:val="24"/>
                <w:szCs w:val="24"/>
              </w:rPr>
              <w:t xml:space="preserve"> </w:t>
            </w:r>
            <w:r w:rsidR="000A2488">
              <w:rPr>
                <w:rFonts w:ascii="Times New Roman" w:hAnsi="Times New Roman"/>
                <w:sz w:val="24"/>
                <w:szCs w:val="24"/>
              </w:rPr>
              <w:t xml:space="preserve">at any time, but in </w:t>
            </w:r>
            <w:r w:rsidR="0054498D">
              <w:rPr>
                <w:rFonts w:ascii="Times New Roman" w:hAnsi="Times New Roman"/>
                <w:sz w:val="24"/>
                <w:szCs w:val="24"/>
              </w:rPr>
              <w:t xml:space="preserve">no </w:t>
            </w:r>
            <w:r w:rsidR="000A2488">
              <w:rPr>
                <w:rFonts w:ascii="Times New Roman" w:hAnsi="Times New Roman"/>
                <w:sz w:val="24"/>
                <w:szCs w:val="24"/>
              </w:rPr>
              <w:t xml:space="preserve">event </w:t>
            </w:r>
            <w:r w:rsidR="0054498D">
              <w:rPr>
                <w:rFonts w:ascii="Times New Roman" w:hAnsi="Times New Roman"/>
                <w:sz w:val="24"/>
                <w:szCs w:val="24"/>
              </w:rPr>
              <w:t>later than</w:t>
            </w:r>
            <w:r>
              <w:rPr>
                <w:rFonts w:ascii="Times New Roman" w:hAnsi="Times New Roman"/>
                <w:sz w:val="24"/>
                <w:szCs w:val="24"/>
              </w:rPr>
              <w:t xml:space="preserve"> </w:t>
            </w:r>
            <w:r w:rsidR="0054498D">
              <w:rPr>
                <w:rFonts w:ascii="Times New Roman" w:hAnsi="Times New Roman"/>
                <w:sz w:val="24"/>
                <w:szCs w:val="24"/>
              </w:rPr>
              <w:t>the March Board meeting</w:t>
            </w:r>
            <w:r w:rsidR="000A2488">
              <w:rPr>
                <w:rFonts w:ascii="Times New Roman" w:hAnsi="Times New Roman"/>
                <w:sz w:val="24"/>
                <w:szCs w:val="24"/>
              </w:rPr>
              <w:t xml:space="preserve"> of each even numbered year</w:t>
            </w:r>
            <w:r w:rsidR="003A081A">
              <w:rPr>
                <w:rFonts w:ascii="Times New Roman" w:hAnsi="Times New Roman"/>
                <w:sz w:val="24"/>
                <w:szCs w:val="24"/>
              </w:rPr>
              <w:t>.</w:t>
            </w:r>
            <w:r w:rsidR="00C376E2" w:rsidRPr="00C376E2">
              <w:rPr>
                <w:rFonts w:ascii="Times New Roman" w:hAnsi="Times New Roman"/>
                <w:sz w:val="24"/>
                <w:szCs w:val="24"/>
              </w:rPr>
              <w:t xml:space="preserve"> </w:t>
            </w:r>
          </w:p>
        </w:tc>
      </w:tr>
      <w:tr w:rsidR="00C376E2" w:rsidRPr="003B174D" w14:paraId="6385CBF5" w14:textId="77777777" w:rsidTr="009A155E">
        <w:tc>
          <w:tcPr>
            <w:tcW w:w="630" w:type="dxa"/>
          </w:tcPr>
          <w:p w14:paraId="66E420B0" w14:textId="77777777" w:rsidR="00C376E2" w:rsidRPr="009A155E" w:rsidRDefault="00C376E2" w:rsidP="000C6A90">
            <w:pPr>
              <w:pStyle w:val="NoSpacing"/>
              <w:jc w:val="both"/>
              <w:rPr>
                <w:rFonts w:ascii="Times New Roman" w:hAnsi="Times New Roman"/>
                <w:sz w:val="24"/>
                <w:szCs w:val="24"/>
              </w:rPr>
            </w:pPr>
          </w:p>
        </w:tc>
        <w:tc>
          <w:tcPr>
            <w:tcW w:w="8568" w:type="dxa"/>
          </w:tcPr>
          <w:p w14:paraId="58C6F3DA" w14:textId="77777777" w:rsidR="00C376E2" w:rsidRPr="00C376E2" w:rsidRDefault="00C376E2" w:rsidP="00C376E2">
            <w:pPr>
              <w:pStyle w:val="NoSpacing"/>
              <w:jc w:val="both"/>
              <w:rPr>
                <w:rFonts w:ascii="Times New Roman" w:hAnsi="Times New Roman"/>
                <w:sz w:val="24"/>
                <w:szCs w:val="24"/>
              </w:rPr>
            </w:pPr>
          </w:p>
        </w:tc>
      </w:tr>
      <w:tr w:rsidR="007A48C2" w:rsidRPr="003B174D" w14:paraId="634FEF92" w14:textId="77777777" w:rsidTr="009A155E">
        <w:tc>
          <w:tcPr>
            <w:tcW w:w="630" w:type="dxa"/>
          </w:tcPr>
          <w:p w14:paraId="1EEE6713" w14:textId="77777777" w:rsidR="007A48C2" w:rsidRPr="009A155E" w:rsidRDefault="007A48C2" w:rsidP="000C6A90">
            <w:pPr>
              <w:pStyle w:val="NoSpacing"/>
              <w:jc w:val="both"/>
              <w:rPr>
                <w:rFonts w:ascii="Times New Roman" w:hAnsi="Times New Roman"/>
                <w:sz w:val="24"/>
                <w:szCs w:val="24"/>
              </w:rPr>
            </w:pPr>
          </w:p>
        </w:tc>
        <w:tc>
          <w:tcPr>
            <w:tcW w:w="8568" w:type="dxa"/>
          </w:tcPr>
          <w:p w14:paraId="3AF4FB0D" w14:textId="77777777" w:rsidR="00C36E4F" w:rsidRPr="009A155E" w:rsidRDefault="003A081A" w:rsidP="00300898">
            <w:pPr>
              <w:pStyle w:val="NoSpacing"/>
              <w:jc w:val="both"/>
              <w:rPr>
                <w:rFonts w:ascii="Times New Roman" w:hAnsi="Times New Roman"/>
                <w:sz w:val="24"/>
                <w:szCs w:val="24"/>
              </w:rPr>
            </w:pPr>
            <w:r>
              <w:rPr>
                <w:rFonts w:ascii="Times New Roman" w:hAnsi="Times New Roman"/>
                <w:sz w:val="24"/>
                <w:szCs w:val="24"/>
              </w:rPr>
              <w:t xml:space="preserve">The Policy adopted by the Board </w:t>
            </w:r>
            <w:r w:rsidR="00300898">
              <w:rPr>
                <w:rFonts w:ascii="Times New Roman" w:hAnsi="Times New Roman"/>
                <w:sz w:val="24"/>
                <w:szCs w:val="24"/>
              </w:rPr>
              <w:t>shall</w:t>
            </w:r>
            <w:r>
              <w:rPr>
                <w:rFonts w:ascii="Times New Roman" w:hAnsi="Times New Roman"/>
                <w:sz w:val="24"/>
                <w:szCs w:val="24"/>
              </w:rPr>
              <w:t xml:space="preserve"> be filed with the Finance and Governance Board by March 31</w:t>
            </w:r>
            <w:r w:rsidRPr="00EE74D1">
              <w:rPr>
                <w:rFonts w:ascii="Times New Roman" w:hAnsi="Times New Roman"/>
                <w:sz w:val="24"/>
                <w:szCs w:val="24"/>
                <w:vertAlign w:val="superscript"/>
              </w:rPr>
              <w:t>st</w:t>
            </w:r>
            <w:r>
              <w:rPr>
                <w:rFonts w:ascii="Times New Roman" w:hAnsi="Times New Roman"/>
                <w:sz w:val="24"/>
                <w:szCs w:val="24"/>
              </w:rPr>
              <w:t xml:space="preserve"> of each even numbered year, pursuant to the F&amp;G Regulations.</w:t>
            </w:r>
            <w:r>
              <w:rPr>
                <w:rStyle w:val="FootnoteReference"/>
                <w:rFonts w:ascii="Times New Roman" w:hAnsi="Times New Roman"/>
                <w:sz w:val="24"/>
                <w:szCs w:val="24"/>
              </w:rPr>
              <w:footnoteReference w:id="10"/>
            </w:r>
            <w:r w:rsidRPr="00C376E2">
              <w:rPr>
                <w:rFonts w:ascii="Times New Roman" w:hAnsi="Times New Roman"/>
                <w:sz w:val="24"/>
                <w:szCs w:val="24"/>
              </w:rPr>
              <w:t xml:space="preserve">  </w:t>
            </w:r>
          </w:p>
        </w:tc>
      </w:tr>
    </w:tbl>
    <w:p w14:paraId="0CA6A9AE" w14:textId="77777777" w:rsidR="00465EDF" w:rsidRDefault="00465EDF" w:rsidP="000C6A90"/>
    <w:sectPr w:rsidR="00465EDF" w:rsidSect="00A0483D">
      <w:headerReference w:type="default" r:id="rId9"/>
      <w:footerReference w:type="default" r:id="rId10"/>
      <w:pgSz w:w="12240" w:h="15840" w:code="1"/>
      <w:pgMar w:top="1440" w:right="1440" w:bottom="1440" w:left="144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27E54" w14:textId="77777777" w:rsidR="007D1CE0" w:rsidRDefault="007D1CE0">
      <w:r>
        <w:separator/>
      </w:r>
    </w:p>
  </w:endnote>
  <w:endnote w:type="continuationSeparator" w:id="0">
    <w:p w14:paraId="1A6E9237" w14:textId="77777777" w:rsidR="007D1CE0" w:rsidRDefault="007D1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2B4E" w14:textId="77777777" w:rsidR="00A270C4" w:rsidRDefault="00A270C4">
    <w:pPr>
      <w:pStyle w:val="Footer"/>
      <w:jc w:val="right"/>
    </w:pPr>
    <w:r>
      <w:fldChar w:fldCharType="begin"/>
    </w:r>
    <w:r>
      <w:instrText xml:space="preserve"> PAGE   \* MERGEFORMAT </w:instrText>
    </w:r>
    <w:r>
      <w:fldChar w:fldCharType="separate"/>
    </w:r>
    <w:r w:rsidR="003F3955">
      <w:rPr>
        <w:noProof/>
      </w:rPr>
      <w:t>13</w:t>
    </w:r>
    <w:r>
      <w:rPr>
        <w:noProof/>
      </w:rPr>
      <w:fldChar w:fldCharType="end"/>
    </w:r>
  </w:p>
  <w:p w14:paraId="2AB226A1" w14:textId="77777777" w:rsidR="006704C0" w:rsidRDefault="006704C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BC849" w14:textId="77777777" w:rsidR="007D1CE0" w:rsidRDefault="007D1CE0">
      <w:r>
        <w:separator/>
      </w:r>
    </w:p>
  </w:footnote>
  <w:footnote w:type="continuationSeparator" w:id="0">
    <w:p w14:paraId="1C5AEC44" w14:textId="77777777" w:rsidR="007D1CE0" w:rsidRDefault="007D1CE0">
      <w:r>
        <w:continuationSeparator/>
      </w:r>
    </w:p>
  </w:footnote>
  <w:footnote w:id="1">
    <w:p w14:paraId="77C78A95" w14:textId="77777777" w:rsidR="00942014" w:rsidRDefault="00942014">
      <w:pPr>
        <w:pStyle w:val="FootnoteText"/>
      </w:pPr>
      <w:r>
        <w:rPr>
          <w:rStyle w:val="FootnoteReference"/>
        </w:rPr>
        <w:footnoteRef/>
      </w:r>
      <w:r>
        <w:t xml:space="preserve"> 976 CMR §§ 2.01 to 2.08 (July 19, 2010).</w:t>
      </w:r>
    </w:p>
  </w:footnote>
  <w:footnote w:id="2">
    <w:p w14:paraId="3D1C6CE4" w14:textId="77777777" w:rsidR="00942014" w:rsidRDefault="00942014">
      <w:pPr>
        <w:pStyle w:val="FootnoteText"/>
      </w:pPr>
      <w:r>
        <w:rPr>
          <w:rStyle w:val="FootnoteReference"/>
        </w:rPr>
        <w:footnoteRef/>
      </w:r>
      <w:r>
        <w:t xml:space="preserve"> 976 CMR §2.08 (July 19, 2010).</w:t>
      </w:r>
    </w:p>
  </w:footnote>
  <w:footnote w:id="3">
    <w:p w14:paraId="068A3CED" w14:textId="77777777" w:rsidR="00B80B0B" w:rsidRDefault="00B80B0B" w:rsidP="00B80B0B">
      <w:pPr>
        <w:pStyle w:val="FootnoteText"/>
      </w:pPr>
      <w:r>
        <w:rPr>
          <w:rStyle w:val="FootnoteReference"/>
        </w:rPr>
        <w:footnoteRef/>
      </w:r>
      <w:r w:rsidR="005A55BB">
        <w:t xml:space="preserve"> 976 CMR §2.0</w:t>
      </w:r>
      <w:r w:rsidR="000B6F0B">
        <w:t>2 (July 19, 2010)</w:t>
      </w:r>
      <w:r w:rsidR="005A55BB">
        <w:t xml:space="preserve"> (Definitions).  </w:t>
      </w:r>
    </w:p>
    <w:p w14:paraId="004FF843" w14:textId="77777777" w:rsidR="00EF1CE6" w:rsidRDefault="00EF1CE6" w:rsidP="00B80B0B">
      <w:pPr>
        <w:pStyle w:val="FootnoteText"/>
      </w:pPr>
    </w:p>
  </w:footnote>
  <w:footnote w:id="4">
    <w:p w14:paraId="16F3E39B" w14:textId="77777777" w:rsidR="003A081A" w:rsidRDefault="00EF1CE6">
      <w:pPr>
        <w:pStyle w:val="FootnoteText"/>
      </w:pPr>
      <w:r>
        <w:rPr>
          <w:rStyle w:val="FootnoteReference"/>
        </w:rPr>
        <w:footnoteRef/>
      </w:r>
      <w:r>
        <w:t xml:space="preserve"> </w:t>
      </w:r>
      <w:r w:rsidRPr="00EF1CE6">
        <w:t>See 976 CMR §2.06.</w:t>
      </w:r>
      <w:r>
        <w:t>1 and asterisk footnote</w:t>
      </w:r>
      <w:r w:rsidRPr="00EF1CE6">
        <w:t xml:space="preserve"> (July 19, 2010).</w:t>
      </w:r>
    </w:p>
  </w:footnote>
  <w:footnote w:id="5">
    <w:p w14:paraId="256F6CCE" w14:textId="77777777" w:rsidR="00EF1CE6" w:rsidRDefault="00EF1CE6">
      <w:pPr>
        <w:pStyle w:val="FootnoteText"/>
      </w:pPr>
      <w:r>
        <w:rPr>
          <w:rStyle w:val="FootnoteReference"/>
        </w:rPr>
        <w:footnoteRef/>
      </w:r>
      <w:r>
        <w:t xml:space="preserve"> </w:t>
      </w:r>
      <w:r w:rsidRPr="00EF1CE6">
        <w:t>See 976 CMR §2.06.</w:t>
      </w:r>
      <w:r>
        <w:t>2</w:t>
      </w:r>
      <w:r w:rsidRPr="00EF1CE6">
        <w:t xml:space="preserve"> (July 19, 2010).</w:t>
      </w:r>
    </w:p>
    <w:p w14:paraId="3EADE539" w14:textId="77777777" w:rsidR="00EF1CE6" w:rsidRDefault="00EF1CE6">
      <w:pPr>
        <w:pStyle w:val="FootnoteText"/>
      </w:pPr>
    </w:p>
  </w:footnote>
  <w:footnote w:id="6">
    <w:p w14:paraId="303F8537" w14:textId="77777777" w:rsidR="003A081A" w:rsidRPr="00EF1CE6" w:rsidRDefault="00EF1CE6">
      <w:pPr>
        <w:pStyle w:val="FootnoteText"/>
      </w:pPr>
      <w:r>
        <w:rPr>
          <w:rStyle w:val="FootnoteReference"/>
        </w:rPr>
        <w:footnoteRef/>
      </w:r>
      <w:r>
        <w:t xml:space="preserve"> </w:t>
      </w:r>
      <w:r>
        <w:rPr>
          <w:i/>
        </w:rPr>
        <w:t>See</w:t>
      </w:r>
      <w:r>
        <w:t xml:space="preserve"> 976 CMR §2.06.3 (July 19, 2010).</w:t>
      </w:r>
    </w:p>
  </w:footnote>
  <w:footnote w:id="7">
    <w:p w14:paraId="0FE649BA" w14:textId="77777777" w:rsidR="00F97B02" w:rsidRDefault="00F97B02">
      <w:pPr>
        <w:pStyle w:val="FootnoteText"/>
      </w:pPr>
      <w:r>
        <w:rPr>
          <w:rStyle w:val="FootnoteReference"/>
        </w:rPr>
        <w:footnoteRef/>
      </w:r>
      <w:r>
        <w:t xml:space="preserve"> </w:t>
      </w:r>
      <w:r w:rsidRPr="00F97B02">
        <w:rPr>
          <w:i/>
        </w:rPr>
        <w:t>See,</w:t>
      </w:r>
      <w:r>
        <w:t xml:space="preserve"> 17 CFR 1.3(</w:t>
      </w:r>
      <w:proofErr w:type="spellStart"/>
      <w:r>
        <w:t>hhh</w:t>
      </w:r>
      <w:proofErr w:type="spellEnd"/>
      <w:r>
        <w:t>)</w:t>
      </w:r>
      <w:r w:rsidR="00282EB1">
        <w:t xml:space="preserve"> </w:t>
      </w:r>
      <w:r>
        <w:t>(Major Swap Participant definition)</w:t>
      </w:r>
      <w:r w:rsidR="00634576">
        <w:t>.</w:t>
      </w:r>
    </w:p>
    <w:p w14:paraId="10A727A2" w14:textId="77777777" w:rsidR="00C158FD" w:rsidRDefault="00C158FD">
      <w:pPr>
        <w:pStyle w:val="FootnoteText"/>
      </w:pPr>
    </w:p>
  </w:footnote>
  <w:footnote w:id="8">
    <w:p w14:paraId="77A83B21" w14:textId="77777777" w:rsidR="00C158FD" w:rsidRDefault="00C158FD">
      <w:pPr>
        <w:pStyle w:val="FootnoteText"/>
      </w:pPr>
      <w:r>
        <w:rPr>
          <w:rStyle w:val="FootnoteReference"/>
        </w:rPr>
        <w:footnoteRef/>
      </w:r>
      <w:r>
        <w:t xml:space="preserve"> 17 CFR 23.450</w:t>
      </w:r>
      <w:r w:rsidR="00282EB1">
        <w:t>.</w:t>
      </w:r>
      <w:r>
        <w:t xml:space="preserve"> </w:t>
      </w:r>
    </w:p>
  </w:footnote>
  <w:footnote w:id="9">
    <w:p w14:paraId="0BF1538F" w14:textId="77777777" w:rsidR="000E4051" w:rsidRDefault="000E4051" w:rsidP="00A52637">
      <w:pPr>
        <w:pStyle w:val="FootnoteText"/>
        <w:jc w:val="both"/>
      </w:pPr>
      <w:r>
        <w:rPr>
          <w:rStyle w:val="FootnoteReference"/>
        </w:rPr>
        <w:footnoteRef/>
      </w:r>
      <w:r>
        <w:t xml:space="preserve"> Under the Rule, 15c2-12(f)(10), “The term </w:t>
      </w:r>
      <w:r>
        <w:rPr>
          <w:i/>
        </w:rPr>
        <w:t>obligated person</w:t>
      </w:r>
      <w:r>
        <w:t xml:space="preserve"> means any person, including an issuer of municipal securities, who is either generally or through an enterprise, fund, or account of such person committed by contract or other arrangement to support payment of all, or part of the obligations on the municipal securities to be sold in the Offering (other than providers of municipal bond insurance, letters of credit, or other liquidity facilities.”  </w:t>
      </w:r>
    </w:p>
    <w:p w14:paraId="441F3E16" w14:textId="77777777" w:rsidR="00A52637" w:rsidRDefault="00300898" w:rsidP="00A52637">
      <w:pPr>
        <w:pStyle w:val="FootnoteText"/>
        <w:jc w:val="both"/>
      </w:pPr>
      <w:r>
        <w:t xml:space="preserve">   </w:t>
      </w:r>
      <w:r w:rsidR="000E4051">
        <w:t xml:space="preserve">The Trust’s continuing disclosure certificate for its pooled bond program states that </w:t>
      </w:r>
      <w:r w:rsidR="00A52637">
        <w:t>“</w:t>
      </w:r>
      <w:r w:rsidR="000E4051">
        <w:t>[a] Borrower shall be considered an “obligated person” with respect to the Bonds if the aggregate principal amount of all of its Pool Obligations outstanding as of the end of any fiscal year constitutes twenty percent (20%) or more of the aggregate principal amount of all Pool Obligations outstanding as of the end of such fiscal year.”</w:t>
      </w:r>
      <w:r w:rsidR="00A52637">
        <w:t xml:space="preserve">  </w:t>
      </w:r>
    </w:p>
    <w:p w14:paraId="7D9DA11D" w14:textId="77777777" w:rsidR="00A52637" w:rsidRDefault="00A52637" w:rsidP="00A52637">
      <w:pPr>
        <w:pStyle w:val="FootnoteText"/>
        <w:jc w:val="both"/>
      </w:pPr>
    </w:p>
    <w:p w14:paraId="233ACE8C" w14:textId="77777777" w:rsidR="000E4051" w:rsidRPr="000E4051" w:rsidRDefault="00A52637" w:rsidP="00A52637">
      <w:pPr>
        <w:pStyle w:val="FootnoteText"/>
        <w:jc w:val="both"/>
      </w:pPr>
      <w:r>
        <w:t>Borrowers under the Trust’s New Bedford, SESD, and MWRA loan programs would be obligated persons by virtue of their being committed to support payment of the bonds issued under those programs.</w:t>
      </w:r>
    </w:p>
  </w:footnote>
  <w:footnote w:id="10">
    <w:p w14:paraId="221291D3" w14:textId="77777777" w:rsidR="003A081A" w:rsidRDefault="003A081A" w:rsidP="003A081A">
      <w:pPr>
        <w:pStyle w:val="FootnoteText"/>
      </w:pPr>
      <w:r>
        <w:rPr>
          <w:rStyle w:val="FootnoteReference"/>
        </w:rPr>
        <w:footnoteRef/>
      </w:r>
      <w:r>
        <w:t xml:space="preserve"> 976 CMR 2.01 to 2.08 (July 19, 2010).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0A430" w14:textId="77777777" w:rsidR="00A0483D" w:rsidRDefault="00A0483D">
    <w:pPr>
      <w:pStyle w:val="Header"/>
    </w:pPr>
  </w:p>
  <w:p w14:paraId="6DB7A977" w14:textId="77777777" w:rsidR="00A0483D" w:rsidRDefault="00A0483D">
    <w:pPr>
      <w:pStyle w:val="Header"/>
    </w:pPr>
  </w:p>
  <w:p w14:paraId="39ED26E1" w14:textId="77777777" w:rsidR="005063FB" w:rsidRDefault="005063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EA00496"/>
    <w:lvl w:ilvl="0" w:tplc="D8E0A492">
      <w:numFmt w:val="bullet"/>
      <w:lvlText w:val="-"/>
      <w:lvlJc w:val="left"/>
      <w:pPr>
        <w:tabs>
          <w:tab w:val="num" w:pos="1080"/>
        </w:tabs>
        <w:ind w:left="1080" w:hanging="360"/>
      </w:pPr>
      <w:rPr>
        <w:rFonts w:ascii="Times New Roman" w:eastAsia="Times New Roman" w:hAnsi="Times New Roman" w:hint="default"/>
        <w:spacing w:val="0"/>
      </w:rPr>
    </w:lvl>
    <w:lvl w:ilvl="1" w:tplc="04090003">
      <w:start w:val="1"/>
      <w:numFmt w:val="bullet"/>
      <w:lvlText w:val="o"/>
      <w:lvlJc w:val="left"/>
      <w:pPr>
        <w:tabs>
          <w:tab w:val="num" w:pos="1800"/>
        </w:tabs>
        <w:ind w:left="1800" w:hanging="360"/>
      </w:pPr>
      <w:rPr>
        <w:rFonts w:ascii="Courier New" w:hAnsi="Courier New" w:hint="default"/>
        <w:spacing w:val="0"/>
      </w:rPr>
    </w:lvl>
    <w:lvl w:ilvl="2" w:tplc="04090005">
      <w:start w:val="1"/>
      <w:numFmt w:val="bullet"/>
      <w:lvlText w:val=""/>
      <w:lvlJc w:val="left"/>
      <w:pPr>
        <w:tabs>
          <w:tab w:val="num" w:pos="2520"/>
        </w:tabs>
        <w:ind w:left="2520" w:hanging="360"/>
      </w:pPr>
      <w:rPr>
        <w:rFonts w:ascii="Wingdings" w:hAnsi="Wingdings" w:hint="default"/>
        <w:spacing w:val="0"/>
      </w:rPr>
    </w:lvl>
    <w:lvl w:ilvl="3" w:tplc="04090001">
      <w:start w:val="1"/>
      <w:numFmt w:val="bullet"/>
      <w:lvlText w:val=""/>
      <w:lvlJc w:val="left"/>
      <w:pPr>
        <w:tabs>
          <w:tab w:val="num" w:pos="3240"/>
        </w:tabs>
        <w:ind w:left="3240" w:hanging="360"/>
      </w:pPr>
      <w:rPr>
        <w:rFonts w:ascii="Symbol" w:hAnsi="Symbol" w:hint="default"/>
        <w:spacing w:val="0"/>
      </w:rPr>
    </w:lvl>
    <w:lvl w:ilvl="4" w:tplc="04090003">
      <w:start w:val="1"/>
      <w:numFmt w:val="bullet"/>
      <w:lvlText w:val="o"/>
      <w:lvlJc w:val="left"/>
      <w:pPr>
        <w:tabs>
          <w:tab w:val="num" w:pos="3960"/>
        </w:tabs>
        <w:ind w:left="3960" w:hanging="360"/>
      </w:pPr>
      <w:rPr>
        <w:rFonts w:ascii="Courier New" w:hAnsi="Courier New" w:hint="default"/>
        <w:spacing w:val="0"/>
      </w:rPr>
    </w:lvl>
    <w:lvl w:ilvl="5" w:tplc="04090005">
      <w:start w:val="1"/>
      <w:numFmt w:val="bullet"/>
      <w:lvlText w:val=""/>
      <w:lvlJc w:val="left"/>
      <w:pPr>
        <w:tabs>
          <w:tab w:val="num" w:pos="4680"/>
        </w:tabs>
        <w:ind w:left="4680" w:hanging="360"/>
      </w:pPr>
      <w:rPr>
        <w:rFonts w:ascii="Wingdings" w:hAnsi="Wingdings" w:hint="default"/>
        <w:spacing w:val="0"/>
      </w:rPr>
    </w:lvl>
    <w:lvl w:ilvl="6" w:tplc="04090001">
      <w:start w:val="1"/>
      <w:numFmt w:val="bullet"/>
      <w:lvlText w:val=""/>
      <w:lvlJc w:val="left"/>
      <w:pPr>
        <w:tabs>
          <w:tab w:val="num" w:pos="5400"/>
        </w:tabs>
        <w:ind w:left="5400" w:hanging="360"/>
      </w:pPr>
      <w:rPr>
        <w:rFonts w:ascii="Symbol" w:hAnsi="Symbol" w:hint="default"/>
        <w:spacing w:val="0"/>
      </w:rPr>
    </w:lvl>
    <w:lvl w:ilvl="7" w:tplc="04090003">
      <w:start w:val="1"/>
      <w:numFmt w:val="bullet"/>
      <w:lvlText w:val="o"/>
      <w:lvlJc w:val="left"/>
      <w:pPr>
        <w:tabs>
          <w:tab w:val="num" w:pos="6120"/>
        </w:tabs>
        <w:ind w:left="6120" w:hanging="360"/>
      </w:pPr>
      <w:rPr>
        <w:rFonts w:ascii="Courier New" w:hAnsi="Courier New" w:hint="default"/>
        <w:spacing w:val="0"/>
      </w:rPr>
    </w:lvl>
    <w:lvl w:ilvl="8" w:tplc="04090005">
      <w:start w:val="1"/>
      <w:numFmt w:val="bullet"/>
      <w:lvlText w:val=""/>
      <w:lvlJc w:val="left"/>
      <w:pPr>
        <w:tabs>
          <w:tab w:val="num" w:pos="6840"/>
        </w:tabs>
        <w:ind w:left="6840" w:hanging="360"/>
      </w:pPr>
      <w:rPr>
        <w:rFonts w:ascii="Wingdings" w:hAnsi="Wingdings" w:hint="default"/>
        <w:spacing w:val="0"/>
      </w:rPr>
    </w:lvl>
  </w:abstractNum>
  <w:abstractNum w:abstractNumId="1" w15:restartNumberingAfterBreak="0">
    <w:nsid w:val="00000002"/>
    <w:multiLevelType w:val="hybridMultilevel"/>
    <w:tmpl w:val="1BF2552E"/>
    <w:lvl w:ilvl="0" w:tplc="04090001">
      <w:start w:val="1"/>
      <w:numFmt w:val="bullet"/>
      <w:lvlText w:val=""/>
      <w:lvlJc w:val="left"/>
      <w:pPr>
        <w:tabs>
          <w:tab w:val="num" w:pos="1800"/>
        </w:tabs>
        <w:ind w:left="1800" w:hanging="360"/>
      </w:pPr>
      <w:rPr>
        <w:rFonts w:ascii="Symbol" w:hAnsi="Symbol" w:hint="default"/>
        <w:spacing w:val="0"/>
      </w:rPr>
    </w:lvl>
    <w:lvl w:ilvl="1" w:tplc="04090003">
      <w:start w:val="1"/>
      <w:numFmt w:val="bullet"/>
      <w:lvlText w:val="o"/>
      <w:lvlJc w:val="left"/>
      <w:pPr>
        <w:tabs>
          <w:tab w:val="num" w:pos="2520"/>
        </w:tabs>
        <w:ind w:left="2520" w:hanging="360"/>
      </w:pPr>
      <w:rPr>
        <w:rFonts w:ascii="Courier New" w:hAnsi="Courier New" w:hint="default"/>
        <w:spacing w:val="0"/>
      </w:rPr>
    </w:lvl>
    <w:lvl w:ilvl="2" w:tplc="04090005">
      <w:start w:val="1"/>
      <w:numFmt w:val="bullet"/>
      <w:lvlText w:val=""/>
      <w:lvlJc w:val="left"/>
      <w:pPr>
        <w:tabs>
          <w:tab w:val="num" w:pos="3240"/>
        </w:tabs>
        <w:ind w:left="3240" w:hanging="360"/>
      </w:pPr>
      <w:rPr>
        <w:rFonts w:ascii="Wingdings" w:hAnsi="Wingdings" w:hint="default"/>
        <w:spacing w:val="0"/>
      </w:rPr>
    </w:lvl>
    <w:lvl w:ilvl="3" w:tplc="04090001">
      <w:start w:val="1"/>
      <w:numFmt w:val="bullet"/>
      <w:lvlText w:val=""/>
      <w:lvlJc w:val="left"/>
      <w:pPr>
        <w:tabs>
          <w:tab w:val="num" w:pos="3960"/>
        </w:tabs>
        <w:ind w:left="3960" w:hanging="360"/>
      </w:pPr>
      <w:rPr>
        <w:rFonts w:ascii="Symbol" w:hAnsi="Symbol" w:hint="default"/>
        <w:spacing w:val="0"/>
      </w:rPr>
    </w:lvl>
    <w:lvl w:ilvl="4" w:tplc="04090003">
      <w:start w:val="1"/>
      <w:numFmt w:val="bullet"/>
      <w:lvlText w:val="o"/>
      <w:lvlJc w:val="left"/>
      <w:pPr>
        <w:tabs>
          <w:tab w:val="num" w:pos="4680"/>
        </w:tabs>
        <w:ind w:left="4680" w:hanging="360"/>
      </w:pPr>
      <w:rPr>
        <w:rFonts w:ascii="Courier New" w:hAnsi="Courier New" w:hint="default"/>
        <w:spacing w:val="0"/>
      </w:rPr>
    </w:lvl>
    <w:lvl w:ilvl="5" w:tplc="04090005">
      <w:start w:val="1"/>
      <w:numFmt w:val="bullet"/>
      <w:lvlText w:val=""/>
      <w:lvlJc w:val="left"/>
      <w:pPr>
        <w:tabs>
          <w:tab w:val="num" w:pos="5400"/>
        </w:tabs>
        <w:ind w:left="5400" w:hanging="360"/>
      </w:pPr>
      <w:rPr>
        <w:rFonts w:ascii="Wingdings" w:hAnsi="Wingdings" w:hint="default"/>
        <w:spacing w:val="0"/>
      </w:rPr>
    </w:lvl>
    <w:lvl w:ilvl="6" w:tplc="04090001">
      <w:start w:val="1"/>
      <w:numFmt w:val="bullet"/>
      <w:lvlText w:val=""/>
      <w:lvlJc w:val="left"/>
      <w:pPr>
        <w:tabs>
          <w:tab w:val="num" w:pos="6120"/>
        </w:tabs>
        <w:ind w:left="6120" w:hanging="360"/>
      </w:pPr>
      <w:rPr>
        <w:rFonts w:ascii="Symbol" w:hAnsi="Symbol" w:hint="default"/>
        <w:spacing w:val="0"/>
      </w:rPr>
    </w:lvl>
    <w:lvl w:ilvl="7" w:tplc="04090003">
      <w:start w:val="1"/>
      <w:numFmt w:val="bullet"/>
      <w:lvlText w:val="o"/>
      <w:lvlJc w:val="left"/>
      <w:pPr>
        <w:tabs>
          <w:tab w:val="num" w:pos="6840"/>
        </w:tabs>
        <w:ind w:left="6840" w:hanging="360"/>
      </w:pPr>
      <w:rPr>
        <w:rFonts w:ascii="Courier New" w:hAnsi="Courier New" w:hint="default"/>
        <w:spacing w:val="0"/>
      </w:rPr>
    </w:lvl>
    <w:lvl w:ilvl="8" w:tplc="04090005">
      <w:start w:val="1"/>
      <w:numFmt w:val="bullet"/>
      <w:lvlText w:val=""/>
      <w:lvlJc w:val="left"/>
      <w:pPr>
        <w:tabs>
          <w:tab w:val="num" w:pos="7560"/>
        </w:tabs>
        <w:ind w:left="7560" w:hanging="360"/>
      </w:pPr>
      <w:rPr>
        <w:rFonts w:ascii="Wingdings" w:hAnsi="Wingdings" w:hint="default"/>
        <w:spacing w:val="0"/>
      </w:rPr>
    </w:lvl>
  </w:abstractNum>
  <w:abstractNum w:abstractNumId="2" w15:restartNumberingAfterBreak="0">
    <w:nsid w:val="3DB91813"/>
    <w:multiLevelType w:val="multilevel"/>
    <w:tmpl w:val="258850D0"/>
    <w:name w:val="zzmpOutline||Outline|2|1|1|1|0|9||1|0|1||1|0|1||1|0|1||1|0|0||1|0|0||1|0|0||1|0|0||1|0|0||"/>
    <w:lvl w:ilvl="0">
      <w:start w:val="1"/>
      <w:numFmt w:val="upperRoman"/>
      <w:pStyle w:val="OutlineL1"/>
      <w:lvlText w:val="%1."/>
      <w:lvlJc w:val="left"/>
      <w:pPr>
        <w:tabs>
          <w:tab w:val="num" w:pos="720"/>
        </w:tabs>
        <w:ind w:left="0" w:firstLine="0"/>
      </w:pPr>
      <w:rPr>
        <w:rFonts w:ascii="Times New Roman" w:hAnsi="Times New Roman"/>
        <w:b w:val="0"/>
        <w:i w:val="0"/>
        <w:caps/>
        <w:smallCaps w:val="0"/>
        <w:strike w:val="0"/>
        <w:dstrike w:val="0"/>
        <w:vanish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upperLetter"/>
      <w:pStyle w:val="OutlineL2"/>
      <w:lvlText w:val="%2."/>
      <w:lvlJc w:val="left"/>
      <w:pPr>
        <w:tabs>
          <w:tab w:val="num" w:pos="1440"/>
        </w:tabs>
        <w:ind w:left="0" w:firstLine="720"/>
      </w:pPr>
      <w:rPr>
        <w:rFonts w:ascii="Times New Roman" w:hAnsi="Times New Roman"/>
        <w:b w:val="0"/>
        <w:i w:val="0"/>
        <w:caps w:val="0"/>
        <w:smallCaps w:val="0"/>
        <w:strike w:val="0"/>
        <w:dstrike w:val="0"/>
        <w:vanish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OutlineL3"/>
      <w:lvlText w:val="%3."/>
      <w:lvlJc w:val="left"/>
      <w:pPr>
        <w:tabs>
          <w:tab w:val="num" w:pos="2160"/>
        </w:tabs>
        <w:ind w:left="0" w:firstLine="1440"/>
      </w:pPr>
      <w:rPr>
        <w:rFonts w:ascii="Times New Roman" w:hAnsi="Times New Roman"/>
        <w:b w:val="0"/>
        <w:i w:val="0"/>
        <w:caps w:val="0"/>
        <w:smallCaps w:val="0"/>
        <w:strike w:val="0"/>
        <w:dstrike w:val="0"/>
        <w:vanish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lowerLetter"/>
      <w:pStyle w:val="OutlineL4"/>
      <w:lvlText w:val="%4."/>
      <w:lvlJc w:val="left"/>
      <w:pPr>
        <w:tabs>
          <w:tab w:val="num" w:pos="2880"/>
        </w:tabs>
        <w:ind w:left="0" w:firstLine="2160"/>
      </w:pPr>
      <w:rPr>
        <w:rFonts w:ascii="Times New Roman" w:hAnsi="Times New Roman"/>
        <w:b w:val="0"/>
        <w:i w:val="0"/>
        <w:caps w:val="0"/>
        <w:smallCaps w:val="0"/>
        <w:strike w:val="0"/>
        <w:dstrike w:val="0"/>
        <w:vanish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Roman"/>
      <w:pStyle w:val="OutlineL5"/>
      <w:lvlText w:val="(%5)"/>
      <w:lvlJc w:val="left"/>
      <w:pPr>
        <w:tabs>
          <w:tab w:val="num" w:pos="3600"/>
        </w:tabs>
        <w:ind w:left="0" w:firstLine="2880"/>
      </w:pPr>
      <w:rPr>
        <w:rFonts w:ascii="Times New Roman" w:hAnsi="Times New Roman"/>
        <w:b w:val="0"/>
        <w:i w:val="0"/>
        <w:caps w:val="0"/>
        <w:smallCaps w:val="0"/>
        <w:strike w:val="0"/>
        <w:dstrike w:val="0"/>
        <w:vanish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lowerLetter"/>
      <w:pStyle w:val="OutlineL6"/>
      <w:lvlText w:val="(%6)"/>
      <w:lvlJc w:val="left"/>
      <w:pPr>
        <w:tabs>
          <w:tab w:val="num" w:pos="4320"/>
        </w:tabs>
        <w:ind w:left="0" w:firstLine="3600"/>
      </w:pPr>
      <w:rPr>
        <w:rFonts w:ascii="Times New Roman" w:hAnsi="Times New Roman"/>
        <w:b w:val="0"/>
        <w:i w:val="0"/>
        <w:caps w:val="0"/>
        <w:smallCaps w:val="0"/>
        <w:strike w:val="0"/>
        <w:dstrike w:val="0"/>
        <w:vanish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pStyle w:val="OutlineL7"/>
      <w:lvlText w:val="(%7)"/>
      <w:lvlJc w:val="left"/>
      <w:pPr>
        <w:tabs>
          <w:tab w:val="num" w:pos="5040"/>
        </w:tabs>
        <w:ind w:left="0" w:firstLine="4320"/>
      </w:pPr>
      <w:rPr>
        <w:rFonts w:ascii="Times New Roman" w:hAnsi="Times New Roman"/>
        <w:b w:val="0"/>
        <w:i w:val="0"/>
        <w:caps w:val="0"/>
        <w:smallCaps w:val="0"/>
        <w:strike w:val="0"/>
        <w:dstrike w:val="0"/>
        <w:vanish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lowerRoman"/>
      <w:pStyle w:val="OutlineL8"/>
      <w:lvlText w:val="%8)"/>
      <w:lvlJc w:val="left"/>
      <w:pPr>
        <w:tabs>
          <w:tab w:val="num" w:pos="5760"/>
        </w:tabs>
        <w:ind w:left="0" w:firstLine="5040"/>
      </w:pPr>
      <w:rPr>
        <w:rFonts w:ascii="Times New Roman" w:hAnsi="Times New Roman"/>
        <w:b w:val="0"/>
        <w:i w:val="0"/>
        <w:caps w:val="0"/>
        <w:smallCaps w:val="0"/>
        <w:strike w:val="0"/>
        <w:dstrike w:val="0"/>
        <w:vanish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lowerLetter"/>
      <w:pStyle w:val="OutlineL9"/>
      <w:lvlText w:val="%9)"/>
      <w:lvlJc w:val="left"/>
      <w:pPr>
        <w:tabs>
          <w:tab w:val="num" w:pos="6480"/>
        </w:tabs>
        <w:ind w:left="0" w:firstLine="5760"/>
      </w:pPr>
      <w:rPr>
        <w:rFonts w:ascii="Times New Roman" w:hAnsi="Times New Roman"/>
        <w:b w:val="0"/>
        <w:i w:val="0"/>
        <w:caps w:val="0"/>
        <w:smallCaps w:val="0"/>
        <w:strike w:val="0"/>
        <w:dstrike w:val="0"/>
        <w:vanish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 w15:restartNumberingAfterBreak="0">
    <w:nsid w:val="595E2BDC"/>
    <w:multiLevelType w:val="hybridMultilevel"/>
    <w:tmpl w:val="833C27F6"/>
    <w:lvl w:ilvl="0" w:tplc="00D41D52">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300"/>
        </w:tabs>
        <w:ind w:left="300" w:hanging="360"/>
      </w:pPr>
      <w:rPr>
        <w:rFonts w:ascii="Courier New" w:hAnsi="Courier New" w:cs="Courier New" w:hint="default"/>
      </w:rPr>
    </w:lvl>
    <w:lvl w:ilvl="2" w:tplc="04090005" w:tentative="1">
      <w:start w:val="1"/>
      <w:numFmt w:val="bullet"/>
      <w:lvlText w:val=""/>
      <w:lvlJc w:val="left"/>
      <w:pPr>
        <w:tabs>
          <w:tab w:val="num" w:pos="1020"/>
        </w:tabs>
        <w:ind w:left="1020" w:hanging="360"/>
      </w:pPr>
      <w:rPr>
        <w:rFonts w:ascii="Wingdings" w:hAnsi="Wingdings" w:hint="default"/>
      </w:rPr>
    </w:lvl>
    <w:lvl w:ilvl="3" w:tplc="04090001" w:tentative="1">
      <w:start w:val="1"/>
      <w:numFmt w:val="bullet"/>
      <w:lvlText w:val=""/>
      <w:lvlJc w:val="left"/>
      <w:pPr>
        <w:tabs>
          <w:tab w:val="num" w:pos="1740"/>
        </w:tabs>
        <w:ind w:left="1740" w:hanging="360"/>
      </w:pPr>
      <w:rPr>
        <w:rFonts w:ascii="Symbol" w:hAnsi="Symbol" w:hint="default"/>
      </w:rPr>
    </w:lvl>
    <w:lvl w:ilvl="4" w:tplc="04090003" w:tentative="1">
      <w:start w:val="1"/>
      <w:numFmt w:val="bullet"/>
      <w:lvlText w:val="o"/>
      <w:lvlJc w:val="left"/>
      <w:pPr>
        <w:tabs>
          <w:tab w:val="num" w:pos="2460"/>
        </w:tabs>
        <w:ind w:left="2460" w:hanging="360"/>
      </w:pPr>
      <w:rPr>
        <w:rFonts w:ascii="Courier New" w:hAnsi="Courier New" w:cs="Courier New" w:hint="default"/>
      </w:rPr>
    </w:lvl>
    <w:lvl w:ilvl="5" w:tplc="04090005" w:tentative="1">
      <w:start w:val="1"/>
      <w:numFmt w:val="bullet"/>
      <w:lvlText w:val=""/>
      <w:lvlJc w:val="left"/>
      <w:pPr>
        <w:tabs>
          <w:tab w:val="num" w:pos="3180"/>
        </w:tabs>
        <w:ind w:left="3180" w:hanging="360"/>
      </w:pPr>
      <w:rPr>
        <w:rFonts w:ascii="Wingdings" w:hAnsi="Wingdings" w:hint="default"/>
      </w:rPr>
    </w:lvl>
    <w:lvl w:ilvl="6" w:tplc="04090001" w:tentative="1">
      <w:start w:val="1"/>
      <w:numFmt w:val="bullet"/>
      <w:lvlText w:val=""/>
      <w:lvlJc w:val="left"/>
      <w:pPr>
        <w:tabs>
          <w:tab w:val="num" w:pos="3900"/>
        </w:tabs>
        <w:ind w:left="3900" w:hanging="360"/>
      </w:pPr>
      <w:rPr>
        <w:rFonts w:ascii="Symbol" w:hAnsi="Symbol" w:hint="default"/>
      </w:rPr>
    </w:lvl>
    <w:lvl w:ilvl="7" w:tplc="04090003" w:tentative="1">
      <w:start w:val="1"/>
      <w:numFmt w:val="bullet"/>
      <w:lvlText w:val="o"/>
      <w:lvlJc w:val="left"/>
      <w:pPr>
        <w:tabs>
          <w:tab w:val="num" w:pos="4620"/>
        </w:tabs>
        <w:ind w:left="4620" w:hanging="360"/>
      </w:pPr>
      <w:rPr>
        <w:rFonts w:ascii="Courier New" w:hAnsi="Courier New" w:cs="Courier New" w:hint="default"/>
      </w:rPr>
    </w:lvl>
    <w:lvl w:ilvl="8" w:tplc="04090005" w:tentative="1">
      <w:start w:val="1"/>
      <w:numFmt w:val="bullet"/>
      <w:lvlText w:val=""/>
      <w:lvlJc w:val="left"/>
      <w:pPr>
        <w:tabs>
          <w:tab w:val="num" w:pos="5340"/>
        </w:tabs>
        <w:ind w:left="5340" w:hanging="360"/>
      </w:pPr>
      <w:rPr>
        <w:rFonts w:ascii="Wingdings" w:hAnsi="Wingdings" w:hint="default"/>
      </w:rPr>
    </w:lvl>
  </w:abstractNum>
  <w:abstractNum w:abstractNumId="4" w15:restartNumberingAfterBreak="0">
    <w:nsid w:val="5CD353E4"/>
    <w:multiLevelType w:val="hybridMultilevel"/>
    <w:tmpl w:val="AD925D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80902467">
    <w:abstractNumId w:val="3"/>
  </w:num>
  <w:num w:numId="2" w16cid:durableId="2059543927">
    <w:abstractNumId w:val="4"/>
  </w:num>
  <w:num w:numId="3" w16cid:durableId="2100591035">
    <w:abstractNumId w:val="2"/>
  </w:num>
  <w:num w:numId="4" w16cid:durableId="1509904862">
    <w:abstractNumId w:val="0"/>
  </w:num>
  <w:num w:numId="5" w16cid:durableId="18360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A98"/>
    <w:rsid w:val="000015F9"/>
    <w:rsid w:val="00001EEB"/>
    <w:rsid w:val="000234A4"/>
    <w:rsid w:val="00054F27"/>
    <w:rsid w:val="0005632D"/>
    <w:rsid w:val="0005756A"/>
    <w:rsid w:val="00061FE8"/>
    <w:rsid w:val="000A2488"/>
    <w:rsid w:val="000A5750"/>
    <w:rsid w:val="000B6F0B"/>
    <w:rsid w:val="000C6A90"/>
    <w:rsid w:val="000E0AE3"/>
    <w:rsid w:val="000E4051"/>
    <w:rsid w:val="00147003"/>
    <w:rsid w:val="0016608F"/>
    <w:rsid w:val="001830B3"/>
    <w:rsid w:val="00186F85"/>
    <w:rsid w:val="00196014"/>
    <w:rsid w:val="001D0051"/>
    <w:rsid w:val="001E5A20"/>
    <w:rsid w:val="001F3D5E"/>
    <w:rsid w:val="0023216C"/>
    <w:rsid w:val="002437FE"/>
    <w:rsid w:val="00261195"/>
    <w:rsid w:val="00270FAE"/>
    <w:rsid w:val="00271ADF"/>
    <w:rsid w:val="00282E3E"/>
    <w:rsid w:val="00282EB1"/>
    <w:rsid w:val="00284540"/>
    <w:rsid w:val="002B2F9F"/>
    <w:rsid w:val="002B3935"/>
    <w:rsid w:val="002B4406"/>
    <w:rsid w:val="002B70DE"/>
    <w:rsid w:val="002D0316"/>
    <w:rsid w:val="00300898"/>
    <w:rsid w:val="00314D19"/>
    <w:rsid w:val="00325148"/>
    <w:rsid w:val="003779C2"/>
    <w:rsid w:val="003846B9"/>
    <w:rsid w:val="0038580D"/>
    <w:rsid w:val="00394DDB"/>
    <w:rsid w:val="003A081A"/>
    <w:rsid w:val="003A43E6"/>
    <w:rsid w:val="003B20E8"/>
    <w:rsid w:val="003C4D01"/>
    <w:rsid w:val="003F3955"/>
    <w:rsid w:val="00403A35"/>
    <w:rsid w:val="004146DD"/>
    <w:rsid w:val="00422581"/>
    <w:rsid w:val="00431E44"/>
    <w:rsid w:val="00433A96"/>
    <w:rsid w:val="0044574A"/>
    <w:rsid w:val="00465EDF"/>
    <w:rsid w:val="00491D08"/>
    <w:rsid w:val="004A08E6"/>
    <w:rsid w:val="004A7530"/>
    <w:rsid w:val="004C45FC"/>
    <w:rsid w:val="004D1F38"/>
    <w:rsid w:val="00504E11"/>
    <w:rsid w:val="005063FB"/>
    <w:rsid w:val="00512E08"/>
    <w:rsid w:val="00530ED2"/>
    <w:rsid w:val="0054498D"/>
    <w:rsid w:val="00553A98"/>
    <w:rsid w:val="005A122E"/>
    <w:rsid w:val="005A55BB"/>
    <w:rsid w:val="00606E5B"/>
    <w:rsid w:val="00613F77"/>
    <w:rsid w:val="00627B81"/>
    <w:rsid w:val="006303DE"/>
    <w:rsid w:val="00634576"/>
    <w:rsid w:val="00654AA3"/>
    <w:rsid w:val="00656D1A"/>
    <w:rsid w:val="00665E87"/>
    <w:rsid w:val="006704C0"/>
    <w:rsid w:val="00733931"/>
    <w:rsid w:val="00751EAB"/>
    <w:rsid w:val="00754CA0"/>
    <w:rsid w:val="007807EC"/>
    <w:rsid w:val="007A48C2"/>
    <w:rsid w:val="007C3C1C"/>
    <w:rsid w:val="007D1CE0"/>
    <w:rsid w:val="007D3D26"/>
    <w:rsid w:val="007D4E2D"/>
    <w:rsid w:val="007F7B66"/>
    <w:rsid w:val="00833CDD"/>
    <w:rsid w:val="00835206"/>
    <w:rsid w:val="00842D1F"/>
    <w:rsid w:val="00850052"/>
    <w:rsid w:val="008845E0"/>
    <w:rsid w:val="008B03B6"/>
    <w:rsid w:val="008D5005"/>
    <w:rsid w:val="00910E13"/>
    <w:rsid w:val="00912F6D"/>
    <w:rsid w:val="009147A5"/>
    <w:rsid w:val="00930AEA"/>
    <w:rsid w:val="0093324C"/>
    <w:rsid w:val="009419D8"/>
    <w:rsid w:val="00942014"/>
    <w:rsid w:val="00945A86"/>
    <w:rsid w:val="0095764E"/>
    <w:rsid w:val="00996A93"/>
    <w:rsid w:val="009A155E"/>
    <w:rsid w:val="009B53C1"/>
    <w:rsid w:val="009D2254"/>
    <w:rsid w:val="00A0483D"/>
    <w:rsid w:val="00A226EF"/>
    <w:rsid w:val="00A270C4"/>
    <w:rsid w:val="00A31519"/>
    <w:rsid w:val="00A52637"/>
    <w:rsid w:val="00AC00D5"/>
    <w:rsid w:val="00AF255E"/>
    <w:rsid w:val="00B26F87"/>
    <w:rsid w:val="00B3132A"/>
    <w:rsid w:val="00B44901"/>
    <w:rsid w:val="00B65BD2"/>
    <w:rsid w:val="00B80B0B"/>
    <w:rsid w:val="00BA1C83"/>
    <w:rsid w:val="00BA3832"/>
    <w:rsid w:val="00BB1D53"/>
    <w:rsid w:val="00BB779C"/>
    <w:rsid w:val="00BC57B3"/>
    <w:rsid w:val="00BE283F"/>
    <w:rsid w:val="00BE2A38"/>
    <w:rsid w:val="00BF3ACC"/>
    <w:rsid w:val="00BF5113"/>
    <w:rsid w:val="00C158FD"/>
    <w:rsid w:val="00C30B61"/>
    <w:rsid w:val="00C36E4F"/>
    <w:rsid w:val="00C376E2"/>
    <w:rsid w:val="00C65417"/>
    <w:rsid w:val="00C94024"/>
    <w:rsid w:val="00CB47E1"/>
    <w:rsid w:val="00CC08F0"/>
    <w:rsid w:val="00CC6733"/>
    <w:rsid w:val="00CD403D"/>
    <w:rsid w:val="00D07887"/>
    <w:rsid w:val="00D16AA5"/>
    <w:rsid w:val="00D32504"/>
    <w:rsid w:val="00D47396"/>
    <w:rsid w:val="00D75738"/>
    <w:rsid w:val="00DC534B"/>
    <w:rsid w:val="00E42F76"/>
    <w:rsid w:val="00E5556D"/>
    <w:rsid w:val="00E775E9"/>
    <w:rsid w:val="00E848DA"/>
    <w:rsid w:val="00EA7CBC"/>
    <w:rsid w:val="00EC4A9C"/>
    <w:rsid w:val="00EE74D1"/>
    <w:rsid w:val="00EF1CE6"/>
    <w:rsid w:val="00F24EA1"/>
    <w:rsid w:val="00F309A3"/>
    <w:rsid w:val="00F31C58"/>
    <w:rsid w:val="00F3454F"/>
    <w:rsid w:val="00F35DC2"/>
    <w:rsid w:val="00F523C7"/>
    <w:rsid w:val="00F53D51"/>
    <w:rsid w:val="00F76357"/>
    <w:rsid w:val="00F97B02"/>
    <w:rsid w:val="00FC41A7"/>
    <w:rsid w:val="00FD38D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C79C83F"/>
  <w15:chartTrackingRefBased/>
  <w15:docId w15:val="{5A389825-AB53-40E2-9D68-3C9D321BB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1">
    <w:name w:val="heading 1"/>
    <w:basedOn w:val="Normal"/>
    <w:next w:val="Normal"/>
    <w:qFormat/>
    <w:pPr>
      <w:keepNext/>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Date">
    <w:name w:val="Date"/>
    <w:basedOn w:val="Normal"/>
    <w:next w:val="Normal"/>
    <w:rPr>
      <w:szCs w:val="20"/>
    </w:rPr>
  </w:style>
  <w:style w:type="paragraph" w:customStyle="1" w:styleId="OutlineL1">
    <w:name w:val="Outline_L1"/>
    <w:basedOn w:val="Normal"/>
    <w:next w:val="Normal"/>
    <w:pPr>
      <w:numPr>
        <w:numId w:val="3"/>
      </w:numPr>
      <w:spacing w:after="240"/>
      <w:outlineLvl w:val="0"/>
    </w:pPr>
    <w:rPr>
      <w:szCs w:val="20"/>
    </w:rPr>
  </w:style>
  <w:style w:type="paragraph" w:customStyle="1" w:styleId="OutlineL2">
    <w:name w:val="Outline_L2"/>
    <w:basedOn w:val="OutlineL1"/>
    <w:next w:val="Normal"/>
    <w:pPr>
      <w:numPr>
        <w:ilvl w:val="1"/>
      </w:numPr>
      <w:tabs>
        <w:tab w:val="clear" w:pos="1440"/>
        <w:tab w:val="num" w:pos="360"/>
      </w:tabs>
      <w:outlineLvl w:val="1"/>
    </w:pPr>
  </w:style>
  <w:style w:type="paragraph" w:customStyle="1" w:styleId="OutlineL3">
    <w:name w:val="Outline_L3"/>
    <w:basedOn w:val="OutlineL2"/>
    <w:next w:val="Normal"/>
    <w:pPr>
      <w:numPr>
        <w:ilvl w:val="2"/>
      </w:numPr>
      <w:tabs>
        <w:tab w:val="clear" w:pos="2160"/>
        <w:tab w:val="num" w:pos="360"/>
      </w:tabs>
      <w:outlineLvl w:val="2"/>
    </w:pPr>
  </w:style>
  <w:style w:type="paragraph" w:customStyle="1" w:styleId="OutlineL4">
    <w:name w:val="Outline_L4"/>
    <w:basedOn w:val="OutlineL3"/>
    <w:next w:val="Normal"/>
    <w:pPr>
      <w:numPr>
        <w:ilvl w:val="3"/>
      </w:numPr>
      <w:tabs>
        <w:tab w:val="clear" w:pos="2880"/>
        <w:tab w:val="num" w:pos="360"/>
      </w:tabs>
      <w:outlineLvl w:val="3"/>
    </w:pPr>
  </w:style>
  <w:style w:type="paragraph" w:customStyle="1" w:styleId="OutlineL5">
    <w:name w:val="Outline_L5"/>
    <w:basedOn w:val="OutlineL4"/>
    <w:next w:val="Normal"/>
    <w:pPr>
      <w:numPr>
        <w:ilvl w:val="4"/>
      </w:numPr>
      <w:tabs>
        <w:tab w:val="clear" w:pos="3600"/>
        <w:tab w:val="num" w:pos="360"/>
      </w:tabs>
      <w:outlineLvl w:val="4"/>
    </w:pPr>
  </w:style>
  <w:style w:type="paragraph" w:customStyle="1" w:styleId="OutlineL6">
    <w:name w:val="Outline_L6"/>
    <w:basedOn w:val="OutlineL5"/>
    <w:next w:val="Normal"/>
    <w:pPr>
      <w:numPr>
        <w:ilvl w:val="5"/>
      </w:numPr>
      <w:tabs>
        <w:tab w:val="clear" w:pos="4320"/>
        <w:tab w:val="num" w:pos="360"/>
      </w:tabs>
      <w:outlineLvl w:val="5"/>
    </w:pPr>
  </w:style>
  <w:style w:type="paragraph" w:customStyle="1" w:styleId="OutlineL7">
    <w:name w:val="Outline_L7"/>
    <w:basedOn w:val="OutlineL6"/>
    <w:next w:val="Normal"/>
    <w:pPr>
      <w:numPr>
        <w:ilvl w:val="6"/>
      </w:numPr>
      <w:tabs>
        <w:tab w:val="clear" w:pos="5040"/>
        <w:tab w:val="num" w:pos="360"/>
      </w:tabs>
      <w:outlineLvl w:val="6"/>
    </w:pPr>
  </w:style>
  <w:style w:type="paragraph" w:customStyle="1" w:styleId="OutlineL8">
    <w:name w:val="Outline_L8"/>
    <w:basedOn w:val="OutlineL7"/>
    <w:next w:val="Normal"/>
    <w:pPr>
      <w:numPr>
        <w:ilvl w:val="7"/>
      </w:numPr>
      <w:tabs>
        <w:tab w:val="clear" w:pos="5760"/>
        <w:tab w:val="num" w:pos="360"/>
      </w:tabs>
      <w:outlineLvl w:val="7"/>
    </w:pPr>
  </w:style>
  <w:style w:type="paragraph" w:customStyle="1" w:styleId="OutlineL9">
    <w:name w:val="Outline_L9"/>
    <w:basedOn w:val="OutlineL8"/>
    <w:next w:val="Normal"/>
    <w:pPr>
      <w:numPr>
        <w:ilvl w:val="8"/>
      </w:numPr>
      <w:tabs>
        <w:tab w:val="clear" w:pos="6480"/>
        <w:tab w:val="num" w:pos="360"/>
      </w:tabs>
      <w:outlineLvl w:val="8"/>
    </w:pPr>
  </w:style>
  <w:style w:type="paragraph" w:styleId="BalloonText">
    <w:name w:val="Balloon Text"/>
    <w:basedOn w:val="Normal"/>
    <w:semiHidden/>
    <w:rsid w:val="008845E0"/>
    <w:rPr>
      <w:rFonts w:ascii="Tahoma" w:hAnsi="Tahoma" w:cs="Tahoma"/>
      <w:sz w:val="16"/>
      <w:szCs w:val="16"/>
    </w:rPr>
  </w:style>
  <w:style w:type="paragraph" w:styleId="BodyTextIndent">
    <w:name w:val="Body Text Indent"/>
    <w:basedOn w:val="Normal"/>
    <w:link w:val="BodyTextIndentChar"/>
    <w:unhideWhenUsed/>
    <w:rsid w:val="00394DDB"/>
    <w:pPr>
      <w:widowControl w:val="0"/>
      <w:tabs>
        <w:tab w:val="left" w:pos="-720"/>
        <w:tab w:val="left" w:pos="0"/>
      </w:tabs>
      <w:suppressAutoHyphens/>
      <w:ind w:left="720" w:hanging="720"/>
      <w:jc w:val="both"/>
    </w:pPr>
    <w:rPr>
      <w:spacing w:val="-2"/>
      <w:sz w:val="20"/>
      <w:szCs w:val="20"/>
    </w:rPr>
  </w:style>
  <w:style w:type="character" w:customStyle="1" w:styleId="BodyTextIndentChar">
    <w:name w:val="Body Text Indent Char"/>
    <w:link w:val="BodyTextIndent"/>
    <w:rsid w:val="00394DDB"/>
    <w:rPr>
      <w:spacing w:val="-2"/>
    </w:rPr>
  </w:style>
  <w:style w:type="paragraph" w:styleId="FootnoteText">
    <w:name w:val="footnote text"/>
    <w:basedOn w:val="Normal"/>
    <w:link w:val="FootnoteTextChar"/>
    <w:rsid w:val="00A270C4"/>
    <w:rPr>
      <w:sz w:val="20"/>
      <w:szCs w:val="20"/>
    </w:rPr>
  </w:style>
  <w:style w:type="character" w:customStyle="1" w:styleId="FootnoteTextChar">
    <w:name w:val="Footnote Text Char"/>
    <w:basedOn w:val="DefaultParagraphFont"/>
    <w:link w:val="FootnoteText"/>
    <w:rsid w:val="00A270C4"/>
  </w:style>
  <w:style w:type="character" w:styleId="FootnoteReference">
    <w:name w:val="footnote reference"/>
    <w:rsid w:val="00A270C4"/>
    <w:rPr>
      <w:vertAlign w:val="superscript"/>
    </w:rPr>
  </w:style>
  <w:style w:type="character" w:customStyle="1" w:styleId="FooterChar">
    <w:name w:val="Footer Char"/>
    <w:link w:val="Footer"/>
    <w:uiPriority w:val="99"/>
    <w:rsid w:val="00A270C4"/>
    <w:rPr>
      <w:sz w:val="24"/>
      <w:szCs w:val="24"/>
    </w:rPr>
  </w:style>
  <w:style w:type="paragraph" w:styleId="BlockText">
    <w:name w:val="Block Text"/>
    <w:basedOn w:val="Normal"/>
    <w:rsid w:val="00465EDF"/>
    <w:pPr>
      <w:autoSpaceDE w:val="0"/>
      <w:autoSpaceDN w:val="0"/>
      <w:adjustRightInd w:val="0"/>
      <w:spacing w:after="240"/>
    </w:pPr>
  </w:style>
  <w:style w:type="character" w:customStyle="1" w:styleId="DeltaViewInsertion">
    <w:name w:val="DeltaView Insertion"/>
    <w:rsid w:val="00465EDF"/>
    <w:rPr>
      <w:b/>
      <w:spacing w:val="0"/>
      <w:u w:val="double"/>
    </w:rPr>
  </w:style>
  <w:style w:type="character" w:customStyle="1" w:styleId="DeltaViewMoveDestination">
    <w:name w:val="DeltaView Move Destination"/>
    <w:rsid w:val="00465EDF"/>
    <w:rPr>
      <w:b/>
      <w:color w:val="000000"/>
      <w:spacing w:val="0"/>
      <w:u w:val="double"/>
    </w:rPr>
  </w:style>
  <w:style w:type="table" w:styleId="TableGrid">
    <w:name w:val="Table Grid"/>
    <w:basedOn w:val="TableNormal"/>
    <w:uiPriority w:val="59"/>
    <w:rsid w:val="00FD38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A48C2"/>
    <w:rPr>
      <w:rFonts w:ascii="Calibri" w:eastAsia="Calibri" w:hAnsi="Calibri"/>
      <w:sz w:val="22"/>
      <w:szCs w:val="22"/>
      <w:lang w:eastAsia="en-US" w:bidi="ar-SA"/>
    </w:rPr>
  </w:style>
  <w:style w:type="paragraph" w:styleId="BodyText">
    <w:name w:val="Body Text"/>
    <w:basedOn w:val="Normal"/>
    <w:link w:val="BodyTextChar"/>
    <w:rsid w:val="000C6A90"/>
    <w:pPr>
      <w:spacing w:after="120"/>
    </w:pPr>
  </w:style>
  <w:style w:type="character" w:customStyle="1" w:styleId="BodyTextChar">
    <w:name w:val="Body Text Char"/>
    <w:link w:val="BodyText"/>
    <w:rsid w:val="000C6A90"/>
    <w:rPr>
      <w:sz w:val="24"/>
      <w:szCs w:val="24"/>
    </w:rPr>
  </w:style>
  <w:style w:type="character" w:customStyle="1" w:styleId="HeaderChar">
    <w:name w:val="Header Char"/>
    <w:link w:val="Header"/>
    <w:uiPriority w:val="99"/>
    <w:rsid w:val="005063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88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211DF-4E89-4725-9C05-38D269A9C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4861</Words>
  <Characters>27710</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lpstr>
    </vt:vector>
  </TitlesOfParts>
  <Company>Massachusetts State Treasury</Company>
  <LinksUpToDate>false</LinksUpToDate>
  <CharactersWithSpaces>32506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LGUADAGNO</dc:creator>
  <cp:keywords/>
  <cp:lastModifiedBy>Kelly, Lynne (A&amp;F)</cp:lastModifiedBy>
  <cp:revision>2</cp:revision>
  <cp:lastPrinted>2014-03-06T17:07:00Z</cp:lastPrinted>
  <dcterms:created xsi:type="dcterms:W3CDTF">2025-11-18T00:27:00Z</dcterms:created>
  <dcterms:modified xsi:type="dcterms:W3CDTF">2025-11-18T00:27:00Z</dcterms:modified>
</cp:coreProperties>
</file>