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4732" w14:textId="1CF37E3C" w:rsidR="024ACB04" w:rsidRDefault="024ACB04" w:rsidP="05EA6A5C">
      <w:pPr>
        <w:jc w:val="center"/>
      </w:pPr>
      <w:r>
        <w:rPr>
          <w:noProof/>
        </w:rPr>
        <w:drawing>
          <wp:inline distT="0" distB="0" distL="0" distR="0" wp14:anchorId="71F5EA0F" wp14:editId="3A000FA2">
            <wp:extent cx="781050" cy="1047750"/>
            <wp:effectExtent l="0" t="0" r="0" b="0"/>
            <wp:docPr id="359347959" name="Picture 359347959"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1047750"/>
                    </a:xfrm>
                    <a:prstGeom prst="rect">
                      <a:avLst/>
                    </a:prstGeom>
                  </pic:spPr>
                </pic:pic>
              </a:graphicData>
            </a:graphic>
          </wp:inline>
        </w:drawing>
      </w:r>
    </w:p>
    <w:p w14:paraId="4737A558" w14:textId="1C252688" w:rsidR="024ACB04" w:rsidRPr="009B6E31" w:rsidRDefault="024ACB04" w:rsidP="009B6E31">
      <w:pPr>
        <w:pStyle w:val="Heading1"/>
        <w:spacing w:line="240" w:lineRule="auto"/>
        <w:jc w:val="center"/>
        <w:rPr>
          <w:rFonts w:asciiTheme="minorHAnsi" w:hAnsiTheme="minorHAnsi" w:cstheme="majorHAnsi"/>
          <w:sz w:val="44"/>
          <w:szCs w:val="44"/>
        </w:rPr>
      </w:pPr>
      <w:bookmarkStart w:id="0" w:name="_Toc1998719911"/>
      <w:r w:rsidRPr="009B6E31">
        <w:rPr>
          <w:rFonts w:asciiTheme="minorHAnsi" w:hAnsiTheme="minorHAnsi" w:cstheme="majorHAnsi"/>
          <w:sz w:val="44"/>
          <w:szCs w:val="44"/>
        </w:rPr>
        <w:t>The Commonwealth of Massachusetts</w:t>
      </w:r>
      <w:r w:rsidRPr="009B6E31">
        <w:rPr>
          <w:rFonts w:asciiTheme="minorHAnsi" w:hAnsiTheme="minorHAnsi" w:cstheme="majorHAnsi"/>
          <w:sz w:val="44"/>
          <w:szCs w:val="44"/>
        </w:rPr>
        <w:br/>
        <w:t>Department of Environmental Protection</w:t>
      </w:r>
      <w:bookmarkEnd w:id="0"/>
    </w:p>
    <w:p w14:paraId="373E5CAB" w14:textId="1C233584" w:rsidR="4AF8AA4F" w:rsidRPr="009B6E31" w:rsidRDefault="4AF8AA4F" w:rsidP="03AC0F95">
      <w:pPr>
        <w:jc w:val="center"/>
        <w:rPr>
          <w:rFonts w:cs="Arial"/>
          <w:color w:val="000000" w:themeColor="text1"/>
        </w:rPr>
      </w:pPr>
      <w:r w:rsidRPr="009B6E31">
        <w:rPr>
          <w:rFonts w:cs="Arial"/>
          <w:b/>
          <w:bCs/>
          <w:color w:val="000000" w:themeColor="text1"/>
        </w:rPr>
        <w:t>Address:</w:t>
      </w:r>
      <w:r w:rsidRPr="009B6E31">
        <w:rPr>
          <w:rFonts w:cs="Arial"/>
          <w:color w:val="000000" w:themeColor="text1"/>
        </w:rPr>
        <w:t xml:space="preserve"> </w:t>
      </w:r>
      <w:r w:rsidR="024ACB04" w:rsidRPr="009B6E31">
        <w:rPr>
          <w:rFonts w:cs="Arial"/>
          <w:color w:val="000000" w:themeColor="text1"/>
        </w:rPr>
        <w:t>100 Cambridge Street, Suite 900, Boston, MA 02114</w:t>
      </w:r>
      <w:r w:rsidRPr="009B6E31">
        <w:rPr>
          <w:rFonts w:cs="Arial"/>
        </w:rPr>
        <w:br/>
      </w:r>
      <w:r w:rsidR="14A3BB51" w:rsidRPr="009B6E31">
        <w:rPr>
          <w:rFonts w:cs="Arial"/>
          <w:b/>
          <w:bCs/>
          <w:color w:val="000000" w:themeColor="text1"/>
        </w:rPr>
        <w:t>Phone:</w:t>
      </w:r>
      <w:r w:rsidR="14A3BB51" w:rsidRPr="009B6E31">
        <w:rPr>
          <w:rFonts w:cs="Arial"/>
          <w:color w:val="000000" w:themeColor="text1"/>
        </w:rPr>
        <w:t xml:space="preserve"> </w:t>
      </w:r>
      <w:r w:rsidR="024ACB04" w:rsidRPr="009B6E31">
        <w:rPr>
          <w:rFonts w:cs="Arial"/>
          <w:color w:val="000000" w:themeColor="text1"/>
        </w:rPr>
        <w:t>617-292-550</w:t>
      </w:r>
      <w:r w:rsidR="141FD209" w:rsidRPr="009B6E31">
        <w:rPr>
          <w:rFonts w:cs="Arial"/>
          <w:color w:val="000000" w:themeColor="text1"/>
        </w:rPr>
        <w:t>0</w:t>
      </w:r>
    </w:p>
    <w:p w14:paraId="69559D01" w14:textId="099EBD21" w:rsidR="05EA6A5C" w:rsidRPr="009B6E31" w:rsidRDefault="05EA6A5C" w:rsidP="05EA6A5C">
      <w:pPr>
        <w:jc w:val="center"/>
        <w:rPr>
          <w:rFonts w:eastAsia="Arial" w:cs="Arial"/>
          <w:color w:val="0D0D0D" w:themeColor="text1" w:themeTint="F2"/>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160"/>
        <w:gridCol w:w="2655"/>
        <w:gridCol w:w="2205"/>
        <w:gridCol w:w="2340"/>
      </w:tblGrid>
      <w:tr w:rsidR="05EA6A5C" w:rsidRPr="009B6E31" w14:paraId="6F3F6973" w14:textId="77777777" w:rsidTr="009854DF">
        <w:trPr>
          <w:trHeight w:val="300"/>
        </w:trPr>
        <w:tc>
          <w:tcPr>
            <w:tcW w:w="2160" w:type="dxa"/>
            <w:tcBorders>
              <w:bottom w:val="single" w:sz="18" w:space="0" w:color="00703C"/>
            </w:tcBorders>
          </w:tcPr>
          <w:p w14:paraId="03BFE46E" w14:textId="0BF78C4A" w:rsidR="002FD312" w:rsidRPr="009B6E31" w:rsidRDefault="002FD312" w:rsidP="05EA6A5C">
            <w:pPr>
              <w:pStyle w:val="Header"/>
              <w:jc w:val="center"/>
              <w:rPr>
                <w:rFonts w:cs="Arial"/>
                <w:color w:val="0D0D0D" w:themeColor="text1" w:themeTint="F2"/>
              </w:rPr>
            </w:pPr>
            <w:r w:rsidRPr="009B6E31">
              <w:rPr>
                <w:rFonts w:cs="Arial"/>
                <w:color w:val="0D0D0D" w:themeColor="text1" w:themeTint="F2"/>
              </w:rPr>
              <w:t>Maura T. Healey</w:t>
            </w:r>
          </w:p>
          <w:p w14:paraId="7CDB702F" w14:textId="4B0292B2" w:rsidR="002FD312" w:rsidRPr="009B6E31" w:rsidRDefault="002FD312" w:rsidP="05EA6A5C">
            <w:pPr>
              <w:pStyle w:val="Header"/>
              <w:jc w:val="center"/>
              <w:rPr>
                <w:rFonts w:cs="Arial"/>
                <w:b/>
                <w:bCs/>
                <w:color w:val="0D0D0D" w:themeColor="text1" w:themeTint="F2"/>
              </w:rPr>
            </w:pPr>
            <w:r w:rsidRPr="009B6E31">
              <w:rPr>
                <w:rFonts w:cs="Arial"/>
                <w:b/>
                <w:bCs/>
                <w:color w:val="0D0D0D" w:themeColor="text1" w:themeTint="F2"/>
              </w:rPr>
              <w:t>Governor</w:t>
            </w:r>
          </w:p>
        </w:tc>
        <w:tc>
          <w:tcPr>
            <w:tcW w:w="2655" w:type="dxa"/>
            <w:tcBorders>
              <w:bottom w:val="single" w:sz="18" w:space="0" w:color="00703C"/>
            </w:tcBorders>
          </w:tcPr>
          <w:p w14:paraId="04A78684" w14:textId="3FA86CA8" w:rsidR="002FD312" w:rsidRPr="009B6E31" w:rsidRDefault="002FD312" w:rsidP="05EA6A5C">
            <w:pPr>
              <w:pStyle w:val="Header"/>
              <w:jc w:val="center"/>
              <w:rPr>
                <w:rFonts w:cs="Arial"/>
                <w:color w:val="0D0D0D" w:themeColor="text1" w:themeTint="F2"/>
              </w:rPr>
            </w:pPr>
            <w:r w:rsidRPr="009B6E31">
              <w:rPr>
                <w:rFonts w:cs="Arial"/>
                <w:color w:val="0D0D0D" w:themeColor="text1" w:themeTint="F2"/>
              </w:rPr>
              <w:t>Kim Driscoll</w:t>
            </w:r>
          </w:p>
          <w:p w14:paraId="00EF7910" w14:textId="18AE823D" w:rsidR="002FD312" w:rsidRPr="009B6E31" w:rsidRDefault="002FD312" w:rsidP="05EA6A5C">
            <w:pPr>
              <w:pStyle w:val="Header"/>
              <w:jc w:val="center"/>
              <w:rPr>
                <w:rFonts w:cs="Arial"/>
                <w:b/>
                <w:bCs/>
                <w:color w:val="0D0D0D" w:themeColor="text1" w:themeTint="F2"/>
              </w:rPr>
            </w:pPr>
            <w:r w:rsidRPr="009B6E31">
              <w:rPr>
                <w:rFonts w:cs="Arial"/>
                <w:b/>
                <w:bCs/>
                <w:color w:val="0D0D0D" w:themeColor="text1" w:themeTint="F2"/>
              </w:rPr>
              <w:t>Lieutenant Governor</w:t>
            </w:r>
          </w:p>
          <w:p w14:paraId="3D071565" w14:textId="2A7728C1" w:rsidR="05EA6A5C" w:rsidRPr="009B6E31" w:rsidRDefault="05EA6A5C" w:rsidP="05EA6A5C">
            <w:pPr>
              <w:jc w:val="center"/>
              <w:rPr>
                <w:rFonts w:cs="Arial"/>
                <w:color w:val="0D0D0D" w:themeColor="text1" w:themeTint="F2"/>
              </w:rPr>
            </w:pPr>
          </w:p>
        </w:tc>
        <w:tc>
          <w:tcPr>
            <w:tcW w:w="2205" w:type="dxa"/>
            <w:tcBorders>
              <w:bottom w:val="single" w:sz="18" w:space="0" w:color="00703C"/>
            </w:tcBorders>
          </w:tcPr>
          <w:p w14:paraId="5E6C0887" w14:textId="093E3A95" w:rsidR="002FD312" w:rsidRPr="009B6E31" w:rsidRDefault="002FD312" w:rsidP="05EA6A5C">
            <w:pPr>
              <w:pStyle w:val="Header"/>
              <w:jc w:val="center"/>
              <w:rPr>
                <w:rFonts w:cs="Arial"/>
                <w:color w:val="0D0D0D" w:themeColor="text1" w:themeTint="F2"/>
              </w:rPr>
            </w:pPr>
            <w:r w:rsidRPr="009B6E31">
              <w:rPr>
                <w:rFonts w:cs="Arial"/>
                <w:color w:val="0D0D0D" w:themeColor="text1" w:themeTint="F2"/>
              </w:rPr>
              <w:t xml:space="preserve">Rebecca Tepper </w:t>
            </w:r>
          </w:p>
          <w:p w14:paraId="3F14748C" w14:textId="43949BDA" w:rsidR="002FD312" w:rsidRPr="009B6E31" w:rsidRDefault="002FD312" w:rsidP="05EA6A5C">
            <w:pPr>
              <w:pStyle w:val="Header"/>
              <w:jc w:val="center"/>
              <w:rPr>
                <w:rFonts w:cs="Arial"/>
                <w:b/>
                <w:bCs/>
                <w:color w:val="0D0D0D" w:themeColor="text1" w:themeTint="F2"/>
              </w:rPr>
            </w:pPr>
            <w:r w:rsidRPr="009B6E31">
              <w:rPr>
                <w:rFonts w:cs="Arial"/>
                <w:b/>
                <w:bCs/>
                <w:color w:val="0D0D0D" w:themeColor="text1" w:themeTint="F2"/>
              </w:rPr>
              <w:t>Secretary</w:t>
            </w:r>
          </w:p>
          <w:p w14:paraId="275D698A" w14:textId="39AB440B" w:rsidR="05EA6A5C" w:rsidRPr="009B6E31" w:rsidRDefault="05EA6A5C" w:rsidP="05EA6A5C">
            <w:pPr>
              <w:jc w:val="center"/>
              <w:rPr>
                <w:rFonts w:cs="Arial"/>
                <w:color w:val="0D0D0D" w:themeColor="text1" w:themeTint="F2"/>
              </w:rPr>
            </w:pPr>
          </w:p>
        </w:tc>
        <w:tc>
          <w:tcPr>
            <w:tcW w:w="2340" w:type="dxa"/>
            <w:tcBorders>
              <w:bottom w:val="single" w:sz="18" w:space="0" w:color="00703C"/>
            </w:tcBorders>
          </w:tcPr>
          <w:p w14:paraId="09C0F61F" w14:textId="72E172E9" w:rsidR="002FD312" w:rsidRPr="009B6E31" w:rsidRDefault="002FD312" w:rsidP="05EA6A5C">
            <w:pPr>
              <w:pStyle w:val="Header"/>
              <w:jc w:val="center"/>
              <w:rPr>
                <w:rFonts w:cs="Arial"/>
                <w:color w:val="0D0D0D" w:themeColor="text1" w:themeTint="F2"/>
              </w:rPr>
            </w:pPr>
            <w:r w:rsidRPr="009B6E31">
              <w:rPr>
                <w:rFonts w:cs="Arial"/>
                <w:color w:val="0D0D0D" w:themeColor="text1" w:themeTint="F2"/>
              </w:rPr>
              <w:t>Bonnie Heiple</w:t>
            </w:r>
          </w:p>
          <w:p w14:paraId="10681DE6" w14:textId="438305D2" w:rsidR="002FD312" w:rsidRPr="009B6E31" w:rsidRDefault="002FD312" w:rsidP="05EA6A5C">
            <w:pPr>
              <w:pStyle w:val="Header"/>
              <w:jc w:val="center"/>
              <w:rPr>
                <w:rFonts w:cs="Arial"/>
                <w:b/>
                <w:bCs/>
                <w:color w:val="0D0D0D" w:themeColor="text1" w:themeTint="F2"/>
              </w:rPr>
            </w:pPr>
            <w:r w:rsidRPr="009B6E31">
              <w:rPr>
                <w:rFonts w:cs="Arial"/>
                <w:b/>
                <w:bCs/>
                <w:color w:val="0D0D0D" w:themeColor="text1" w:themeTint="F2"/>
              </w:rPr>
              <w:t>Commissioner</w:t>
            </w:r>
          </w:p>
          <w:p w14:paraId="0275E4C1" w14:textId="4A4ED559" w:rsidR="05EA6A5C" w:rsidRPr="009B6E31" w:rsidRDefault="05EA6A5C" w:rsidP="05EA6A5C">
            <w:pPr>
              <w:jc w:val="center"/>
              <w:rPr>
                <w:rFonts w:cs="Arial"/>
                <w:color w:val="0D0D0D" w:themeColor="text1" w:themeTint="F2"/>
              </w:rPr>
            </w:pPr>
          </w:p>
        </w:tc>
      </w:tr>
      <w:tr w:rsidR="009B6E31" w:rsidRPr="009B6E31" w14:paraId="067ADA61" w14:textId="77777777" w:rsidTr="009854DF">
        <w:trPr>
          <w:trHeight w:val="300"/>
        </w:trPr>
        <w:tc>
          <w:tcPr>
            <w:tcW w:w="2160" w:type="dxa"/>
            <w:tcBorders>
              <w:top w:val="single" w:sz="18" w:space="0" w:color="00703C"/>
              <w:left w:val="nil"/>
              <w:bottom w:val="nil"/>
              <w:right w:val="nil"/>
            </w:tcBorders>
          </w:tcPr>
          <w:p w14:paraId="2F52D827" w14:textId="77777777" w:rsidR="009B6E31" w:rsidRPr="009B6E31" w:rsidRDefault="009B6E31" w:rsidP="05EA6A5C">
            <w:pPr>
              <w:pStyle w:val="Header"/>
              <w:jc w:val="center"/>
              <w:rPr>
                <w:rFonts w:cs="Arial"/>
                <w:color w:val="0D0D0D" w:themeColor="text1" w:themeTint="F2"/>
              </w:rPr>
            </w:pPr>
          </w:p>
        </w:tc>
        <w:tc>
          <w:tcPr>
            <w:tcW w:w="2655" w:type="dxa"/>
            <w:tcBorders>
              <w:top w:val="single" w:sz="18" w:space="0" w:color="00703C"/>
              <w:left w:val="nil"/>
              <w:bottom w:val="nil"/>
              <w:right w:val="nil"/>
            </w:tcBorders>
          </w:tcPr>
          <w:p w14:paraId="183B22E4" w14:textId="77777777" w:rsidR="009B6E31" w:rsidRPr="009B6E31" w:rsidRDefault="009B6E31" w:rsidP="05EA6A5C">
            <w:pPr>
              <w:pStyle w:val="Header"/>
              <w:jc w:val="center"/>
              <w:rPr>
                <w:rFonts w:cs="Arial"/>
                <w:color w:val="0D0D0D" w:themeColor="text1" w:themeTint="F2"/>
              </w:rPr>
            </w:pPr>
          </w:p>
        </w:tc>
        <w:tc>
          <w:tcPr>
            <w:tcW w:w="2205" w:type="dxa"/>
            <w:tcBorders>
              <w:top w:val="single" w:sz="18" w:space="0" w:color="00703C"/>
              <w:left w:val="nil"/>
              <w:bottom w:val="nil"/>
              <w:right w:val="nil"/>
            </w:tcBorders>
          </w:tcPr>
          <w:p w14:paraId="2FB64CB0" w14:textId="77777777" w:rsidR="009B6E31" w:rsidRPr="009B6E31" w:rsidRDefault="009B6E31" w:rsidP="05EA6A5C">
            <w:pPr>
              <w:pStyle w:val="Header"/>
              <w:jc w:val="center"/>
              <w:rPr>
                <w:rFonts w:cs="Arial"/>
                <w:color w:val="0D0D0D" w:themeColor="text1" w:themeTint="F2"/>
              </w:rPr>
            </w:pPr>
          </w:p>
        </w:tc>
        <w:tc>
          <w:tcPr>
            <w:tcW w:w="2340" w:type="dxa"/>
            <w:tcBorders>
              <w:top w:val="single" w:sz="18" w:space="0" w:color="00703C"/>
              <w:left w:val="nil"/>
              <w:bottom w:val="nil"/>
              <w:right w:val="nil"/>
            </w:tcBorders>
          </w:tcPr>
          <w:p w14:paraId="7FA8B6D4" w14:textId="77777777" w:rsidR="009B6E31" w:rsidRPr="009B6E31" w:rsidRDefault="009B6E31" w:rsidP="05EA6A5C">
            <w:pPr>
              <w:pStyle w:val="Header"/>
              <w:jc w:val="center"/>
              <w:rPr>
                <w:rFonts w:cs="Arial"/>
                <w:color w:val="0D0D0D" w:themeColor="text1" w:themeTint="F2"/>
              </w:rPr>
            </w:pPr>
          </w:p>
        </w:tc>
      </w:tr>
    </w:tbl>
    <w:p w14:paraId="1BCC9AD3" w14:textId="77777777" w:rsidR="00A12A51" w:rsidRPr="009B6E31" w:rsidRDefault="00A12A51" w:rsidP="00B12884">
      <w:pPr>
        <w:pStyle w:val="Title"/>
        <w:jc w:val="center"/>
      </w:pPr>
      <w:r w:rsidRPr="009B6E31">
        <w:t>MassDEP’s Official Answers to Questions</w:t>
      </w:r>
    </w:p>
    <w:p w14:paraId="135C40C2" w14:textId="543C6496" w:rsidR="00A12A51" w:rsidRPr="009B6E31" w:rsidRDefault="00A12A51" w:rsidP="00B12884">
      <w:pPr>
        <w:pStyle w:val="Title"/>
        <w:jc w:val="center"/>
      </w:pPr>
      <w:r w:rsidRPr="009B6E31">
        <w:t>Regarding the Natural Resource Nitrogen Sensitive Area</w:t>
      </w:r>
    </w:p>
    <w:p w14:paraId="552D1D7B" w14:textId="2BEBA15D" w:rsidR="00A12A51" w:rsidRPr="009B6E31" w:rsidRDefault="00A12A51" w:rsidP="00B12884">
      <w:pPr>
        <w:pStyle w:val="Title"/>
        <w:jc w:val="center"/>
      </w:pPr>
      <w:r w:rsidRPr="009B6E31">
        <w:t>2025-2026 Grant Program</w:t>
      </w:r>
    </w:p>
    <w:p w14:paraId="3ED0CAB4" w14:textId="77777777" w:rsidR="00A12A51" w:rsidRPr="009854DF" w:rsidRDefault="00A12A51" w:rsidP="009854DF">
      <w:pPr>
        <w:pStyle w:val="Subtitle"/>
        <w:jc w:val="center"/>
        <w:rPr>
          <w:rFonts w:eastAsia="Calibri"/>
          <w:color w:val="auto"/>
          <w:sz w:val="24"/>
          <w:szCs w:val="24"/>
        </w:rPr>
      </w:pPr>
      <w:r w:rsidRPr="009854DF">
        <w:rPr>
          <w:rFonts w:eastAsia="Calibri"/>
          <w:color w:val="auto"/>
          <w:sz w:val="24"/>
          <w:szCs w:val="24"/>
        </w:rPr>
        <w:t>Posted on October 6, 2025</w:t>
      </w:r>
    </w:p>
    <w:p w14:paraId="106B590A" w14:textId="244C6EC4" w:rsidR="00A12A51" w:rsidRPr="009B6E31" w:rsidRDefault="00A12A51" w:rsidP="00A12A51">
      <w:pPr>
        <w:contextualSpacing/>
        <w:rPr>
          <w:rFonts w:eastAsia="Calibri" w:cs="Calibri"/>
          <w:color w:val="000000" w:themeColor="text1"/>
        </w:rPr>
      </w:pPr>
      <w:r w:rsidRPr="009B6E31">
        <w:rPr>
          <w:rFonts w:eastAsia="Calibri" w:cs="Calibri"/>
          <w:color w:val="000000" w:themeColor="text1"/>
        </w:rPr>
        <w:t xml:space="preserve">On September 12, 2025, the Massachusetts Department of Environmental Protection (MassDEP) announced the 2025-2026 Opportunity for the Natural Resource Nitrogen Sensitive Area (NRNSA) Grant Program (Grant Program).  On September 18, 2025, at 1 p.m., MassDEP held a virtual Pre-Application Meeting. A </w:t>
      </w:r>
      <w:hyperlink r:id="rId9" w:anchor="natural-resource-nitrogen-sensitive-area-grant-program" w:history="1">
        <w:r w:rsidRPr="009B6E31">
          <w:rPr>
            <w:rStyle w:val="Hyperlink"/>
            <w:rFonts w:eastAsia="Calibri" w:cs="Calibri"/>
          </w:rPr>
          <w:t>recording of the video</w:t>
        </w:r>
      </w:hyperlink>
      <w:r w:rsidRPr="009B6E31">
        <w:rPr>
          <w:rFonts w:eastAsia="Calibri" w:cs="Calibri"/>
          <w:color w:val="000000" w:themeColor="text1"/>
        </w:rPr>
        <w:t xml:space="preserve"> is available on our website</w:t>
      </w:r>
      <w:r w:rsidRPr="009B6E31">
        <w:rPr>
          <w:rFonts w:eastAsia="Calibri" w:cs="Calibri"/>
        </w:rPr>
        <w:t xml:space="preserve">. Written </w:t>
      </w:r>
      <w:r w:rsidRPr="009B6E31">
        <w:rPr>
          <w:rFonts w:eastAsia="Calibri" w:cs="Calibri"/>
          <w:color w:val="000000" w:themeColor="text1"/>
        </w:rPr>
        <w:t xml:space="preserve">questions from potential applicants were accepted through September 19, 2025. Written and verbal questions received, and their answers are summarized in accordance with Section 3 of the Grant Program’s Request for Responses, the Estimated Calendar for Grant Application/Award. </w:t>
      </w:r>
    </w:p>
    <w:p w14:paraId="014380EB" w14:textId="77777777" w:rsidR="00A12A51" w:rsidRPr="009B6E31" w:rsidRDefault="00A12A51" w:rsidP="00A12A51">
      <w:pPr>
        <w:contextualSpacing/>
        <w:rPr>
          <w:rFonts w:eastAsia="Calibri" w:cs="Calibri"/>
          <w:color w:val="000000" w:themeColor="text1"/>
        </w:rPr>
      </w:pPr>
    </w:p>
    <w:p w14:paraId="15B57843" w14:textId="77777777" w:rsidR="00A12A51" w:rsidRPr="009B6E31" w:rsidRDefault="00A12A51" w:rsidP="00A12A51">
      <w:pPr>
        <w:contextualSpacing/>
        <w:rPr>
          <w:rFonts w:eastAsia="Calibri" w:cs="Calibri"/>
          <w:color w:val="000000" w:themeColor="text1"/>
        </w:rPr>
      </w:pPr>
      <w:r w:rsidRPr="009B6E31">
        <w:rPr>
          <w:rFonts w:eastAsia="Calibri" w:cs="Calibri"/>
          <w:color w:val="000000" w:themeColor="text1"/>
        </w:rPr>
        <w:t xml:space="preserve">Below are MassDEP’s official Answers to all questions received by the September 19, 2025, deadline.  All questions are formatted in </w:t>
      </w:r>
      <w:r w:rsidRPr="009B6E31">
        <w:rPr>
          <w:rFonts w:eastAsia="Calibri" w:cs="Calibri"/>
          <w:b/>
          <w:bCs/>
          <w:color w:val="000000" w:themeColor="text1"/>
        </w:rPr>
        <w:t xml:space="preserve">bold font </w:t>
      </w:r>
      <w:r w:rsidRPr="009B6E31">
        <w:rPr>
          <w:rFonts w:eastAsia="Calibri" w:cs="Calibri"/>
          <w:color w:val="000000" w:themeColor="text1"/>
        </w:rPr>
        <w:t xml:space="preserve">and answers are posted below questions in normal </w:t>
      </w:r>
      <w:r w:rsidRPr="009B6E31">
        <w:rPr>
          <w:rFonts w:eastAsia="Calibri" w:cs="Calibri"/>
          <w:i/>
          <w:iCs/>
          <w:color w:val="000000" w:themeColor="text1"/>
        </w:rPr>
        <w:t xml:space="preserve">italicized </w:t>
      </w:r>
      <w:r w:rsidRPr="009B6E31">
        <w:rPr>
          <w:rFonts w:eastAsia="Calibri" w:cs="Calibri"/>
          <w:color w:val="000000" w:themeColor="text1"/>
        </w:rPr>
        <w:t>font.</w:t>
      </w:r>
    </w:p>
    <w:p w14:paraId="6DD3615A" w14:textId="77777777" w:rsidR="00A12A51" w:rsidRPr="009B6E31" w:rsidRDefault="00A12A51" w:rsidP="009B6E31">
      <w:pPr>
        <w:pStyle w:val="Heading1"/>
        <w:widowControl w:val="0"/>
        <w:rPr>
          <w:rFonts w:asciiTheme="minorHAnsi" w:eastAsia="Calibri" w:hAnsiTheme="minorHAnsi" w:cs="Calibri"/>
        </w:rPr>
      </w:pPr>
      <w:r w:rsidRPr="009B6E31">
        <w:rPr>
          <w:rFonts w:asciiTheme="minorHAnsi" w:hAnsiTheme="minorHAnsi"/>
        </w:rPr>
        <w:lastRenderedPageBreak/>
        <w:t>Eligible Projects</w:t>
      </w:r>
    </w:p>
    <w:p w14:paraId="614ABC2E" w14:textId="77777777" w:rsidR="00A12A51" w:rsidRPr="009B6E31" w:rsidRDefault="00A12A51" w:rsidP="00CD5E5B">
      <w:pPr>
        <w:pStyle w:val="Heading2"/>
        <w:widowControl w:val="0"/>
        <w:spacing w:line="278" w:lineRule="auto"/>
        <w:rPr>
          <w:rFonts w:asciiTheme="minorHAnsi" w:hAnsiTheme="minorHAnsi"/>
        </w:rPr>
      </w:pPr>
      <w:r w:rsidRPr="009B6E31">
        <w:rPr>
          <w:rFonts w:asciiTheme="minorHAnsi" w:hAnsiTheme="minorHAnsi"/>
        </w:rPr>
        <w:t>Question 1 (Q1): Is the development of the actual application for a Watershed Permit a fundable activity under this grant opportunity?</w:t>
      </w:r>
    </w:p>
    <w:p w14:paraId="0B222A53" w14:textId="77777777" w:rsidR="00A12A51" w:rsidRPr="009B6E31" w:rsidRDefault="00A12A51" w:rsidP="00A12A51">
      <w:pPr>
        <w:spacing w:before="240"/>
        <w:ind w:left="720"/>
        <w:rPr>
          <w:rStyle w:val="AnswersChar"/>
        </w:rPr>
      </w:pPr>
      <w:r w:rsidRPr="009B6E31">
        <w:rPr>
          <w:rStyle w:val="AnswersChar"/>
        </w:rPr>
        <w:t>Answer 1 (A1): Yes, the preparation of the permit application is eligible for funding. As identified in Section E. “Eligible Projects” of the Request for Responses (RFR),  eligible projects will assist Local Government Units in completing Watershed Management Plans for the purpose of applying for a Watershed Permit, including planning activities that contribute to, or come from, a Watershed Management Plan (WMP), a Comprehensive Wastewater Management Plan (CWMP), a Comprehensive Water Resource Management Plan (CWRMP), a Targeted Watershed Plan (TWMP), Watershed Permit application or De Minimis Load application (as defined in 314 CMR 21.00) will be considered for funding.</w:t>
      </w:r>
    </w:p>
    <w:p w14:paraId="38BE5E10" w14:textId="77777777" w:rsidR="00A12A51" w:rsidRPr="009B6E31" w:rsidRDefault="00A12A51" w:rsidP="00A12A51">
      <w:pPr>
        <w:pStyle w:val="Heading2"/>
        <w:rPr>
          <w:rFonts w:asciiTheme="minorHAnsi" w:hAnsiTheme="minorHAnsi"/>
        </w:rPr>
      </w:pPr>
      <w:r w:rsidRPr="009B6E31">
        <w:rPr>
          <w:rFonts w:asciiTheme="minorHAnsi" w:hAnsiTheme="minorHAnsi"/>
        </w:rPr>
        <w:t>Q2: Is the work to complete an update to an existing Watershed Permit a fundable activity under this grant opportunity?</w:t>
      </w:r>
    </w:p>
    <w:p w14:paraId="7A2B5038" w14:textId="77777777" w:rsidR="00A12A51" w:rsidRPr="009B6E31" w:rsidRDefault="00A12A51" w:rsidP="00A12A51">
      <w:pPr>
        <w:pStyle w:val="Answers"/>
      </w:pPr>
      <w:r w:rsidRPr="009B6E31">
        <w:t>A2: Yes. Worked performed for an application to update an existing Watershed Permit is an activity eligible for funding under this grant opportunity because it is a planning activity that contributes to, or comes from, a WAMP, CWMP, CWRMP, TWMP, Watershed Permit application or De Minimis Load application (as defined in 314 CMR 21.00). See RFR, Section 1.E.</w:t>
      </w:r>
    </w:p>
    <w:p w14:paraId="6AB16E53" w14:textId="77777777" w:rsidR="00A12A51" w:rsidRPr="009B6E31" w:rsidRDefault="00A12A51" w:rsidP="00A12A51">
      <w:pPr>
        <w:pStyle w:val="Heading2"/>
        <w:rPr>
          <w:rFonts w:asciiTheme="minorHAnsi" w:hAnsiTheme="minorHAnsi"/>
        </w:rPr>
      </w:pPr>
      <w:r w:rsidRPr="009B6E31">
        <w:rPr>
          <w:rFonts w:asciiTheme="minorHAnsi" w:hAnsiTheme="minorHAnsi"/>
        </w:rPr>
        <w:t xml:space="preserve">Q3: If groundwater monitoring is required as a watershed permit condition, would the sampling and analysis costs for that be eligible for funding under this grant opportunity? </w:t>
      </w:r>
    </w:p>
    <w:p w14:paraId="33E25B44" w14:textId="77777777" w:rsidR="00A12A51" w:rsidRPr="009B6E31" w:rsidRDefault="00A12A51" w:rsidP="00A12A51">
      <w:pPr>
        <w:pStyle w:val="Answers"/>
      </w:pPr>
      <w:r w:rsidRPr="009B6E31">
        <w:t xml:space="preserve">A3: Yes. Pursuant to Section 1.E. “Eligible Projects” of the RFR, sampling and analysis costs connected to a watershed permit may be eligible costs if they are planning activities that “contribute to, or come from, a Watershed Management Plan (WMP), a Comprehensive Wastewater Management Plan (CWMP), a Comprehensive Water Resource Management Plan (CWRMP), a Targeted Watershed Plan (TWMP), Watershed Permit application or De Minimis Load application (as defined in 314 CMR 21.00).”  </w:t>
      </w:r>
    </w:p>
    <w:p w14:paraId="0DD415E0" w14:textId="77777777" w:rsidR="00A12A51" w:rsidRPr="009B6E31" w:rsidRDefault="00A12A51" w:rsidP="00A12A51">
      <w:pPr>
        <w:pStyle w:val="Heading2"/>
        <w:rPr>
          <w:rFonts w:asciiTheme="minorHAnsi" w:eastAsia="Calibri" w:hAnsiTheme="minorHAnsi" w:cs="Calibri"/>
        </w:rPr>
      </w:pPr>
      <w:r w:rsidRPr="009B6E31">
        <w:rPr>
          <w:rFonts w:asciiTheme="minorHAnsi" w:hAnsiTheme="minorHAnsi"/>
        </w:rPr>
        <w:lastRenderedPageBreak/>
        <w:t>Q4: Can you give us some examples of other planning activities?</w:t>
      </w:r>
    </w:p>
    <w:p w14:paraId="1C57E182" w14:textId="77777777" w:rsidR="00A12A51" w:rsidRPr="009B6E31" w:rsidRDefault="00A12A51" w:rsidP="00A12A51">
      <w:pPr>
        <w:spacing w:before="240"/>
        <w:ind w:left="720"/>
        <w:contextualSpacing/>
        <w:rPr>
          <w:rFonts w:eastAsia="Calibri" w:cs="Calibri"/>
          <w:i/>
          <w:iCs/>
          <w:color w:val="000000" w:themeColor="text1"/>
        </w:rPr>
      </w:pPr>
      <w:r w:rsidRPr="009B6E31">
        <w:rPr>
          <w:rFonts w:eastAsia="Calibri" w:cs="Calibri"/>
          <w:i/>
          <w:iCs/>
          <w:color w:val="000000" w:themeColor="text1"/>
        </w:rPr>
        <w:t xml:space="preserve">A4: Only planning activities that contribute to, or come from, a Watershed Management Plan (WMP), a Comprehensive Wastewater Management Plan (CWMP), a Comprehensive Water Resource Management Plan (CWRMP), a Targeted Watershed Plan (TWMP), Watershed Permit application or De Minimis Load application (as defined in 314 CMR 21.00) will be considered for funding. Examples of Eligible Projects include, but are not limited to: </w:t>
      </w:r>
    </w:p>
    <w:p w14:paraId="7272F55E" w14:textId="77777777" w:rsidR="00A12A51" w:rsidRPr="009B6E31" w:rsidRDefault="00A12A51" w:rsidP="00A12A51">
      <w:pPr>
        <w:pStyle w:val="ListParagraph"/>
        <w:numPr>
          <w:ilvl w:val="1"/>
          <w:numId w:val="2"/>
        </w:numPr>
        <w:spacing w:before="240" w:line="240" w:lineRule="auto"/>
        <w:rPr>
          <w:rFonts w:eastAsia="Calibri" w:cs="Calibri"/>
          <w:i/>
          <w:iCs/>
          <w:color w:val="000000" w:themeColor="text1"/>
        </w:rPr>
      </w:pPr>
      <w:r w:rsidRPr="009B6E31">
        <w:rPr>
          <w:rFonts w:eastAsia="Calibri" w:cs="Calibri"/>
          <w:i/>
          <w:iCs/>
          <w:color w:val="000000" w:themeColor="text1"/>
        </w:rPr>
        <w:t xml:space="preserve">Planning activities necessary to complete a watershed permit application as explained by 314 CMR 21.03(2) or De Minimis Load Exemption application as explained by 314 CMR 21.12. This includes, but is not limited to: </w:t>
      </w:r>
    </w:p>
    <w:p w14:paraId="3F3BF961" w14:textId="77777777" w:rsidR="00A12A51" w:rsidRPr="009B6E31" w:rsidRDefault="00A12A51" w:rsidP="00A12A51">
      <w:pPr>
        <w:pStyle w:val="ListParagraph"/>
        <w:numPr>
          <w:ilvl w:val="2"/>
          <w:numId w:val="2"/>
        </w:numPr>
        <w:spacing w:before="240" w:line="240" w:lineRule="auto"/>
        <w:rPr>
          <w:rFonts w:eastAsia="Calibri" w:cs="Calibri"/>
          <w:i/>
          <w:iCs/>
          <w:color w:val="000000" w:themeColor="text1"/>
        </w:rPr>
      </w:pPr>
      <w:r w:rsidRPr="009B6E31">
        <w:rPr>
          <w:rFonts w:eastAsia="Calibri" w:cs="Calibri"/>
          <w:i/>
          <w:iCs/>
          <w:color w:val="000000" w:themeColor="text1"/>
        </w:rPr>
        <w:t xml:space="preserve">Completing a Watershed Management Plan, CWMP, TWMP, or Scientific </w:t>
      </w:r>
      <w:proofErr w:type="gramStart"/>
      <w:r w:rsidRPr="009B6E31">
        <w:rPr>
          <w:rFonts w:eastAsia="Calibri" w:cs="Calibri"/>
          <w:i/>
          <w:iCs/>
          <w:color w:val="000000" w:themeColor="text1"/>
        </w:rPr>
        <w:t>Evaluation;</w:t>
      </w:r>
      <w:proofErr w:type="gramEnd"/>
      <w:r w:rsidRPr="009B6E31">
        <w:rPr>
          <w:rFonts w:eastAsia="Calibri" w:cs="Calibri"/>
          <w:i/>
          <w:iCs/>
          <w:color w:val="000000" w:themeColor="text1"/>
        </w:rPr>
        <w:t xml:space="preserve"> </w:t>
      </w:r>
    </w:p>
    <w:p w14:paraId="7ADADD2B" w14:textId="77777777" w:rsidR="00A12A51" w:rsidRPr="009B6E31" w:rsidRDefault="00A12A51" w:rsidP="00A12A51">
      <w:pPr>
        <w:pStyle w:val="ListParagraph"/>
        <w:numPr>
          <w:ilvl w:val="2"/>
          <w:numId w:val="2"/>
        </w:numPr>
        <w:spacing w:before="240" w:line="240" w:lineRule="auto"/>
        <w:rPr>
          <w:rFonts w:eastAsia="Calibri" w:cs="Calibri"/>
          <w:i/>
          <w:iCs/>
          <w:color w:val="000000" w:themeColor="text1"/>
        </w:rPr>
      </w:pPr>
      <w:r w:rsidRPr="009B6E31">
        <w:rPr>
          <w:rFonts w:eastAsia="Calibri" w:cs="Calibri"/>
          <w:i/>
          <w:iCs/>
          <w:color w:val="000000" w:themeColor="text1"/>
        </w:rPr>
        <w:t xml:space="preserve">Assessment of nitrogen loads; or </w:t>
      </w:r>
    </w:p>
    <w:p w14:paraId="3963C025" w14:textId="77777777" w:rsidR="00A12A51" w:rsidRPr="009B6E31" w:rsidRDefault="00A12A51" w:rsidP="00A12A51">
      <w:pPr>
        <w:pStyle w:val="ListParagraph"/>
        <w:numPr>
          <w:ilvl w:val="2"/>
          <w:numId w:val="2"/>
        </w:numPr>
        <w:spacing w:before="240" w:line="240" w:lineRule="auto"/>
        <w:rPr>
          <w:rFonts w:eastAsia="Calibri" w:cs="Calibri"/>
          <w:i/>
          <w:iCs/>
          <w:color w:val="000000" w:themeColor="text1"/>
        </w:rPr>
      </w:pPr>
      <w:r w:rsidRPr="009B6E31">
        <w:rPr>
          <w:rFonts w:eastAsia="Calibri" w:cs="Calibri"/>
          <w:i/>
          <w:iCs/>
          <w:color w:val="000000" w:themeColor="text1"/>
        </w:rPr>
        <w:t xml:space="preserve">Modeling of nitrogen reduction scenarios. </w:t>
      </w:r>
    </w:p>
    <w:p w14:paraId="42CF194B" w14:textId="77777777" w:rsidR="00A12A51" w:rsidRPr="009B6E31" w:rsidRDefault="00A12A51" w:rsidP="00A12A51">
      <w:pPr>
        <w:pStyle w:val="ListParagraph"/>
        <w:numPr>
          <w:ilvl w:val="1"/>
          <w:numId w:val="2"/>
        </w:numPr>
        <w:spacing w:before="240" w:line="240" w:lineRule="auto"/>
        <w:rPr>
          <w:rFonts w:eastAsia="Calibri" w:cs="Calibri"/>
          <w:i/>
          <w:iCs/>
          <w:color w:val="000000" w:themeColor="text1"/>
        </w:rPr>
      </w:pPr>
      <w:r w:rsidRPr="009B6E31">
        <w:rPr>
          <w:rFonts w:eastAsia="Calibri" w:cs="Calibri"/>
          <w:i/>
          <w:iCs/>
          <w:color w:val="000000" w:themeColor="text1"/>
        </w:rPr>
        <w:t xml:space="preserve">Planning activities required by approved watershed permit. This may include, but is not limited to: </w:t>
      </w:r>
    </w:p>
    <w:p w14:paraId="1E0A2186" w14:textId="77777777" w:rsidR="00A12A51" w:rsidRPr="009B6E31" w:rsidRDefault="00A12A51" w:rsidP="00A12A51">
      <w:pPr>
        <w:pStyle w:val="ListParagraph"/>
        <w:numPr>
          <w:ilvl w:val="2"/>
          <w:numId w:val="2"/>
        </w:numPr>
        <w:spacing w:before="240" w:line="240" w:lineRule="auto"/>
        <w:rPr>
          <w:rFonts w:eastAsia="Calibri" w:cs="Calibri"/>
          <w:i/>
          <w:iCs/>
          <w:color w:val="000000" w:themeColor="text1"/>
        </w:rPr>
      </w:pPr>
      <w:r w:rsidRPr="009B6E31">
        <w:rPr>
          <w:rFonts w:eastAsia="Calibri" w:cs="Calibri"/>
          <w:i/>
          <w:iCs/>
          <w:color w:val="000000" w:themeColor="text1"/>
        </w:rPr>
        <w:t xml:space="preserve">Data analysis of ambient water quality monitoring results; or </w:t>
      </w:r>
    </w:p>
    <w:p w14:paraId="05B4CBE7" w14:textId="77777777" w:rsidR="00A12A51" w:rsidRPr="009B6E31" w:rsidRDefault="00A12A51" w:rsidP="00A12A51">
      <w:pPr>
        <w:pStyle w:val="ListParagraph"/>
        <w:numPr>
          <w:ilvl w:val="2"/>
          <w:numId w:val="2"/>
        </w:numPr>
        <w:spacing w:before="240" w:line="240" w:lineRule="auto"/>
        <w:rPr>
          <w:rFonts w:eastAsia="Calibri" w:cs="Calibri"/>
          <w:i/>
          <w:iCs/>
          <w:color w:val="000000" w:themeColor="text1"/>
        </w:rPr>
      </w:pPr>
      <w:r w:rsidRPr="009B6E31">
        <w:rPr>
          <w:rFonts w:eastAsia="Calibri" w:cs="Calibri"/>
          <w:i/>
          <w:iCs/>
          <w:color w:val="000000" w:themeColor="text1"/>
        </w:rPr>
        <w:t xml:space="preserve">Permeable reactive barrier design. </w:t>
      </w:r>
    </w:p>
    <w:p w14:paraId="03FF1591" w14:textId="77777777" w:rsidR="00A12A51" w:rsidRPr="009B6E31" w:rsidRDefault="00A12A51" w:rsidP="00A12A51">
      <w:pPr>
        <w:pStyle w:val="ListParagraph"/>
        <w:numPr>
          <w:ilvl w:val="2"/>
          <w:numId w:val="2"/>
        </w:numPr>
        <w:spacing w:before="240" w:line="240" w:lineRule="auto"/>
        <w:rPr>
          <w:rFonts w:eastAsia="Calibri" w:cs="Calibri"/>
          <w:i/>
          <w:iCs/>
          <w:color w:val="000000" w:themeColor="text1"/>
        </w:rPr>
      </w:pPr>
      <w:r w:rsidRPr="009B6E31">
        <w:rPr>
          <w:rFonts w:eastAsia="Calibri" w:cs="Calibri"/>
          <w:i/>
          <w:iCs/>
          <w:color w:val="000000" w:themeColor="text1"/>
        </w:rPr>
        <w:t xml:space="preserve">Review of ambient water quality monitoring, modeling, and/or other measures for the purpose of demonstrating de minimis load within a watershed or sub-watershed. </w:t>
      </w:r>
    </w:p>
    <w:p w14:paraId="6BEB1B70" w14:textId="77777777" w:rsidR="00A12A51" w:rsidRPr="009B6E31" w:rsidRDefault="00A12A51" w:rsidP="00A12A51">
      <w:pPr>
        <w:pStyle w:val="Heading1"/>
        <w:rPr>
          <w:rFonts w:asciiTheme="minorHAnsi" w:hAnsiTheme="minorHAnsi"/>
        </w:rPr>
      </w:pPr>
      <w:r w:rsidRPr="009B6E31">
        <w:rPr>
          <w:rFonts w:asciiTheme="minorHAnsi" w:hAnsiTheme="minorHAnsi"/>
        </w:rPr>
        <w:t xml:space="preserve">Eligible Entities </w:t>
      </w:r>
    </w:p>
    <w:p w14:paraId="358887A2" w14:textId="77777777" w:rsidR="00A12A51" w:rsidRPr="009B6E31" w:rsidRDefault="00A12A51" w:rsidP="00A12A51">
      <w:pPr>
        <w:pStyle w:val="Heading2"/>
        <w:rPr>
          <w:rFonts w:asciiTheme="minorHAnsi" w:hAnsiTheme="minorHAnsi"/>
        </w:rPr>
      </w:pPr>
      <w:r w:rsidRPr="009B6E31">
        <w:rPr>
          <w:rFonts w:asciiTheme="minorHAnsi" w:hAnsiTheme="minorHAnsi"/>
        </w:rPr>
        <w:t xml:space="preserve">Q5: Is a non-profit an eligible entity under this grant opportunity? </w:t>
      </w:r>
    </w:p>
    <w:p w14:paraId="51C813B6" w14:textId="77777777" w:rsidR="00A12A51" w:rsidRPr="009B6E31" w:rsidRDefault="00A12A51" w:rsidP="00A12A51">
      <w:pPr>
        <w:pStyle w:val="Answers"/>
        <w:rPr>
          <w:rStyle w:val="Hyperlink"/>
          <w:rFonts w:cs="Times New Roman"/>
          <w:i w:val="0"/>
          <w:iCs w:val="0"/>
        </w:rPr>
      </w:pPr>
      <w:r w:rsidRPr="009B6E31">
        <w:t xml:space="preserve">A5: No. A non-profit organization is not an eligible entity to apply for this grant opportunity. Pursuant to Section 1.D. of the RFR, Eligible Entities are regional or local government units that: (a) meet the regulatory definition of "Local Government Unit" as defined in 314 CMR 21.02; </w:t>
      </w:r>
      <w:r w:rsidRPr="009B6E31">
        <w:rPr>
          <w:color w:val="auto"/>
        </w:rPr>
        <w:t>and (b) are seeki</w:t>
      </w:r>
      <w:r w:rsidRPr="009B6E31">
        <w:t xml:space="preserve">ng a Watershed Permit to address nitrogen pollution in at least one (1) of the 31 Cape Cod watersheds designated as an NRNSA under Title 5. The NRNSA Address Lookup Map can be found at: </w:t>
      </w:r>
      <w:hyperlink r:id="rId10">
        <w:r w:rsidRPr="009B6E31">
          <w:rPr>
            <w:rStyle w:val="Hyperlink"/>
            <w:i w:val="0"/>
            <w:iCs w:val="0"/>
          </w:rPr>
          <w:t>MassDEP NRNSA Map Viewer I Mass.gov</w:t>
        </w:r>
      </w:hyperlink>
    </w:p>
    <w:p w14:paraId="03A9205C" w14:textId="77777777" w:rsidR="00A12A51" w:rsidRPr="009B6E31" w:rsidRDefault="00A12A51" w:rsidP="00A12A51">
      <w:pPr>
        <w:pStyle w:val="Answers"/>
      </w:pPr>
    </w:p>
    <w:p w14:paraId="0A4B2AD6" w14:textId="77777777" w:rsidR="00A12A51" w:rsidRPr="009B6E31" w:rsidRDefault="00A12A51" w:rsidP="00A12A51">
      <w:pPr>
        <w:pStyle w:val="Heading1"/>
        <w:rPr>
          <w:rFonts w:asciiTheme="minorHAnsi" w:eastAsia="Calibri" w:hAnsiTheme="minorHAnsi" w:cs="Calibri"/>
        </w:rPr>
      </w:pPr>
      <w:r w:rsidRPr="009B6E31">
        <w:rPr>
          <w:rFonts w:asciiTheme="minorHAnsi" w:hAnsiTheme="minorHAnsi"/>
        </w:rPr>
        <w:lastRenderedPageBreak/>
        <w:t>Award Questions</w:t>
      </w:r>
    </w:p>
    <w:p w14:paraId="00B71D2D" w14:textId="77777777" w:rsidR="00A12A51" w:rsidRPr="009B6E31" w:rsidRDefault="00A12A51" w:rsidP="00A12A51">
      <w:pPr>
        <w:pStyle w:val="Heading2"/>
        <w:rPr>
          <w:rFonts w:asciiTheme="minorHAnsi" w:eastAsia="Calibri" w:hAnsiTheme="minorHAnsi" w:cs="Calibri"/>
          <w:szCs w:val="28"/>
        </w:rPr>
      </w:pPr>
      <w:r w:rsidRPr="009B6E31">
        <w:rPr>
          <w:rFonts w:asciiTheme="minorHAnsi" w:hAnsiTheme="minorHAnsi"/>
        </w:rPr>
        <w:t xml:space="preserve">Q6: The project that would be submitted, the work under the grant would have to be completed by the end of next </w:t>
      </w:r>
      <w:proofErr w:type="gramStart"/>
      <w:r w:rsidRPr="009B6E31">
        <w:rPr>
          <w:rFonts w:asciiTheme="minorHAnsi" w:hAnsiTheme="minorHAnsi"/>
        </w:rPr>
        <w:t>June?</w:t>
      </w:r>
      <w:proofErr w:type="gramEnd"/>
      <w:r w:rsidRPr="009B6E31">
        <w:rPr>
          <w:rFonts w:asciiTheme="minorHAnsi" w:hAnsiTheme="minorHAnsi"/>
        </w:rPr>
        <w:t xml:space="preserve"> Even if the work continues, the scope of the grant </w:t>
      </w:r>
      <w:proofErr w:type="gramStart"/>
      <w:r w:rsidRPr="009B6E31">
        <w:rPr>
          <w:rFonts w:asciiTheme="minorHAnsi" w:hAnsiTheme="minorHAnsi"/>
        </w:rPr>
        <w:t>has to</w:t>
      </w:r>
      <w:proofErr w:type="gramEnd"/>
      <w:r w:rsidRPr="009B6E31">
        <w:rPr>
          <w:rFonts w:asciiTheme="minorHAnsi" w:hAnsiTheme="minorHAnsi"/>
        </w:rPr>
        <w:t xml:space="preserve"> end </w:t>
      </w:r>
      <w:proofErr w:type="gramStart"/>
      <w:r w:rsidRPr="009B6E31">
        <w:rPr>
          <w:rFonts w:asciiTheme="minorHAnsi" w:hAnsiTheme="minorHAnsi"/>
        </w:rPr>
        <w:t>then?</w:t>
      </w:r>
      <w:proofErr w:type="gramEnd"/>
      <w:r w:rsidRPr="009B6E31">
        <w:rPr>
          <w:rFonts w:asciiTheme="minorHAnsi" w:hAnsiTheme="minorHAnsi"/>
        </w:rPr>
        <w:t xml:space="preserve">  </w:t>
      </w:r>
    </w:p>
    <w:p w14:paraId="0BE6FB20" w14:textId="77777777" w:rsidR="00A12A51" w:rsidRPr="009B6E31" w:rsidRDefault="00A12A51" w:rsidP="00A12A51">
      <w:pPr>
        <w:pStyle w:val="Answers"/>
        <w:rPr>
          <w:rFonts w:eastAsia="Calibri" w:cs="Calibri"/>
        </w:rPr>
      </w:pPr>
      <w:r w:rsidRPr="009B6E31">
        <w:t xml:space="preserve">A6: Yes. Applicants may seek funding for Eligible Projects that will exceed the length of the grant award period (i.e., past June 30, 2026); however, only work that is proposed to be completed on or before June 30, 2026, is eligible to be funded. This is </w:t>
      </w:r>
      <w:proofErr w:type="gramStart"/>
      <w:r w:rsidRPr="009B6E31">
        <w:t>due to the fact that</w:t>
      </w:r>
      <w:proofErr w:type="gramEnd"/>
      <w:r w:rsidRPr="009B6E31">
        <w:t xml:space="preserve"> funding for this program is appropriated annually by the Legislature.  See RFR, Section 1.H. </w:t>
      </w:r>
    </w:p>
    <w:p w14:paraId="373CC1CF" w14:textId="77777777" w:rsidR="00A12A51" w:rsidRPr="009B6E31" w:rsidRDefault="00A12A51" w:rsidP="00A12A51">
      <w:pPr>
        <w:pStyle w:val="Heading1"/>
        <w:rPr>
          <w:rFonts w:asciiTheme="minorHAnsi" w:eastAsia="Calibri" w:hAnsiTheme="minorHAnsi" w:cs="Calibri"/>
        </w:rPr>
      </w:pPr>
      <w:r w:rsidRPr="009B6E31">
        <w:rPr>
          <w:rFonts w:asciiTheme="minorHAnsi" w:hAnsiTheme="minorHAnsi"/>
        </w:rPr>
        <w:t>Misc. Questions</w:t>
      </w:r>
    </w:p>
    <w:p w14:paraId="30E3F69B" w14:textId="77777777" w:rsidR="00A12A51" w:rsidRPr="009B6E31" w:rsidRDefault="00A12A51" w:rsidP="00A12A51">
      <w:pPr>
        <w:pStyle w:val="Heading2"/>
        <w:rPr>
          <w:rFonts w:asciiTheme="minorHAnsi" w:eastAsia="Calibri" w:hAnsiTheme="minorHAnsi" w:cs="Calibri"/>
        </w:rPr>
      </w:pPr>
      <w:r w:rsidRPr="009B6E31">
        <w:rPr>
          <w:rFonts w:asciiTheme="minorHAnsi" w:hAnsiTheme="minorHAnsi"/>
        </w:rPr>
        <w:t xml:space="preserve">Q7: Next step is to file the watershed permit. Just curious, what </w:t>
      </w:r>
      <w:proofErr w:type="gramStart"/>
      <w:r w:rsidRPr="009B6E31">
        <w:rPr>
          <w:rFonts w:asciiTheme="minorHAnsi" w:hAnsiTheme="minorHAnsi"/>
        </w:rPr>
        <w:t>the level</w:t>
      </w:r>
      <w:proofErr w:type="gramEnd"/>
      <w:r w:rsidRPr="009B6E31">
        <w:rPr>
          <w:rFonts w:asciiTheme="minorHAnsi" w:hAnsiTheme="minorHAnsi"/>
        </w:rPr>
        <w:t xml:space="preserve"> of effort is involved with doing that?</w:t>
      </w:r>
    </w:p>
    <w:p w14:paraId="347876B8" w14:textId="77777777" w:rsidR="00A12A51" w:rsidRPr="009B6E31" w:rsidRDefault="00A12A51" w:rsidP="00A12A51">
      <w:pPr>
        <w:spacing w:before="240"/>
        <w:ind w:left="720"/>
        <w:contextualSpacing/>
        <w:rPr>
          <w:rFonts w:eastAsia="Calibri" w:cs="Calibri"/>
          <w:i/>
          <w:iCs/>
          <w:color w:val="000000" w:themeColor="text1"/>
        </w:rPr>
      </w:pPr>
      <w:r w:rsidRPr="009B6E31">
        <w:rPr>
          <w:i/>
          <w:iCs/>
          <w:color w:val="000000" w:themeColor="text1"/>
        </w:rPr>
        <w:t xml:space="preserve">A7: </w:t>
      </w:r>
      <w:r w:rsidRPr="009B6E31">
        <w:rPr>
          <w:i/>
          <w:iCs/>
          <w:color w:val="000000" w:themeColor="text1"/>
        </w:rPr>
        <w:t xml:space="preserve">Each applicant will need to determine for itself whether it has sufficient expertise </w:t>
      </w:r>
      <w:proofErr w:type="gramStart"/>
      <w:r w:rsidRPr="009B6E31">
        <w:rPr>
          <w:i/>
          <w:iCs/>
          <w:color w:val="000000" w:themeColor="text1"/>
        </w:rPr>
        <w:t>on</w:t>
      </w:r>
      <w:proofErr w:type="gramEnd"/>
      <w:r w:rsidRPr="009B6E31">
        <w:rPr>
          <w:i/>
          <w:iCs/>
          <w:color w:val="000000" w:themeColor="text1"/>
        </w:rPr>
        <w:t xml:space="preserve"> staff to file a watershed permit application, or if they will need to contract for professional services to assist them with those efforts. Watershed permit application requirements are outlined at </w:t>
      </w:r>
      <w:hyperlink r:id="rId11" w:history="1">
        <w:r w:rsidRPr="009B6E31">
          <w:rPr>
            <w:i/>
            <w:iCs/>
            <w:color w:val="000000" w:themeColor="text1"/>
          </w:rPr>
          <w:t>314 CMR 21.00</w:t>
        </w:r>
      </w:hyperlink>
      <w:r w:rsidRPr="009B6E31">
        <w:rPr>
          <w:i/>
          <w:iCs/>
          <w:color w:val="000000" w:themeColor="text1"/>
        </w:rPr>
        <w:t xml:space="preserve">.  </w:t>
      </w:r>
    </w:p>
    <w:p w14:paraId="0C6F4597" w14:textId="77777777" w:rsidR="00A12A51" w:rsidRDefault="00A12A51" w:rsidP="00A12A51">
      <w:pPr>
        <w:spacing w:before="240"/>
        <w:ind w:left="720"/>
        <w:contextualSpacing/>
        <w:rPr>
          <w:rFonts w:eastAsia="Calibri" w:cs="Calibri"/>
          <w:color w:val="000000" w:themeColor="text1"/>
        </w:rPr>
      </w:pPr>
    </w:p>
    <w:p w14:paraId="1653AE68" w14:textId="77777777" w:rsidR="009B6E31" w:rsidRDefault="009B6E31" w:rsidP="00A12A51">
      <w:pPr>
        <w:spacing w:before="240"/>
        <w:ind w:left="720"/>
        <w:contextualSpacing/>
        <w:rPr>
          <w:rFonts w:eastAsia="Calibri" w:cs="Calibri"/>
          <w:color w:val="000000" w:themeColor="text1"/>
        </w:rPr>
      </w:pPr>
    </w:p>
    <w:p w14:paraId="47AAA0AB" w14:textId="77777777" w:rsidR="009B6E31" w:rsidRPr="009B6E31" w:rsidRDefault="009B6E31" w:rsidP="00A12A51">
      <w:pPr>
        <w:spacing w:before="240"/>
        <w:ind w:left="720"/>
        <w:contextualSpacing/>
        <w:rPr>
          <w:rFonts w:eastAsia="Calibri" w:cs="Calibri"/>
          <w:color w:val="000000" w:themeColor="text1"/>
        </w:rPr>
      </w:pPr>
    </w:p>
    <w:p w14:paraId="23CD760B" w14:textId="77777777" w:rsidR="00A12A51" w:rsidRPr="009B6E31" w:rsidRDefault="00A12A51" w:rsidP="00A12A51">
      <w:pPr>
        <w:spacing w:before="240"/>
        <w:contextualSpacing/>
        <w:jc w:val="center"/>
        <w:rPr>
          <w:rFonts w:eastAsia="Calibri" w:cs="Calibri"/>
          <w:color w:val="000000" w:themeColor="text1"/>
        </w:rPr>
      </w:pPr>
      <w:r w:rsidRPr="009B6E31">
        <w:rPr>
          <w:rFonts w:eastAsia="Calibri" w:cs="Calibri"/>
          <w:color w:val="000000" w:themeColor="text1"/>
        </w:rPr>
        <w:t xml:space="preserve">This information is available in alternate format. Please contact MassDEP </w:t>
      </w:r>
      <w:proofErr w:type="gramStart"/>
      <w:r w:rsidRPr="009B6E31">
        <w:rPr>
          <w:rFonts w:eastAsia="Calibri" w:cs="Calibri"/>
          <w:color w:val="000000" w:themeColor="text1"/>
        </w:rPr>
        <w:t>at</w:t>
      </w:r>
      <w:proofErr w:type="gramEnd"/>
      <w:r w:rsidRPr="009B6E31">
        <w:rPr>
          <w:rFonts w:eastAsia="Calibri" w:cs="Calibri"/>
          <w:color w:val="000000" w:themeColor="text1"/>
        </w:rPr>
        <w:t xml:space="preserve"> 617-292-5500</w:t>
      </w:r>
    </w:p>
    <w:p w14:paraId="1C3642B7" w14:textId="77777777" w:rsidR="00A12A51" w:rsidRPr="009B6E31" w:rsidRDefault="00A12A51" w:rsidP="00A12A51">
      <w:pPr>
        <w:spacing w:before="240"/>
        <w:contextualSpacing/>
        <w:jc w:val="center"/>
        <w:rPr>
          <w:rFonts w:eastAsia="Calibri" w:cs="Calibri"/>
          <w:color w:val="000000" w:themeColor="text1"/>
        </w:rPr>
      </w:pPr>
      <w:r w:rsidRPr="009B6E31">
        <w:rPr>
          <w:rFonts w:eastAsia="Calibri" w:cs="Calibri"/>
          <w:color w:val="000000" w:themeColor="text1"/>
        </w:rPr>
        <w:t xml:space="preserve">TTY# </w:t>
      </w:r>
      <w:proofErr w:type="spellStart"/>
      <w:r w:rsidRPr="009B6E31">
        <w:rPr>
          <w:rFonts w:eastAsia="Calibri" w:cs="Calibri"/>
          <w:color w:val="000000" w:themeColor="text1"/>
        </w:rPr>
        <w:t>MassRelay</w:t>
      </w:r>
      <w:proofErr w:type="spellEnd"/>
      <w:r w:rsidRPr="009B6E31">
        <w:rPr>
          <w:rFonts w:eastAsia="Calibri" w:cs="Calibri"/>
          <w:color w:val="000000" w:themeColor="text1"/>
        </w:rPr>
        <w:t xml:space="preserve"> Service 1-800-439-2370</w:t>
      </w:r>
    </w:p>
    <w:p w14:paraId="68AA1B3A" w14:textId="77777777" w:rsidR="00A12A51" w:rsidRPr="009B6E31" w:rsidRDefault="00A12A51" w:rsidP="00A12A51">
      <w:pPr>
        <w:spacing w:before="240"/>
        <w:contextualSpacing/>
        <w:jc w:val="center"/>
        <w:rPr>
          <w:rFonts w:eastAsia="Calibri" w:cs="Calibri"/>
          <w:color w:val="000000" w:themeColor="text1"/>
        </w:rPr>
      </w:pPr>
      <w:hyperlink r:id="rId12" w:history="1">
        <w:r w:rsidRPr="009B6E31">
          <w:rPr>
            <w:rStyle w:val="Hyperlink"/>
            <w:rFonts w:eastAsia="Calibri" w:cs="Calibri"/>
          </w:rPr>
          <w:t>MassDEP Website</w:t>
        </w:r>
      </w:hyperlink>
    </w:p>
    <w:p w14:paraId="60E37B7A" w14:textId="77777777" w:rsidR="00A12A51" w:rsidRPr="009B6E31" w:rsidRDefault="00A12A51" w:rsidP="00A12A51">
      <w:pPr>
        <w:spacing w:before="240"/>
        <w:contextualSpacing/>
        <w:jc w:val="center"/>
        <w:rPr>
          <w:rFonts w:eastAsia="Calibri" w:cs="Calibri"/>
          <w:color w:val="000000" w:themeColor="text1"/>
        </w:rPr>
      </w:pPr>
      <w:r w:rsidRPr="009B6E31">
        <w:rPr>
          <w:rFonts w:eastAsia="Calibri" w:cs="Calibri"/>
          <w:color w:val="000000" w:themeColor="text1"/>
        </w:rPr>
        <w:t>Please Print on Recycled Paper</w:t>
      </w:r>
    </w:p>
    <w:sectPr w:rsidR="00A12A51" w:rsidRPr="009B6E31" w:rsidSect="009B6E31">
      <w:headerReference w:type="default" r:id="rId13"/>
      <w:footerReference w:type="default" r:id="rId14"/>
      <w:headerReference w:type="first" r:id="rId15"/>
      <w:pgSz w:w="12240" w:h="15840"/>
      <w:pgMar w:top="1008" w:right="1440" w:bottom="1008"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D142" w14:textId="77777777" w:rsidR="000E71FC" w:rsidRDefault="000E71FC">
      <w:pPr>
        <w:spacing w:after="0" w:line="240" w:lineRule="auto"/>
      </w:pPr>
      <w:r>
        <w:separator/>
      </w:r>
    </w:p>
  </w:endnote>
  <w:endnote w:type="continuationSeparator" w:id="0">
    <w:p w14:paraId="4AB68E85" w14:textId="77777777" w:rsidR="000E71FC" w:rsidRDefault="000E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896172"/>
      <w:docPartObj>
        <w:docPartGallery w:val="Page Numbers (Bottom of Page)"/>
        <w:docPartUnique/>
      </w:docPartObj>
    </w:sdtPr>
    <w:sdtEndPr>
      <w:rPr>
        <w:noProof/>
      </w:rPr>
    </w:sdtEndPr>
    <w:sdtContent>
      <w:p w14:paraId="37C05DFC" w14:textId="2A47E966" w:rsidR="00A74AD3" w:rsidRDefault="00A74A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3F12E0" w14:textId="027CD630" w:rsidR="05EA6A5C" w:rsidRDefault="05EA6A5C" w:rsidP="05EA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DBE2" w14:textId="77777777" w:rsidR="000E71FC" w:rsidRDefault="000E71FC">
      <w:pPr>
        <w:spacing w:after="0" w:line="240" w:lineRule="auto"/>
      </w:pPr>
      <w:r>
        <w:separator/>
      </w:r>
    </w:p>
  </w:footnote>
  <w:footnote w:type="continuationSeparator" w:id="0">
    <w:p w14:paraId="6D113F1B" w14:textId="77777777" w:rsidR="000E71FC" w:rsidRDefault="000E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72" w:type="dxa"/>
      <w:tblLayout w:type="fixed"/>
      <w:tblLook w:val="06A0" w:firstRow="1" w:lastRow="0" w:firstColumn="1" w:lastColumn="0" w:noHBand="1" w:noVBand="1"/>
    </w:tblPr>
    <w:tblGrid>
      <w:gridCol w:w="2368"/>
      <w:gridCol w:w="7104"/>
    </w:tblGrid>
    <w:tr w:rsidR="05EA6A5C" w14:paraId="012413AC" w14:textId="77777777" w:rsidTr="53864C3C">
      <w:trPr>
        <w:trHeight w:val="2175"/>
      </w:trPr>
      <w:tc>
        <w:tcPr>
          <w:tcW w:w="2368" w:type="dxa"/>
        </w:tcPr>
        <w:p w14:paraId="158144F0" w14:textId="53039782" w:rsidR="05EA6A5C" w:rsidRDefault="05EA6A5C" w:rsidP="05EA6A5C">
          <w:pPr>
            <w:ind w:left="-115"/>
          </w:pPr>
          <w:r>
            <w:rPr>
              <w:noProof/>
            </w:rPr>
            <w:drawing>
              <wp:inline distT="0" distB="0" distL="0" distR="0" wp14:anchorId="0DA5390F" wp14:editId="3E1DEE52">
                <wp:extent cx="748665" cy="1004307"/>
                <wp:effectExtent l="0" t="0" r="0" b="0"/>
                <wp:docPr id="1600370909" name="Picture 1600370909"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48665" cy="1004307"/>
                        </a:xfrm>
                        <a:prstGeom prst="rect">
                          <a:avLst/>
                        </a:prstGeom>
                      </pic:spPr>
                    </pic:pic>
                  </a:graphicData>
                </a:graphic>
              </wp:inline>
            </w:drawing>
          </w:r>
        </w:p>
      </w:tc>
      <w:tc>
        <w:tcPr>
          <w:tcW w:w="7104" w:type="dxa"/>
        </w:tcPr>
        <w:p w14:paraId="15F872AC" w14:textId="35F70E22" w:rsidR="05EA6A5C" w:rsidRPr="00A74AD3" w:rsidRDefault="53864C3C" w:rsidP="53864C3C">
          <w:pPr>
            <w:rPr>
              <w:rFonts w:ascii="Aptos" w:eastAsia="Aptos" w:hAnsi="Aptos" w:cs="Aptos"/>
              <w:b/>
              <w:bCs/>
              <w:color w:val="0D0D0D" w:themeColor="text1" w:themeTint="F2"/>
            </w:rPr>
          </w:pPr>
          <w:r w:rsidRPr="53864C3C">
            <w:rPr>
              <w:rFonts w:ascii="Aptos" w:eastAsia="Aptos" w:hAnsi="Aptos" w:cs="Aptos"/>
              <w:b/>
              <w:bCs/>
              <w:color w:val="0D0D0D" w:themeColor="text1" w:themeTint="F2"/>
            </w:rPr>
            <w:t xml:space="preserve">The Commonwealth of Massachusetts </w:t>
          </w:r>
          <w:r w:rsidR="05EA6A5C">
            <w:br/>
          </w:r>
          <w:r w:rsidRPr="53864C3C">
            <w:rPr>
              <w:rFonts w:ascii="Aptos" w:eastAsia="Aptos" w:hAnsi="Aptos" w:cs="Aptos"/>
              <w:b/>
              <w:bCs/>
              <w:color w:val="0D0D0D" w:themeColor="text1" w:themeTint="F2"/>
            </w:rPr>
            <w:t>Department of Environmental Protection</w:t>
          </w:r>
        </w:p>
        <w:p w14:paraId="7FA1DD76" w14:textId="5865F6BE" w:rsidR="05EA6A5C" w:rsidRPr="00A74AD3" w:rsidRDefault="53864C3C" w:rsidP="53864C3C">
          <w:pPr>
            <w:rPr>
              <w:rFonts w:ascii="Aptos" w:eastAsia="Aptos" w:hAnsi="Aptos" w:cs="Aptos"/>
              <w:sz w:val="20"/>
              <w:szCs w:val="20"/>
            </w:rPr>
          </w:pPr>
          <w:r w:rsidRPr="53864C3C">
            <w:rPr>
              <w:rFonts w:ascii="Aptos" w:eastAsia="Aptos" w:hAnsi="Aptos" w:cs="Aptos"/>
              <w:b/>
              <w:bCs/>
              <w:color w:val="0D0D0D" w:themeColor="text1" w:themeTint="F2"/>
              <w:sz w:val="20"/>
              <w:szCs w:val="20"/>
            </w:rPr>
            <w:t>Address:</w:t>
          </w:r>
          <w:r w:rsidRPr="53864C3C">
            <w:rPr>
              <w:rFonts w:ascii="Aptos" w:eastAsia="Aptos" w:hAnsi="Aptos" w:cs="Aptos"/>
              <w:color w:val="0D0D0D" w:themeColor="text1" w:themeTint="F2"/>
              <w:sz w:val="20"/>
              <w:szCs w:val="20"/>
            </w:rPr>
            <w:t xml:space="preserve"> 100 Cambridge Street, Suite 900, Boston, MA 02114  </w:t>
          </w:r>
          <w:r w:rsidR="05EA6A5C">
            <w:br/>
          </w:r>
          <w:r w:rsidRPr="53864C3C">
            <w:rPr>
              <w:rFonts w:ascii="Aptos" w:eastAsia="Aptos" w:hAnsi="Aptos" w:cs="Aptos"/>
              <w:b/>
              <w:bCs/>
              <w:color w:val="0D0D0D" w:themeColor="text1" w:themeTint="F2"/>
              <w:sz w:val="20"/>
              <w:szCs w:val="20"/>
            </w:rPr>
            <w:t xml:space="preserve">Phone: </w:t>
          </w:r>
          <w:r w:rsidRPr="53864C3C">
            <w:rPr>
              <w:rFonts w:ascii="Aptos" w:eastAsia="Aptos" w:hAnsi="Aptos" w:cs="Aptos"/>
              <w:color w:val="0D0D0D" w:themeColor="text1" w:themeTint="F2"/>
              <w:sz w:val="20"/>
              <w:szCs w:val="20"/>
            </w:rPr>
            <w:t>617-292-5500</w:t>
          </w:r>
        </w:p>
      </w:tc>
    </w:tr>
  </w:tbl>
  <w:p w14:paraId="045E6AA8" w14:textId="3556B25C" w:rsidR="05EA6A5C" w:rsidRDefault="05EA6A5C" w:rsidP="05EA6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EA6A5C" w14:paraId="736A6D31" w14:textId="77777777" w:rsidTr="05EA6A5C">
      <w:trPr>
        <w:trHeight w:val="300"/>
      </w:trPr>
      <w:tc>
        <w:tcPr>
          <w:tcW w:w="3120" w:type="dxa"/>
        </w:tcPr>
        <w:p w14:paraId="7AF8CCC0" w14:textId="045D301C" w:rsidR="05EA6A5C" w:rsidRDefault="05EA6A5C" w:rsidP="05EA6A5C">
          <w:pPr>
            <w:pStyle w:val="Header"/>
            <w:ind w:left="-115"/>
          </w:pPr>
        </w:p>
      </w:tc>
      <w:tc>
        <w:tcPr>
          <w:tcW w:w="3120" w:type="dxa"/>
        </w:tcPr>
        <w:p w14:paraId="5CC58C1A" w14:textId="38C33164" w:rsidR="05EA6A5C" w:rsidRDefault="05EA6A5C" w:rsidP="05EA6A5C">
          <w:pPr>
            <w:pStyle w:val="Header"/>
            <w:jc w:val="center"/>
          </w:pPr>
        </w:p>
      </w:tc>
      <w:tc>
        <w:tcPr>
          <w:tcW w:w="3120" w:type="dxa"/>
        </w:tcPr>
        <w:p w14:paraId="31ADB8A7" w14:textId="34AB35BE" w:rsidR="05EA6A5C" w:rsidRDefault="05EA6A5C" w:rsidP="05EA6A5C">
          <w:pPr>
            <w:pStyle w:val="Header"/>
            <w:ind w:right="-115"/>
            <w:jc w:val="right"/>
          </w:pPr>
        </w:p>
      </w:tc>
    </w:tr>
  </w:tbl>
  <w:p w14:paraId="5FD5F422" w14:textId="3BBCBA3C" w:rsidR="05EA6A5C" w:rsidRDefault="05EA6A5C" w:rsidP="05EA6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BA42"/>
    <w:multiLevelType w:val="hybridMultilevel"/>
    <w:tmpl w:val="5DA2995C"/>
    <w:lvl w:ilvl="0" w:tplc="ECA4FB04">
      <w:start w:val="1"/>
      <w:numFmt w:val="bullet"/>
      <w:lvlText w:val=""/>
      <w:lvlJc w:val="left"/>
      <w:pPr>
        <w:ind w:left="720" w:hanging="360"/>
      </w:pPr>
      <w:rPr>
        <w:rFonts w:ascii="Symbol" w:hAnsi="Symbol" w:hint="default"/>
      </w:rPr>
    </w:lvl>
    <w:lvl w:ilvl="1" w:tplc="5C4EAB0E">
      <w:start w:val="1"/>
      <w:numFmt w:val="bullet"/>
      <w:lvlText w:val=""/>
      <w:lvlJc w:val="left"/>
      <w:pPr>
        <w:ind w:left="1440" w:hanging="360"/>
      </w:pPr>
      <w:rPr>
        <w:rFonts w:ascii="Symbol" w:hAnsi="Symbol" w:hint="default"/>
      </w:rPr>
    </w:lvl>
    <w:lvl w:ilvl="2" w:tplc="C86209E6">
      <w:start w:val="1"/>
      <w:numFmt w:val="bullet"/>
      <w:lvlText w:val=""/>
      <w:lvlJc w:val="left"/>
      <w:pPr>
        <w:ind w:left="2160" w:hanging="360"/>
      </w:pPr>
      <w:rPr>
        <w:rFonts w:ascii="Wingdings" w:hAnsi="Wingdings" w:hint="default"/>
      </w:rPr>
    </w:lvl>
    <w:lvl w:ilvl="3" w:tplc="322E8122">
      <w:start w:val="1"/>
      <w:numFmt w:val="bullet"/>
      <w:lvlText w:val=""/>
      <w:lvlJc w:val="left"/>
      <w:pPr>
        <w:ind w:left="2880" w:hanging="360"/>
      </w:pPr>
      <w:rPr>
        <w:rFonts w:ascii="Symbol" w:hAnsi="Symbol" w:hint="default"/>
      </w:rPr>
    </w:lvl>
    <w:lvl w:ilvl="4" w:tplc="56A43FCA">
      <w:start w:val="1"/>
      <w:numFmt w:val="bullet"/>
      <w:lvlText w:val="o"/>
      <w:lvlJc w:val="left"/>
      <w:pPr>
        <w:ind w:left="3600" w:hanging="360"/>
      </w:pPr>
      <w:rPr>
        <w:rFonts w:ascii="Courier New" w:hAnsi="Courier New" w:hint="default"/>
      </w:rPr>
    </w:lvl>
    <w:lvl w:ilvl="5" w:tplc="B882C20A">
      <w:start w:val="1"/>
      <w:numFmt w:val="bullet"/>
      <w:lvlText w:val=""/>
      <w:lvlJc w:val="left"/>
      <w:pPr>
        <w:ind w:left="4320" w:hanging="360"/>
      </w:pPr>
      <w:rPr>
        <w:rFonts w:ascii="Wingdings" w:hAnsi="Wingdings" w:hint="default"/>
      </w:rPr>
    </w:lvl>
    <w:lvl w:ilvl="6" w:tplc="A80669DA">
      <w:start w:val="1"/>
      <w:numFmt w:val="bullet"/>
      <w:lvlText w:val=""/>
      <w:lvlJc w:val="left"/>
      <w:pPr>
        <w:ind w:left="5040" w:hanging="360"/>
      </w:pPr>
      <w:rPr>
        <w:rFonts w:ascii="Symbol" w:hAnsi="Symbol" w:hint="default"/>
      </w:rPr>
    </w:lvl>
    <w:lvl w:ilvl="7" w:tplc="2E6AF2D2">
      <w:start w:val="1"/>
      <w:numFmt w:val="bullet"/>
      <w:lvlText w:val="o"/>
      <w:lvlJc w:val="left"/>
      <w:pPr>
        <w:ind w:left="5760" w:hanging="360"/>
      </w:pPr>
      <w:rPr>
        <w:rFonts w:ascii="Courier New" w:hAnsi="Courier New" w:hint="default"/>
      </w:rPr>
    </w:lvl>
    <w:lvl w:ilvl="8" w:tplc="F378CB36">
      <w:start w:val="1"/>
      <w:numFmt w:val="bullet"/>
      <w:lvlText w:val=""/>
      <w:lvlJc w:val="left"/>
      <w:pPr>
        <w:ind w:left="6480" w:hanging="360"/>
      </w:pPr>
      <w:rPr>
        <w:rFonts w:ascii="Wingdings" w:hAnsi="Wingdings" w:hint="default"/>
      </w:rPr>
    </w:lvl>
  </w:abstractNum>
  <w:abstractNum w:abstractNumId="1" w15:restartNumberingAfterBreak="0">
    <w:nsid w:val="42936256"/>
    <w:multiLevelType w:val="hybridMultilevel"/>
    <w:tmpl w:val="B6BCC9BA"/>
    <w:lvl w:ilvl="0" w:tplc="64E29840">
      <w:start w:val="1"/>
      <w:numFmt w:val="bullet"/>
      <w:lvlText w:val=""/>
      <w:lvlJc w:val="left"/>
      <w:pPr>
        <w:ind w:left="720" w:hanging="360"/>
      </w:pPr>
      <w:rPr>
        <w:rFonts w:ascii="Symbol" w:hAnsi="Symbol" w:hint="default"/>
      </w:rPr>
    </w:lvl>
    <w:lvl w:ilvl="1" w:tplc="6944E1A4">
      <w:start w:val="1"/>
      <w:numFmt w:val="bullet"/>
      <w:lvlText w:val="o"/>
      <w:lvlJc w:val="left"/>
      <w:pPr>
        <w:ind w:left="1440" w:hanging="360"/>
      </w:pPr>
      <w:rPr>
        <w:rFonts w:ascii="Courier New" w:hAnsi="Courier New" w:hint="default"/>
      </w:rPr>
    </w:lvl>
    <w:lvl w:ilvl="2" w:tplc="0764EA10">
      <w:start w:val="1"/>
      <w:numFmt w:val="bullet"/>
      <w:lvlText w:val=""/>
      <w:lvlJc w:val="left"/>
      <w:pPr>
        <w:ind w:left="2160" w:hanging="360"/>
      </w:pPr>
      <w:rPr>
        <w:rFonts w:ascii="Wingdings" w:hAnsi="Wingdings" w:hint="default"/>
      </w:rPr>
    </w:lvl>
    <w:lvl w:ilvl="3" w:tplc="046C0EB4">
      <w:start w:val="1"/>
      <w:numFmt w:val="bullet"/>
      <w:lvlText w:val=""/>
      <w:lvlJc w:val="left"/>
      <w:pPr>
        <w:ind w:left="2880" w:hanging="360"/>
      </w:pPr>
      <w:rPr>
        <w:rFonts w:ascii="Symbol" w:hAnsi="Symbol" w:hint="default"/>
      </w:rPr>
    </w:lvl>
    <w:lvl w:ilvl="4" w:tplc="58EEF75C">
      <w:start w:val="1"/>
      <w:numFmt w:val="bullet"/>
      <w:lvlText w:val="o"/>
      <w:lvlJc w:val="left"/>
      <w:pPr>
        <w:ind w:left="3600" w:hanging="360"/>
      </w:pPr>
      <w:rPr>
        <w:rFonts w:ascii="Courier New" w:hAnsi="Courier New" w:hint="default"/>
      </w:rPr>
    </w:lvl>
    <w:lvl w:ilvl="5" w:tplc="4918A432">
      <w:start w:val="1"/>
      <w:numFmt w:val="bullet"/>
      <w:lvlText w:val=""/>
      <w:lvlJc w:val="left"/>
      <w:pPr>
        <w:ind w:left="4320" w:hanging="360"/>
      </w:pPr>
      <w:rPr>
        <w:rFonts w:ascii="Wingdings" w:hAnsi="Wingdings" w:hint="default"/>
      </w:rPr>
    </w:lvl>
    <w:lvl w:ilvl="6" w:tplc="991C4A52">
      <w:start w:val="1"/>
      <w:numFmt w:val="bullet"/>
      <w:lvlText w:val=""/>
      <w:lvlJc w:val="left"/>
      <w:pPr>
        <w:ind w:left="5040" w:hanging="360"/>
      </w:pPr>
      <w:rPr>
        <w:rFonts w:ascii="Symbol" w:hAnsi="Symbol" w:hint="default"/>
      </w:rPr>
    </w:lvl>
    <w:lvl w:ilvl="7" w:tplc="BA803818">
      <w:start w:val="1"/>
      <w:numFmt w:val="bullet"/>
      <w:lvlText w:val="o"/>
      <w:lvlJc w:val="left"/>
      <w:pPr>
        <w:ind w:left="5760" w:hanging="360"/>
      </w:pPr>
      <w:rPr>
        <w:rFonts w:ascii="Courier New" w:hAnsi="Courier New" w:hint="default"/>
      </w:rPr>
    </w:lvl>
    <w:lvl w:ilvl="8" w:tplc="4F26BC6A">
      <w:start w:val="1"/>
      <w:numFmt w:val="bullet"/>
      <w:lvlText w:val=""/>
      <w:lvlJc w:val="left"/>
      <w:pPr>
        <w:ind w:left="6480" w:hanging="360"/>
      </w:pPr>
      <w:rPr>
        <w:rFonts w:ascii="Wingdings" w:hAnsi="Wingdings" w:hint="default"/>
      </w:rPr>
    </w:lvl>
  </w:abstractNum>
  <w:num w:numId="1" w16cid:durableId="1273854191">
    <w:abstractNumId w:val="1"/>
  </w:num>
  <w:num w:numId="2" w16cid:durableId="179398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2B185"/>
    <w:rsid w:val="000911B7"/>
    <w:rsid w:val="000A7965"/>
    <w:rsid w:val="000E71FC"/>
    <w:rsid w:val="002FD312"/>
    <w:rsid w:val="00312EDB"/>
    <w:rsid w:val="004E1C5B"/>
    <w:rsid w:val="00507E42"/>
    <w:rsid w:val="0061BC2C"/>
    <w:rsid w:val="00634C58"/>
    <w:rsid w:val="006622D3"/>
    <w:rsid w:val="006A0D7A"/>
    <w:rsid w:val="006D0B1B"/>
    <w:rsid w:val="00734B54"/>
    <w:rsid w:val="00735790"/>
    <w:rsid w:val="0077306A"/>
    <w:rsid w:val="0084417C"/>
    <w:rsid w:val="009854DF"/>
    <w:rsid w:val="009B6E31"/>
    <w:rsid w:val="00A12A51"/>
    <w:rsid w:val="00A74AD3"/>
    <w:rsid w:val="00B12884"/>
    <w:rsid w:val="00BF0184"/>
    <w:rsid w:val="00C56E0B"/>
    <w:rsid w:val="00C82F35"/>
    <w:rsid w:val="00CD5E5B"/>
    <w:rsid w:val="00CDF2DD"/>
    <w:rsid w:val="00D472DB"/>
    <w:rsid w:val="00DB1919"/>
    <w:rsid w:val="00EE321E"/>
    <w:rsid w:val="015C4585"/>
    <w:rsid w:val="017FB884"/>
    <w:rsid w:val="024ACB04"/>
    <w:rsid w:val="02FE80AD"/>
    <w:rsid w:val="03AC0F95"/>
    <w:rsid w:val="05CC6063"/>
    <w:rsid w:val="05EA6A5C"/>
    <w:rsid w:val="06636B16"/>
    <w:rsid w:val="07C797B1"/>
    <w:rsid w:val="0B254434"/>
    <w:rsid w:val="0DD2B185"/>
    <w:rsid w:val="109F4D26"/>
    <w:rsid w:val="12836033"/>
    <w:rsid w:val="141FD209"/>
    <w:rsid w:val="14A3BB51"/>
    <w:rsid w:val="15290E90"/>
    <w:rsid w:val="158F7014"/>
    <w:rsid w:val="15A3A5C0"/>
    <w:rsid w:val="163434DB"/>
    <w:rsid w:val="164DBCCE"/>
    <w:rsid w:val="18157439"/>
    <w:rsid w:val="1A2C935B"/>
    <w:rsid w:val="1ACAF875"/>
    <w:rsid w:val="1BFE876F"/>
    <w:rsid w:val="1C7EE3FB"/>
    <w:rsid w:val="1EFA4257"/>
    <w:rsid w:val="1F558CD2"/>
    <w:rsid w:val="1FD3E660"/>
    <w:rsid w:val="1FDA5259"/>
    <w:rsid w:val="242574AD"/>
    <w:rsid w:val="26E72B33"/>
    <w:rsid w:val="2911BD92"/>
    <w:rsid w:val="2A65A01D"/>
    <w:rsid w:val="2DCC3B73"/>
    <w:rsid w:val="2FE7BD5E"/>
    <w:rsid w:val="30D5CBEB"/>
    <w:rsid w:val="32488012"/>
    <w:rsid w:val="33B57C1A"/>
    <w:rsid w:val="343AFAA3"/>
    <w:rsid w:val="3751AC1F"/>
    <w:rsid w:val="38ED3031"/>
    <w:rsid w:val="38F5E90C"/>
    <w:rsid w:val="3A87B816"/>
    <w:rsid w:val="42D7126F"/>
    <w:rsid w:val="453C0126"/>
    <w:rsid w:val="47B57868"/>
    <w:rsid w:val="494F611D"/>
    <w:rsid w:val="4AF8AA4F"/>
    <w:rsid w:val="4BA19498"/>
    <w:rsid w:val="4C2F4678"/>
    <w:rsid w:val="4C4FB32D"/>
    <w:rsid w:val="4C9A4165"/>
    <w:rsid w:val="515F959F"/>
    <w:rsid w:val="523E0515"/>
    <w:rsid w:val="53864C3C"/>
    <w:rsid w:val="54048013"/>
    <w:rsid w:val="54ADA0EF"/>
    <w:rsid w:val="5583E18F"/>
    <w:rsid w:val="588A3F11"/>
    <w:rsid w:val="5B2EEF5D"/>
    <w:rsid w:val="5E416F0A"/>
    <w:rsid w:val="5EDFE1BC"/>
    <w:rsid w:val="5F167C16"/>
    <w:rsid w:val="600A1991"/>
    <w:rsid w:val="60118AEF"/>
    <w:rsid w:val="60E8FC47"/>
    <w:rsid w:val="617E99E7"/>
    <w:rsid w:val="61CC0FC1"/>
    <w:rsid w:val="624461CB"/>
    <w:rsid w:val="62DFB4E7"/>
    <w:rsid w:val="64B51695"/>
    <w:rsid w:val="65242093"/>
    <w:rsid w:val="69C0E390"/>
    <w:rsid w:val="718B7D8F"/>
    <w:rsid w:val="725094FE"/>
    <w:rsid w:val="72C8FCD3"/>
    <w:rsid w:val="76F816DB"/>
    <w:rsid w:val="791AB58B"/>
    <w:rsid w:val="79667694"/>
    <w:rsid w:val="7BD2403C"/>
    <w:rsid w:val="7D3890AC"/>
    <w:rsid w:val="7F4C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043D"/>
  <w15:chartTrackingRefBased/>
  <w15:docId w15:val="{87FC78DD-657B-4A07-B1EB-808632A6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E31"/>
    <w:pPr>
      <w:keepNext/>
      <w:spacing w:line="278" w:lineRule="auto"/>
      <w:outlineLvl w:val="0"/>
    </w:pPr>
    <w:rPr>
      <w:rFonts w:asciiTheme="majorHAnsi" w:hAnsiTheme="majorHAnsi" w:cstheme="majorEastAsia"/>
      <w:b/>
      <w:bCs/>
      <w:color w:val="275317" w:themeColor="accent6" w:themeShade="80"/>
      <w:sz w:val="32"/>
      <w:szCs w:val="40"/>
    </w:rPr>
  </w:style>
  <w:style w:type="paragraph" w:styleId="Heading2">
    <w:name w:val="heading 2"/>
    <w:basedOn w:val="Normal"/>
    <w:next w:val="Normal"/>
    <w:uiPriority w:val="9"/>
    <w:unhideWhenUsed/>
    <w:qFormat/>
    <w:rsid w:val="00B12884"/>
    <w:pPr>
      <w:keepNext/>
      <w:keepLines/>
      <w:spacing w:before="160" w:after="80"/>
      <w:outlineLvl w:val="1"/>
    </w:pPr>
    <w:rPr>
      <w:rFonts w:asciiTheme="majorHAnsi" w:hAnsiTheme="majorHAnsi" w:cstheme="majorEastAsia"/>
      <w:b/>
      <w:bCs/>
      <w:color w:val="171717" w:themeColor="background2" w:themeShade="1A"/>
      <w:sz w:val="28"/>
      <w:szCs w:val="32"/>
    </w:rPr>
  </w:style>
  <w:style w:type="paragraph" w:styleId="Heading3">
    <w:name w:val="heading 3"/>
    <w:basedOn w:val="Normal"/>
    <w:next w:val="Normal"/>
    <w:uiPriority w:val="9"/>
    <w:unhideWhenUsed/>
    <w:qFormat/>
    <w:rsid w:val="05EA6A5C"/>
    <w:pPr>
      <w:keepNext/>
      <w:keepLines/>
      <w:spacing w:before="160" w:after="80"/>
      <w:outlineLvl w:val="2"/>
    </w:pPr>
    <w:rPr>
      <w:rFonts w:cstheme="majorEastAsia"/>
      <w:b/>
      <w:bCs/>
      <w:i/>
      <w:iCs/>
      <w:color w:val="171717" w:themeColor="background2" w:themeShade="1A"/>
      <w:sz w:val="28"/>
      <w:szCs w:val="28"/>
    </w:rPr>
  </w:style>
  <w:style w:type="paragraph" w:styleId="Heading4">
    <w:name w:val="heading 4"/>
    <w:basedOn w:val="Normal"/>
    <w:next w:val="Normal"/>
    <w:uiPriority w:val="9"/>
    <w:unhideWhenUsed/>
    <w:qFormat/>
    <w:rsid w:val="05EA6A5C"/>
    <w:pPr>
      <w:keepNext/>
      <w:keepLines/>
      <w:spacing w:before="80" w:after="40"/>
      <w:outlineLvl w:val="3"/>
    </w:pPr>
    <w:rPr>
      <w:rFonts w:cstheme="majorEastAsia"/>
      <w:b/>
      <w:bCs/>
      <w:color w:val="171717" w:themeColor="background2" w:themeShade="1A"/>
    </w:rPr>
  </w:style>
  <w:style w:type="paragraph" w:styleId="Heading5">
    <w:name w:val="heading 5"/>
    <w:basedOn w:val="Normal"/>
    <w:next w:val="Normal"/>
    <w:uiPriority w:val="9"/>
    <w:unhideWhenUsed/>
    <w:qFormat/>
    <w:rsid w:val="05EA6A5C"/>
    <w:pPr>
      <w:keepNext/>
      <w:keepLines/>
      <w:spacing w:before="80" w:after="40"/>
      <w:outlineLvl w:val="4"/>
    </w:pPr>
    <w:rPr>
      <w:rFonts w:cstheme="majorEastAsia"/>
      <w:b/>
      <w:bCs/>
      <w:color w:val="171717" w:themeColor="background2" w:themeShade="1A"/>
    </w:rPr>
  </w:style>
  <w:style w:type="paragraph" w:styleId="Heading6">
    <w:name w:val="heading 6"/>
    <w:basedOn w:val="Normal"/>
    <w:next w:val="Normal"/>
    <w:uiPriority w:val="9"/>
    <w:unhideWhenUsed/>
    <w:qFormat/>
    <w:rsid w:val="05EA6A5C"/>
    <w:pPr>
      <w:keepNext/>
      <w:keepLines/>
      <w:spacing w:before="40" w:after="0"/>
      <w:outlineLvl w:val="5"/>
    </w:pPr>
    <w:rPr>
      <w:rFonts w:cstheme="majorEastAsia"/>
      <w:i/>
      <w:iCs/>
      <w:color w:val="171717" w:themeColor="background2"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5EA6A5C"/>
    <w:pPr>
      <w:tabs>
        <w:tab w:val="center" w:pos="4680"/>
        <w:tab w:val="right" w:pos="9360"/>
      </w:tabs>
      <w:spacing w:after="0" w:line="240" w:lineRule="auto"/>
    </w:pPr>
  </w:style>
  <w:style w:type="paragraph" w:styleId="Footer">
    <w:name w:val="footer"/>
    <w:basedOn w:val="Normal"/>
    <w:link w:val="FooterChar"/>
    <w:uiPriority w:val="99"/>
    <w:unhideWhenUsed/>
    <w:rsid w:val="05EA6A5C"/>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9B6E31"/>
    <w:rPr>
      <w:rFonts w:asciiTheme="majorHAnsi" w:hAnsiTheme="majorHAnsi" w:cstheme="majorEastAsia"/>
      <w:b/>
      <w:bCs/>
      <w:color w:val="275317" w:themeColor="accent6" w:themeShade="80"/>
      <w:sz w:val="32"/>
      <w:szCs w:val="40"/>
    </w:rPr>
  </w:style>
  <w:style w:type="paragraph" w:styleId="TOC1">
    <w:name w:val="toc 1"/>
    <w:basedOn w:val="Normal"/>
    <w:next w:val="Normal"/>
    <w:uiPriority w:val="39"/>
    <w:unhideWhenUsed/>
    <w:rsid w:val="05EA6A5C"/>
    <w:pPr>
      <w:spacing w:after="100"/>
    </w:pPr>
  </w:style>
  <w:style w:type="character" w:styleId="Hyperlink">
    <w:name w:val="Hyperlink"/>
    <w:basedOn w:val="DefaultParagraphFont"/>
    <w:uiPriority w:val="99"/>
    <w:unhideWhenUsed/>
    <w:rsid w:val="05EA6A5C"/>
    <w:rPr>
      <w:color w:val="467886"/>
      <w:u w:val="single"/>
    </w:rPr>
  </w:style>
  <w:style w:type="paragraph" w:styleId="ListParagraph">
    <w:name w:val="List Paragraph"/>
    <w:basedOn w:val="Normal"/>
    <w:link w:val="ListParagraphChar"/>
    <w:uiPriority w:val="34"/>
    <w:qFormat/>
    <w:rsid w:val="05EA6A5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A74AD3"/>
  </w:style>
  <w:style w:type="character" w:customStyle="1" w:styleId="ListParagraphChar">
    <w:name w:val="List Paragraph Char"/>
    <w:link w:val="ListParagraph"/>
    <w:uiPriority w:val="34"/>
    <w:locked/>
    <w:rsid w:val="00A12A51"/>
  </w:style>
  <w:style w:type="paragraph" w:styleId="Title">
    <w:name w:val="Title"/>
    <w:basedOn w:val="Heading1"/>
    <w:next w:val="Normal"/>
    <w:link w:val="TitleChar"/>
    <w:uiPriority w:val="10"/>
    <w:qFormat/>
    <w:rsid w:val="00A12A51"/>
    <w:pPr>
      <w:spacing w:before="240" w:line="240" w:lineRule="auto"/>
      <w:contextualSpacing/>
    </w:pPr>
    <w:rPr>
      <w:rFonts w:asciiTheme="minorHAnsi" w:hAnsiTheme="minorHAnsi" w:cs="Arial"/>
      <w:color w:val="000000" w:themeColor="text1"/>
      <w:szCs w:val="32"/>
      <w:lang w:eastAsia="en-US"/>
    </w:rPr>
  </w:style>
  <w:style w:type="character" w:customStyle="1" w:styleId="TitleChar">
    <w:name w:val="Title Char"/>
    <w:basedOn w:val="DefaultParagraphFont"/>
    <w:link w:val="Title"/>
    <w:uiPriority w:val="10"/>
    <w:rsid w:val="00A12A51"/>
    <w:rPr>
      <w:rFonts w:cs="Arial"/>
      <w:b/>
      <w:bCs/>
      <w:color w:val="000000" w:themeColor="text1"/>
      <w:sz w:val="32"/>
      <w:szCs w:val="32"/>
      <w:lang w:eastAsia="en-US"/>
    </w:rPr>
  </w:style>
  <w:style w:type="paragraph" w:customStyle="1" w:styleId="Answers">
    <w:name w:val="Answers"/>
    <w:basedOn w:val="Normal"/>
    <w:link w:val="AnswersChar"/>
    <w:uiPriority w:val="1"/>
    <w:qFormat/>
    <w:rsid w:val="00A12A51"/>
    <w:pPr>
      <w:spacing w:before="240" w:line="240" w:lineRule="auto"/>
      <w:ind w:left="720"/>
      <w:contextualSpacing/>
    </w:pPr>
    <w:rPr>
      <w:i/>
      <w:iCs/>
      <w:color w:val="000000" w:themeColor="text1"/>
      <w:lang w:eastAsia="en-US"/>
    </w:rPr>
  </w:style>
  <w:style w:type="character" w:customStyle="1" w:styleId="AnswersChar">
    <w:name w:val="Answers Char"/>
    <w:basedOn w:val="DefaultParagraphFont"/>
    <w:link w:val="Answers"/>
    <w:uiPriority w:val="1"/>
    <w:rsid w:val="00A12A51"/>
    <w:rPr>
      <w:i/>
      <w:iCs/>
      <w:color w:val="000000" w:themeColor="text1"/>
      <w:lang w:eastAsia="en-US"/>
    </w:rPr>
  </w:style>
  <w:style w:type="character" w:styleId="UnresolvedMention">
    <w:name w:val="Unresolved Mention"/>
    <w:basedOn w:val="DefaultParagraphFont"/>
    <w:uiPriority w:val="99"/>
    <w:semiHidden/>
    <w:unhideWhenUsed/>
    <w:rsid w:val="00B12884"/>
    <w:rPr>
      <w:color w:val="605E5C"/>
      <w:shd w:val="clear" w:color="auto" w:fill="E1DFDD"/>
    </w:rPr>
  </w:style>
  <w:style w:type="paragraph" w:styleId="Subtitle">
    <w:name w:val="Subtitle"/>
    <w:basedOn w:val="Normal"/>
    <w:next w:val="Normal"/>
    <w:link w:val="SubtitleChar"/>
    <w:uiPriority w:val="11"/>
    <w:qFormat/>
    <w:rsid w:val="009854DF"/>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9854DF"/>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314-cmr-21-massachusetts-watershed-permit-regulations/downloa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ass-eoeea.maps.arcgis.com/apps/webappviewer/index.html?id=96035fe034044e2596b49168b0e35d8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mass.gov/info-details/grants-financial-assistance-watersheds-water-qua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Props1.xml><?xml version="1.0" encoding="utf-8"?>
<ds:datastoreItem xmlns:ds="http://schemas.openxmlformats.org/officeDocument/2006/customXml" ds:itemID="{D8287AB3-2E86-43CB-A3A7-0554397AB7FA}">
  <ds:schemaRefs>
    <ds:schemaRef ds:uri="http://schemas.openxmlformats.org/officeDocument/2006/bibliography"/>
  </ds:schemaRefs>
</ds:datastoreItem>
</file>

<file path=customXml/itemProps2.xml><?xml version="1.0" encoding="utf-8"?>
<ds:datastoreItem xmlns:ds="http://schemas.openxmlformats.org/officeDocument/2006/customXml" ds:itemID="{2D659C34-7469-48DA-AC12-C7A7F435D4E1}"/>
</file>

<file path=customXml/itemProps3.xml><?xml version="1.0" encoding="utf-8"?>
<ds:datastoreItem xmlns:ds="http://schemas.openxmlformats.org/officeDocument/2006/customXml" ds:itemID="{D2BCBE52-A723-4F24-B12E-371A19107286}"/>
</file>

<file path=customXml/itemProps4.xml><?xml version="1.0" encoding="utf-8"?>
<ds:datastoreItem xmlns:ds="http://schemas.openxmlformats.org/officeDocument/2006/customXml" ds:itemID="{B1518E3C-06DF-453C-B673-46B430BD4A57}"/>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Lederman, Michaela (EEA)</dc:creator>
  <cp:keywords/>
  <dc:description/>
  <cp:lastModifiedBy>Starling, Courtney (DEP)</cp:lastModifiedBy>
  <cp:revision>5</cp:revision>
  <dcterms:created xsi:type="dcterms:W3CDTF">2025-10-03T17:45:00Z</dcterms:created>
  <dcterms:modified xsi:type="dcterms:W3CDTF">2025-10-03T17:49:00Z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ies>
</file>