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25E309" w14:textId="661DD8FE" w:rsidR="001B5F73" w:rsidRPr="001B5F73" w:rsidRDefault="001B5F73" w:rsidP="001B5F73">
      <w:pPr>
        <w:pStyle w:val="Heading1"/>
        <w:numPr>
          <w:ilvl w:val="0"/>
          <w:numId w:val="0"/>
        </w:numPr>
        <w:spacing w:after="0"/>
        <w:ind w:left="1354"/>
        <w:contextualSpacing/>
        <w:jc w:val="center"/>
        <w:rPr>
          <w:rFonts w:ascii="Times New Roman" w:hAnsi="Times New Roman"/>
          <w:caps w:val="0"/>
          <w:sz w:val="24"/>
          <w:szCs w:val="24"/>
        </w:rPr>
      </w:pPr>
      <w:bookmarkStart w:id="0" w:name="_Toc459979294"/>
      <w:r>
        <w:rPr>
          <w:rFonts w:ascii="Times New Roman" w:hAnsi="Times New Roman"/>
          <w:caps w:val="0"/>
          <w:sz w:val="24"/>
          <w:szCs w:val="24"/>
        </w:rPr>
        <w:t>MassH</w:t>
      </w:r>
      <w:r w:rsidRPr="001B5F73">
        <w:rPr>
          <w:rFonts w:ascii="Times New Roman" w:hAnsi="Times New Roman"/>
          <w:caps w:val="0"/>
          <w:sz w:val="24"/>
          <w:szCs w:val="24"/>
        </w:rPr>
        <w:t>ealth 1115 Demonstration</w:t>
      </w:r>
    </w:p>
    <w:p w14:paraId="2E57CFFD" w14:textId="72839BB8" w:rsidR="00CA7D8A" w:rsidRPr="001B5F73" w:rsidRDefault="00CA7D8A" w:rsidP="001B5F73">
      <w:pPr>
        <w:pStyle w:val="Heading1"/>
        <w:numPr>
          <w:ilvl w:val="0"/>
          <w:numId w:val="0"/>
        </w:numPr>
        <w:spacing w:after="0"/>
        <w:ind w:left="1354"/>
        <w:contextualSpacing/>
        <w:jc w:val="center"/>
        <w:rPr>
          <w:rFonts w:ascii="Times New Roman" w:hAnsi="Times New Roman"/>
          <w:caps w:val="0"/>
          <w:sz w:val="24"/>
          <w:szCs w:val="24"/>
        </w:rPr>
      </w:pPr>
      <w:r w:rsidRPr="001B5F73">
        <w:rPr>
          <w:rFonts w:ascii="Times New Roman" w:hAnsi="Times New Roman"/>
          <w:caps w:val="0"/>
          <w:sz w:val="24"/>
          <w:szCs w:val="24"/>
        </w:rPr>
        <w:t>Attachment L: Pilot Accountable Care Organization (ACO) Payment Methodology</w:t>
      </w:r>
      <w:bookmarkEnd w:id="0"/>
    </w:p>
    <w:p w14:paraId="79D2F818" w14:textId="77777777" w:rsidR="00CA7D8A" w:rsidRPr="00CA7D8A" w:rsidRDefault="00CA7D8A" w:rsidP="001B5F73">
      <w:pPr>
        <w:pStyle w:val="Heading1"/>
        <w:numPr>
          <w:ilvl w:val="0"/>
          <w:numId w:val="0"/>
        </w:numPr>
        <w:spacing w:after="0"/>
        <w:ind w:left="1354"/>
        <w:contextualSpacing/>
        <w:rPr>
          <w:b w:val="0"/>
        </w:rPr>
      </w:pPr>
    </w:p>
    <w:sdt>
      <w:sdtPr>
        <w:rPr>
          <w:rFonts w:ascii="Times New Roman" w:eastAsiaTheme="minorHAnsi" w:hAnsi="Times New Roman" w:cs="Times New Roman"/>
          <w:b w:val="0"/>
          <w:bCs w:val="0"/>
          <w:color w:val="auto"/>
          <w:sz w:val="24"/>
          <w:szCs w:val="24"/>
        </w:rPr>
        <w:id w:val="873276630"/>
        <w:docPartObj>
          <w:docPartGallery w:val="Table of Contents"/>
          <w:docPartUnique/>
        </w:docPartObj>
      </w:sdtPr>
      <w:sdtEndPr>
        <w:rPr>
          <w:rFonts w:eastAsia="Calibri"/>
          <w:noProof/>
        </w:rPr>
      </w:sdtEndPr>
      <w:sdtContent>
        <w:p w14:paraId="2D84B318" w14:textId="77777777" w:rsidR="00CA7D8A" w:rsidRPr="00CA7D8A" w:rsidRDefault="00CA7D8A" w:rsidP="00CA7D8A">
          <w:pPr>
            <w:pStyle w:val="TOCHeading"/>
            <w:rPr>
              <w:rFonts w:ascii="Times New Roman" w:hAnsi="Times New Roman" w:cs="Times New Roman"/>
              <w:b w:val="0"/>
              <w:sz w:val="24"/>
              <w:szCs w:val="24"/>
            </w:rPr>
          </w:pPr>
          <w:r w:rsidRPr="00CA7D8A">
            <w:rPr>
              <w:rFonts w:ascii="Times New Roman" w:hAnsi="Times New Roman" w:cs="Times New Roman"/>
              <w:b w:val="0"/>
              <w:sz w:val="24"/>
              <w:szCs w:val="24"/>
            </w:rPr>
            <w:t>Contents</w:t>
          </w:r>
        </w:p>
        <w:p w14:paraId="56D77BA8" w14:textId="77777777" w:rsidR="00CA7D8A" w:rsidRPr="00CA7D8A" w:rsidRDefault="00CA7D8A" w:rsidP="00CA7D8A">
          <w:pPr>
            <w:pStyle w:val="TOC1"/>
            <w:tabs>
              <w:tab w:val="right" w:leader="dot" w:pos="9350"/>
            </w:tabs>
            <w:rPr>
              <w:rFonts w:ascii="Times New Roman" w:eastAsiaTheme="minorEastAsia" w:hAnsi="Times New Roman" w:cs="Times New Roman"/>
              <w:noProof/>
              <w:sz w:val="24"/>
              <w:szCs w:val="24"/>
            </w:rPr>
          </w:pPr>
          <w:r w:rsidRPr="00CA7D8A">
            <w:rPr>
              <w:rFonts w:ascii="Times New Roman" w:hAnsi="Times New Roman" w:cs="Times New Roman"/>
              <w:sz w:val="24"/>
              <w:szCs w:val="24"/>
            </w:rPr>
            <w:fldChar w:fldCharType="begin"/>
          </w:r>
          <w:r w:rsidRPr="00CA7D8A">
            <w:rPr>
              <w:rFonts w:ascii="Times New Roman" w:hAnsi="Times New Roman" w:cs="Times New Roman"/>
              <w:sz w:val="24"/>
              <w:szCs w:val="24"/>
            </w:rPr>
            <w:instrText xml:space="preserve"> TOC \o "1-3" \h \z \u </w:instrText>
          </w:r>
          <w:r w:rsidRPr="00CA7D8A">
            <w:rPr>
              <w:rFonts w:ascii="Times New Roman" w:hAnsi="Times New Roman" w:cs="Times New Roman"/>
              <w:sz w:val="24"/>
              <w:szCs w:val="24"/>
            </w:rPr>
            <w:fldChar w:fldCharType="separate"/>
          </w:r>
          <w:hyperlink w:anchor="_Toc459979294" w:history="1">
            <w:r w:rsidRPr="00CA7D8A">
              <w:rPr>
                <w:rStyle w:val="Hyperlink"/>
                <w:rFonts w:ascii="Times New Roman" w:hAnsi="Times New Roman"/>
                <w:noProof/>
                <w:sz w:val="24"/>
                <w:szCs w:val="24"/>
              </w:rPr>
              <w:t>Pilot Accountable Care Organization (ACO) Payment Methodology</w:t>
            </w:r>
            <w:r w:rsidRPr="00CA7D8A">
              <w:rPr>
                <w:rFonts w:ascii="Times New Roman" w:hAnsi="Times New Roman" w:cs="Times New Roman"/>
                <w:noProof/>
                <w:webHidden/>
                <w:sz w:val="24"/>
                <w:szCs w:val="24"/>
              </w:rPr>
              <w:tab/>
            </w:r>
            <w:r w:rsidRPr="00CA7D8A">
              <w:rPr>
                <w:rFonts w:ascii="Times New Roman" w:hAnsi="Times New Roman" w:cs="Times New Roman"/>
                <w:noProof/>
                <w:webHidden/>
                <w:sz w:val="24"/>
                <w:szCs w:val="24"/>
              </w:rPr>
              <w:fldChar w:fldCharType="begin"/>
            </w:r>
            <w:r w:rsidRPr="00CA7D8A">
              <w:rPr>
                <w:rFonts w:ascii="Times New Roman" w:hAnsi="Times New Roman" w:cs="Times New Roman"/>
                <w:noProof/>
                <w:webHidden/>
                <w:sz w:val="24"/>
                <w:szCs w:val="24"/>
              </w:rPr>
              <w:instrText xml:space="preserve"> PAGEREF _Toc459979294 \h </w:instrText>
            </w:r>
            <w:r w:rsidRPr="00CA7D8A">
              <w:rPr>
                <w:rFonts w:ascii="Times New Roman" w:hAnsi="Times New Roman" w:cs="Times New Roman"/>
                <w:noProof/>
                <w:webHidden/>
                <w:sz w:val="24"/>
                <w:szCs w:val="24"/>
              </w:rPr>
            </w:r>
            <w:r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1</w:t>
            </w:r>
            <w:r w:rsidRPr="00CA7D8A">
              <w:rPr>
                <w:rFonts w:ascii="Times New Roman" w:hAnsi="Times New Roman" w:cs="Times New Roman"/>
                <w:noProof/>
                <w:webHidden/>
                <w:sz w:val="24"/>
                <w:szCs w:val="24"/>
              </w:rPr>
              <w:fldChar w:fldCharType="end"/>
            </w:r>
          </w:hyperlink>
        </w:p>
        <w:p w14:paraId="23AFB101" w14:textId="2BF21C8B" w:rsidR="00CA7D8A" w:rsidRPr="00CA7D8A" w:rsidRDefault="00697DEE" w:rsidP="00CA7D8A">
          <w:pPr>
            <w:pStyle w:val="TOC2"/>
            <w:tabs>
              <w:tab w:val="right" w:leader="dot" w:pos="9350"/>
            </w:tabs>
            <w:rPr>
              <w:rFonts w:ascii="Times New Roman" w:eastAsiaTheme="minorEastAsia" w:hAnsi="Times New Roman" w:cs="Times New Roman"/>
              <w:noProof/>
              <w:sz w:val="24"/>
              <w:szCs w:val="24"/>
            </w:rPr>
          </w:pPr>
          <w:hyperlink w:anchor="_Toc459979295" w:history="1">
            <w:r w:rsidR="00CA7D8A" w:rsidRPr="00CA7D8A">
              <w:rPr>
                <w:rStyle w:val="Hyperlink"/>
                <w:rFonts w:ascii="Times New Roman" w:hAnsi="Times New Roman"/>
                <w:noProof/>
                <w:sz w:val="24"/>
                <w:szCs w:val="24"/>
              </w:rPr>
              <w:t>Section 1. Eligible and Enrolled Population</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_Toc459979295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2</w:t>
            </w:r>
            <w:r w:rsidR="00CA7D8A" w:rsidRPr="00CA7D8A">
              <w:rPr>
                <w:rFonts w:ascii="Times New Roman" w:hAnsi="Times New Roman" w:cs="Times New Roman"/>
                <w:noProof/>
                <w:webHidden/>
                <w:sz w:val="24"/>
                <w:szCs w:val="24"/>
              </w:rPr>
              <w:fldChar w:fldCharType="end"/>
            </w:r>
          </w:hyperlink>
        </w:p>
        <w:p w14:paraId="26262617" w14:textId="023DBEFE"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296" w:history="1">
            <w:r w:rsidR="00CA7D8A" w:rsidRPr="00CA7D8A">
              <w:rPr>
                <w:rStyle w:val="Hyperlink"/>
                <w:rFonts w:ascii="Times New Roman" w:hAnsi="Times New Roman"/>
                <w:noProof/>
                <w:sz w:val="24"/>
                <w:szCs w:val="24"/>
              </w:rPr>
              <w:t>1.1. Performance Period</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_Toc459979296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2</w:t>
            </w:r>
            <w:r w:rsidR="00CA7D8A" w:rsidRPr="00CA7D8A">
              <w:rPr>
                <w:rFonts w:ascii="Times New Roman" w:hAnsi="Times New Roman" w:cs="Times New Roman"/>
                <w:noProof/>
                <w:webHidden/>
                <w:sz w:val="24"/>
                <w:szCs w:val="24"/>
              </w:rPr>
              <w:fldChar w:fldCharType="end"/>
            </w:r>
          </w:hyperlink>
        </w:p>
        <w:p w14:paraId="20901913" w14:textId="15D4B61F"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297" w:history="1">
            <w:r w:rsidR="00CA7D8A" w:rsidRPr="00CA7D8A">
              <w:rPr>
                <w:rStyle w:val="Hyperlink"/>
                <w:rFonts w:ascii="Times New Roman" w:hAnsi="Times New Roman"/>
                <w:noProof/>
                <w:sz w:val="24"/>
                <w:szCs w:val="24"/>
              </w:rPr>
              <w:t>1.2. Member eligibility</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_Toc459979297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2</w:t>
            </w:r>
            <w:r w:rsidR="00CA7D8A" w:rsidRPr="00CA7D8A">
              <w:rPr>
                <w:rFonts w:ascii="Times New Roman" w:hAnsi="Times New Roman" w:cs="Times New Roman"/>
                <w:noProof/>
                <w:webHidden/>
                <w:sz w:val="24"/>
                <w:szCs w:val="24"/>
              </w:rPr>
              <w:fldChar w:fldCharType="end"/>
            </w:r>
          </w:hyperlink>
        </w:p>
        <w:p w14:paraId="531EA3C6" w14:textId="1C5B7E4F"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298" w:history="1">
            <w:r w:rsidR="00CA7D8A" w:rsidRPr="00CA7D8A">
              <w:rPr>
                <w:rStyle w:val="Hyperlink"/>
                <w:rFonts w:ascii="Times New Roman" w:hAnsi="Times New Roman"/>
                <w:noProof/>
                <w:sz w:val="24"/>
                <w:szCs w:val="24"/>
              </w:rPr>
              <w:t>1.3. Member attribution to ACO</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_Toc459979298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3</w:t>
            </w:r>
            <w:r w:rsidR="00CA7D8A" w:rsidRPr="00CA7D8A">
              <w:rPr>
                <w:rFonts w:ascii="Times New Roman" w:hAnsi="Times New Roman" w:cs="Times New Roman"/>
                <w:noProof/>
                <w:webHidden/>
                <w:sz w:val="24"/>
                <w:szCs w:val="24"/>
              </w:rPr>
              <w:fldChar w:fldCharType="end"/>
            </w:r>
          </w:hyperlink>
        </w:p>
        <w:p w14:paraId="597DD3C5" w14:textId="7D096C45" w:rsidR="00CA7D8A" w:rsidRPr="00CA7D8A" w:rsidRDefault="00697DEE" w:rsidP="00CA7D8A">
          <w:pPr>
            <w:pStyle w:val="TOC2"/>
            <w:tabs>
              <w:tab w:val="right" w:leader="dot" w:pos="9350"/>
            </w:tabs>
            <w:rPr>
              <w:rFonts w:ascii="Times New Roman" w:eastAsiaTheme="minorEastAsia" w:hAnsi="Times New Roman" w:cs="Times New Roman"/>
              <w:noProof/>
              <w:sz w:val="24"/>
              <w:szCs w:val="24"/>
            </w:rPr>
          </w:pPr>
          <w:hyperlink w:anchor="_Toc459979299" w:history="1">
            <w:r w:rsidR="00CA7D8A" w:rsidRPr="00CA7D8A">
              <w:rPr>
                <w:rStyle w:val="Hyperlink"/>
                <w:rFonts w:ascii="Times New Roman" w:hAnsi="Times New Roman"/>
                <w:noProof/>
                <w:sz w:val="24"/>
                <w:szCs w:val="24"/>
              </w:rPr>
              <w:t>Section 2. Services included in Total Cost of Care (TCOC)</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_Toc459979299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3</w:t>
            </w:r>
            <w:r w:rsidR="00CA7D8A" w:rsidRPr="00CA7D8A">
              <w:rPr>
                <w:rFonts w:ascii="Times New Roman" w:hAnsi="Times New Roman" w:cs="Times New Roman"/>
                <w:noProof/>
                <w:webHidden/>
                <w:sz w:val="24"/>
                <w:szCs w:val="24"/>
              </w:rPr>
              <w:fldChar w:fldCharType="end"/>
            </w:r>
          </w:hyperlink>
        </w:p>
        <w:p w14:paraId="4B321B89" w14:textId="6D8B8F85"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00" w:history="1">
            <w:r w:rsidR="00CA7D8A" w:rsidRPr="00CA7D8A">
              <w:rPr>
                <w:rStyle w:val="Hyperlink"/>
                <w:rFonts w:ascii="Times New Roman" w:hAnsi="Times New Roman"/>
                <w:noProof/>
                <w:sz w:val="24"/>
                <w:szCs w:val="24"/>
              </w:rPr>
              <w:t>2.1. List of covered services</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_Toc459979300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3</w:t>
            </w:r>
            <w:r w:rsidR="00CA7D8A" w:rsidRPr="00CA7D8A">
              <w:rPr>
                <w:rFonts w:ascii="Times New Roman" w:hAnsi="Times New Roman" w:cs="Times New Roman"/>
                <w:noProof/>
                <w:webHidden/>
                <w:sz w:val="24"/>
                <w:szCs w:val="24"/>
              </w:rPr>
              <w:fldChar w:fldCharType="end"/>
            </w:r>
          </w:hyperlink>
        </w:p>
        <w:p w14:paraId="5C5730FB" w14:textId="1E0DD648"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01" w:history="1">
            <w:r w:rsidR="00CA7D8A" w:rsidRPr="00CA7D8A">
              <w:rPr>
                <w:rStyle w:val="Hyperlink"/>
                <w:rFonts w:ascii="Times New Roman" w:hAnsi="Times New Roman"/>
                <w:noProof/>
                <w:sz w:val="24"/>
                <w:szCs w:val="24"/>
              </w:rPr>
              <w:t>2.2. Excluded services</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_Toc459979301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4</w:t>
            </w:r>
            <w:r w:rsidR="00CA7D8A" w:rsidRPr="00CA7D8A">
              <w:rPr>
                <w:rFonts w:ascii="Times New Roman" w:hAnsi="Times New Roman" w:cs="Times New Roman"/>
                <w:noProof/>
                <w:webHidden/>
                <w:sz w:val="24"/>
                <w:szCs w:val="24"/>
              </w:rPr>
              <w:fldChar w:fldCharType="end"/>
            </w:r>
          </w:hyperlink>
        </w:p>
        <w:p w14:paraId="17FF01B3" w14:textId="13E25077" w:rsidR="00CA7D8A" w:rsidRPr="00CA7D8A" w:rsidRDefault="00697DEE" w:rsidP="00CA7D8A">
          <w:pPr>
            <w:pStyle w:val="TOC2"/>
            <w:tabs>
              <w:tab w:val="right" w:leader="dot" w:pos="9350"/>
            </w:tabs>
            <w:rPr>
              <w:rFonts w:ascii="Times New Roman" w:eastAsiaTheme="minorEastAsia" w:hAnsi="Times New Roman" w:cs="Times New Roman"/>
              <w:noProof/>
              <w:sz w:val="24"/>
              <w:szCs w:val="24"/>
            </w:rPr>
          </w:pPr>
          <w:hyperlink w:anchor="_Toc459979302" w:history="1">
            <w:r w:rsidR="00CA7D8A" w:rsidRPr="00CA7D8A">
              <w:rPr>
                <w:rStyle w:val="Hyperlink"/>
                <w:rFonts w:ascii="Times New Roman" w:hAnsi="Times New Roman"/>
                <w:noProof/>
                <w:sz w:val="24"/>
                <w:szCs w:val="24"/>
              </w:rPr>
              <w:t>Section 3. Calculation of TCOC target</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_Toc459979302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4</w:t>
            </w:r>
            <w:r w:rsidR="00CA7D8A" w:rsidRPr="00CA7D8A">
              <w:rPr>
                <w:rFonts w:ascii="Times New Roman" w:hAnsi="Times New Roman" w:cs="Times New Roman"/>
                <w:noProof/>
                <w:webHidden/>
                <w:sz w:val="24"/>
                <w:szCs w:val="24"/>
              </w:rPr>
              <w:fldChar w:fldCharType="end"/>
            </w:r>
          </w:hyperlink>
        </w:p>
        <w:p w14:paraId="2CF0F4D0" w14:textId="6C35A392"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03" w:history="1">
            <w:r w:rsidR="00CA7D8A" w:rsidRPr="00CA7D8A">
              <w:rPr>
                <w:rStyle w:val="Hyperlink"/>
                <w:rFonts w:ascii="Times New Roman" w:hAnsi="Times New Roman"/>
                <w:noProof/>
                <w:sz w:val="24"/>
                <w:szCs w:val="24"/>
              </w:rPr>
              <w:t>3.1. Base data</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_Toc459979303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4</w:t>
            </w:r>
            <w:r w:rsidR="00CA7D8A" w:rsidRPr="00CA7D8A">
              <w:rPr>
                <w:rFonts w:ascii="Times New Roman" w:hAnsi="Times New Roman" w:cs="Times New Roman"/>
                <w:noProof/>
                <w:webHidden/>
                <w:sz w:val="24"/>
                <w:szCs w:val="24"/>
              </w:rPr>
              <w:fldChar w:fldCharType="end"/>
            </w:r>
          </w:hyperlink>
        </w:p>
        <w:p w14:paraId="32EC9FA9" w14:textId="60D0F6AC"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04" w:history="1">
            <w:r w:rsidR="00CA7D8A" w:rsidRPr="00CA7D8A">
              <w:rPr>
                <w:rStyle w:val="Hyperlink"/>
                <w:rFonts w:ascii="Times New Roman" w:hAnsi="Times New Roman"/>
                <w:noProof/>
                <w:sz w:val="24"/>
                <w:szCs w:val="24"/>
              </w:rPr>
              <w:t>3.2. Risk/acuity adjustment</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_Toc459979304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5</w:t>
            </w:r>
            <w:r w:rsidR="00CA7D8A" w:rsidRPr="00CA7D8A">
              <w:rPr>
                <w:rFonts w:ascii="Times New Roman" w:hAnsi="Times New Roman" w:cs="Times New Roman"/>
                <w:noProof/>
                <w:webHidden/>
                <w:sz w:val="24"/>
                <w:szCs w:val="24"/>
              </w:rPr>
              <w:fldChar w:fldCharType="end"/>
            </w:r>
          </w:hyperlink>
        </w:p>
        <w:p w14:paraId="3AB5F6E7" w14:textId="4B940E35"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05" w:history="1">
            <w:r w:rsidR="00CA7D8A" w:rsidRPr="00CA7D8A">
              <w:rPr>
                <w:rStyle w:val="Hyperlink"/>
                <w:rFonts w:ascii="Times New Roman" w:hAnsi="Times New Roman"/>
                <w:noProof/>
                <w:sz w:val="24"/>
                <w:szCs w:val="24"/>
              </w:rPr>
              <w:t>3.3. Stop-loss adjustment</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_Toc459979305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5</w:t>
            </w:r>
            <w:r w:rsidR="00CA7D8A" w:rsidRPr="00CA7D8A">
              <w:rPr>
                <w:rFonts w:ascii="Times New Roman" w:hAnsi="Times New Roman" w:cs="Times New Roman"/>
                <w:noProof/>
                <w:webHidden/>
                <w:sz w:val="24"/>
                <w:szCs w:val="24"/>
              </w:rPr>
              <w:fldChar w:fldCharType="end"/>
            </w:r>
          </w:hyperlink>
        </w:p>
        <w:p w14:paraId="71CDD3F5" w14:textId="09F1EC69"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06" w:history="1">
            <w:r w:rsidR="00CA7D8A" w:rsidRPr="00CA7D8A">
              <w:rPr>
                <w:rStyle w:val="Hyperlink"/>
                <w:rFonts w:ascii="Times New Roman" w:hAnsi="Times New Roman"/>
                <w:noProof/>
                <w:sz w:val="24"/>
                <w:szCs w:val="24"/>
              </w:rPr>
              <w:t>3.4. Trend</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_Toc459979306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5</w:t>
            </w:r>
            <w:r w:rsidR="00CA7D8A" w:rsidRPr="00CA7D8A">
              <w:rPr>
                <w:rFonts w:ascii="Times New Roman" w:hAnsi="Times New Roman" w:cs="Times New Roman"/>
                <w:noProof/>
                <w:webHidden/>
                <w:sz w:val="24"/>
                <w:szCs w:val="24"/>
              </w:rPr>
              <w:fldChar w:fldCharType="end"/>
            </w:r>
          </w:hyperlink>
        </w:p>
        <w:p w14:paraId="00494842" w14:textId="210733DD"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07" w:history="1">
            <w:r w:rsidR="00CA7D8A" w:rsidRPr="00CA7D8A">
              <w:rPr>
                <w:rStyle w:val="Hyperlink"/>
                <w:rFonts w:ascii="Times New Roman" w:hAnsi="Times New Roman"/>
                <w:noProof/>
                <w:sz w:val="24"/>
                <w:szCs w:val="24"/>
              </w:rPr>
              <w:t xml:space="preserve">Other sources of information are reviewed, as needed, such as regional and national economic indicators that can provide broad perspectives of industry trends in the United States and in the Northeast. </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_Toc459979307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5</w:t>
            </w:r>
            <w:r w:rsidR="00CA7D8A" w:rsidRPr="00CA7D8A">
              <w:rPr>
                <w:rFonts w:ascii="Times New Roman" w:hAnsi="Times New Roman" w:cs="Times New Roman"/>
                <w:noProof/>
                <w:webHidden/>
                <w:sz w:val="24"/>
                <w:szCs w:val="24"/>
              </w:rPr>
              <w:fldChar w:fldCharType="end"/>
            </w:r>
          </w:hyperlink>
        </w:p>
        <w:p w14:paraId="1665AEF9" w14:textId="2C5D7636"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08" w:history="1">
            <w:r w:rsidR="00CA7D8A" w:rsidRPr="00CA7D8A">
              <w:rPr>
                <w:rStyle w:val="Hyperlink"/>
                <w:rFonts w:ascii="Times New Roman" w:hAnsi="Times New Roman"/>
                <w:noProof/>
                <w:sz w:val="24"/>
                <w:szCs w:val="24"/>
              </w:rPr>
              <w:t>3.5. Program changes</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_Toc459979308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6</w:t>
            </w:r>
            <w:r w:rsidR="00CA7D8A" w:rsidRPr="00CA7D8A">
              <w:rPr>
                <w:rFonts w:ascii="Times New Roman" w:hAnsi="Times New Roman" w:cs="Times New Roman"/>
                <w:noProof/>
                <w:webHidden/>
                <w:sz w:val="24"/>
                <w:szCs w:val="24"/>
              </w:rPr>
              <w:fldChar w:fldCharType="end"/>
            </w:r>
          </w:hyperlink>
        </w:p>
        <w:p w14:paraId="55F63344" w14:textId="188CAFB0"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09" w:history="1">
            <w:r w:rsidR="00CA7D8A" w:rsidRPr="00CA7D8A">
              <w:rPr>
                <w:rStyle w:val="Hyperlink"/>
                <w:rFonts w:ascii="Times New Roman" w:hAnsi="Times New Roman"/>
                <w:noProof/>
                <w:sz w:val="24"/>
                <w:szCs w:val="24"/>
              </w:rPr>
              <w:t>MassHealth will account for program changes occurring between the base and performance periods that are expected to affect the TCOC. Data will be adjusted for any known programmatic, benefit, fee, population changes occurring between the base period and the performance period. 3.6. Seasonality</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_Toc459979309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6</w:t>
            </w:r>
            <w:r w:rsidR="00CA7D8A" w:rsidRPr="00CA7D8A">
              <w:rPr>
                <w:rFonts w:ascii="Times New Roman" w:hAnsi="Times New Roman" w:cs="Times New Roman"/>
                <w:noProof/>
                <w:webHidden/>
                <w:sz w:val="24"/>
                <w:szCs w:val="24"/>
              </w:rPr>
              <w:fldChar w:fldCharType="end"/>
            </w:r>
          </w:hyperlink>
        </w:p>
        <w:p w14:paraId="6119915F" w14:textId="683CC402" w:rsidR="00CA7D8A" w:rsidRPr="00CA7D8A" w:rsidRDefault="00697DEE" w:rsidP="00CA7D8A">
          <w:pPr>
            <w:pStyle w:val="TOC2"/>
            <w:tabs>
              <w:tab w:val="right" w:leader="dot" w:pos="9350"/>
            </w:tabs>
            <w:rPr>
              <w:rFonts w:ascii="Times New Roman" w:eastAsiaTheme="minorEastAsia" w:hAnsi="Times New Roman" w:cs="Times New Roman"/>
              <w:noProof/>
              <w:sz w:val="24"/>
              <w:szCs w:val="24"/>
            </w:rPr>
          </w:pPr>
          <w:hyperlink w:anchor="_Toc459979310" w:history="1">
            <w:r w:rsidR="00CA7D8A" w:rsidRPr="00CA7D8A">
              <w:rPr>
                <w:rStyle w:val="Hyperlink"/>
                <w:rFonts w:ascii="Times New Roman" w:hAnsi="Times New Roman"/>
                <w:noProof/>
                <w:sz w:val="24"/>
                <w:szCs w:val="24"/>
              </w:rPr>
              <w:t>Section 4. Calculation of shared savings and losses</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_Toc459979310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6</w:t>
            </w:r>
            <w:r w:rsidR="00CA7D8A" w:rsidRPr="00CA7D8A">
              <w:rPr>
                <w:rFonts w:ascii="Times New Roman" w:hAnsi="Times New Roman" w:cs="Times New Roman"/>
                <w:noProof/>
                <w:webHidden/>
                <w:sz w:val="24"/>
                <w:szCs w:val="24"/>
              </w:rPr>
              <w:fldChar w:fldCharType="end"/>
            </w:r>
          </w:hyperlink>
        </w:p>
        <w:p w14:paraId="2CEADB7B" w14:textId="7E386F18"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11" w:history="1">
            <w:r w:rsidR="00CA7D8A" w:rsidRPr="00CA7D8A">
              <w:rPr>
                <w:rStyle w:val="Hyperlink"/>
                <w:rFonts w:ascii="Times New Roman" w:hAnsi="Times New Roman"/>
                <w:noProof/>
                <w:sz w:val="24"/>
                <w:szCs w:val="24"/>
              </w:rPr>
              <w:t>4.1. Retrospective calculation of TCOC performance and savings / losses</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_Toc459979311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6</w:t>
            </w:r>
            <w:r w:rsidR="00CA7D8A" w:rsidRPr="00CA7D8A">
              <w:rPr>
                <w:rFonts w:ascii="Times New Roman" w:hAnsi="Times New Roman" w:cs="Times New Roman"/>
                <w:noProof/>
                <w:webHidden/>
                <w:sz w:val="24"/>
                <w:szCs w:val="24"/>
              </w:rPr>
              <w:fldChar w:fldCharType="end"/>
            </w:r>
          </w:hyperlink>
        </w:p>
        <w:p w14:paraId="48F2BBB9" w14:textId="560ADAE9"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12" w:history="1">
            <w:r w:rsidR="00CA7D8A" w:rsidRPr="00CA7D8A">
              <w:rPr>
                <w:rStyle w:val="Hyperlink"/>
                <w:rFonts w:ascii="Times New Roman" w:hAnsi="Times New Roman"/>
                <w:noProof/>
                <w:sz w:val="24"/>
                <w:szCs w:val="24"/>
              </w:rPr>
              <w:t>4.2. Determination of shared portion of savings / losses</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_Toc459979312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7</w:t>
            </w:r>
            <w:r w:rsidR="00CA7D8A" w:rsidRPr="00CA7D8A">
              <w:rPr>
                <w:rFonts w:ascii="Times New Roman" w:hAnsi="Times New Roman" w:cs="Times New Roman"/>
                <w:noProof/>
                <w:webHidden/>
                <w:sz w:val="24"/>
                <w:szCs w:val="24"/>
              </w:rPr>
              <w:fldChar w:fldCharType="end"/>
            </w:r>
          </w:hyperlink>
        </w:p>
        <w:p w14:paraId="23189155" w14:textId="797D0BC3" w:rsidR="00CA7D8A" w:rsidRPr="00CA7D8A" w:rsidRDefault="00697DEE" w:rsidP="00CA7D8A">
          <w:pPr>
            <w:pStyle w:val="TOC3"/>
            <w:tabs>
              <w:tab w:val="right" w:leader="dot" w:pos="9350"/>
            </w:tabs>
            <w:rPr>
              <w:rFonts w:ascii="Times New Roman" w:eastAsiaTheme="minorEastAsia" w:hAnsi="Times New Roman" w:cs="Times New Roman"/>
              <w:noProof/>
              <w:sz w:val="24"/>
              <w:szCs w:val="24"/>
            </w:rPr>
          </w:pPr>
          <w:hyperlink w:anchor="_Toc459979313" w:history="1">
            <w:r w:rsidR="00CA7D8A" w:rsidRPr="00CA7D8A">
              <w:rPr>
                <w:rStyle w:val="Hyperlink"/>
                <w:rFonts w:ascii="Times New Roman" w:hAnsi="Times New Roman"/>
                <w:noProof/>
                <w:sz w:val="24"/>
                <w:szCs w:val="24"/>
              </w:rPr>
              <w:t>4.3. Impact of quality reporting on shared savings / losses</w:t>
            </w:r>
            <w:r w:rsidR="00CA7D8A" w:rsidRPr="00CA7D8A">
              <w:rPr>
                <w:rFonts w:ascii="Times New Roman" w:hAnsi="Times New Roman" w:cs="Times New Roman"/>
                <w:noProof/>
                <w:webHidden/>
                <w:sz w:val="24"/>
                <w:szCs w:val="24"/>
              </w:rPr>
              <w:tab/>
            </w:r>
            <w:r w:rsidR="00CA7D8A" w:rsidRPr="00CA7D8A">
              <w:rPr>
                <w:rFonts w:ascii="Times New Roman" w:hAnsi="Times New Roman" w:cs="Times New Roman"/>
                <w:noProof/>
                <w:webHidden/>
                <w:sz w:val="24"/>
                <w:szCs w:val="24"/>
              </w:rPr>
              <w:fldChar w:fldCharType="begin"/>
            </w:r>
            <w:r w:rsidR="00CA7D8A" w:rsidRPr="00CA7D8A">
              <w:rPr>
                <w:rFonts w:ascii="Times New Roman" w:hAnsi="Times New Roman" w:cs="Times New Roman"/>
                <w:noProof/>
                <w:webHidden/>
                <w:sz w:val="24"/>
                <w:szCs w:val="24"/>
              </w:rPr>
              <w:instrText xml:space="preserve"> PAGEREF _Toc459979313 \h </w:instrText>
            </w:r>
            <w:r w:rsidR="00CA7D8A" w:rsidRPr="00CA7D8A">
              <w:rPr>
                <w:rFonts w:ascii="Times New Roman" w:hAnsi="Times New Roman" w:cs="Times New Roman"/>
                <w:noProof/>
                <w:webHidden/>
                <w:sz w:val="24"/>
                <w:szCs w:val="24"/>
              </w:rPr>
            </w:r>
            <w:r w:rsidR="00CA7D8A" w:rsidRPr="00CA7D8A">
              <w:rPr>
                <w:rFonts w:ascii="Times New Roman" w:hAnsi="Times New Roman" w:cs="Times New Roman"/>
                <w:noProof/>
                <w:webHidden/>
                <w:sz w:val="24"/>
                <w:szCs w:val="24"/>
              </w:rPr>
              <w:fldChar w:fldCharType="separate"/>
            </w:r>
            <w:r w:rsidR="002F3A70">
              <w:rPr>
                <w:rFonts w:ascii="Times New Roman" w:hAnsi="Times New Roman" w:cs="Times New Roman"/>
                <w:noProof/>
                <w:webHidden/>
                <w:sz w:val="24"/>
                <w:szCs w:val="24"/>
              </w:rPr>
              <w:t>7</w:t>
            </w:r>
            <w:r w:rsidR="00CA7D8A" w:rsidRPr="00CA7D8A">
              <w:rPr>
                <w:rFonts w:ascii="Times New Roman" w:hAnsi="Times New Roman" w:cs="Times New Roman"/>
                <w:noProof/>
                <w:webHidden/>
                <w:sz w:val="24"/>
                <w:szCs w:val="24"/>
              </w:rPr>
              <w:fldChar w:fldCharType="end"/>
            </w:r>
          </w:hyperlink>
        </w:p>
        <w:p w14:paraId="008C3DA7" w14:textId="77777777" w:rsidR="00CA7D8A" w:rsidRPr="00CA7D8A" w:rsidRDefault="00CA7D8A" w:rsidP="00CA7D8A">
          <w:pPr>
            <w:rPr>
              <w:rFonts w:ascii="Times New Roman" w:hAnsi="Times New Roman"/>
              <w:bCs/>
              <w:noProof/>
              <w:sz w:val="24"/>
              <w:szCs w:val="24"/>
            </w:rPr>
          </w:pPr>
          <w:r w:rsidRPr="00CA7D8A">
            <w:rPr>
              <w:rFonts w:ascii="Times New Roman" w:hAnsi="Times New Roman"/>
              <w:bCs/>
              <w:noProof/>
              <w:sz w:val="24"/>
              <w:szCs w:val="24"/>
            </w:rPr>
            <w:fldChar w:fldCharType="end"/>
          </w:r>
        </w:p>
      </w:sdtContent>
    </w:sdt>
    <w:p w14:paraId="1F25E5FE" w14:textId="77777777" w:rsidR="00CA7D8A" w:rsidRPr="00CA7D8A" w:rsidRDefault="00CA7D8A" w:rsidP="00CA7D8A">
      <w:pPr>
        <w:rPr>
          <w:rFonts w:ascii="Times New Roman" w:hAnsi="Times New Roman"/>
          <w:i/>
          <w:sz w:val="24"/>
          <w:szCs w:val="24"/>
        </w:rPr>
      </w:pPr>
      <w:r w:rsidRPr="00CA7D8A">
        <w:rPr>
          <w:rFonts w:ascii="Times New Roman" w:hAnsi="Times New Roman"/>
          <w:bCs/>
          <w:i/>
          <w:noProof/>
          <w:sz w:val="24"/>
          <w:szCs w:val="24"/>
        </w:rPr>
        <w:t>Note:</w:t>
      </w:r>
      <w:r w:rsidRPr="00CA7D8A">
        <w:rPr>
          <w:rFonts w:ascii="Times New Roman" w:hAnsi="Times New Roman"/>
          <w:bCs/>
          <w:noProof/>
          <w:sz w:val="24"/>
          <w:szCs w:val="24"/>
        </w:rPr>
        <w:t xml:space="preserve"> </w:t>
      </w:r>
      <w:r w:rsidRPr="00CA7D8A">
        <w:rPr>
          <w:rFonts w:ascii="Times New Roman" w:hAnsi="Times New Roman"/>
          <w:bCs/>
          <w:i/>
          <w:noProof/>
          <w:sz w:val="24"/>
          <w:szCs w:val="24"/>
        </w:rPr>
        <w:t xml:space="preserve">The methodology described in this attachment is wholly distinct from the methodology </w:t>
      </w:r>
      <w:r w:rsidRPr="00CA7D8A">
        <w:rPr>
          <w:rFonts w:ascii="Times New Roman" w:hAnsi="Times New Roman"/>
          <w:bCs/>
          <w:i/>
          <w:noProof/>
          <w:sz w:val="24"/>
          <w:szCs w:val="24"/>
        </w:rPr>
        <w:lastRenderedPageBreak/>
        <w:t xml:space="preserve">used for the full implementaiton of MassHealth’s ACO program rolling out </w:t>
      </w:r>
      <w:r w:rsidR="00C044BC">
        <w:rPr>
          <w:rFonts w:ascii="Times New Roman" w:hAnsi="Times New Roman"/>
          <w:bCs/>
          <w:i/>
          <w:noProof/>
          <w:sz w:val="24"/>
          <w:szCs w:val="24"/>
        </w:rPr>
        <w:t>late</w:t>
      </w:r>
      <w:r w:rsidRPr="00CA7D8A">
        <w:rPr>
          <w:rFonts w:ascii="Times New Roman" w:hAnsi="Times New Roman"/>
          <w:bCs/>
          <w:i/>
          <w:noProof/>
          <w:sz w:val="24"/>
          <w:szCs w:val="24"/>
        </w:rPr>
        <w:t xml:space="preserve"> 2017.</w:t>
      </w:r>
    </w:p>
    <w:p w14:paraId="0BF50F34" w14:textId="77777777" w:rsidR="00CA7D8A" w:rsidRPr="00CA7D8A" w:rsidRDefault="00CA7D8A" w:rsidP="00CA7D8A">
      <w:pPr>
        <w:rPr>
          <w:rFonts w:ascii="Times New Roman" w:hAnsi="Times New Roman"/>
          <w:i/>
          <w:sz w:val="24"/>
          <w:szCs w:val="24"/>
        </w:rPr>
      </w:pPr>
    </w:p>
    <w:p w14:paraId="5354F945" w14:textId="1BE775A8" w:rsidR="00CA7D8A" w:rsidRDefault="00CA7D8A" w:rsidP="00CA7D8A">
      <w:pPr>
        <w:rPr>
          <w:rFonts w:ascii="Times New Roman" w:hAnsi="Times New Roman"/>
          <w:i/>
          <w:sz w:val="24"/>
          <w:szCs w:val="24"/>
        </w:rPr>
      </w:pPr>
      <w:r w:rsidRPr="00CA7D8A">
        <w:rPr>
          <w:rFonts w:ascii="Times New Roman" w:hAnsi="Times New Roman"/>
          <w:i/>
          <w:sz w:val="24"/>
          <w:szCs w:val="24"/>
        </w:rPr>
        <w:t>Overview: MassHealth providers will be paid on a fee-for-service basis for care provided to members attributed to Pilot AOCs. For each ACO, MassHealth will track the total costs of care (TCOC) for the ACO’s attributed members during the performance period</w:t>
      </w:r>
      <w:r w:rsidR="00F44DB3">
        <w:rPr>
          <w:rFonts w:ascii="Times New Roman" w:hAnsi="Times New Roman"/>
          <w:i/>
          <w:sz w:val="24"/>
          <w:szCs w:val="24"/>
        </w:rPr>
        <w:t>s</w:t>
      </w:r>
      <w:r w:rsidRPr="00CA7D8A">
        <w:rPr>
          <w:rFonts w:ascii="Times New Roman" w:hAnsi="Times New Roman"/>
          <w:i/>
          <w:sz w:val="24"/>
          <w:szCs w:val="24"/>
        </w:rPr>
        <w:t>, and will retrospectively compare these costs against an ACO-specific target. Based on the difference between an ACO’s TCOC performance and its TCOC target, EOHHS may share savings with the ACO or require the ACO to pay a share of losses. This attachment describes the methodology MassHealth will use to calculate these payments.</w:t>
      </w:r>
    </w:p>
    <w:p w14:paraId="7DEBB72C" w14:textId="77777777" w:rsidR="002F3A70" w:rsidRDefault="002F3A70" w:rsidP="00CA7D8A">
      <w:pPr>
        <w:rPr>
          <w:rFonts w:ascii="Times New Roman" w:hAnsi="Times New Roman"/>
          <w:i/>
          <w:sz w:val="24"/>
          <w:szCs w:val="24"/>
        </w:rPr>
      </w:pPr>
    </w:p>
    <w:p w14:paraId="56DF191B" w14:textId="77777777" w:rsidR="002F3A70" w:rsidRDefault="002F3A70" w:rsidP="00CA7D8A">
      <w:pPr>
        <w:rPr>
          <w:rFonts w:ascii="Times New Roman" w:hAnsi="Times New Roman"/>
          <w:i/>
          <w:sz w:val="24"/>
          <w:szCs w:val="24"/>
        </w:rPr>
      </w:pPr>
      <w:r>
        <w:rPr>
          <w:rFonts w:ascii="Times New Roman" w:hAnsi="Times New Roman"/>
          <w:i/>
          <w:sz w:val="24"/>
          <w:szCs w:val="24"/>
        </w:rPr>
        <w:t>The Commonwealth may modify this Attachment with the approval of CMS without amending the STCs.</w:t>
      </w:r>
    </w:p>
    <w:p w14:paraId="47D3000B" w14:textId="77777777" w:rsidR="00E550AF" w:rsidRPr="00CA7D8A" w:rsidRDefault="00E550AF" w:rsidP="00CA7D8A">
      <w:pPr>
        <w:rPr>
          <w:rFonts w:ascii="Times New Roman" w:hAnsi="Times New Roman"/>
          <w:i/>
          <w:sz w:val="24"/>
          <w:szCs w:val="24"/>
        </w:rPr>
      </w:pPr>
    </w:p>
    <w:p w14:paraId="04B57AAB" w14:textId="77777777" w:rsidR="00CA7D8A" w:rsidRPr="00CA7D8A" w:rsidRDefault="00CA7D8A" w:rsidP="00CA7D8A">
      <w:pPr>
        <w:pStyle w:val="Heading2"/>
        <w:rPr>
          <w:rFonts w:ascii="Times New Roman" w:hAnsi="Times New Roman"/>
          <w:b w:val="0"/>
          <w:sz w:val="24"/>
          <w:szCs w:val="24"/>
        </w:rPr>
      </w:pPr>
      <w:bookmarkStart w:id="1" w:name="_Toc459979295"/>
      <w:r w:rsidRPr="00CA7D8A">
        <w:rPr>
          <w:rFonts w:ascii="Times New Roman" w:hAnsi="Times New Roman"/>
          <w:b w:val="0"/>
          <w:sz w:val="24"/>
          <w:szCs w:val="24"/>
        </w:rPr>
        <w:t>Section 1. Eligible and Enrolled Population</w:t>
      </w:r>
      <w:bookmarkEnd w:id="1"/>
    </w:p>
    <w:p w14:paraId="412FAF56" w14:textId="77777777" w:rsidR="00CA7D8A" w:rsidRPr="00CA7D8A" w:rsidRDefault="00CA7D8A" w:rsidP="00107B00">
      <w:pPr>
        <w:pStyle w:val="Heading3"/>
        <w:numPr>
          <w:ilvl w:val="0"/>
          <w:numId w:val="0"/>
        </w:numPr>
        <w:ind w:left="720" w:hanging="720"/>
        <w:rPr>
          <w:rFonts w:ascii="Times New Roman" w:hAnsi="Times New Roman"/>
          <w:sz w:val="24"/>
          <w:szCs w:val="24"/>
        </w:rPr>
      </w:pPr>
      <w:bookmarkStart w:id="2" w:name="_Toc459979296"/>
      <w:r w:rsidRPr="00CA7D8A">
        <w:rPr>
          <w:rFonts w:ascii="Times New Roman" w:hAnsi="Times New Roman"/>
          <w:sz w:val="24"/>
          <w:szCs w:val="24"/>
        </w:rPr>
        <w:t>1.1. Performance Period</w:t>
      </w:r>
      <w:bookmarkEnd w:id="2"/>
    </w:p>
    <w:p w14:paraId="5D665F71" w14:textId="695BC755" w:rsidR="00E550AF" w:rsidRDefault="00EB332C" w:rsidP="00107B00">
      <w:pPr>
        <w:rPr>
          <w:rFonts w:ascii="Times New Roman" w:hAnsi="Times New Roman"/>
          <w:sz w:val="24"/>
          <w:szCs w:val="24"/>
        </w:rPr>
      </w:pPr>
      <w:r>
        <w:rPr>
          <w:rFonts w:ascii="Times New Roman" w:hAnsi="Times New Roman"/>
          <w:sz w:val="24"/>
          <w:szCs w:val="24"/>
        </w:rPr>
        <w:t>For ACOs that do not choose to extend, t</w:t>
      </w:r>
      <w:r w:rsidR="00CA7D8A" w:rsidRPr="00CA7D8A">
        <w:rPr>
          <w:rFonts w:ascii="Times New Roman" w:hAnsi="Times New Roman"/>
          <w:sz w:val="24"/>
          <w:szCs w:val="24"/>
        </w:rPr>
        <w:t xml:space="preserve">he ACO Pilot performance period will begin December 1, 2016 and end </w:t>
      </w:r>
      <w:r w:rsidR="00E550AF">
        <w:rPr>
          <w:rFonts w:ascii="Times New Roman" w:hAnsi="Times New Roman"/>
          <w:sz w:val="24"/>
          <w:szCs w:val="24"/>
        </w:rPr>
        <w:t>November</w:t>
      </w:r>
      <w:r w:rsidR="00E550AF" w:rsidRPr="00CA7D8A">
        <w:rPr>
          <w:rFonts w:ascii="Times New Roman" w:hAnsi="Times New Roman"/>
          <w:sz w:val="24"/>
          <w:szCs w:val="24"/>
        </w:rPr>
        <w:t xml:space="preserve"> </w:t>
      </w:r>
      <w:r w:rsidR="00CA7D8A" w:rsidRPr="00CA7D8A">
        <w:rPr>
          <w:rFonts w:ascii="Times New Roman" w:hAnsi="Times New Roman"/>
          <w:sz w:val="24"/>
          <w:szCs w:val="24"/>
        </w:rPr>
        <w:t>30, 2017</w:t>
      </w:r>
      <w:r w:rsidR="00707CCE">
        <w:rPr>
          <w:rFonts w:ascii="Times New Roman" w:hAnsi="Times New Roman"/>
          <w:sz w:val="24"/>
          <w:szCs w:val="24"/>
        </w:rPr>
        <w:t>.</w:t>
      </w:r>
      <w:r w:rsidR="00CA7D8A" w:rsidRPr="00CA7D8A">
        <w:rPr>
          <w:rFonts w:ascii="Times New Roman" w:hAnsi="Times New Roman"/>
          <w:sz w:val="24"/>
          <w:szCs w:val="24"/>
        </w:rPr>
        <w:t xml:space="preserve"> </w:t>
      </w:r>
      <w:r w:rsidR="00E422BE">
        <w:rPr>
          <w:rFonts w:ascii="Times New Roman" w:hAnsi="Times New Roman"/>
          <w:sz w:val="24"/>
          <w:szCs w:val="24"/>
        </w:rPr>
        <w:t xml:space="preserve">ACOs that extend to February 28, 2017 will have two performance periods. Performance Period A will match the original pilot performance period of December 1, 2016 through November 30, 2017. Performance Period B will begin on December 1, 2016 and extend through February 28, 2018. </w:t>
      </w:r>
    </w:p>
    <w:p w14:paraId="3B684CCA" w14:textId="77777777" w:rsidR="00E550AF" w:rsidRDefault="00E550AF" w:rsidP="00107B00">
      <w:pPr>
        <w:rPr>
          <w:rFonts w:ascii="Times New Roman" w:hAnsi="Times New Roman"/>
          <w:sz w:val="24"/>
          <w:szCs w:val="24"/>
        </w:rPr>
      </w:pPr>
    </w:p>
    <w:p w14:paraId="39286D94" w14:textId="77777777" w:rsidR="00CA7D8A" w:rsidRPr="00CA7D8A" w:rsidRDefault="00CA7D8A" w:rsidP="00107B00">
      <w:pPr>
        <w:rPr>
          <w:rFonts w:ascii="Times New Roman" w:hAnsi="Times New Roman"/>
          <w:sz w:val="24"/>
          <w:szCs w:val="24"/>
        </w:rPr>
      </w:pPr>
      <w:bookmarkStart w:id="3" w:name="_Toc459979297"/>
      <w:r w:rsidRPr="00CA7D8A">
        <w:rPr>
          <w:rFonts w:ascii="Times New Roman" w:hAnsi="Times New Roman"/>
          <w:sz w:val="24"/>
          <w:szCs w:val="24"/>
        </w:rPr>
        <w:t>1.2. Member eligibility</w:t>
      </w:r>
      <w:bookmarkEnd w:id="3"/>
    </w:p>
    <w:p w14:paraId="5F00997C" w14:textId="00FAE9AA" w:rsidR="00CA7D8A" w:rsidRPr="00CA7D8A" w:rsidRDefault="00CA7D8A" w:rsidP="00CA7D8A">
      <w:pPr>
        <w:rPr>
          <w:rFonts w:ascii="Times New Roman" w:hAnsi="Times New Roman"/>
          <w:sz w:val="24"/>
          <w:szCs w:val="24"/>
        </w:rPr>
      </w:pPr>
      <w:r w:rsidRPr="00CA7D8A">
        <w:rPr>
          <w:rFonts w:ascii="Times New Roman" w:hAnsi="Times New Roman"/>
          <w:sz w:val="24"/>
          <w:szCs w:val="24"/>
        </w:rPr>
        <w:t xml:space="preserve">MassHealth members must be enrolled in the </w:t>
      </w:r>
      <w:bookmarkStart w:id="4" w:name="_GoBack"/>
      <w:bookmarkEnd w:id="4"/>
      <w:r w:rsidRPr="00CA7D8A">
        <w:rPr>
          <w:rFonts w:ascii="Times New Roman" w:hAnsi="Times New Roman"/>
          <w:sz w:val="24"/>
          <w:szCs w:val="24"/>
        </w:rPr>
        <w:t xml:space="preserve">MassHealth PCC Plan during </w:t>
      </w:r>
      <w:r w:rsidR="00F44DB3">
        <w:rPr>
          <w:rFonts w:ascii="Times New Roman" w:hAnsi="Times New Roman"/>
          <w:sz w:val="24"/>
          <w:szCs w:val="24"/>
        </w:rPr>
        <w:t>either</w:t>
      </w:r>
      <w:r w:rsidR="00F44DB3" w:rsidRPr="00CA7D8A">
        <w:rPr>
          <w:rFonts w:ascii="Times New Roman" w:hAnsi="Times New Roman"/>
          <w:sz w:val="24"/>
          <w:szCs w:val="24"/>
        </w:rPr>
        <w:t xml:space="preserve"> </w:t>
      </w:r>
      <w:r w:rsidRPr="00CA7D8A">
        <w:rPr>
          <w:rFonts w:ascii="Times New Roman" w:hAnsi="Times New Roman"/>
          <w:sz w:val="24"/>
          <w:szCs w:val="24"/>
        </w:rPr>
        <w:t>performance period in order to be attributed to a Pilot ACO. The eligible population is therefore the same population eligible for the PCC Plan, which includes disabled and non-disabled children and adults under age 65 (i.e., RC I, II, IX, and X). Similarly, MassHealth members who are not eligible for the PCC Plan will not be eligible for the Pilot ACO program, including members who are Medicare dually eligible, limited standard eligible, family planning waiver, women eligible due to pregnancy, Health Safety Net members, and third party liability members.</w:t>
      </w:r>
    </w:p>
    <w:p w14:paraId="350D1844" w14:textId="77777777" w:rsidR="00CA7D8A" w:rsidRPr="00CA7D8A" w:rsidRDefault="00CA7D8A" w:rsidP="00CA7D8A">
      <w:pPr>
        <w:rPr>
          <w:rFonts w:ascii="Times New Roman" w:hAnsi="Times New Roman"/>
          <w:sz w:val="24"/>
          <w:szCs w:val="24"/>
        </w:rPr>
      </w:pPr>
      <w:r w:rsidRPr="00CA7D8A">
        <w:rPr>
          <w:rFonts w:ascii="Times New Roman" w:hAnsi="Times New Roman"/>
          <w:sz w:val="24"/>
          <w:szCs w:val="24"/>
        </w:rPr>
        <w:t>In developing the Pilot ACO TCOC targets, MassHealth is using data for PCC Plan members during the base period.</w:t>
      </w:r>
    </w:p>
    <w:tbl>
      <w:tblPr>
        <w:tblW w:w="9117" w:type="dxa"/>
        <w:tblInd w:w="72" w:type="dxa"/>
        <w:tblBorders>
          <w:top w:val="single" w:sz="4" w:space="0" w:color="auto"/>
          <w:bottom w:val="single" w:sz="4" w:space="0" w:color="auto"/>
          <w:insideH w:val="single" w:sz="4" w:space="0" w:color="auto"/>
        </w:tblBorders>
        <w:tblLayout w:type="fixed"/>
        <w:tblCellMar>
          <w:left w:w="72" w:type="dxa"/>
          <w:right w:w="72" w:type="dxa"/>
        </w:tblCellMar>
        <w:tblLook w:val="0000" w:firstRow="0" w:lastRow="0" w:firstColumn="0" w:lastColumn="0" w:noHBand="0" w:noVBand="0"/>
      </w:tblPr>
      <w:tblGrid>
        <w:gridCol w:w="1800"/>
        <w:gridCol w:w="7317"/>
      </w:tblGrid>
      <w:tr w:rsidR="00CA7D8A" w:rsidRPr="00CA7D8A" w14:paraId="63A5DE2F" w14:textId="77777777" w:rsidTr="00322A61">
        <w:trPr>
          <w:cantSplit/>
          <w:tblHeader/>
        </w:trPr>
        <w:tc>
          <w:tcPr>
            <w:tcW w:w="1800" w:type="dxa"/>
            <w:tcBorders>
              <w:top w:val="single" w:sz="8" w:space="0" w:color="auto"/>
              <w:bottom w:val="single" w:sz="8" w:space="0" w:color="auto"/>
            </w:tcBorders>
            <w:shd w:val="clear" w:color="auto" w:fill="auto"/>
            <w:vAlign w:val="bottom"/>
          </w:tcPr>
          <w:p w14:paraId="5268C9F6" w14:textId="77777777" w:rsidR="00CA7D8A" w:rsidRPr="00CA7D8A" w:rsidRDefault="00CA7D8A" w:rsidP="00322A61">
            <w:pPr>
              <w:pStyle w:val="TableHeadingText"/>
              <w:rPr>
                <w:rFonts w:ascii="Times New Roman" w:hAnsi="Times New Roman" w:cs="Times New Roman"/>
                <w:b w:val="0"/>
                <w:sz w:val="24"/>
                <w:szCs w:val="24"/>
              </w:rPr>
            </w:pPr>
            <w:r w:rsidRPr="00CA7D8A">
              <w:rPr>
                <w:rFonts w:ascii="Times New Roman" w:hAnsi="Times New Roman" w:cs="Times New Roman"/>
                <w:b w:val="0"/>
                <w:sz w:val="24"/>
                <w:szCs w:val="24"/>
              </w:rPr>
              <w:t>Rating Category</w:t>
            </w:r>
          </w:p>
        </w:tc>
        <w:tc>
          <w:tcPr>
            <w:tcW w:w="7317" w:type="dxa"/>
            <w:tcBorders>
              <w:top w:val="single" w:sz="8" w:space="0" w:color="auto"/>
              <w:bottom w:val="single" w:sz="8" w:space="0" w:color="auto"/>
            </w:tcBorders>
            <w:shd w:val="clear" w:color="auto" w:fill="auto"/>
            <w:vAlign w:val="bottom"/>
          </w:tcPr>
          <w:p w14:paraId="1918B35E" w14:textId="77777777" w:rsidR="00CA7D8A" w:rsidRPr="00CA7D8A" w:rsidRDefault="00CA7D8A" w:rsidP="00322A61">
            <w:pPr>
              <w:pStyle w:val="TableHeadingText"/>
              <w:rPr>
                <w:rFonts w:ascii="Times New Roman" w:hAnsi="Times New Roman" w:cs="Times New Roman"/>
                <w:b w:val="0"/>
                <w:sz w:val="24"/>
                <w:szCs w:val="24"/>
              </w:rPr>
            </w:pPr>
            <w:r w:rsidRPr="00CA7D8A">
              <w:rPr>
                <w:rFonts w:ascii="Times New Roman" w:hAnsi="Times New Roman" w:cs="Times New Roman"/>
                <w:b w:val="0"/>
                <w:sz w:val="24"/>
                <w:szCs w:val="24"/>
              </w:rPr>
              <w:t>Description</w:t>
            </w:r>
          </w:p>
        </w:tc>
      </w:tr>
      <w:tr w:rsidR="00CA7D8A" w:rsidRPr="00CA7D8A" w14:paraId="1C3C0394" w14:textId="77777777" w:rsidTr="00322A61">
        <w:trPr>
          <w:cantSplit/>
        </w:trPr>
        <w:tc>
          <w:tcPr>
            <w:tcW w:w="1800" w:type="dxa"/>
            <w:tcBorders>
              <w:top w:val="single" w:sz="8" w:space="0" w:color="auto"/>
            </w:tcBorders>
            <w:shd w:val="clear" w:color="auto" w:fill="auto"/>
          </w:tcPr>
          <w:p w14:paraId="6D49A463"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RC I Child</w:t>
            </w:r>
          </w:p>
        </w:tc>
        <w:tc>
          <w:tcPr>
            <w:tcW w:w="7317" w:type="dxa"/>
            <w:tcBorders>
              <w:top w:val="single" w:sz="8" w:space="0" w:color="auto"/>
            </w:tcBorders>
            <w:shd w:val="clear" w:color="auto" w:fill="auto"/>
          </w:tcPr>
          <w:p w14:paraId="3D3458B6"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Temporary Assistance to Needy Families (TANF) less than 21 years of age.</w:t>
            </w:r>
          </w:p>
        </w:tc>
      </w:tr>
      <w:tr w:rsidR="00CA7D8A" w:rsidRPr="00CA7D8A" w14:paraId="0FEAE43C" w14:textId="77777777" w:rsidTr="00322A61">
        <w:trPr>
          <w:cantSplit/>
        </w:trPr>
        <w:tc>
          <w:tcPr>
            <w:tcW w:w="1800" w:type="dxa"/>
            <w:tcBorders>
              <w:top w:val="single" w:sz="8" w:space="0" w:color="auto"/>
            </w:tcBorders>
            <w:shd w:val="clear" w:color="auto" w:fill="auto"/>
          </w:tcPr>
          <w:p w14:paraId="456206DA"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RC I Adult</w:t>
            </w:r>
          </w:p>
        </w:tc>
        <w:tc>
          <w:tcPr>
            <w:tcW w:w="7317" w:type="dxa"/>
            <w:tcBorders>
              <w:top w:val="single" w:sz="8" w:space="0" w:color="auto"/>
            </w:tcBorders>
            <w:shd w:val="clear" w:color="auto" w:fill="auto"/>
          </w:tcPr>
          <w:p w14:paraId="5CADBAFA"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Temporary Assistance to Needy Families (TANF), ages 21 through 64.</w:t>
            </w:r>
          </w:p>
        </w:tc>
      </w:tr>
      <w:tr w:rsidR="00CA7D8A" w:rsidRPr="00CA7D8A" w14:paraId="29654529" w14:textId="77777777" w:rsidTr="00322A61">
        <w:trPr>
          <w:cantSplit/>
        </w:trPr>
        <w:tc>
          <w:tcPr>
            <w:tcW w:w="1800" w:type="dxa"/>
            <w:shd w:val="clear" w:color="auto" w:fill="auto"/>
          </w:tcPr>
          <w:p w14:paraId="41429C5A"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RC II Child</w:t>
            </w:r>
          </w:p>
        </w:tc>
        <w:tc>
          <w:tcPr>
            <w:tcW w:w="7317" w:type="dxa"/>
            <w:shd w:val="clear" w:color="auto" w:fill="auto"/>
          </w:tcPr>
          <w:p w14:paraId="3374F845"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Disabled members, including Supplemental Security Income (SSI) and SSI-related less than 21 years of age.</w:t>
            </w:r>
          </w:p>
        </w:tc>
      </w:tr>
      <w:tr w:rsidR="00CA7D8A" w:rsidRPr="00CA7D8A" w14:paraId="186D3DFF" w14:textId="77777777" w:rsidTr="00322A61">
        <w:trPr>
          <w:cantSplit/>
        </w:trPr>
        <w:tc>
          <w:tcPr>
            <w:tcW w:w="1800" w:type="dxa"/>
            <w:shd w:val="clear" w:color="auto" w:fill="auto"/>
          </w:tcPr>
          <w:p w14:paraId="2D1B046C"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RC II Adult</w:t>
            </w:r>
          </w:p>
        </w:tc>
        <w:tc>
          <w:tcPr>
            <w:tcW w:w="7317" w:type="dxa"/>
            <w:shd w:val="clear" w:color="auto" w:fill="auto"/>
          </w:tcPr>
          <w:p w14:paraId="00856480"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Disabled members, including Supplemental Security Income (SSI) and SSI-related, ages 21 through 64.</w:t>
            </w:r>
          </w:p>
        </w:tc>
      </w:tr>
      <w:tr w:rsidR="00CA7D8A" w:rsidRPr="00CA7D8A" w14:paraId="3A275B54" w14:textId="77777777" w:rsidTr="00322A61">
        <w:trPr>
          <w:cantSplit/>
        </w:trPr>
        <w:tc>
          <w:tcPr>
            <w:tcW w:w="1800" w:type="dxa"/>
            <w:tcBorders>
              <w:top w:val="single" w:sz="8" w:space="0" w:color="auto"/>
            </w:tcBorders>
            <w:shd w:val="clear" w:color="auto" w:fill="auto"/>
          </w:tcPr>
          <w:p w14:paraId="31F01BA8"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RC IX</w:t>
            </w:r>
          </w:p>
        </w:tc>
        <w:tc>
          <w:tcPr>
            <w:tcW w:w="7317" w:type="dxa"/>
            <w:tcBorders>
              <w:top w:val="single" w:sz="8" w:space="0" w:color="auto"/>
            </w:tcBorders>
            <w:shd w:val="clear" w:color="auto" w:fill="auto"/>
          </w:tcPr>
          <w:p w14:paraId="6361CDF7"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 xml:space="preserve">Individuals ages 21 through 64 with incomes up to 133% federal poverty level (FPL), who are not pregnant, disabled, or a parent or caretaker relative of a child under age 19, or eligible for other MassHealth coverage. </w:t>
            </w:r>
          </w:p>
        </w:tc>
      </w:tr>
      <w:tr w:rsidR="00CA7D8A" w:rsidRPr="00CA7D8A" w14:paraId="2F7B1646" w14:textId="77777777" w:rsidTr="00322A61">
        <w:trPr>
          <w:cantSplit/>
        </w:trPr>
        <w:tc>
          <w:tcPr>
            <w:tcW w:w="1800" w:type="dxa"/>
            <w:shd w:val="clear" w:color="auto" w:fill="auto"/>
          </w:tcPr>
          <w:p w14:paraId="12E7788A"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lastRenderedPageBreak/>
              <w:t>RC X</w:t>
            </w:r>
          </w:p>
        </w:tc>
        <w:tc>
          <w:tcPr>
            <w:tcW w:w="7317" w:type="dxa"/>
            <w:shd w:val="clear" w:color="auto" w:fill="auto"/>
          </w:tcPr>
          <w:p w14:paraId="55080380" w14:textId="77777777" w:rsidR="00CA7D8A" w:rsidRPr="00CA7D8A" w:rsidRDefault="00CA7D8A" w:rsidP="00322A61">
            <w:pPr>
              <w:pStyle w:val="TableText"/>
              <w:rPr>
                <w:rFonts w:ascii="Times New Roman" w:hAnsi="Times New Roman" w:cs="Times New Roman"/>
                <w:sz w:val="24"/>
                <w:szCs w:val="24"/>
              </w:rPr>
            </w:pPr>
            <w:r w:rsidRPr="00CA7D8A">
              <w:rPr>
                <w:rFonts w:ascii="Times New Roman" w:hAnsi="Times New Roman" w:cs="Times New Roman"/>
                <w:sz w:val="24"/>
                <w:szCs w:val="24"/>
              </w:rPr>
              <w:t>Individuals ages 21 through 64 with incomes up to 133% FPL, who are not pregnant, disabled, or a parent or caretaker relative of a child under age 19, or eligible for other MassHealth coverage, who are also receiving EAEDC through the Massachusetts Department of Transitional Assistance</w:t>
            </w:r>
          </w:p>
        </w:tc>
      </w:tr>
    </w:tbl>
    <w:p w14:paraId="20124DEE" w14:textId="77777777" w:rsidR="00CA7D8A" w:rsidRPr="00CA7D8A" w:rsidRDefault="00CA7D8A" w:rsidP="00CA7D8A">
      <w:pPr>
        <w:rPr>
          <w:rFonts w:ascii="Times New Roman" w:hAnsi="Times New Roman"/>
          <w:sz w:val="24"/>
          <w:szCs w:val="24"/>
        </w:rPr>
      </w:pPr>
    </w:p>
    <w:p w14:paraId="79445669" w14:textId="77777777" w:rsidR="00CA7D8A" w:rsidRPr="00CA7D8A" w:rsidRDefault="00CA7D8A" w:rsidP="00107B00">
      <w:pPr>
        <w:pStyle w:val="Heading3"/>
        <w:numPr>
          <w:ilvl w:val="0"/>
          <w:numId w:val="0"/>
        </w:numPr>
        <w:ind w:left="720" w:hanging="720"/>
        <w:rPr>
          <w:rFonts w:ascii="Times New Roman" w:hAnsi="Times New Roman"/>
          <w:sz w:val="24"/>
          <w:szCs w:val="24"/>
        </w:rPr>
      </w:pPr>
      <w:bookmarkStart w:id="5" w:name="_Toc459979298"/>
      <w:r w:rsidRPr="00CA7D8A">
        <w:rPr>
          <w:rFonts w:ascii="Times New Roman" w:hAnsi="Times New Roman"/>
          <w:sz w:val="24"/>
          <w:szCs w:val="24"/>
        </w:rPr>
        <w:t>1.3. Member attribution to ACO</w:t>
      </w:r>
      <w:bookmarkEnd w:id="5"/>
    </w:p>
    <w:p w14:paraId="4DB3E7C4" w14:textId="77777777" w:rsidR="00CA7D8A" w:rsidRDefault="00CA7D8A" w:rsidP="00CA7D8A">
      <w:pPr>
        <w:tabs>
          <w:tab w:val="left" w:pos="8910"/>
        </w:tabs>
        <w:rPr>
          <w:rFonts w:ascii="Times New Roman" w:hAnsi="Times New Roman"/>
          <w:sz w:val="24"/>
          <w:szCs w:val="24"/>
        </w:rPr>
      </w:pPr>
      <w:r w:rsidRPr="00CA7D8A">
        <w:rPr>
          <w:rFonts w:ascii="Times New Roman" w:hAnsi="Times New Roman"/>
          <w:sz w:val="24"/>
          <w:szCs w:val="24"/>
        </w:rPr>
        <w:t>Members in the PCC Plan are each enrolled with a PCC. Each Pilot ACO has a unique, exclusive group of PCCs who have contracted to participate with that ACO; PCC Plan members enrolled with a Pilot ACO’s PCCs are considered attributed members for that Pilot ACO.</w:t>
      </w:r>
    </w:p>
    <w:p w14:paraId="09CF1A28" w14:textId="77777777" w:rsidR="007C33AC" w:rsidRPr="00CA7D8A" w:rsidRDefault="007C33AC" w:rsidP="00CA7D8A">
      <w:pPr>
        <w:tabs>
          <w:tab w:val="left" w:pos="8910"/>
        </w:tabs>
        <w:rPr>
          <w:rFonts w:ascii="Times New Roman" w:hAnsi="Times New Roman"/>
          <w:sz w:val="24"/>
          <w:szCs w:val="24"/>
        </w:rPr>
      </w:pPr>
    </w:p>
    <w:p w14:paraId="692B1CBD" w14:textId="77777777" w:rsidR="00CA7D8A" w:rsidRPr="00CA7D8A" w:rsidRDefault="00CA7D8A" w:rsidP="00107B00">
      <w:pPr>
        <w:pStyle w:val="Heading2"/>
        <w:numPr>
          <w:ilvl w:val="0"/>
          <w:numId w:val="0"/>
        </w:numPr>
        <w:rPr>
          <w:rFonts w:ascii="Times New Roman" w:hAnsi="Times New Roman"/>
          <w:b w:val="0"/>
          <w:sz w:val="24"/>
          <w:szCs w:val="24"/>
        </w:rPr>
      </w:pPr>
      <w:bookmarkStart w:id="6" w:name="_Toc459979299"/>
      <w:r w:rsidRPr="00CA7D8A">
        <w:rPr>
          <w:rFonts w:ascii="Times New Roman" w:hAnsi="Times New Roman"/>
          <w:b w:val="0"/>
          <w:sz w:val="24"/>
          <w:szCs w:val="24"/>
        </w:rPr>
        <w:t>Section 2. Services included in Total Cost of Care (TCOC)</w:t>
      </w:r>
      <w:bookmarkEnd w:id="6"/>
    </w:p>
    <w:p w14:paraId="35FA5EF2" w14:textId="77777777" w:rsidR="00CA7D8A" w:rsidRPr="00CA7D8A" w:rsidRDefault="00CA7D8A" w:rsidP="00CA7D8A">
      <w:pPr>
        <w:rPr>
          <w:rFonts w:ascii="Times New Roman" w:hAnsi="Times New Roman"/>
          <w:sz w:val="24"/>
          <w:szCs w:val="24"/>
        </w:rPr>
      </w:pPr>
      <w:r w:rsidRPr="00CA7D8A">
        <w:rPr>
          <w:rFonts w:ascii="Times New Roman" w:hAnsi="Times New Roman"/>
          <w:sz w:val="24"/>
          <w:szCs w:val="24"/>
        </w:rPr>
        <w:t>The services included in TCOC will be broadly consistent with services included in the base capitation for MassHealth’s managed care organizations, with some differences. In particular, there are select services (e.g., Hepatitis C drugs) that MassHealth will exclude from the TCOC calculation in order to prevent unpredictable, rare, high-cost events from driving substantial losses for an individual ACO. Additionally, Home Health and LTC services are also excluded from the TCOC, but will be tracked and reported to providers.</w:t>
      </w:r>
    </w:p>
    <w:p w14:paraId="61192D0C" w14:textId="34E2D3CF" w:rsidR="00CA7D8A" w:rsidRPr="00CA7D8A" w:rsidRDefault="00CA7D8A" w:rsidP="00107B00">
      <w:pPr>
        <w:pStyle w:val="Heading3"/>
        <w:numPr>
          <w:ilvl w:val="0"/>
          <w:numId w:val="0"/>
        </w:numPr>
        <w:ind w:left="720" w:hanging="720"/>
        <w:rPr>
          <w:rFonts w:ascii="Times New Roman" w:hAnsi="Times New Roman"/>
          <w:sz w:val="24"/>
          <w:szCs w:val="24"/>
        </w:rPr>
      </w:pPr>
      <w:bookmarkStart w:id="7" w:name="_Toc459979300"/>
      <w:r w:rsidRPr="00CA7D8A">
        <w:rPr>
          <w:rFonts w:ascii="Times New Roman" w:hAnsi="Times New Roman"/>
          <w:sz w:val="24"/>
          <w:szCs w:val="24"/>
        </w:rPr>
        <w:t>2.1. List of services</w:t>
      </w:r>
      <w:bookmarkEnd w:id="7"/>
      <w:r w:rsidR="008330C2">
        <w:rPr>
          <w:rFonts w:ascii="Times New Roman" w:hAnsi="Times New Roman"/>
          <w:sz w:val="24"/>
          <w:szCs w:val="24"/>
        </w:rPr>
        <w:t xml:space="preserve"> included in Total Cost of Care (TCOC) </w:t>
      </w:r>
    </w:p>
    <w:p w14:paraId="1DE21BF9" w14:textId="684D6FA8" w:rsidR="00CA7D8A" w:rsidRPr="00CA7D8A" w:rsidRDefault="00CA7D8A" w:rsidP="00CA7D8A">
      <w:pPr>
        <w:keepNext/>
        <w:spacing w:before="40" w:after="40"/>
        <w:rPr>
          <w:rFonts w:ascii="Times New Roman" w:hAnsi="Times New Roman"/>
          <w:sz w:val="24"/>
          <w:szCs w:val="24"/>
        </w:rPr>
      </w:pPr>
      <w:r w:rsidRPr="00CA7D8A">
        <w:rPr>
          <w:rFonts w:ascii="Times New Roman" w:hAnsi="Times New Roman"/>
          <w:sz w:val="24"/>
          <w:szCs w:val="24"/>
        </w:rPr>
        <w:t>Below is a list of service categories</w:t>
      </w:r>
      <w:r w:rsidR="008330C2">
        <w:rPr>
          <w:rFonts w:ascii="Times New Roman" w:hAnsi="Times New Roman"/>
          <w:sz w:val="24"/>
          <w:szCs w:val="24"/>
        </w:rPr>
        <w:t xml:space="preserve"> included in the TCOC</w:t>
      </w:r>
      <w:r w:rsidRPr="00CA7D8A">
        <w:rPr>
          <w:rFonts w:ascii="Times New Roman" w:hAnsi="Times New Roman"/>
          <w:sz w:val="24"/>
          <w:szCs w:val="24"/>
        </w:rPr>
        <w:t xml:space="preserve"> under the ACO Pilot program:</w:t>
      </w:r>
    </w:p>
    <w:p w14:paraId="0657E78B" w14:textId="77777777" w:rsidR="00CA7D8A" w:rsidRPr="00CA7D8A" w:rsidRDefault="00CA7D8A" w:rsidP="00CA7D8A">
      <w:pPr>
        <w:keepNext/>
        <w:spacing w:before="40" w:after="40"/>
        <w:rPr>
          <w:rFonts w:ascii="Times New Roman" w:hAnsi="Times New Roman"/>
          <w:sz w:val="24"/>
          <w:szCs w:val="24"/>
        </w:rPr>
      </w:pPr>
    </w:p>
    <w:tbl>
      <w:tblPr>
        <w:tblW w:w="5000" w:type="pct"/>
        <w:tblBorders>
          <w:top w:val="single" w:sz="4" w:space="0" w:color="auto"/>
          <w:bottom w:val="single" w:sz="4" w:space="0" w:color="auto"/>
          <w:insideH w:val="single" w:sz="4" w:space="0" w:color="auto"/>
        </w:tblBorders>
        <w:tblCellMar>
          <w:left w:w="72" w:type="dxa"/>
          <w:right w:w="72" w:type="dxa"/>
        </w:tblCellMar>
        <w:tblLook w:val="01E0" w:firstRow="1" w:lastRow="1" w:firstColumn="1" w:lastColumn="1" w:noHBand="0" w:noVBand="0"/>
      </w:tblPr>
      <w:tblGrid>
        <w:gridCol w:w="2898"/>
        <w:gridCol w:w="6462"/>
      </w:tblGrid>
      <w:tr w:rsidR="00CA7D8A" w:rsidRPr="00CA7D8A" w14:paraId="2CA63A08" w14:textId="77777777" w:rsidTr="00322A61">
        <w:trPr>
          <w:cantSplit/>
          <w:tblHeader/>
        </w:trPr>
        <w:tc>
          <w:tcPr>
            <w:tcW w:w="1548" w:type="pct"/>
            <w:tcBorders>
              <w:top w:val="single" w:sz="8" w:space="0" w:color="auto"/>
              <w:left w:val="nil"/>
              <w:bottom w:val="single" w:sz="8" w:space="0" w:color="auto"/>
              <w:right w:val="nil"/>
            </w:tcBorders>
            <w:shd w:val="clear" w:color="auto" w:fill="002C77"/>
            <w:vAlign w:val="bottom"/>
            <w:hideMark/>
          </w:tcPr>
          <w:p w14:paraId="755A68EE" w14:textId="77777777" w:rsidR="00CA7D8A" w:rsidRPr="00CA7D8A" w:rsidRDefault="00CA7D8A" w:rsidP="00322A61">
            <w:pPr>
              <w:keepNext/>
              <w:spacing w:before="40" w:after="40"/>
              <w:rPr>
                <w:rFonts w:ascii="Times New Roman" w:hAnsi="Times New Roman"/>
                <w:sz w:val="24"/>
                <w:szCs w:val="24"/>
              </w:rPr>
            </w:pPr>
            <w:r w:rsidRPr="00CA7D8A">
              <w:rPr>
                <w:rFonts w:ascii="Times New Roman" w:hAnsi="Times New Roman"/>
                <w:sz w:val="24"/>
                <w:szCs w:val="24"/>
              </w:rPr>
              <w:t>Category</w:t>
            </w:r>
          </w:p>
        </w:tc>
        <w:tc>
          <w:tcPr>
            <w:tcW w:w="3452" w:type="pct"/>
            <w:tcBorders>
              <w:top w:val="single" w:sz="8" w:space="0" w:color="auto"/>
              <w:left w:val="nil"/>
              <w:bottom w:val="single" w:sz="8" w:space="0" w:color="auto"/>
              <w:right w:val="nil"/>
            </w:tcBorders>
            <w:shd w:val="clear" w:color="auto" w:fill="002C77"/>
            <w:vAlign w:val="bottom"/>
            <w:hideMark/>
          </w:tcPr>
          <w:p w14:paraId="28785D76" w14:textId="77777777" w:rsidR="00CA7D8A" w:rsidRPr="00CA7D8A" w:rsidRDefault="00CA7D8A" w:rsidP="00322A61">
            <w:pPr>
              <w:keepNext/>
              <w:spacing w:before="40" w:after="40"/>
              <w:rPr>
                <w:rFonts w:ascii="Times New Roman" w:hAnsi="Times New Roman"/>
                <w:sz w:val="24"/>
                <w:szCs w:val="24"/>
              </w:rPr>
            </w:pPr>
            <w:r w:rsidRPr="00CA7D8A">
              <w:rPr>
                <w:rFonts w:ascii="Times New Roman" w:hAnsi="Times New Roman"/>
                <w:sz w:val="24"/>
                <w:szCs w:val="24"/>
              </w:rPr>
              <w:t>Definition</w:t>
            </w:r>
          </w:p>
        </w:tc>
      </w:tr>
      <w:tr w:rsidR="00CA7D8A" w:rsidRPr="00CA7D8A" w14:paraId="673E3C0F" w14:textId="77777777" w:rsidTr="00322A61">
        <w:trPr>
          <w:cantSplit/>
        </w:trPr>
        <w:tc>
          <w:tcPr>
            <w:tcW w:w="1548" w:type="pct"/>
            <w:tcBorders>
              <w:top w:val="single" w:sz="8" w:space="0" w:color="auto"/>
              <w:left w:val="nil"/>
              <w:bottom w:val="single" w:sz="4" w:space="0" w:color="auto"/>
              <w:right w:val="nil"/>
            </w:tcBorders>
            <w:hideMark/>
          </w:tcPr>
          <w:p w14:paraId="000D074C"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Inpatient PH — Non</w:t>
            </w:r>
            <w:r w:rsidRPr="00CA7D8A">
              <w:rPr>
                <w:rFonts w:ascii="Times New Roman" w:hAnsi="Times New Roman"/>
                <w:sz w:val="24"/>
                <w:szCs w:val="24"/>
              </w:rPr>
              <w:noBreakHyphen/>
              <w:t>maternity</w:t>
            </w:r>
          </w:p>
        </w:tc>
        <w:tc>
          <w:tcPr>
            <w:tcW w:w="3452" w:type="pct"/>
            <w:tcBorders>
              <w:top w:val="single" w:sz="8" w:space="0" w:color="auto"/>
              <w:left w:val="nil"/>
              <w:bottom w:val="single" w:sz="4" w:space="0" w:color="auto"/>
              <w:right w:val="nil"/>
            </w:tcBorders>
            <w:hideMark/>
          </w:tcPr>
          <w:p w14:paraId="0EDD9F8A" w14:textId="77777777" w:rsidR="00CA7D8A" w:rsidRPr="00CA7D8A" w:rsidRDefault="00CA7D8A" w:rsidP="00322A61">
            <w:pPr>
              <w:spacing w:before="40" w:after="40"/>
              <w:rPr>
                <w:rFonts w:ascii="Times New Roman" w:hAnsi="Times New Roman"/>
                <w:sz w:val="24"/>
                <w:szCs w:val="24"/>
              </w:rPr>
            </w:pPr>
            <w:r w:rsidRPr="00CA7D8A">
              <w:rPr>
                <w:rFonts w:ascii="Times New Roman" w:hAnsi="Times New Roman"/>
                <w:sz w:val="24"/>
                <w:szCs w:val="24"/>
              </w:rPr>
              <w:t>Inpatient services that have not been identified as maternity, behavioral health or LTC. Includes services provided in acute and chronic hospital settings; includes both room and board data and ancillary data billed by the facility during the stay.</w:t>
            </w:r>
          </w:p>
        </w:tc>
      </w:tr>
      <w:tr w:rsidR="00CA7D8A" w:rsidRPr="00CA7D8A" w14:paraId="6D800CB7" w14:textId="77777777" w:rsidTr="00322A61">
        <w:trPr>
          <w:cantSplit/>
        </w:trPr>
        <w:tc>
          <w:tcPr>
            <w:tcW w:w="1548" w:type="pct"/>
            <w:tcBorders>
              <w:top w:val="single" w:sz="8" w:space="0" w:color="auto"/>
              <w:left w:val="nil"/>
              <w:bottom w:val="single" w:sz="4" w:space="0" w:color="auto"/>
              <w:right w:val="nil"/>
            </w:tcBorders>
            <w:hideMark/>
          </w:tcPr>
          <w:p w14:paraId="59930B85"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Inpatient PH — Maternity</w:t>
            </w:r>
          </w:p>
        </w:tc>
        <w:tc>
          <w:tcPr>
            <w:tcW w:w="3452" w:type="pct"/>
            <w:tcBorders>
              <w:top w:val="single" w:sz="8" w:space="0" w:color="auto"/>
              <w:left w:val="nil"/>
              <w:bottom w:val="single" w:sz="4" w:space="0" w:color="auto"/>
              <w:right w:val="nil"/>
            </w:tcBorders>
            <w:hideMark/>
          </w:tcPr>
          <w:p w14:paraId="792DCF8B"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Inpatient PH — Maternity Acute hospital inpatient services related to maternity care and deliveries.</w:t>
            </w:r>
          </w:p>
        </w:tc>
      </w:tr>
      <w:tr w:rsidR="00CA7D8A" w:rsidRPr="00CA7D8A" w14:paraId="75C2EB55" w14:textId="77777777" w:rsidTr="00322A61">
        <w:trPr>
          <w:cantSplit/>
        </w:trPr>
        <w:tc>
          <w:tcPr>
            <w:tcW w:w="1548" w:type="pct"/>
            <w:tcBorders>
              <w:top w:val="single" w:sz="8" w:space="0" w:color="auto"/>
              <w:left w:val="nil"/>
              <w:bottom w:val="single" w:sz="4" w:space="0" w:color="auto"/>
              <w:right w:val="nil"/>
            </w:tcBorders>
            <w:hideMark/>
          </w:tcPr>
          <w:p w14:paraId="6474C72F" w14:textId="77777777" w:rsidR="00CA7D8A" w:rsidRPr="00CA7D8A" w:rsidRDefault="00CA7D8A" w:rsidP="00322A61">
            <w:pPr>
              <w:spacing w:before="40" w:after="40"/>
              <w:rPr>
                <w:rFonts w:ascii="Times New Roman" w:hAnsi="Times New Roman"/>
                <w:sz w:val="24"/>
                <w:szCs w:val="24"/>
              </w:rPr>
            </w:pPr>
            <w:r w:rsidRPr="00CA7D8A">
              <w:rPr>
                <w:rFonts w:ascii="Times New Roman" w:hAnsi="Times New Roman"/>
                <w:sz w:val="24"/>
                <w:szCs w:val="24"/>
              </w:rPr>
              <w:t>Emergency Room</w:t>
            </w:r>
          </w:p>
        </w:tc>
        <w:tc>
          <w:tcPr>
            <w:tcW w:w="3452" w:type="pct"/>
            <w:tcBorders>
              <w:top w:val="single" w:sz="8" w:space="0" w:color="auto"/>
              <w:left w:val="nil"/>
              <w:bottom w:val="single" w:sz="4" w:space="0" w:color="auto"/>
              <w:right w:val="nil"/>
            </w:tcBorders>
            <w:hideMark/>
          </w:tcPr>
          <w:p w14:paraId="6F0A35E8"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Emergency room services provided in acute hospital settings; does not include ancillary data associated with the visit if not coded "emergency room" on the claim. Emergency room discharges that result in an admission are not included in this category.</w:t>
            </w:r>
          </w:p>
        </w:tc>
      </w:tr>
      <w:tr w:rsidR="00CA7D8A" w:rsidRPr="00CA7D8A" w14:paraId="31FF93E9" w14:textId="77777777" w:rsidTr="00322A61">
        <w:trPr>
          <w:cantSplit/>
        </w:trPr>
        <w:tc>
          <w:tcPr>
            <w:tcW w:w="1548" w:type="pct"/>
            <w:tcBorders>
              <w:top w:val="single" w:sz="8" w:space="0" w:color="auto"/>
              <w:left w:val="nil"/>
              <w:bottom w:val="single" w:sz="4" w:space="0" w:color="auto"/>
              <w:right w:val="nil"/>
            </w:tcBorders>
            <w:hideMark/>
          </w:tcPr>
          <w:p w14:paraId="51CB0501"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Lab and Radiology — Facility</w:t>
            </w:r>
          </w:p>
        </w:tc>
        <w:tc>
          <w:tcPr>
            <w:tcW w:w="3452" w:type="pct"/>
            <w:tcBorders>
              <w:top w:val="single" w:sz="8" w:space="0" w:color="auto"/>
              <w:left w:val="nil"/>
              <w:bottom w:val="single" w:sz="4" w:space="0" w:color="auto"/>
              <w:right w:val="nil"/>
            </w:tcBorders>
            <w:hideMark/>
          </w:tcPr>
          <w:p w14:paraId="748BCB35"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Laboratory and radiology services provided as outpatient services by acute or chronic care hospitals and freestanding facilities.</w:t>
            </w:r>
          </w:p>
        </w:tc>
      </w:tr>
      <w:tr w:rsidR="00CA7D8A" w:rsidRPr="00CA7D8A" w14:paraId="726F8C69" w14:textId="77777777" w:rsidTr="00322A61">
        <w:trPr>
          <w:cantSplit/>
        </w:trPr>
        <w:tc>
          <w:tcPr>
            <w:tcW w:w="1548" w:type="pct"/>
            <w:tcBorders>
              <w:top w:val="single" w:sz="8" w:space="0" w:color="auto"/>
              <w:left w:val="nil"/>
              <w:bottom w:val="single" w:sz="4" w:space="0" w:color="auto"/>
              <w:right w:val="nil"/>
            </w:tcBorders>
            <w:hideMark/>
          </w:tcPr>
          <w:p w14:paraId="34DA1B9A"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Other Outpatient Hospital</w:t>
            </w:r>
          </w:p>
        </w:tc>
        <w:tc>
          <w:tcPr>
            <w:tcW w:w="3452" w:type="pct"/>
            <w:tcBorders>
              <w:top w:val="single" w:sz="8" w:space="0" w:color="auto"/>
              <w:left w:val="nil"/>
              <w:bottom w:val="single" w:sz="4" w:space="0" w:color="auto"/>
              <w:right w:val="nil"/>
            </w:tcBorders>
            <w:hideMark/>
          </w:tcPr>
          <w:p w14:paraId="2E61A123"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Outpatient services provided by acute care hospitals, chronic care hospitals, and ambulatory surgical centers, except those meeting categorization criteria for behavioral health, emergency room, and laboratory and radiology.</w:t>
            </w:r>
          </w:p>
        </w:tc>
      </w:tr>
      <w:tr w:rsidR="00CA7D8A" w:rsidRPr="00CA7D8A" w14:paraId="12B2E69D" w14:textId="77777777" w:rsidTr="00322A61">
        <w:trPr>
          <w:cantSplit/>
        </w:trPr>
        <w:tc>
          <w:tcPr>
            <w:tcW w:w="1548" w:type="pct"/>
            <w:tcBorders>
              <w:top w:val="single" w:sz="8" w:space="0" w:color="auto"/>
              <w:left w:val="nil"/>
              <w:bottom w:val="single" w:sz="4" w:space="0" w:color="auto"/>
              <w:right w:val="nil"/>
            </w:tcBorders>
            <w:hideMark/>
          </w:tcPr>
          <w:p w14:paraId="3C6A8A09"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Clinics (CHC)</w:t>
            </w:r>
          </w:p>
        </w:tc>
        <w:tc>
          <w:tcPr>
            <w:tcW w:w="3452" w:type="pct"/>
            <w:tcBorders>
              <w:top w:val="single" w:sz="8" w:space="0" w:color="auto"/>
              <w:left w:val="nil"/>
              <w:bottom w:val="single" w:sz="4" w:space="0" w:color="auto"/>
              <w:right w:val="nil"/>
            </w:tcBorders>
          </w:tcPr>
          <w:p w14:paraId="5E3E58B4"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Services provided by Community Health Centers.</w:t>
            </w:r>
          </w:p>
          <w:p w14:paraId="18DDDEA4" w14:textId="77777777" w:rsidR="00CA7D8A" w:rsidRPr="00CA7D8A" w:rsidRDefault="00CA7D8A" w:rsidP="00322A61">
            <w:pPr>
              <w:rPr>
                <w:rFonts w:ascii="Times New Roman" w:hAnsi="Times New Roman"/>
                <w:sz w:val="24"/>
                <w:szCs w:val="24"/>
              </w:rPr>
            </w:pPr>
          </w:p>
        </w:tc>
      </w:tr>
      <w:tr w:rsidR="00CA7D8A" w:rsidRPr="00CA7D8A" w14:paraId="6BC5DB82" w14:textId="77777777" w:rsidTr="00322A61">
        <w:trPr>
          <w:cantSplit/>
        </w:trPr>
        <w:tc>
          <w:tcPr>
            <w:tcW w:w="1548" w:type="pct"/>
            <w:tcBorders>
              <w:top w:val="single" w:sz="8" w:space="0" w:color="auto"/>
              <w:left w:val="nil"/>
              <w:bottom w:val="single" w:sz="4" w:space="0" w:color="auto"/>
              <w:right w:val="nil"/>
            </w:tcBorders>
            <w:hideMark/>
          </w:tcPr>
          <w:p w14:paraId="7445CEE0"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lastRenderedPageBreak/>
              <w:t>Professional Services</w:t>
            </w:r>
          </w:p>
        </w:tc>
        <w:tc>
          <w:tcPr>
            <w:tcW w:w="3452" w:type="pct"/>
            <w:tcBorders>
              <w:top w:val="single" w:sz="8" w:space="0" w:color="auto"/>
              <w:left w:val="nil"/>
              <w:bottom w:val="single" w:sz="4" w:space="0" w:color="auto"/>
              <w:right w:val="nil"/>
            </w:tcBorders>
            <w:hideMark/>
          </w:tcPr>
          <w:p w14:paraId="351E7045"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PH services provided by medical professionals; including physicians, nurse practitioners, podiatrists, chiropractors, and physical therapists. This category includes professional laboratory services, as well as physician inpatient services billed separately.</w:t>
            </w:r>
          </w:p>
        </w:tc>
      </w:tr>
      <w:tr w:rsidR="00CA7D8A" w:rsidRPr="00CA7D8A" w14:paraId="5A871146" w14:textId="77777777" w:rsidTr="00322A61">
        <w:trPr>
          <w:cantSplit/>
        </w:trPr>
        <w:tc>
          <w:tcPr>
            <w:tcW w:w="1548" w:type="pct"/>
            <w:tcBorders>
              <w:top w:val="single" w:sz="8" w:space="0" w:color="auto"/>
              <w:left w:val="nil"/>
              <w:bottom w:val="single" w:sz="4" w:space="0" w:color="auto"/>
              <w:right w:val="nil"/>
            </w:tcBorders>
            <w:hideMark/>
          </w:tcPr>
          <w:p w14:paraId="2082FF44"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DME &amp; Supplies</w:t>
            </w:r>
          </w:p>
        </w:tc>
        <w:tc>
          <w:tcPr>
            <w:tcW w:w="3452" w:type="pct"/>
            <w:tcBorders>
              <w:top w:val="single" w:sz="8" w:space="0" w:color="auto"/>
              <w:left w:val="nil"/>
              <w:bottom w:val="single" w:sz="4" w:space="0" w:color="auto"/>
              <w:right w:val="nil"/>
            </w:tcBorders>
            <w:hideMark/>
          </w:tcPr>
          <w:p w14:paraId="5C87A30D"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DME and medical supplies; including hearing aids, orthotics, prosthetics, and oxygen/respiratory care equipment.</w:t>
            </w:r>
          </w:p>
        </w:tc>
      </w:tr>
      <w:tr w:rsidR="00CA7D8A" w:rsidRPr="00CA7D8A" w14:paraId="51F71BC9" w14:textId="77777777" w:rsidTr="00322A61">
        <w:trPr>
          <w:cantSplit/>
        </w:trPr>
        <w:tc>
          <w:tcPr>
            <w:tcW w:w="1548" w:type="pct"/>
            <w:tcBorders>
              <w:top w:val="single" w:sz="8" w:space="0" w:color="auto"/>
              <w:left w:val="nil"/>
              <w:bottom w:val="single" w:sz="4" w:space="0" w:color="auto"/>
              <w:right w:val="nil"/>
            </w:tcBorders>
            <w:hideMark/>
          </w:tcPr>
          <w:p w14:paraId="0AAE8552"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Emergency Transportation</w:t>
            </w:r>
          </w:p>
        </w:tc>
        <w:tc>
          <w:tcPr>
            <w:tcW w:w="3452" w:type="pct"/>
            <w:tcBorders>
              <w:top w:val="single" w:sz="8" w:space="0" w:color="auto"/>
              <w:left w:val="nil"/>
              <w:bottom w:val="single" w:sz="4" w:space="0" w:color="auto"/>
              <w:right w:val="nil"/>
            </w:tcBorders>
          </w:tcPr>
          <w:p w14:paraId="643D5AED"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Transportation services provided by emergency transportation providers.</w:t>
            </w:r>
          </w:p>
          <w:p w14:paraId="20D62285" w14:textId="77777777" w:rsidR="00CA7D8A" w:rsidRPr="00CA7D8A" w:rsidRDefault="00CA7D8A" w:rsidP="00322A61">
            <w:pPr>
              <w:rPr>
                <w:rFonts w:ascii="Times New Roman" w:hAnsi="Times New Roman"/>
                <w:sz w:val="24"/>
                <w:szCs w:val="24"/>
              </w:rPr>
            </w:pPr>
          </w:p>
        </w:tc>
      </w:tr>
      <w:tr w:rsidR="00CA7D8A" w:rsidRPr="00CA7D8A" w14:paraId="5F6DC6FD" w14:textId="77777777" w:rsidTr="00322A61">
        <w:trPr>
          <w:cantSplit/>
        </w:trPr>
        <w:tc>
          <w:tcPr>
            <w:tcW w:w="1548" w:type="pct"/>
            <w:tcBorders>
              <w:top w:val="single" w:sz="8" w:space="0" w:color="auto"/>
              <w:left w:val="nil"/>
              <w:bottom w:val="single" w:sz="4" w:space="0" w:color="auto"/>
              <w:right w:val="nil"/>
            </w:tcBorders>
            <w:hideMark/>
          </w:tcPr>
          <w:p w14:paraId="0FF1D533"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 xml:space="preserve">Pharmacy </w:t>
            </w:r>
          </w:p>
        </w:tc>
        <w:tc>
          <w:tcPr>
            <w:tcW w:w="3452" w:type="pct"/>
            <w:tcBorders>
              <w:top w:val="single" w:sz="8" w:space="0" w:color="auto"/>
              <w:left w:val="nil"/>
              <w:bottom w:val="single" w:sz="4" w:space="0" w:color="auto"/>
              <w:right w:val="nil"/>
            </w:tcBorders>
          </w:tcPr>
          <w:p w14:paraId="4B8CBD93"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Retail pharmacy.</w:t>
            </w:r>
          </w:p>
          <w:p w14:paraId="71518525" w14:textId="77777777" w:rsidR="00CA7D8A" w:rsidRPr="00CA7D8A" w:rsidRDefault="00CA7D8A" w:rsidP="00322A61">
            <w:pPr>
              <w:rPr>
                <w:rFonts w:ascii="Times New Roman" w:hAnsi="Times New Roman"/>
                <w:sz w:val="24"/>
                <w:szCs w:val="24"/>
              </w:rPr>
            </w:pPr>
          </w:p>
        </w:tc>
      </w:tr>
      <w:tr w:rsidR="00CA7D8A" w:rsidRPr="00CA7D8A" w14:paraId="4318BC01" w14:textId="77777777" w:rsidTr="00322A61">
        <w:trPr>
          <w:cantSplit/>
        </w:trPr>
        <w:tc>
          <w:tcPr>
            <w:tcW w:w="1548" w:type="pct"/>
            <w:tcBorders>
              <w:top w:val="single" w:sz="8" w:space="0" w:color="auto"/>
              <w:left w:val="nil"/>
              <w:bottom w:val="single" w:sz="4" w:space="0" w:color="auto"/>
              <w:right w:val="nil"/>
            </w:tcBorders>
            <w:hideMark/>
          </w:tcPr>
          <w:p w14:paraId="1177BD24"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Other Medical Services</w:t>
            </w:r>
          </w:p>
        </w:tc>
        <w:tc>
          <w:tcPr>
            <w:tcW w:w="3452" w:type="pct"/>
            <w:tcBorders>
              <w:top w:val="single" w:sz="8" w:space="0" w:color="auto"/>
              <w:left w:val="nil"/>
              <w:bottom w:val="single" w:sz="4" w:space="0" w:color="auto"/>
              <w:right w:val="nil"/>
            </w:tcBorders>
            <w:hideMark/>
          </w:tcPr>
          <w:p w14:paraId="399FD0C4"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Speech and hearing services, renal dialysis, dental care, hospice care, and other miscellaneous services.</w:t>
            </w:r>
          </w:p>
        </w:tc>
      </w:tr>
      <w:tr w:rsidR="00CA7D8A" w:rsidRPr="00CA7D8A" w14:paraId="7CEC3D88" w14:textId="77777777" w:rsidTr="00322A61">
        <w:trPr>
          <w:cantSplit/>
        </w:trPr>
        <w:tc>
          <w:tcPr>
            <w:tcW w:w="1548" w:type="pct"/>
            <w:tcBorders>
              <w:top w:val="single" w:sz="8" w:space="0" w:color="auto"/>
              <w:left w:val="nil"/>
              <w:bottom w:val="single" w:sz="4" w:space="0" w:color="auto"/>
              <w:right w:val="nil"/>
            </w:tcBorders>
            <w:hideMark/>
          </w:tcPr>
          <w:p w14:paraId="26F1532C"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Inpatient Behavioral Health</w:t>
            </w:r>
          </w:p>
        </w:tc>
        <w:tc>
          <w:tcPr>
            <w:tcW w:w="3452" w:type="pct"/>
            <w:tcBorders>
              <w:top w:val="single" w:sz="8" w:space="0" w:color="auto"/>
              <w:left w:val="nil"/>
              <w:bottom w:val="single" w:sz="4" w:space="0" w:color="auto"/>
              <w:right w:val="nil"/>
            </w:tcBorders>
            <w:hideMark/>
          </w:tcPr>
          <w:p w14:paraId="13108C8A" w14:textId="18BC6077" w:rsidR="00CA7D8A" w:rsidRPr="00CA7D8A" w:rsidRDefault="00CA7D8A" w:rsidP="00D3791A">
            <w:pPr>
              <w:rPr>
                <w:rFonts w:ascii="Times New Roman" w:hAnsi="Times New Roman"/>
                <w:sz w:val="24"/>
                <w:szCs w:val="24"/>
              </w:rPr>
            </w:pPr>
            <w:r w:rsidRPr="00CA7D8A">
              <w:rPr>
                <w:rFonts w:ascii="Times New Roman" w:hAnsi="Times New Roman"/>
                <w:sz w:val="24"/>
                <w:szCs w:val="24"/>
              </w:rPr>
              <w:t xml:space="preserve">Inpatient services related to behavioral health care, provided in acute care hospitals, chronic care hospitals, behavioral health hospitals, or other specialty behavioral health residential facilities. </w:t>
            </w:r>
          </w:p>
        </w:tc>
      </w:tr>
      <w:tr w:rsidR="00CA7D8A" w:rsidRPr="00CA7D8A" w14:paraId="6B36DF50" w14:textId="77777777" w:rsidTr="00322A61">
        <w:trPr>
          <w:cantSplit/>
        </w:trPr>
        <w:tc>
          <w:tcPr>
            <w:tcW w:w="1548" w:type="pct"/>
            <w:tcBorders>
              <w:top w:val="single" w:sz="4" w:space="0" w:color="auto"/>
              <w:left w:val="nil"/>
              <w:bottom w:val="single" w:sz="4" w:space="0" w:color="auto"/>
              <w:right w:val="nil"/>
            </w:tcBorders>
            <w:hideMark/>
          </w:tcPr>
          <w:p w14:paraId="0E017B7A"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Outpatient Behavioral Health</w:t>
            </w:r>
          </w:p>
        </w:tc>
        <w:tc>
          <w:tcPr>
            <w:tcW w:w="3452" w:type="pct"/>
            <w:tcBorders>
              <w:top w:val="single" w:sz="4" w:space="0" w:color="auto"/>
              <w:left w:val="nil"/>
              <w:bottom w:val="single" w:sz="4" w:space="0" w:color="auto"/>
              <w:right w:val="nil"/>
            </w:tcBorders>
            <w:hideMark/>
          </w:tcPr>
          <w:p w14:paraId="69EAAE8A" w14:textId="77777777" w:rsidR="00CA7D8A" w:rsidRPr="00CA7D8A" w:rsidRDefault="00CA7D8A" w:rsidP="00322A61">
            <w:pPr>
              <w:rPr>
                <w:rFonts w:ascii="Times New Roman" w:hAnsi="Times New Roman"/>
                <w:sz w:val="24"/>
                <w:szCs w:val="24"/>
              </w:rPr>
            </w:pPr>
            <w:r w:rsidRPr="00CA7D8A">
              <w:rPr>
                <w:rFonts w:ascii="Times New Roman" w:hAnsi="Times New Roman"/>
                <w:sz w:val="24"/>
                <w:szCs w:val="24"/>
              </w:rPr>
              <w:t xml:space="preserve">Outpatient behavioral health services provided by behavioral health hospitals, mental health clinics, acute care hospitals, physicians, and other appropriate behavioral health service providers. Does not include CBHI services. </w:t>
            </w:r>
          </w:p>
        </w:tc>
      </w:tr>
      <w:tr w:rsidR="00D3791A" w:rsidRPr="00CA7D8A" w14:paraId="1584B9CD" w14:textId="77777777" w:rsidTr="00322A61">
        <w:trPr>
          <w:cantSplit/>
        </w:trPr>
        <w:tc>
          <w:tcPr>
            <w:tcW w:w="1548" w:type="pct"/>
            <w:tcBorders>
              <w:top w:val="single" w:sz="4" w:space="0" w:color="auto"/>
              <w:left w:val="nil"/>
              <w:bottom w:val="single" w:sz="4" w:space="0" w:color="auto"/>
              <w:right w:val="nil"/>
            </w:tcBorders>
          </w:tcPr>
          <w:p w14:paraId="5126A954" w14:textId="7FA24B0C" w:rsidR="00D3791A" w:rsidRPr="00CA7D8A" w:rsidRDefault="00D3791A" w:rsidP="00322A61">
            <w:pPr>
              <w:rPr>
                <w:rFonts w:ascii="Times New Roman" w:hAnsi="Times New Roman"/>
                <w:sz w:val="24"/>
                <w:szCs w:val="24"/>
              </w:rPr>
            </w:pPr>
            <w:r>
              <w:rPr>
                <w:rFonts w:ascii="Times New Roman" w:hAnsi="Times New Roman"/>
                <w:sz w:val="24"/>
                <w:szCs w:val="24"/>
              </w:rPr>
              <w:t>Diversionary Behavioral Health</w:t>
            </w:r>
          </w:p>
        </w:tc>
        <w:tc>
          <w:tcPr>
            <w:tcW w:w="3452" w:type="pct"/>
            <w:tcBorders>
              <w:top w:val="single" w:sz="4" w:space="0" w:color="auto"/>
              <w:left w:val="nil"/>
              <w:bottom w:val="single" w:sz="4" w:space="0" w:color="auto"/>
              <w:right w:val="nil"/>
            </w:tcBorders>
          </w:tcPr>
          <w:p w14:paraId="533AE58A" w14:textId="13697FAD" w:rsidR="00D3791A" w:rsidRPr="00CA7D8A" w:rsidRDefault="00D3791A" w:rsidP="00322A61">
            <w:pPr>
              <w:rPr>
                <w:rFonts w:ascii="Times New Roman" w:hAnsi="Times New Roman"/>
                <w:sz w:val="24"/>
                <w:szCs w:val="24"/>
              </w:rPr>
            </w:pPr>
            <w:r w:rsidRPr="00D3791A">
              <w:rPr>
                <w:rFonts w:ascii="Times New Roman" w:hAnsi="Times New Roman"/>
                <w:sz w:val="24"/>
                <w:szCs w:val="24"/>
              </w:rPr>
              <w:t>Diversionary behavioral health services are home and community-based mental health and substance use disorder services furnished as clinically appropriate alternatives to and diversions from inpatient mental health and substance use disorder services in more community- based, less structured environments. Diversionary services are also provided to support an individual’s return to the community following a 24-hour acute placement; or to provide intensive support to maintai</w:t>
            </w:r>
            <w:r>
              <w:rPr>
                <w:rFonts w:ascii="Times New Roman" w:hAnsi="Times New Roman"/>
                <w:sz w:val="24"/>
                <w:szCs w:val="24"/>
              </w:rPr>
              <w:t>n functioning in the community.</w:t>
            </w:r>
          </w:p>
        </w:tc>
      </w:tr>
    </w:tbl>
    <w:p w14:paraId="3321F194" w14:textId="77777777" w:rsidR="00CA7D8A" w:rsidRPr="00CA7D8A" w:rsidRDefault="00CA7D8A" w:rsidP="00CA7D8A">
      <w:pPr>
        <w:rPr>
          <w:rFonts w:ascii="Times New Roman" w:hAnsi="Times New Roman"/>
          <w:color w:val="FF0000"/>
          <w:sz w:val="24"/>
          <w:szCs w:val="24"/>
        </w:rPr>
      </w:pPr>
      <w:r w:rsidRPr="00CA7D8A" w:rsidDel="00E452F9">
        <w:rPr>
          <w:rFonts w:ascii="Times New Roman" w:hAnsi="Times New Roman"/>
          <w:color w:val="FF0000"/>
          <w:sz w:val="24"/>
          <w:szCs w:val="24"/>
        </w:rPr>
        <w:t xml:space="preserve"> </w:t>
      </w:r>
    </w:p>
    <w:p w14:paraId="383D9BCC" w14:textId="77777777" w:rsidR="00CA7D8A" w:rsidRPr="00CA7D8A" w:rsidRDefault="00CA7D8A" w:rsidP="00107B00">
      <w:pPr>
        <w:pStyle w:val="Heading3"/>
        <w:numPr>
          <w:ilvl w:val="0"/>
          <w:numId w:val="0"/>
        </w:numPr>
        <w:ind w:left="720" w:hanging="720"/>
        <w:rPr>
          <w:rFonts w:ascii="Times New Roman" w:hAnsi="Times New Roman"/>
          <w:sz w:val="24"/>
          <w:szCs w:val="24"/>
        </w:rPr>
      </w:pPr>
      <w:bookmarkStart w:id="8" w:name="_Toc459979301"/>
      <w:r w:rsidRPr="00CA7D8A">
        <w:rPr>
          <w:rFonts w:ascii="Times New Roman" w:hAnsi="Times New Roman"/>
          <w:sz w:val="24"/>
          <w:szCs w:val="24"/>
        </w:rPr>
        <w:t>2.2. Excluded services</w:t>
      </w:r>
      <w:bookmarkEnd w:id="8"/>
    </w:p>
    <w:p w14:paraId="2E8EC391" w14:textId="77777777" w:rsidR="00CA7D8A" w:rsidRDefault="00CA7D8A" w:rsidP="00CA7D8A">
      <w:pPr>
        <w:rPr>
          <w:rFonts w:ascii="Times New Roman" w:hAnsi="Times New Roman"/>
          <w:sz w:val="24"/>
          <w:szCs w:val="24"/>
        </w:rPr>
      </w:pPr>
      <w:r w:rsidRPr="00CA7D8A">
        <w:rPr>
          <w:rFonts w:ascii="Times New Roman" w:hAnsi="Times New Roman"/>
          <w:sz w:val="24"/>
          <w:szCs w:val="24"/>
        </w:rPr>
        <w:t>MassHealth’s current MCO capitation rates include certain high-cost services that are relatively new to the MassHealth program, which may result in a large and unpredictable impact on ACOs’ TCOC. Some such services, specifically Hepatitis C drugs, Cystic Fibrosis drugs, and Applied Behavioral Analysis, will therefore be excluded from TCOC calculations.</w:t>
      </w:r>
    </w:p>
    <w:p w14:paraId="35F15F14" w14:textId="77777777" w:rsidR="000D4AD3" w:rsidRPr="00CA7D8A" w:rsidRDefault="000D4AD3" w:rsidP="00CA7D8A">
      <w:pPr>
        <w:rPr>
          <w:rFonts w:ascii="Times New Roman" w:hAnsi="Times New Roman"/>
          <w:sz w:val="24"/>
          <w:szCs w:val="24"/>
        </w:rPr>
      </w:pPr>
    </w:p>
    <w:p w14:paraId="07D94E19" w14:textId="77777777" w:rsidR="00CA7D8A" w:rsidRDefault="00CA7D8A" w:rsidP="00CA7D8A">
      <w:pPr>
        <w:rPr>
          <w:rFonts w:ascii="Times New Roman" w:hAnsi="Times New Roman"/>
          <w:sz w:val="24"/>
          <w:szCs w:val="24"/>
        </w:rPr>
      </w:pPr>
      <w:r w:rsidRPr="00CA7D8A">
        <w:rPr>
          <w:rFonts w:ascii="Times New Roman" w:hAnsi="Times New Roman"/>
          <w:sz w:val="24"/>
          <w:szCs w:val="24"/>
        </w:rPr>
        <w:t xml:space="preserve">TCOC will </w:t>
      </w:r>
      <w:r w:rsidR="000D4AD3">
        <w:rPr>
          <w:rFonts w:ascii="Times New Roman" w:hAnsi="Times New Roman"/>
          <w:sz w:val="24"/>
          <w:szCs w:val="24"/>
        </w:rPr>
        <w:t xml:space="preserve">also </w:t>
      </w:r>
      <w:r w:rsidRPr="00CA7D8A">
        <w:rPr>
          <w:rFonts w:ascii="Times New Roman" w:hAnsi="Times New Roman"/>
          <w:sz w:val="24"/>
          <w:szCs w:val="24"/>
        </w:rPr>
        <w:t>exclude services that are currently excluded from MCO capitation rates. Long Term Supports &amp; Services (LTSS) will be excluded, as will services rendered by state agencies outside of MassHealth or the health safety net.</w:t>
      </w:r>
    </w:p>
    <w:p w14:paraId="3695C1AA" w14:textId="77777777" w:rsidR="000D4AD3" w:rsidRPr="00CA7D8A" w:rsidRDefault="000D4AD3" w:rsidP="00CA7D8A">
      <w:pPr>
        <w:rPr>
          <w:rFonts w:ascii="Times New Roman" w:hAnsi="Times New Roman"/>
          <w:color w:val="FF0000"/>
          <w:sz w:val="24"/>
          <w:szCs w:val="24"/>
        </w:rPr>
      </w:pPr>
    </w:p>
    <w:p w14:paraId="2A337385" w14:textId="77777777" w:rsidR="00CA7D8A" w:rsidRPr="00CA7D8A" w:rsidRDefault="00CA7D8A" w:rsidP="00107B00">
      <w:pPr>
        <w:pStyle w:val="Heading2"/>
        <w:numPr>
          <w:ilvl w:val="0"/>
          <w:numId w:val="0"/>
        </w:numPr>
        <w:rPr>
          <w:rFonts w:ascii="Times New Roman" w:hAnsi="Times New Roman"/>
          <w:b w:val="0"/>
          <w:sz w:val="24"/>
          <w:szCs w:val="24"/>
        </w:rPr>
      </w:pPr>
      <w:bookmarkStart w:id="9" w:name="_Toc459979302"/>
      <w:r w:rsidRPr="00CA7D8A">
        <w:rPr>
          <w:rFonts w:ascii="Times New Roman" w:hAnsi="Times New Roman"/>
          <w:b w:val="0"/>
          <w:sz w:val="24"/>
          <w:szCs w:val="24"/>
        </w:rPr>
        <w:t>Section 3. Calculation of TCOC target</w:t>
      </w:r>
      <w:bookmarkEnd w:id="9"/>
    </w:p>
    <w:p w14:paraId="12E38A37" w14:textId="77777777" w:rsidR="00CA7D8A" w:rsidRPr="00CA7D8A" w:rsidRDefault="00CA7D8A" w:rsidP="00CA7D8A">
      <w:pPr>
        <w:rPr>
          <w:rFonts w:ascii="Times New Roman" w:hAnsi="Times New Roman"/>
          <w:sz w:val="24"/>
          <w:szCs w:val="24"/>
        </w:rPr>
      </w:pPr>
      <w:r w:rsidRPr="00CA7D8A">
        <w:rPr>
          <w:rFonts w:ascii="Times New Roman" w:hAnsi="Times New Roman"/>
          <w:sz w:val="24"/>
          <w:szCs w:val="24"/>
        </w:rPr>
        <w:t xml:space="preserve">Prior to the start of the performance year, MassHealth will establish a </w:t>
      </w:r>
      <w:r w:rsidR="000D4AD3">
        <w:rPr>
          <w:rFonts w:ascii="Times New Roman" w:hAnsi="Times New Roman"/>
          <w:sz w:val="24"/>
          <w:szCs w:val="24"/>
        </w:rPr>
        <w:t xml:space="preserve">preliminary </w:t>
      </w:r>
      <w:r w:rsidRPr="00CA7D8A">
        <w:rPr>
          <w:rFonts w:ascii="Times New Roman" w:hAnsi="Times New Roman"/>
          <w:sz w:val="24"/>
          <w:szCs w:val="24"/>
        </w:rPr>
        <w:t xml:space="preserve">TCOC target </w:t>
      </w:r>
      <w:r w:rsidRPr="00CA7D8A">
        <w:rPr>
          <w:rFonts w:ascii="Times New Roman" w:hAnsi="Times New Roman"/>
          <w:sz w:val="24"/>
          <w:szCs w:val="24"/>
        </w:rPr>
        <w:lastRenderedPageBreak/>
        <w:t>for each Pilot ACO. This section describes how that target will be calculated.</w:t>
      </w:r>
    </w:p>
    <w:p w14:paraId="3E3A0BBD" w14:textId="77777777" w:rsidR="00CA7D8A" w:rsidRPr="00CA7D8A" w:rsidRDefault="00CA7D8A" w:rsidP="00107B00">
      <w:pPr>
        <w:pStyle w:val="Heading3"/>
        <w:numPr>
          <w:ilvl w:val="0"/>
          <w:numId w:val="0"/>
        </w:numPr>
        <w:ind w:left="720" w:hanging="720"/>
        <w:rPr>
          <w:rFonts w:ascii="Times New Roman" w:hAnsi="Times New Roman"/>
          <w:sz w:val="24"/>
          <w:szCs w:val="24"/>
        </w:rPr>
      </w:pPr>
      <w:bookmarkStart w:id="10" w:name="_Toc459979303"/>
      <w:r w:rsidRPr="00CA7D8A">
        <w:rPr>
          <w:rFonts w:ascii="Times New Roman" w:hAnsi="Times New Roman"/>
          <w:sz w:val="24"/>
          <w:szCs w:val="24"/>
        </w:rPr>
        <w:t>3.1. Base data</w:t>
      </w:r>
      <w:bookmarkEnd w:id="10"/>
    </w:p>
    <w:p w14:paraId="53E12E7F" w14:textId="69847143" w:rsidR="00CA7D8A" w:rsidRDefault="00CA7D8A" w:rsidP="00CA7D8A">
      <w:pPr>
        <w:rPr>
          <w:rFonts w:ascii="Times New Roman" w:hAnsi="Times New Roman"/>
          <w:sz w:val="24"/>
          <w:szCs w:val="24"/>
        </w:rPr>
      </w:pPr>
      <w:r w:rsidRPr="00CA7D8A">
        <w:rPr>
          <w:rFonts w:ascii="Times New Roman" w:hAnsi="Times New Roman"/>
          <w:sz w:val="24"/>
          <w:szCs w:val="24"/>
        </w:rPr>
        <w:t xml:space="preserve">The TCOC target will be based on a one-year historical base period of October 1, 2014 through September 30, 2015. MassHealth selected this base period after reviewing the most recent three years of available and reliable data for the ACO-eligible population. </w:t>
      </w:r>
    </w:p>
    <w:p w14:paraId="00C19A01" w14:textId="77777777" w:rsidR="000D4AD3" w:rsidRPr="00CA7D8A" w:rsidRDefault="000D4AD3" w:rsidP="00CA7D8A">
      <w:pPr>
        <w:rPr>
          <w:rFonts w:ascii="Times New Roman" w:hAnsi="Times New Roman"/>
          <w:sz w:val="24"/>
          <w:szCs w:val="24"/>
        </w:rPr>
      </w:pPr>
    </w:p>
    <w:p w14:paraId="1E3DC001" w14:textId="6CC02DAC" w:rsidR="00CA7D8A" w:rsidRPr="00CA7D8A" w:rsidRDefault="00CA7D8A" w:rsidP="00CA7D8A">
      <w:pPr>
        <w:rPr>
          <w:rFonts w:ascii="Times New Roman" w:hAnsi="Times New Roman"/>
          <w:sz w:val="24"/>
          <w:szCs w:val="24"/>
        </w:rPr>
      </w:pPr>
      <w:r w:rsidRPr="00CA7D8A">
        <w:rPr>
          <w:rFonts w:ascii="Times New Roman" w:hAnsi="Times New Roman"/>
          <w:sz w:val="24"/>
          <w:szCs w:val="24"/>
        </w:rPr>
        <w:t>All base data for PCC Plan members and included services will be utilized to inform adjustments such as trend. The base data will consist of MassHealth eligibility records, Primary Care Clinician (PCC) Plan claims and Massachusetts Behavioral Health Partnership</w:t>
      </w:r>
      <w:r w:rsidR="00D3791A">
        <w:rPr>
          <w:rFonts w:ascii="Times New Roman" w:hAnsi="Times New Roman"/>
          <w:sz w:val="24"/>
          <w:szCs w:val="24"/>
        </w:rPr>
        <w:t xml:space="preserve"> (BHP) contractor</w:t>
      </w:r>
      <w:r w:rsidRPr="00CA7D8A">
        <w:rPr>
          <w:rFonts w:ascii="Times New Roman" w:hAnsi="Times New Roman"/>
          <w:sz w:val="24"/>
          <w:szCs w:val="24"/>
        </w:rPr>
        <w:t xml:space="preserve"> encounter data for PCC and BHP covered services.  Each Pilot ACO’s TCOC target will be based on the data for members attributed to that ACO’s participating PCCs, specifically, during the base period.</w:t>
      </w:r>
      <w:r w:rsidR="00E422BE">
        <w:rPr>
          <w:rFonts w:ascii="Times New Roman" w:hAnsi="Times New Roman"/>
          <w:sz w:val="24"/>
          <w:szCs w:val="24"/>
        </w:rPr>
        <w:t xml:space="preserve"> For Performance Period B, additional trend and seasonality adjustments will be made to reflect the 15 month performance period.</w:t>
      </w:r>
    </w:p>
    <w:p w14:paraId="41FB9D36" w14:textId="77777777" w:rsidR="00CA7D8A" w:rsidRPr="00CA7D8A" w:rsidRDefault="00CA7D8A" w:rsidP="00107B00">
      <w:pPr>
        <w:pStyle w:val="Heading3"/>
        <w:numPr>
          <w:ilvl w:val="0"/>
          <w:numId w:val="0"/>
        </w:numPr>
        <w:ind w:left="720" w:hanging="720"/>
        <w:rPr>
          <w:rFonts w:ascii="Times New Roman" w:hAnsi="Times New Roman"/>
          <w:sz w:val="24"/>
          <w:szCs w:val="24"/>
        </w:rPr>
      </w:pPr>
      <w:bookmarkStart w:id="11" w:name="_Toc459979304"/>
      <w:r w:rsidRPr="00CA7D8A">
        <w:rPr>
          <w:rFonts w:ascii="Times New Roman" w:hAnsi="Times New Roman"/>
          <w:sz w:val="24"/>
          <w:szCs w:val="24"/>
        </w:rPr>
        <w:t>3.2. Risk/acuity adjustment</w:t>
      </w:r>
      <w:bookmarkEnd w:id="11"/>
    </w:p>
    <w:p w14:paraId="6CCB0475" w14:textId="7DC15E96" w:rsidR="00CA7D8A" w:rsidRDefault="00CA7D8A" w:rsidP="00CA7D8A">
      <w:pPr>
        <w:rPr>
          <w:rFonts w:ascii="Times New Roman" w:hAnsi="Times New Roman"/>
          <w:sz w:val="24"/>
          <w:szCs w:val="24"/>
        </w:rPr>
      </w:pPr>
      <w:r w:rsidRPr="00CA7D8A">
        <w:rPr>
          <w:rFonts w:ascii="Times New Roman" w:hAnsi="Times New Roman"/>
          <w:sz w:val="24"/>
          <w:szCs w:val="24"/>
        </w:rPr>
        <w:t>For each ACO, MassHealth will adjust for any observed changes in acuity between the members attributed during the base period (October 1, 2014 - September 30, 2015) and the ACO performance period</w:t>
      </w:r>
      <w:r w:rsidR="00E422BE">
        <w:rPr>
          <w:rFonts w:ascii="Times New Roman" w:hAnsi="Times New Roman"/>
          <w:sz w:val="24"/>
          <w:szCs w:val="24"/>
        </w:rPr>
        <w:t>s</w:t>
      </w:r>
      <w:r w:rsidRPr="00CA7D8A">
        <w:rPr>
          <w:rFonts w:ascii="Times New Roman" w:hAnsi="Times New Roman"/>
          <w:sz w:val="24"/>
          <w:szCs w:val="24"/>
        </w:rPr>
        <w:t xml:space="preserve"> (December 1, 2016 to </w:t>
      </w:r>
      <w:r w:rsidR="00D3791A">
        <w:rPr>
          <w:rFonts w:ascii="Times New Roman" w:hAnsi="Times New Roman"/>
          <w:sz w:val="24"/>
          <w:szCs w:val="24"/>
        </w:rPr>
        <w:t>November</w:t>
      </w:r>
      <w:r w:rsidRPr="00CA7D8A">
        <w:rPr>
          <w:rFonts w:ascii="Times New Roman" w:hAnsi="Times New Roman"/>
          <w:sz w:val="24"/>
          <w:szCs w:val="24"/>
        </w:rPr>
        <w:t xml:space="preserve"> 30, 2017</w:t>
      </w:r>
      <w:r w:rsidR="00E422BE">
        <w:rPr>
          <w:rFonts w:ascii="Times New Roman" w:hAnsi="Times New Roman"/>
          <w:sz w:val="24"/>
          <w:szCs w:val="24"/>
        </w:rPr>
        <w:t xml:space="preserve"> or December 1, 2016 to February 28, 2018</w:t>
      </w:r>
      <w:r w:rsidRPr="00CA7D8A">
        <w:rPr>
          <w:rFonts w:ascii="Times New Roman" w:hAnsi="Times New Roman"/>
          <w:sz w:val="24"/>
          <w:szCs w:val="24"/>
        </w:rPr>
        <w:t xml:space="preserve">). Specifically, MassHealth will normalize each ACO’s risk score to the overall PCC program during the base period, and again </w:t>
      </w:r>
      <w:r w:rsidR="00F44DB3">
        <w:rPr>
          <w:rFonts w:ascii="Times New Roman" w:hAnsi="Times New Roman"/>
          <w:sz w:val="24"/>
          <w:szCs w:val="24"/>
        </w:rPr>
        <w:t>for each</w:t>
      </w:r>
      <w:r w:rsidRPr="00CA7D8A">
        <w:rPr>
          <w:rFonts w:ascii="Times New Roman" w:hAnsi="Times New Roman"/>
          <w:sz w:val="24"/>
          <w:szCs w:val="24"/>
        </w:rPr>
        <w:t xml:space="preserve"> performance period. </w:t>
      </w:r>
    </w:p>
    <w:p w14:paraId="4376EAF3" w14:textId="77777777" w:rsidR="000D4AD3" w:rsidRPr="00CA7D8A" w:rsidRDefault="000D4AD3" w:rsidP="00CA7D8A">
      <w:pPr>
        <w:rPr>
          <w:rFonts w:ascii="Times New Roman" w:hAnsi="Times New Roman"/>
          <w:sz w:val="24"/>
          <w:szCs w:val="24"/>
        </w:rPr>
      </w:pPr>
    </w:p>
    <w:p w14:paraId="44203C3A" w14:textId="77777777" w:rsidR="00CA7D8A" w:rsidRPr="00CA7D8A" w:rsidRDefault="00CA7D8A" w:rsidP="00CA7D8A">
      <w:pPr>
        <w:rPr>
          <w:rFonts w:ascii="Times New Roman" w:hAnsi="Times New Roman"/>
          <w:sz w:val="24"/>
          <w:szCs w:val="24"/>
        </w:rPr>
      </w:pPr>
      <w:r w:rsidRPr="00CA7D8A">
        <w:rPr>
          <w:rFonts w:ascii="Times New Roman" w:hAnsi="Times New Roman"/>
          <w:sz w:val="24"/>
          <w:szCs w:val="24"/>
        </w:rPr>
        <w:t xml:space="preserve">MassHealth will use a statistically developed risk adjustment tool and standard </w:t>
      </w:r>
      <w:proofErr w:type="spellStart"/>
      <w:r w:rsidRPr="00CA7D8A">
        <w:rPr>
          <w:rFonts w:ascii="Times New Roman" w:hAnsi="Times New Roman"/>
          <w:sz w:val="24"/>
          <w:szCs w:val="24"/>
        </w:rPr>
        <w:t>DxCG</w:t>
      </w:r>
      <w:proofErr w:type="spellEnd"/>
      <w:r w:rsidRPr="00CA7D8A">
        <w:rPr>
          <w:rFonts w:ascii="Times New Roman" w:hAnsi="Times New Roman"/>
          <w:sz w:val="24"/>
          <w:szCs w:val="24"/>
        </w:rPr>
        <w:t xml:space="preserve"> grouper to develop individual member-level risk scores; this tool also incorporates independent variables related to social determinants of health. </w:t>
      </w:r>
    </w:p>
    <w:p w14:paraId="23B34FA5" w14:textId="77777777" w:rsidR="00CA7D8A" w:rsidRPr="00CA7D8A" w:rsidRDefault="00CA7D8A" w:rsidP="00107B00">
      <w:pPr>
        <w:pStyle w:val="Heading3"/>
        <w:numPr>
          <w:ilvl w:val="0"/>
          <w:numId w:val="0"/>
        </w:numPr>
        <w:ind w:left="720" w:hanging="720"/>
        <w:rPr>
          <w:rFonts w:ascii="Times New Roman" w:hAnsi="Times New Roman"/>
          <w:sz w:val="24"/>
          <w:szCs w:val="24"/>
        </w:rPr>
      </w:pPr>
      <w:bookmarkStart w:id="12" w:name="_Toc459979305"/>
      <w:r w:rsidRPr="00CA7D8A">
        <w:rPr>
          <w:rFonts w:ascii="Times New Roman" w:hAnsi="Times New Roman"/>
          <w:sz w:val="24"/>
          <w:szCs w:val="24"/>
        </w:rPr>
        <w:t>3.3. Stop-loss adjustment</w:t>
      </w:r>
      <w:bookmarkEnd w:id="12"/>
    </w:p>
    <w:p w14:paraId="60F6AF6B" w14:textId="77777777" w:rsidR="00CA7D8A" w:rsidRPr="00CA7D8A" w:rsidRDefault="00CA7D8A" w:rsidP="00CA7D8A">
      <w:pPr>
        <w:spacing w:after="40"/>
        <w:rPr>
          <w:rFonts w:ascii="Times New Roman" w:hAnsi="Times New Roman"/>
          <w:bCs/>
          <w:sz w:val="24"/>
          <w:szCs w:val="24"/>
        </w:rPr>
      </w:pPr>
      <w:r w:rsidRPr="00CA7D8A">
        <w:rPr>
          <w:rFonts w:ascii="Times New Roman" w:hAnsi="Times New Roman"/>
          <w:sz w:val="24"/>
          <w:szCs w:val="24"/>
        </w:rPr>
        <w:t xml:space="preserve">Consistent with the stop-loss approach described in Section 4.1, MassHealth will adjust the base data in order to mitigate the risk to providers from claims incurred for individual members beyond the stop-loss thresholds ($50,000 for RC I, $110,000 for RC II). Expenditures beyond these thresholds will be reduced by 90% in the base data; ACOs are therefore “at risk” for only 10% of these outlier costs. </w:t>
      </w:r>
    </w:p>
    <w:p w14:paraId="72B4927B" w14:textId="77777777" w:rsidR="00CA7D8A" w:rsidRPr="00CA7D8A" w:rsidRDefault="00CA7D8A" w:rsidP="00107B00">
      <w:pPr>
        <w:pStyle w:val="Heading3"/>
        <w:numPr>
          <w:ilvl w:val="0"/>
          <w:numId w:val="0"/>
        </w:numPr>
        <w:ind w:left="720" w:hanging="720"/>
        <w:rPr>
          <w:rFonts w:ascii="Times New Roman" w:hAnsi="Times New Roman"/>
          <w:sz w:val="24"/>
          <w:szCs w:val="24"/>
        </w:rPr>
      </w:pPr>
      <w:bookmarkStart w:id="13" w:name="_Toc459979306"/>
      <w:r w:rsidRPr="00CA7D8A">
        <w:rPr>
          <w:rFonts w:ascii="Times New Roman" w:hAnsi="Times New Roman"/>
          <w:sz w:val="24"/>
          <w:szCs w:val="24"/>
        </w:rPr>
        <w:t>3.4. Trend</w:t>
      </w:r>
      <w:bookmarkEnd w:id="13"/>
    </w:p>
    <w:p w14:paraId="14646722" w14:textId="77777777" w:rsidR="00CA7D8A" w:rsidRDefault="00CA7D8A" w:rsidP="00CA7D8A">
      <w:pPr>
        <w:rPr>
          <w:rFonts w:ascii="Times New Roman" w:hAnsi="Times New Roman"/>
          <w:sz w:val="24"/>
          <w:szCs w:val="24"/>
        </w:rPr>
      </w:pPr>
      <w:r w:rsidRPr="00CA7D8A">
        <w:rPr>
          <w:rFonts w:ascii="Times New Roman" w:hAnsi="Times New Roman"/>
          <w:sz w:val="24"/>
          <w:szCs w:val="24"/>
        </w:rPr>
        <w:t xml:space="preserve">Trend is an estimate of the change in the overall cost of medical services over a finite period of time. A trend factor is necessary to estimate the expenses of providing health care services in a future time </w:t>
      </w:r>
      <w:r w:rsidRPr="00CA7D8A">
        <w:rPr>
          <w:rFonts w:ascii="Times New Roman" w:hAnsi="Times New Roman"/>
          <w:bCs/>
          <w:sz w:val="24"/>
          <w:szCs w:val="24"/>
        </w:rPr>
        <w:t>period. As part of the TCOC</w:t>
      </w:r>
      <w:r w:rsidRPr="00CA7D8A">
        <w:rPr>
          <w:rFonts w:ascii="Times New Roman" w:hAnsi="Times New Roman"/>
          <w:sz w:val="24"/>
          <w:szCs w:val="24"/>
        </w:rPr>
        <w:t xml:space="preserve"> development process, unit cost and utilization trend factors by RC, region, and service category will be developed.  </w:t>
      </w:r>
    </w:p>
    <w:p w14:paraId="6AD52CEF" w14:textId="77777777" w:rsidR="000D4AD3" w:rsidRPr="00CA7D8A" w:rsidRDefault="000D4AD3" w:rsidP="00CA7D8A">
      <w:pPr>
        <w:rPr>
          <w:rFonts w:ascii="Times New Roman" w:hAnsi="Times New Roman"/>
          <w:bCs/>
          <w:sz w:val="24"/>
          <w:szCs w:val="24"/>
        </w:rPr>
      </w:pPr>
    </w:p>
    <w:p w14:paraId="0F29C5C3" w14:textId="6E71C99B" w:rsidR="00CA7D8A" w:rsidRPr="00CA7D8A" w:rsidRDefault="00CA7D8A" w:rsidP="00CA7D8A">
      <w:pPr>
        <w:rPr>
          <w:rFonts w:ascii="Times New Roman" w:hAnsi="Times New Roman"/>
          <w:bCs/>
          <w:sz w:val="24"/>
          <w:szCs w:val="24"/>
        </w:rPr>
      </w:pPr>
      <w:r w:rsidRPr="00CA7D8A">
        <w:rPr>
          <w:rFonts w:ascii="Times New Roman" w:hAnsi="Times New Roman"/>
          <w:bCs/>
          <w:sz w:val="24"/>
          <w:szCs w:val="24"/>
        </w:rPr>
        <w:t>The primary data sources used in trend development will consist of ACO-eligible members’ eligibility records, PCC Plan claims, and BHP encounter data for PCC and BHP covered services. The</w:t>
      </w:r>
      <w:r w:rsidRPr="00CA7D8A">
        <w:rPr>
          <w:rFonts w:ascii="Times New Roman" w:hAnsi="Times New Roman"/>
          <w:sz w:val="24"/>
          <w:szCs w:val="24"/>
        </w:rPr>
        <w:t xml:space="preserve"> data reflects a variety of influences, including potential changes in medical management practices, network construction, and population risk. Some of these influences may be accounted for in other aspects of rate setting, such as program changes, and, as such, the data must be considered within the broade</w:t>
      </w:r>
      <w:r w:rsidRPr="00CA7D8A">
        <w:rPr>
          <w:rFonts w:ascii="Times New Roman" w:hAnsi="Times New Roman"/>
          <w:bCs/>
          <w:sz w:val="24"/>
          <w:szCs w:val="24"/>
        </w:rPr>
        <w:t xml:space="preserve">r context of other </w:t>
      </w:r>
      <w:r w:rsidRPr="00CA7D8A">
        <w:rPr>
          <w:rFonts w:ascii="Times New Roman" w:hAnsi="Times New Roman"/>
          <w:sz w:val="24"/>
          <w:szCs w:val="24"/>
        </w:rPr>
        <w:t>assumptions.</w:t>
      </w:r>
      <w:r w:rsidRPr="00CA7D8A">
        <w:rPr>
          <w:rFonts w:ascii="Times New Roman" w:hAnsi="Times New Roman"/>
          <w:bCs/>
          <w:sz w:val="24"/>
          <w:szCs w:val="24"/>
        </w:rPr>
        <w:t xml:space="preserve"> Any services excluded from </w:t>
      </w:r>
      <w:r w:rsidRPr="00CA7D8A">
        <w:rPr>
          <w:rFonts w:ascii="Times New Roman" w:hAnsi="Times New Roman"/>
          <w:bCs/>
          <w:sz w:val="24"/>
          <w:szCs w:val="24"/>
        </w:rPr>
        <w:lastRenderedPageBreak/>
        <w:t>TCOC will also be excluded from the trend development.</w:t>
      </w:r>
    </w:p>
    <w:p w14:paraId="379324DA" w14:textId="77777777" w:rsidR="00CA7D8A" w:rsidRPr="00CA7D8A" w:rsidRDefault="00CA7D8A" w:rsidP="00107B00">
      <w:pPr>
        <w:pStyle w:val="Heading3"/>
        <w:numPr>
          <w:ilvl w:val="0"/>
          <w:numId w:val="0"/>
        </w:numPr>
        <w:ind w:left="720" w:hanging="720"/>
        <w:rPr>
          <w:rFonts w:ascii="Times New Roman" w:hAnsi="Times New Roman"/>
          <w:sz w:val="24"/>
          <w:szCs w:val="24"/>
        </w:rPr>
      </w:pPr>
      <w:bookmarkStart w:id="14" w:name="_Toc459979308"/>
      <w:r w:rsidRPr="00CA7D8A">
        <w:rPr>
          <w:rFonts w:ascii="Times New Roman" w:hAnsi="Times New Roman"/>
          <w:sz w:val="24"/>
          <w:szCs w:val="24"/>
        </w:rPr>
        <w:t>3.5. Program changes</w:t>
      </w:r>
      <w:bookmarkEnd w:id="14"/>
    </w:p>
    <w:p w14:paraId="22F9881A" w14:textId="721F12D9" w:rsidR="007C4CBC" w:rsidRDefault="00CA7D8A" w:rsidP="00107B00">
      <w:pPr>
        <w:rPr>
          <w:rFonts w:ascii="Times New Roman" w:hAnsi="Times New Roman"/>
          <w:sz w:val="24"/>
          <w:szCs w:val="24"/>
        </w:rPr>
      </w:pPr>
      <w:bookmarkStart w:id="15" w:name="_Toc459979309"/>
      <w:r w:rsidRPr="00CA7D8A">
        <w:rPr>
          <w:rFonts w:ascii="Times New Roman" w:hAnsi="Times New Roman"/>
          <w:sz w:val="24"/>
          <w:szCs w:val="24"/>
        </w:rPr>
        <w:t>MassHealth will account for program changes occurring between the base and performance periods that are expected to affect the TCOC. Data will be adjusted for any known programmatic, benefit, fee, population changes occurring between the base period and the performance period</w:t>
      </w:r>
      <w:r w:rsidR="00F44DB3">
        <w:rPr>
          <w:rFonts w:ascii="Times New Roman" w:hAnsi="Times New Roman"/>
          <w:sz w:val="24"/>
          <w:szCs w:val="24"/>
        </w:rPr>
        <w:t>s</w:t>
      </w:r>
      <w:r w:rsidR="007C4CBC">
        <w:rPr>
          <w:rFonts w:ascii="Times New Roman" w:hAnsi="Times New Roman"/>
          <w:sz w:val="24"/>
          <w:szCs w:val="24"/>
        </w:rPr>
        <w:t>.</w:t>
      </w:r>
    </w:p>
    <w:p w14:paraId="59E71D2B" w14:textId="77777777" w:rsidR="007C4CBC" w:rsidRDefault="007C4CBC" w:rsidP="00107B00">
      <w:pPr>
        <w:rPr>
          <w:rFonts w:ascii="Times New Roman" w:hAnsi="Times New Roman"/>
          <w:sz w:val="24"/>
          <w:szCs w:val="24"/>
        </w:rPr>
      </w:pPr>
    </w:p>
    <w:p w14:paraId="6DA82D7B" w14:textId="77777777" w:rsidR="00CA7D8A" w:rsidRPr="00CA7D8A" w:rsidRDefault="00CA7D8A" w:rsidP="00107B00">
      <w:pPr>
        <w:rPr>
          <w:rFonts w:ascii="Times New Roman" w:hAnsi="Times New Roman"/>
          <w:sz w:val="24"/>
          <w:szCs w:val="24"/>
        </w:rPr>
      </w:pPr>
      <w:bookmarkStart w:id="16" w:name="_Toc459979310"/>
      <w:bookmarkEnd w:id="15"/>
      <w:r w:rsidRPr="00CA7D8A">
        <w:rPr>
          <w:rFonts w:ascii="Times New Roman" w:hAnsi="Times New Roman"/>
          <w:sz w:val="24"/>
          <w:szCs w:val="24"/>
        </w:rPr>
        <w:t>Section 4. Calculation of shared savings and losses</w:t>
      </w:r>
      <w:bookmarkEnd w:id="16"/>
    </w:p>
    <w:p w14:paraId="67E5A737" w14:textId="77777777" w:rsidR="00CA7D8A" w:rsidRPr="00CA7D8A" w:rsidRDefault="00CA7D8A" w:rsidP="00107B00">
      <w:pPr>
        <w:pStyle w:val="Heading3"/>
        <w:numPr>
          <w:ilvl w:val="0"/>
          <w:numId w:val="0"/>
        </w:numPr>
        <w:ind w:left="720" w:hanging="720"/>
        <w:rPr>
          <w:rFonts w:ascii="Times New Roman" w:hAnsi="Times New Roman"/>
          <w:sz w:val="24"/>
          <w:szCs w:val="24"/>
        </w:rPr>
      </w:pPr>
      <w:bookmarkStart w:id="17" w:name="_Toc459979311"/>
      <w:r w:rsidRPr="00CA7D8A">
        <w:rPr>
          <w:rFonts w:ascii="Times New Roman" w:hAnsi="Times New Roman"/>
          <w:sz w:val="24"/>
          <w:szCs w:val="24"/>
        </w:rPr>
        <w:t>4.1. Retrospective calculation of TCOC performance and savings / losses</w:t>
      </w:r>
      <w:bookmarkEnd w:id="17"/>
    </w:p>
    <w:p w14:paraId="704CD998" w14:textId="3EAB1DA7" w:rsidR="00CA7D8A" w:rsidRPr="00CA7D8A" w:rsidRDefault="00CA7D8A" w:rsidP="00CA7D8A">
      <w:pPr>
        <w:rPr>
          <w:rFonts w:ascii="Times New Roman" w:hAnsi="Times New Roman"/>
          <w:sz w:val="24"/>
          <w:szCs w:val="24"/>
        </w:rPr>
      </w:pPr>
      <w:r w:rsidRPr="00CA7D8A">
        <w:rPr>
          <w:rFonts w:ascii="Times New Roman" w:hAnsi="Times New Roman"/>
          <w:sz w:val="24"/>
          <w:szCs w:val="24"/>
        </w:rPr>
        <w:t xml:space="preserve">Within one year from the end of </w:t>
      </w:r>
      <w:r w:rsidR="00F44DB3">
        <w:rPr>
          <w:rFonts w:ascii="Times New Roman" w:hAnsi="Times New Roman"/>
          <w:sz w:val="24"/>
          <w:szCs w:val="24"/>
        </w:rPr>
        <w:t>each</w:t>
      </w:r>
      <w:r w:rsidRPr="00CA7D8A">
        <w:rPr>
          <w:rFonts w:ascii="Times New Roman" w:hAnsi="Times New Roman"/>
          <w:sz w:val="24"/>
          <w:szCs w:val="24"/>
        </w:rPr>
        <w:t xml:space="preserve"> performance period, MassHealth will calculate each ACO’s TCOC performance for the list of covered services described in Section 2.1. Several potential adjustments may be made at that time to account for additional changes between the base and performance periods:</w:t>
      </w:r>
    </w:p>
    <w:p w14:paraId="4F449CA5" w14:textId="77777777" w:rsidR="00CA7D8A" w:rsidRPr="00CA7D8A" w:rsidRDefault="00CA7D8A" w:rsidP="00CA7D8A">
      <w:pPr>
        <w:pStyle w:val="ListParagraph"/>
        <w:widowControl/>
        <w:numPr>
          <w:ilvl w:val="0"/>
          <w:numId w:val="21"/>
        </w:numPr>
        <w:spacing w:after="200" w:line="276" w:lineRule="auto"/>
        <w:rPr>
          <w:rFonts w:ascii="Times New Roman" w:hAnsi="Times New Roman"/>
          <w:b w:val="0"/>
          <w:sz w:val="24"/>
        </w:rPr>
      </w:pPr>
      <w:r w:rsidRPr="00CA7D8A">
        <w:rPr>
          <w:rFonts w:ascii="Times New Roman" w:hAnsi="Times New Roman"/>
          <w:b w:val="0"/>
          <w:sz w:val="24"/>
        </w:rPr>
        <w:t>Shifts in risk: MassHealth will calculate each ACO’s benchmark to reflect the actual risk scores of the ACO’s covered population, as well as reflect the ACO’s final enrollment mix by rating category (i.e., rating category and age group). .</w:t>
      </w:r>
    </w:p>
    <w:p w14:paraId="163A4CAC" w14:textId="35DF1430" w:rsidR="00CA7D8A" w:rsidRPr="00CA7D8A" w:rsidRDefault="00CA7D8A" w:rsidP="00CA7D8A">
      <w:pPr>
        <w:pStyle w:val="ListParagraph"/>
        <w:widowControl/>
        <w:numPr>
          <w:ilvl w:val="0"/>
          <w:numId w:val="21"/>
        </w:numPr>
        <w:spacing w:after="200" w:line="276" w:lineRule="auto"/>
        <w:rPr>
          <w:rFonts w:ascii="Times New Roman" w:hAnsi="Times New Roman"/>
          <w:b w:val="0"/>
          <w:sz w:val="24"/>
        </w:rPr>
      </w:pPr>
      <w:r w:rsidRPr="00CA7D8A">
        <w:rPr>
          <w:rFonts w:ascii="Times New Roman" w:hAnsi="Times New Roman"/>
          <w:b w:val="0"/>
          <w:sz w:val="24"/>
        </w:rPr>
        <w:t>Program changes: To the degree that MassHealth introduces substantial shifts in policy during the performance period</w:t>
      </w:r>
      <w:r w:rsidR="00F44DB3">
        <w:rPr>
          <w:rFonts w:ascii="Times New Roman" w:hAnsi="Times New Roman"/>
          <w:b w:val="0"/>
          <w:sz w:val="24"/>
        </w:rPr>
        <w:t>s</w:t>
      </w:r>
      <w:r w:rsidRPr="00CA7D8A">
        <w:rPr>
          <w:rFonts w:ascii="Times New Roman" w:hAnsi="Times New Roman"/>
          <w:b w:val="0"/>
          <w:sz w:val="24"/>
        </w:rPr>
        <w:t xml:space="preserve"> that has an effect on TCOC, calculations of performance may be adjusted to reflect the impact of those policy changes</w:t>
      </w:r>
    </w:p>
    <w:p w14:paraId="559C1715" w14:textId="77777777" w:rsidR="00CA7D8A" w:rsidRPr="00CA7D8A" w:rsidRDefault="00CA7D8A" w:rsidP="00CA7D8A">
      <w:pPr>
        <w:pStyle w:val="ListParagraph"/>
        <w:widowControl/>
        <w:numPr>
          <w:ilvl w:val="0"/>
          <w:numId w:val="21"/>
        </w:numPr>
        <w:spacing w:after="200" w:line="276" w:lineRule="auto"/>
        <w:rPr>
          <w:rFonts w:ascii="Times New Roman" w:hAnsi="Times New Roman"/>
          <w:b w:val="0"/>
          <w:sz w:val="24"/>
        </w:rPr>
      </w:pPr>
      <w:r w:rsidRPr="00CA7D8A">
        <w:rPr>
          <w:rFonts w:ascii="Times New Roman" w:hAnsi="Times New Roman"/>
          <w:b w:val="0"/>
          <w:sz w:val="24"/>
        </w:rPr>
        <w:t>Stop-loss: In order to appropriately incent ACOs to manage costs, it is important to insulate those ACOs’ performance from the impact of unmanageable catastrophic costs incurred by a small number of members. Therefore, MassHealth will count only 10% of claims beyond $50,000 for individual members in Rating Category I and $110,000 for individual members in Rating Category II in the calculation of TCOC performance. This approach is consistent with the discounting of those claims from the base data, as described in Section 3. The threshold amounts for each rating category were determined based on Monte Carlo simulations using the distribution in member-level spending and the expected number of attributed lives in the expected Pilot ACOs. By testing the financial impact of different stop-loss thresholds on each ACO’s TCOC performance under the assumption that members are randomly assigned to ACOs, MassHealth determined an appropriate threshold that protected ACOs from suffering significant losses due to random variation alone while maintaining a meaningful incentive to manage utilization for high-cost members.</w:t>
      </w:r>
    </w:p>
    <w:p w14:paraId="602E6E19" w14:textId="77777777" w:rsidR="00CA7D8A" w:rsidRDefault="00CA7D8A" w:rsidP="00CA7D8A">
      <w:pPr>
        <w:rPr>
          <w:rFonts w:ascii="Times New Roman" w:hAnsi="Times New Roman"/>
          <w:sz w:val="24"/>
          <w:szCs w:val="24"/>
        </w:rPr>
      </w:pPr>
      <w:r w:rsidRPr="00CA7D8A">
        <w:rPr>
          <w:rFonts w:ascii="Times New Roman" w:hAnsi="Times New Roman"/>
          <w:sz w:val="24"/>
          <w:szCs w:val="24"/>
        </w:rPr>
        <w:t>After the adjustments described above, the difference in each ACO’s TCOC performance and its target (each expressed as a PMPM) will be calculated on a PMPM basis.</w:t>
      </w:r>
    </w:p>
    <w:p w14:paraId="62486C69" w14:textId="77777777" w:rsidR="00CA4388" w:rsidRDefault="00CA4388" w:rsidP="00CA7D8A">
      <w:pPr>
        <w:rPr>
          <w:rFonts w:ascii="Times New Roman" w:hAnsi="Times New Roman"/>
          <w:sz w:val="24"/>
          <w:szCs w:val="24"/>
        </w:rPr>
      </w:pPr>
    </w:p>
    <w:p w14:paraId="0F73D7FB" w14:textId="449C9FB4" w:rsidR="00CA4388" w:rsidRPr="00CA7D8A" w:rsidRDefault="00CA4388" w:rsidP="00CA7D8A">
      <w:pPr>
        <w:rPr>
          <w:rFonts w:ascii="Times New Roman" w:hAnsi="Times New Roman"/>
          <w:sz w:val="24"/>
          <w:szCs w:val="24"/>
        </w:rPr>
      </w:pPr>
      <w:r>
        <w:rPr>
          <w:rFonts w:ascii="Times New Roman" w:hAnsi="Times New Roman"/>
          <w:sz w:val="24"/>
          <w:szCs w:val="24"/>
        </w:rPr>
        <w:t xml:space="preserve">For ACOs that </w:t>
      </w:r>
      <w:r w:rsidR="00E422BE">
        <w:rPr>
          <w:rFonts w:ascii="Times New Roman" w:hAnsi="Times New Roman"/>
          <w:sz w:val="24"/>
          <w:szCs w:val="24"/>
        </w:rPr>
        <w:t>have signed a contract extension</w:t>
      </w:r>
      <w:r>
        <w:rPr>
          <w:rFonts w:ascii="Times New Roman" w:hAnsi="Times New Roman"/>
          <w:sz w:val="24"/>
          <w:szCs w:val="24"/>
        </w:rPr>
        <w:t xml:space="preserve">, MassHealth will calculate TCOC performance for both the original 12 month performance period </w:t>
      </w:r>
      <w:r w:rsidR="00E422BE">
        <w:rPr>
          <w:rFonts w:ascii="Times New Roman" w:hAnsi="Times New Roman"/>
          <w:sz w:val="24"/>
          <w:szCs w:val="24"/>
        </w:rPr>
        <w:t xml:space="preserve">(Performance Period A) </w:t>
      </w:r>
      <w:r>
        <w:rPr>
          <w:rFonts w:ascii="Times New Roman" w:hAnsi="Times New Roman"/>
          <w:sz w:val="24"/>
          <w:szCs w:val="24"/>
        </w:rPr>
        <w:t>and the extended 15 month performance period</w:t>
      </w:r>
      <w:r w:rsidR="00E422BE">
        <w:rPr>
          <w:rFonts w:ascii="Times New Roman" w:hAnsi="Times New Roman"/>
          <w:sz w:val="24"/>
          <w:szCs w:val="24"/>
        </w:rPr>
        <w:t xml:space="preserve"> (Performance Period B)</w:t>
      </w:r>
      <w:r w:rsidR="00707CCE">
        <w:rPr>
          <w:rFonts w:ascii="Times New Roman" w:hAnsi="Times New Roman"/>
          <w:sz w:val="24"/>
          <w:szCs w:val="24"/>
        </w:rPr>
        <w:t>, against corresponding PMPM targets</w:t>
      </w:r>
      <w:r>
        <w:rPr>
          <w:rFonts w:ascii="Times New Roman" w:hAnsi="Times New Roman"/>
          <w:sz w:val="24"/>
          <w:szCs w:val="24"/>
        </w:rPr>
        <w:t xml:space="preserve">. ACOs will be accountable to whichever performance period leads to the </w:t>
      </w:r>
      <w:r w:rsidR="00707CCE">
        <w:rPr>
          <w:rFonts w:ascii="Times New Roman" w:hAnsi="Times New Roman"/>
          <w:sz w:val="24"/>
          <w:szCs w:val="24"/>
        </w:rPr>
        <w:t>larger</w:t>
      </w:r>
      <w:r>
        <w:rPr>
          <w:rFonts w:ascii="Times New Roman" w:hAnsi="Times New Roman"/>
          <w:sz w:val="24"/>
          <w:szCs w:val="24"/>
        </w:rPr>
        <w:t xml:space="preserve"> total shared savings or </w:t>
      </w:r>
      <w:r w:rsidR="00707CCE">
        <w:rPr>
          <w:rFonts w:ascii="Times New Roman" w:hAnsi="Times New Roman"/>
          <w:sz w:val="24"/>
          <w:szCs w:val="24"/>
        </w:rPr>
        <w:t>smaller</w:t>
      </w:r>
      <w:r>
        <w:rPr>
          <w:rFonts w:ascii="Times New Roman" w:hAnsi="Times New Roman"/>
          <w:sz w:val="24"/>
          <w:szCs w:val="24"/>
        </w:rPr>
        <w:t xml:space="preserve"> total shared losses payment.</w:t>
      </w:r>
    </w:p>
    <w:p w14:paraId="70429D61" w14:textId="77777777" w:rsidR="00CA7D8A" w:rsidRPr="00CA7D8A" w:rsidRDefault="00CA7D8A" w:rsidP="00107B00">
      <w:pPr>
        <w:pStyle w:val="Heading3"/>
        <w:numPr>
          <w:ilvl w:val="0"/>
          <w:numId w:val="0"/>
        </w:numPr>
        <w:rPr>
          <w:rFonts w:ascii="Times New Roman" w:hAnsi="Times New Roman"/>
          <w:sz w:val="24"/>
          <w:szCs w:val="24"/>
        </w:rPr>
      </w:pPr>
      <w:bookmarkStart w:id="18" w:name="_Toc459979312"/>
      <w:r w:rsidRPr="00CA7D8A">
        <w:rPr>
          <w:rFonts w:ascii="Times New Roman" w:hAnsi="Times New Roman"/>
          <w:sz w:val="24"/>
          <w:szCs w:val="24"/>
        </w:rPr>
        <w:t>4.2. Determination of shared portion of savings / losses</w:t>
      </w:r>
      <w:bookmarkEnd w:id="18"/>
    </w:p>
    <w:p w14:paraId="469C8C72" w14:textId="77777777" w:rsidR="00CA7D8A" w:rsidRPr="00CA7D8A" w:rsidRDefault="00CA7D8A" w:rsidP="00CA7D8A">
      <w:pPr>
        <w:rPr>
          <w:rFonts w:ascii="Times New Roman" w:hAnsi="Times New Roman"/>
          <w:sz w:val="24"/>
          <w:szCs w:val="24"/>
        </w:rPr>
      </w:pPr>
      <w:r w:rsidRPr="00CA7D8A">
        <w:rPr>
          <w:rFonts w:ascii="Times New Roman" w:hAnsi="Times New Roman"/>
          <w:sz w:val="24"/>
          <w:szCs w:val="24"/>
        </w:rPr>
        <w:t>Once the total savings or losses have been calculated, MassHealth will follow a series of steps that determine the portion of savings or losses retained by the ACO:</w:t>
      </w:r>
    </w:p>
    <w:p w14:paraId="7EC4D524" w14:textId="77777777" w:rsidR="00CA7D8A" w:rsidRPr="00CA7D8A" w:rsidRDefault="00CA7D8A" w:rsidP="00CA7D8A">
      <w:pPr>
        <w:pStyle w:val="ListParagraph"/>
        <w:widowControl/>
        <w:numPr>
          <w:ilvl w:val="0"/>
          <w:numId w:val="20"/>
        </w:numPr>
        <w:spacing w:after="200" w:line="276" w:lineRule="auto"/>
        <w:rPr>
          <w:rFonts w:ascii="Times New Roman" w:hAnsi="Times New Roman"/>
          <w:b w:val="0"/>
          <w:sz w:val="24"/>
        </w:rPr>
      </w:pPr>
      <w:r w:rsidRPr="00CA7D8A">
        <w:rPr>
          <w:rFonts w:ascii="Times New Roman" w:hAnsi="Times New Roman"/>
          <w:b w:val="0"/>
          <w:sz w:val="24"/>
        </w:rPr>
        <w:t xml:space="preserve">Savings / losses cap: MassHealth will recognize savings or losses for each individual ACO up to a cap of 15% of the ACO’s TCOC target. For example, if an ACO’s target TCOC is $500 PMPM, then its cap on recognized savings or losses is $500 * 15% = $75 PMPM. If the ACO achieves TCOC performance of $400 PMPM, MassHealth would only recognize $75 PMPM of the savings. Similarly, if the ACO has a TCOC performance of $580 PMPM, only $75 PMPM of losses would be recognized. For the ACO, 100% of savings or losses would be recognized if the ACO performed between $425 and $575 PMPM. </w:t>
      </w:r>
    </w:p>
    <w:p w14:paraId="6031BD36" w14:textId="77777777" w:rsidR="00CA7D8A" w:rsidRPr="00CA7D8A" w:rsidRDefault="00CA7D8A" w:rsidP="00CA7D8A">
      <w:pPr>
        <w:pStyle w:val="ListParagraph"/>
        <w:widowControl/>
        <w:numPr>
          <w:ilvl w:val="0"/>
          <w:numId w:val="20"/>
        </w:numPr>
        <w:spacing w:after="200" w:line="276" w:lineRule="auto"/>
        <w:rPr>
          <w:rFonts w:ascii="Times New Roman" w:hAnsi="Times New Roman"/>
          <w:b w:val="0"/>
          <w:sz w:val="24"/>
        </w:rPr>
      </w:pPr>
      <w:r w:rsidRPr="00CA7D8A">
        <w:rPr>
          <w:rFonts w:ascii="Times New Roman" w:hAnsi="Times New Roman"/>
          <w:b w:val="0"/>
          <w:sz w:val="24"/>
        </w:rPr>
        <w:t xml:space="preserve">Share of savings: After the determination of savings and losses, MassHealth will pay 50% of recognized savings to ACOs with TCOC performance below target. In the example where an ACO performs at $400 PMPM on a $500 PMPM target, MassHealth would therefore pay the ACO $75*50% = $37.50 PMPM. Therefore, the maximum financial upside in the ACO Pilot is 7.5% of target. </w:t>
      </w:r>
    </w:p>
    <w:p w14:paraId="6F34B9A0" w14:textId="77777777" w:rsidR="00CA7D8A" w:rsidRPr="00CA7D8A" w:rsidRDefault="00CA7D8A" w:rsidP="00CA7D8A">
      <w:pPr>
        <w:pStyle w:val="ListParagraph"/>
        <w:widowControl/>
        <w:numPr>
          <w:ilvl w:val="0"/>
          <w:numId w:val="20"/>
        </w:numPr>
        <w:spacing w:after="200" w:line="276" w:lineRule="auto"/>
        <w:rPr>
          <w:rFonts w:ascii="Times New Roman" w:hAnsi="Times New Roman"/>
          <w:b w:val="0"/>
          <w:sz w:val="24"/>
        </w:rPr>
      </w:pPr>
      <w:r w:rsidRPr="00CA7D8A">
        <w:rPr>
          <w:rFonts w:ascii="Times New Roman" w:hAnsi="Times New Roman"/>
          <w:b w:val="0"/>
          <w:sz w:val="24"/>
        </w:rPr>
        <w:t>Share of losses: MassHealth will recoup 10% of the recognized losses from ACOs with TCOC performance above target. In the example where ACO A performs at $580 PMPM on a $500 PMPM target, MassHealth would therefore recoup from ACO A $75*10% = $7.50 PMPM. Therefore, the maximum financial upside beyond target TCOC is 1.5% of target.</w:t>
      </w:r>
    </w:p>
    <w:p w14:paraId="54C21660" w14:textId="77777777" w:rsidR="00CA7D8A" w:rsidRPr="00CA7D8A" w:rsidRDefault="00CA7D8A" w:rsidP="00CA7D8A">
      <w:pPr>
        <w:pStyle w:val="ListParagraph"/>
        <w:widowControl/>
        <w:numPr>
          <w:ilvl w:val="0"/>
          <w:numId w:val="21"/>
        </w:numPr>
        <w:spacing w:after="200" w:line="276" w:lineRule="auto"/>
        <w:rPr>
          <w:rFonts w:ascii="Times New Roman" w:hAnsi="Times New Roman"/>
          <w:b w:val="0"/>
          <w:sz w:val="24"/>
        </w:rPr>
      </w:pPr>
      <w:r w:rsidRPr="00CA7D8A">
        <w:rPr>
          <w:rFonts w:ascii="Times New Roman" w:hAnsi="Times New Roman"/>
          <w:b w:val="0"/>
          <w:sz w:val="24"/>
        </w:rPr>
        <w:t xml:space="preserve">Minimum savings / loss ratio: If total savings or losses are less than 2% of the TCOC target, MassHealth will not pay shared savings or recoup shared losses. This approach prevents payments or recoupments from being incurred due to random variation. For example, if an ACO’s target TCOC is $500 PMPM, and its performance is between $490.01 and $509.99 PMPM, no savings or losses will be shared. If performance was $490.00 and below or $510.00 and above, then the full difference between performance and target would be recognized (per the prior three bullets) </w:t>
      </w:r>
    </w:p>
    <w:p w14:paraId="34E14667" w14:textId="77777777" w:rsidR="00CA7D8A" w:rsidRPr="00CA7D8A" w:rsidRDefault="00CA7D8A" w:rsidP="00107B00">
      <w:pPr>
        <w:pStyle w:val="Heading3"/>
        <w:numPr>
          <w:ilvl w:val="0"/>
          <w:numId w:val="0"/>
        </w:numPr>
        <w:ind w:left="720" w:hanging="720"/>
        <w:rPr>
          <w:rFonts w:ascii="Times New Roman" w:hAnsi="Times New Roman"/>
          <w:sz w:val="24"/>
          <w:szCs w:val="24"/>
        </w:rPr>
      </w:pPr>
      <w:bookmarkStart w:id="19" w:name="_Toc459979313"/>
      <w:r w:rsidRPr="00CA7D8A">
        <w:rPr>
          <w:rFonts w:ascii="Times New Roman" w:hAnsi="Times New Roman"/>
          <w:sz w:val="24"/>
          <w:szCs w:val="24"/>
        </w:rPr>
        <w:t>4.3. Impact of quality reporting on shared savings / losses</w:t>
      </w:r>
      <w:bookmarkEnd w:id="19"/>
    </w:p>
    <w:p w14:paraId="37764880" w14:textId="2751F6F6" w:rsidR="00E1762A" w:rsidRPr="00CA7D8A" w:rsidRDefault="00CA7D8A">
      <w:r w:rsidRPr="00CA7D8A">
        <w:rPr>
          <w:rFonts w:ascii="Times New Roman" w:hAnsi="Times New Roman"/>
          <w:sz w:val="24"/>
          <w:szCs w:val="24"/>
        </w:rPr>
        <w:t>Pilot ACOs will be required to report on certain clinical quality measures. ACOs that fail to satisfy quality reporting requirements will not be eligible to share in savings.</w:t>
      </w:r>
    </w:p>
    <w:sectPr w:rsidR="00E1762A" w:rsidRPr="00CA7D8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1550A" w14:textId="77777777" w:rsidR="00BA14B6" w:rsidRDefault="00BA14B6" w:rsidP="001B5F73">
      <w:r>
        <w:separator/>
      </w:r>
    </w:p>
  </w:endnote>
  <w:endnote w:type="continuationSeparator" w:id="0">
    <w:p w14:paraId="3E564A07" w14:textId="77777777" w:rsidR="00BA14B6" w:rsidRDefault="00BA14B6" w:rsidP="001B5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550293"/>
      <w:docPartObj>
        <w:docPartGallery w:val="Page Numbers (Bottom of Page)"/>
        <w:docPartUnique/>
      </w:docPartObj>
    </w:sdtPr>
    <w:sdtEndPr>
      <w:rPr>
        <w:noProof/>
      </w:rPr>
    </w:sdtEndPr>
    <w:sdtContent>
      <w:p w14:paraId="3359F22B" w14:textId="12052A27" w:rsidR="001B5F73" w:rsidRDefault="001B5F73">
        <w:pPr>
          <w:pStyle w:val="Footer"/>
          <w:jc w:val="right"/>
        </w:pPr>
        <w:r>
          <w:fldChar w:fldCharType="begin"/>
        </w:r>
        <w:r>
          <w:instrText xml:space="preserve"> PAGE   \* MERGEFORMAT </w:instrText>
        </w:r>
        <w:r>
          <w:fldChar w:fldCharType="separate"/>
        </w:r>
        <w:r w:rsidR="00697DEE">
          <w:rPr>
            <w:noProof/>
          </w:rPr>
          <w:t>3</w:t>
        </w:r>
        <w:r>
          <w:rPr>
            <w:noProof/>
          </w:rPr>
          <w:fldChar w:fldCharType="end"/>
        </w:r>
      </w:p>
    </w:sdtContent>
  </w:sdt>
  <w:p w14:paraId="26F1B9DC" w14:textId="77777777" w:rsidR="001B5F73" w:rsidRDefault="001B5F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13819" w14:textId="77777777" w:rsidR="00BA14B6" w:rsidRDefault="00BA14B6" w:rsidP="001B5F73">
      <w:r>
        <w:separator/>
      </w:r>
    </w:p>
  </w:footnote>
  <w:footnote w:type="continuationSeparator" w:id="0">
    <w:p w14:paraId="116330BD" w14:textId="77777777" w:rsidR="00BA14B6" w:rsidRDefault="00BA14B6" w:rsidP="001B5F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A1603FA"/>
    <w:lvl w:ilvl="0">
      <w:start w:val="1"/>
      <w:numFmt w:val="decimal"/>
      <w:pStyle w:val="Heading1"/>
      <w:suff w:val="space"/>
      <w:lvlText w:val="Section %1."/>
      <w:lvlJc w:val="left"/>
      <w:pPr>
        <w:ind w:left="1350" w:firstLine="0"/>
      </w:pPr>
    </w:lvl>
    <w:lvl w:ilvl="1">
      <w:start w:val="1"/>
      <w:numFmt w:val="decimal"/>
      <w:pStyle w:val="Heading2"/>
      <w:suff w:val="space"/>
      <w:lvlText w:val="Section %1.%2"/>
      <w:lvlJc w:val="left"/>
      <w:pPr>
        <w:ind w:left="1170" w:hanging="72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Heading3"/>
      <w:lvlText w:val="%3."/>
      <w:lvlJc w:val="left"/>
      <w:pPr>
        <w:tabs>
          <w:tab w:val="num" w:pos="720"/>
        </w:tabs>
        <w:ind w:left="720" w:hanging="720"/>
      </w:pPr>
      <w:rPr>
        <w:i w:val="0"/>
      </w:rPr>
    </w:lvl>
    <w:lvl w:ilvl="3">
      <w:start w:val="1"/>
      <w:numFmt w:val="decimal"/>
      <w:lvlText w:val="%4."/>
      <w:lvlJc w:val="left"/>
      <w:pPr>
        <w:tabs>
          <w:tab w:val="num" w:pos="-1080"/>
        </w:tabs>
        <w:ind w:left="108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Heading5"/>
      <w:lvlText w:val="%5."/>
      <w:lvlJc w:val="left"/>
      <w:pPr>
        <w:tabs>
          <w:tab w:val="num" w:pos="0"/>
        </w:tabs>
        <w:ind w:left="288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6)"/>
      <w:lvlJc w:val="left"/>
      <w:pPr>
        <w:tabs>
          <w:tab w:val="num" w:pos="0"/>
        </w:tabs>
        <w:ind w:left="3600" w:hanging="720"/>
      </w:pPr>
    </w:lvl>
    <w:lvl w:ilvl="6">
      <w:start w:val="1"/>
      <w:numFmt w:val="lowerLetter"/>
      <w:pStyle w:val="Heading7"/>
      <w:lvlText w:val="%7)"/>
      <w:lvlJc w:val="left"/>
      <w:pPr>
        <w:tabs>
          <w:tab w:val="num" w:pos="0"/>
        </w:tabs>
        <w:ind w:left="4320" w:hanging="720"/>
      </w:pPr>
    </w:lvl>
    <w:lvl w:ilvl="7">
      <w:start w:val="1"/>
      <w:numFmt w:val="lowerRoman"/>
      <w:pStyle w:val="Heading8"/>
      <w:lvlText w:val="(%8)"/>
      <w:lvlJc w:val="left"/>
      <w:pPr>
        <w:tabs>
          <w:tab w:val="num" w:pos="0"/>
        </w:tabs>
        <w:ind w:left="4752" w:hanging="720"/>
      </w:pPr>
    </w:lvl>
    <w:lvl w:ilvl="8">
      <w:start w:val="1"/>
      <w:numFmt w:val="lowerLetter"/>
      <w:pStyle w:val="Heading9"/>
      <w:lvlText w:val="(%9)"/>
      <w:lvlJc w:val="left"/>
      <w:pPr>
        <w:tabs>
          <w:tab w:val="num" w:pos="0"/>
        </w:tabs>
        <w:ind w:left="5328" w:hanging="720"/>
      </w:pPr>
    </w:lvl>
  </w:abstractNum>
  <w:abstractNum w:abstractNumId="1" w15:restartNumberingAfterBreak="0">
    <w:nsid w:val="14FD6658"/>
    <w:multiLevelType w:val="hybridMultilevel"/>
    <w:tmpl w:val="F5B8563E"/>
    <w:lvl w:ilvl="0" w:tplc="04465748">
      <w:start w:val="1"/>
      <w:numFmt w:val="decimal"/>
      <w:lvlText w:val="%1."/>
      <w:lvlJc w:val="left"/>
      <w:pPr>
        <w:ind w:left="360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2" w15:restartNumberingAfterBreak="0">
    <w:nsid w:val="285B54A4"/>
    <w:multiLevelType w:val="hybridMultilevel"/>
    <w:tmpl w:val="B3A8AEEA"/>
    <w:lvl w:ilvl="0" w:tplc="CFC44254">
      <w:start w:val="1"/>
      <w:numFmt w:val="bullet"/>
      <w:lvlText w:val=""/>
      <w:lvlJc w:val="left"/>
      <w:pPr>
        <w:ind w:left="463" w:hanging="360"/>
      </w:pPr>
      <w:rPr>
        <w:rFonts w:ascii="Symbol" w:eastAsia="Symbol" w:hAnsi="Symbol" w:hint="default"/>
        <w:w w:val="99"/>
        <w:sz w:val="20"/>
        <w:szCs w:val="20"/>
      </w:rPr>
    </w:lvl>
    <w:lvl w:ilvl="1" w:tplc="10725F1C">
      <w:start w:val="1"/>
      <w:numFmt w:val="bullet"/>
      <w:lvlText w:val="•"/>
      <w:lvlJc w:val="left"/>
      <w:pPr>
        <w:ind w:left="677" w:hanging="360"/>
      </w:pPr>
      <w:rPr>
        <w:rFonts w:hint="default"/>
      </w:rPr>
    </w:lvl>
    <w:lvl w:ilvl="2" w:tplc="4FE216D6">
      <w:start w:val="1"/>
      <w:numFmt w:val="bullet"/>
      <w:lvlText w:val="•"/>
      <w:lvlJc w:val="left"/>
      <w:pPr>
        <w:ind w:left="894" w:hanging="360"/>
      </w:pPr>
      <w:rPr>
        <w:rFonts w:hint="default"/>
      </w:rPr>
    </w:lvl>
    <w:lvl w:ilvl="3" w:tplc="9898A31A">
      <w:start w:val="1"/>
      <w:numFmt w:val="bullet"/>
      <w:lvlText w:val="•"/>
      <w:lvlJc w:val="left"/>
      <w:pPr>
        <w:ind w:left="1111" w:hanging="360"/>
      </w:pPr>
      <w:rPr>
        <w:rFonts w:hint="default"/>
      </w:rPr>
    </w:lvl>
    <w:lvl w:ilvl="4" w:tplc="8E10855C">
      <w:start w:val="1"/>
      <w:numFmt w:val="bullet"/>
      <w:lvlText w:val="•"/>
      <w:lvlJc w:val="left"/>
      <w:pPr>
        <w:ind w:left="1328" w:hanging="360"/>
      </w:pPr>
      <w:rPr>
        <w:rFonts w:hint="default"/>
      </w:rPr>
    </w:lvl>
    <w:lvl w:ilvl="5" w:tplc="AEC09C44">
      <w:start w:val="1"/>
      <w:numFmt w:val="bullet"/>
      <w:lvlText w:val="•"/>
      <w:lvlJc w:val="left"/>
      <w:pPr>
        <w:ind w:left="1545" w:hanging="360"/>
      </w:pPr>
      <w:rPr>
        <w:rFonts w:hint="default"/>
      </w:rPr>
    </w:lvl>
    <w:lvl w:ilvl="6" w:tplc="5520FCB4">
      <w:start w:val="1"/>
      <w:numFmt w:val="bullet"/>
      <w:lvlText w:val="•"/>
      <w:lvlJc w:val="left"/>
      <w:pPr>
        <w:ind w:left="1762" w:hanging="360"/>
      </w:pPr>
      <w:rPr>
        <w:rFonts w:hint="default"/>
      </w:rPr>
    </w:lvl>
    <w:lvl w:ilvl="7" w:tplc="3C5027DC">
      <w:start w:val="1"/>
      <w:numFmt w:val="bullet"/>
      <w:lvlText w:val="•"/>
      <w:lvlJc w:val="left"/>
      <w:pPr>
        <w:ind w:left="1979" w:hanging="360"/>
      </w:pPr>
      <w:rPr>
        <w:rFonts w:hint="default"/>
      </w:rPr>
    </w:lvl>
    <w:lvl w:ilvl="8" w:tplc="B022AD32">
      <w:start w:val="1"/>
      <w:numFmt w:val="bullet"/>
      <w:lvlText w:val="•"/>
      <w:lvlJc w:val="left"/>
      <w:pPr>
        <w:ind w:left="2196" w:hanging="360"/>
      </w:pPr>
      <w:rPr>
        <w:rFonts w:hint="default"/>
      </w:rPr>
    </w:lvl>
  </w:abstractNum>
  <w:abstractNum w:abstractNumId="3" w15:restartNumberingAfterBreak="0">
    <w:nsid w:val="5C840D03"/>
    <w:multiLevelType w:val="hybridMultilevel"/>
    <w:tmpl w:val="0BB44F38"/>
    <w:lvl w:ilvl="0" w:tplc="844CD788">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EF010C"/>
    <w:multiLevelType w:val="hybridMultilevel"/>
    <w:tmpl w:val="8CA2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
  </w:num>
  <w:num w:numId="14">
    <w:abstractNumId w:val="0"/>
  </w:num>
  <w:num w:numId="15">
    <w:abstractNumId w:val="0"/>
  </w:num>
  <w:num w:numId="16">
    <w:abstractNumId w:val="0"/>
  </w:num>
  <w:num w:numId="17">
    <w:abstractNumId w:val="0"/>
  </w:num>
  <w:num w:numId="18">
    <w:abstractNumId w:val="0"/>
  </w:num>
  <w:num w:numId="19">
    <w:abstractNumId w:val="2"/>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D8A"/>
    <w:rsid w:val="00083EE6"/>
    <w:rsid w:val="000B5034"/>
    <w:rsid w:val="000D4AD3"/>
    <w:rsid w:val="00107B00"/>
    <w:rsid w:val="00125720"/>
    <w:rsid w:val="001B5F73"/>
    <w:rsid w:val="002070AA"/>
    <w:rsid w:val="002F3A70"/>
    <w:rsid w:val="00344C39"/>
    <w:rsid w:val="005A5478"/>
    <w:rsid w:val="005A72AF"/>
    <w:rsid w:val="00697DEE"/>
    <w:rsid w:val="00707CCE"/>
    <w:rsid w:val="00777DB4"/>
    <w:rsid w:val="007C33AC"/>
    <w:rsid w:val="007C4CBC"/>
    <w:rsid w:val="008130D6"/>
    <w:rsid w:val="008330C2"/>
    <w:rsid w:val="00950124"/>
    <w:rsid w:val="00956AAA"/>
    <w:rsid w:val="00976A84"/>
    <w:rsid w:val="009A4FC6"/>
    <w:rsid w:val="00A0738A"/>
    <w:rsid w:val="00A36F7B"/>
    <w:rsid w:val="00B52716"/>
    <w:rsid w:val="00BA14B6"/>
    <w:rsid w:val="00C044BC"/>
    <w:rsid w:val="00C5073C"/>
    <w:rsid w:val="00CA4388"/>
    <w:rsid w:val="00CA7D8A"/>
    <w:rsid w:val="00D3791A"/>
    <w:rsid w:val="00E422BE"/>
    <w:rsid w:val="00E550AF"/>
    <w:rsid w:val="00EB332C"/>
    <w:rsid w:val="00F44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87D73"/>
  <w15:docId w15:val="{3E2E5C80-4BA8-43C2-AED3-DE1D647E7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A7D8A"/>
    <w:pPr>
      <w:widowControl w:val="0"/>
    </w:pPr>
    <w:rPr>
      <w:rFonts w:ascii="Calibri" w:eastAsia="Calibri" w:hAnsi="Calibri"/>
      <w:sz w:val="22"/>
      <w:szCs w:val="22"/>
    </w:rPr>
  </w:style>
  <w:style w:type="paragraph" w:styleId="Heading1">
    <w:name w:val="heading 1"/>
    <w:basedOn w:val="Normal"/>
    <w:next w:val="Normal"/>
    <w:link w:val="Heading1Char"/>
    <w:uiPriority w:val="1"/>
    <w:qFormat/>
    <w:rsid w:val="00956AAA"/>
    <w:pPr>
      <w:keepNext/>
      <w:numPr>
        <w:numId w:val="18"/>
      </w:numPr>
      <w:spacing w:before="240" w:after="240"/>
      <w:outlineLvl w:val="0"/>
    </w:pPr>
    <w:rPr>
      <w:b/>
      <w:caps/>
      <w:kern w:val="28"/>
      <w:sz w:val="28"/>
    </w:rPr>
  </w:style>
  <w:style w:type="paragraph" w:styleId="Heading2">
    <w:name w:val="heading 2"/>
    <w:basedOn w:val="Normal"/>
    <w:next w:val="Normal"/>
    <w:link w:val="Heading2Char"/>
    <w:uiPriority w:val="9"/>
    <w:qFormat/>
    <w:rsid w:val="00956AAA"/>
    <w:pPr>
      <w:numPr>
        <w:ilvl w:val="1"/>
        <w:numId w:val="18"/>
      </w:numPr>
      <w:spacing w:after="240"/>
      <w:outlineLvl w:val="1"/>
    </w:pPr>
    <w:rPr>
      <w:b/>
    </w:rPr>
  </w:style>
  <w:style w:type="paragraph" w:styleId="Heading3">
    <w:name w:val="heading 3"/>
    <w:basedOn w:val="Normal"/>
    <w:link w:val="Heading3Char"/>
    <w:qFormat/>
    <w:rsid w:val="00956AAA"/>
    <w:pPr>
      <w:numPr>
        <w:ilvl w:val="2"/>
        <w:numId w:val="18"/>
      </w:numPr>
      <w:spacing w:before="120" w:after="240"/>
      <w:outlineLvl w:val="2"/>
    </w:pPr>
  </w:style>
  <w:style w:type="paragraph" w:styleId="Heading4">
    <w:name w:val="heading 4"/>
    <w:basedOn w:val="Normal"/>
    <w:next w:val="Normal"/>
    <w:link w:val="Heading4Char"/>
    <w:qFormat/>
    <w:rsid w:val="00956AAA"/>
    <w:pPr>
      <w:spacing w:before="120"/>
      <w:ind w:left="1440" w:hanging="360"/>
      <w:outlineLvl w:val="3"/>
    </w:pPr>
  </w:style>
  <w:style w:type="paragraph" w:styleId="Heading5">
    <w:name w:val="heading 5"/>
    <w:basedOn w:val="Normal"/>
    <w:next w:val="Normal"/>
    <w:link w:val="Heading5Char"/>
    <w:qFormat/>
    <w:rsid w:val="00956AAA"/>
    <w:pPr>
      <w:numPr>
        <w:ilvl w:val="4"/>
        <w:numId w:val="18"/>
      </w:numPr>
      <w:spacing w:before="240" w:after="240"/>
      <w:outlineLvl w:val="4"/>
    </w:pPr>
  </w:style>
  <w:style w:type="paragraph" w:styleId="Heading6">
    <w:name w:val="heading 6"/>
    <w:basedOn w:val="Normal"/>
    <w:next w:val="Normal"/>
    <w:link w:val="Heading6Char"/>
    <w:qFormat/>
    <w:rsid w:val="00956AAA"/>
    <w:pPr>
      <w:numPr>
        <w:ilvl w:val="5"/>
        <w:numId w:val="18"/>
      </w:numPr>
      <w:spacing w:after="240"/>
      <w:outlineLvl w:val="5"/>
    </w:pPr>
  </w:style>
  <w:style w:type="paragraph" w:styleId="Heading7">
    <w:name w:val="heading 7"/>
    <w:basedOn w:val="Normal"/>
    <w:next w:val="Normal"/>
    <w:link w:val="Heading7Char"/>
    <w:qFormat/>
    <w:rsid w:val="00956AAA"/>
    <w:pPr>
      <w:numPr>
        <w:ilvl w:val="6"/>
        <w:numId w:val="18"/>
      </w:numPr>
      <w:spacing w:before="240" w:after="60"/>
      <w:outlineLvl w:val="6"/>
    </w:pPr>
  </w:style>
  <w:style w:type="paragraph" w:styleId="Heading8">
    <w:name w:val="heading 8"/>
    <w:basedOn w:val="Normal"/>
    <w:next w:val="Normal"/>
    <w:link w:val="Heading8Char"/>
    <w:qFormat/>
    <w:rsid w:val="00956AAA"/>
    <w:pPr>
      <w:numPr>
        <w:ilvl w:val="7"/>
        <w:numId w:val="18"/>
      </w:numPr>
      <w:spacing w:before="240" w:after="60"/>
      <w:outlineLvl w:val="7"/>
    </w:pPr>
  </w:style>
  <w:style w:type="paragraph" w:styleId="Heading9">
    <w:name w:val="heading 9"/>
    <w:basedOn w:val="Normal"/>
    <w:next w:val="Normal"/>
    <w:link w:val="Heading9Char"/>
    <w:qFormat/>
    <w:rsid w:val="00956AAA"/>
    <w:pPr>
      <w:numPr>
        <w:ilvl w:val="8"/>
        <w:numId w:val="18"/>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oundbullet">
    <w:name w:val="Round bullet"/>
    <w:basedOn w:val="Normal"/>
    <w:link w:val="RoundbulletChar"/>
    <w:autoRedefine/>
    <w:qFormat/>
    <w:rsid w:val="00956AAA"/>
    <w:pPr>
      <w:spacing w:line="252" w:lineRule="auto"/>
      <w:contextualSpacing/>
      <w:jc w:val="both"/>
      <w:textAlignment w:val="center"/>
    </w:pPr>
    <w:rPr>
      <w:rFonts w:eastAsiaTheme="minorEastAsia"/>
      <w:szCs w:val="24"/>
    </w:rPr>
  </w:style>
  <w:style w:type="character" w:customStyle="1" w:styleId="RoundbulletChar">
    <w:name w:val="Round bullet Char"/>
    <w:basedOn w:val="DefaultParagraphFont"/>
    <w:link w:val="Roundbullet"/>
    <w:rsid w:val="00956AAA"/>
    <w:rPr>
      <w:rFonts w:eastAsiaTheme="minorEastAsia"/>
      <w:sz w:val="24"/>
      <w:szCs w:val="24"/>
    </w:rPr>
  </w:style>
  <w:style w:type="paragraph" w:customStyle="1" w:styleId="22numberedparagraph">
    <w:name w:val="22 numbered paragraph"/>
    <w:basedOn w:val="Normal"/>
    <w:next w:val="Normal"/>
    <w:link w:val="22numberedparagraphChar"/>
    <w:uiPriority w:val="11"/>
    <w:qFormat/>
    <w:rsid w:val="00956AAA"/>
    <w:pPr>
      <w:spacing w:after="160" w:line="252" w:lineRule="auto"/>
      <w:jc w:val="both"/>
      <w:outlineLvl w:val="3"/>
    </w:pPr>
    <w:rPr>
      <w:rFonts w:ascii="Arial" w:eastAsiaTheme="minorEastAsia" w:hAnsi="Arial" w:cstheme="minorBidi"/>
      <w:b/>
    </w:rPr>
  </w:style>
  <w:style w:type="character" w:customStyle="1" w:styleId="22numberedparagraphChar">
    <w:name w:val="22 numbered paragraph Char"/>
    <w:basedOn w:val="DefaultParagraphFont"/>
    <w:link w:val="22numberedparagraph"/>
    <w:uiPriority w:val="11"/>
    <w:rsid w:val="00956AAA"/>
    <w:rPr>
      <w:rFonts w:ascii="Arial" w:eastAsiaTheme="minorEastAsia" w:hAnsi="Arial" w:cstheme="minorBidi"/>
      <w:b/>
      <w:sz w:val="24"/>
      <w:szCs w:val="22"/>
    </w:rPr>
  </w:style>
  <w:style w:type="character" w:customStyle="1" w:styleId="Heading1Char">
    <w:name w:val="Heading 1 Char"/>
    <w:basedOn w:val="DefaultParagraphFont"/>
    <w:link w:val="Heading1"/>
    <w:uiPriority w:val="1"/>
    <w:rsid w:val="00956AAA"/>
    <w:rPr>
      <w:b/>
      <w:caps/>
      <w:kern w:val="28"/>
      <w:sz w:val="28"/>
    </w:rPr>
  </w:style>
  <w:style w:type="character" w:customStyle="1" w:styleId="Heading2Char">
    <w:name w:val="Heading 2 Char"/>
    <w:basedOn w:val="DefaultParagraphFont"/>
    <w:link w:val="Heading2"/>
    <w:uiPriority w:val="9"/>
    <w:rsid w:val="00956AAA"/>
    <w:rPr>
      <w:b/>
      <w:sz w:val="24"/>
    </w:rPr>
  </w:style>
  <w:style w:type="character" w:customStyle="1" w:styleId="Heading3Char">
    <w:name w:val="Heading 3 Char"/>
    <w:basedOn w:val="DefaultParagraphFont"/>
    <w:link w:val="Heading3"/>
    <w:rsid w:val="00956AAA"/>
    <w:rPr>
      <w:sz w:val="24"/>
    </w:rPr>
  </w:style>
  <w:style w:type="character" w:customStyle="1" w:styleId="Heading4Char">
    <w:name w:val="Heading 4 Char"/>
    <w:basedOn w:val="DefaultParagraphFont"/>
    <w:link w:val="Heading4"/>
    <w:rsid w:val="00956AAA"/>
    <w:rPr>
      <w:sz w:val="24"/>
    </w:rPr>
  </w:style>
  <w:style w:type="character" w:customStyle="1" w:styleId="Heading5Char">
    <w:name w:val="Heading 5 Char"/>
    <w:basedOn w:val="DefaultParagraphFont"/>
    <w:link w:val="Heading5"/>
    <w:rsid w:val="00956AAA"/>
    <w:rPr>
      <w:sz w:val="24"/>
    </w:rPr>
  </w:style>
  <w:style w:type="character" w:customStyle="1" w:styleId="Heading6Char">
    <w:name w:val="Heading 6 Char"/>
    <w:basedOn w:val="DefaultParagraphFont"/>
    <w:link w:val="Heading6"/>
    <w:rsid w:val="00956AAA"/>
    <w:rPr>
      <w:sz w:val="24"/>
    </w:rPr>
  </w:style>
  <w:style w:type="character" w:customStyle="1" w:styleId="Heading7Char">
    <w:name w:val="Heading 7 Char"/>
    <w:basedOn w:val="DefaultParagraphFont"/>
    <w:link w:val="Heading7"/>
    <w:rsid w:val="00956AAA"/>
    <w:rPr>
      <w:sz w:val="24"/>
    </w:rPr>
  </w:style>
  <w:style w:type="character" w:customStyle="1" w:styleId="Heading8Char">
    <w:name w:val="Heading 8 Char"/>
    <w:basedOn w:val="DefaultParagraphFont"/>
    <w:link w:val="Heading8"/>
    <w:rsid w:val="00956AAA"/>
    <w:rPr>
      <w:sz w:val="24"/>
    </w:rPr>
  </w:style>
  <w:style w:type="character" w:customStyle="1" w:styleId="Heading9Char">
    <w:name w:val="Heading 9 Char"/>
    <w:basedOn w:val="DefaultParagraphFont"/>
    <w:link w:val="Heading9"/>
    <w:rsid w:val="00956AAA"/>
    <w:rPr>
      <w:sz w:val="24"/>
    </w:rPr>
  </w:style>
  <w:style w:type="paragraph" w:styleId="Caption">
    <w:name w:val="caption"/>
    <w:basedOn w:val="Normal"/>
    <w:next w:val="Normal"/>
    <w:qFormat/>
    <w:rsid w:val="00956AAA"/>
  </w:style>
  <w:style w:type="paragraph" w:styleId="Subtitle">
    <w:name w:val="Subtitle"/>
    <w:basedOn w:val="Normal"/>
    <w:next w:val="Normal"/>
    <w:link w:val="SubtitleChar"/>
    <w:qFormat/>
    <w:rsid w:val="00956AAA"/>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956AAA"/>
    <w:rPr>
      <w:rFonts w:asciiTheme="majorHAnsi" w:eastAsiaTheme="majorEastAsia" w:hAnsiTheme="majorHAnsi" w:cstheme="majorBidi"/>
      <w:i/>
      <w:iCs/>
      <w:color w:val="4F81BD" w:themeColor="accent1"/>
      <w:spacing w:val="15"/>
      <w:sz w:val="24"/>
      <w:szCs w:val="24"/>
    </w:rPr>
  </w:style>
  <w:style w:type="paragraph" w:styleId="NoSpacing">
    <w:name w:val="No Spacing"/>
    <w:basedOn w:val="Normal"/>
    <w:uiPriority w:val="1"/>
    <w:qFormat/>
    <w:rsid w:val="00956AAA"/>
    <w:rPr>
      <w:rFonts w:eastAsiaTheme="minorHAnsi"/>
    </w:rPr>
  </w:style>
  <w:style w:type="paragraph" w:styleId="ListParagraph">
    <w:name w:val="List Paragraph"/>
    <w:aliases w:val="Bullet List"/>
    <w:basedOn w:val="Normal"/>
    <w:link w:val="ListParagraphChar"/>
    <w:uiPriority w:val="34"/>
    <w:qFormat/>
    <w:rsid w:val="00956AAA"/>
    <w:pPr>
      <w:contextualSpacing/>
    </w:pPr>
    <w:rPr>
      <w:b/>
      <w:szCs w:val="24"/>
    </w:rPr>
  </w:style>
  <w:style w:type="character" w:customStyle="1" w:styleId="ListParagraphChar">
    <w:name w:val="List Paragraph Char"/>
    <w:aliases w:val="Bullet List Char"/>
    <w:basedOn w:val="DefaultParagraphFont"/>
    <w:link w:val="ListParagraph"/>
    <w:uiPriority w:val="34"/>
    <w:locked/>
    <w:rsid w:val="00956AAA"/>
    <w:rPr>
      <w:b/>
      <w:sz w:val="24"/>
      <w:szCs w:val="24"/>
    </w:rPr>
  </w:style>
  <w:style w:type="paragraph" w:styleId="TOCHeading">
    <w:name w:val="TOC Heading"/>
    <w:basedOn w:val="Heading1"/>
    <w:next w:val="Normal"/>
    <w:unhideWhenUsed/>
    <w:qFormat/>
    <w:rsid w:val="00956AAA"/>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Cs w:val="28"/>
    </w:rPr>
  </w:style>
  <w:style w:type="character" w:styleId="CommentReference">
    <w:name w:val="annotation reference"/>
    <w:uiPriority w:val="99"/>
    <w:rsid w:val="00CA7D8A"/>
    <w:rPr>
      <w:rFonts w:cs="Times New Roman"/>
      <w:sz w:val="16"/>
      <w:szCs w:val="16"/>
    </w:rPr>
  </w:style>
  <w:style w:type="paragraph" w:styleId="CommentText">
    <w:name w:val="annotation text"/>
    <w:basedOn w:val="Normal"/>
    <w:link w:val="CommentTextChar"/>
    <w:uiPriority w:val="99"/>
    <w:rsid w:val="00CA7D8A"/>
    <w:rPr>
      <w:rFonts w:ascii="Maiandra GD" w:eastAsia="Times New Roman" w:hAnsi="Maiandra GD"/>
      <w:sz w:val="28"/>
      <w:szCs w:val="20"/>
    </w:rPr>
  </w:style>
  <w:style w:type="character" w:customStyle="1" w:styleId="CommentTextChar">
    <w:name w:val="Comment Text Char"/>
    <w:basedOn w:val="DefaultParagraphFont"/>
    <w:link w:val="CommentText"/>
    <w:uiPriority w:val="99"/>
    <w:rsid w:val="00CA7D8A"/>
    <w:rPr>
      <w:rFonts w:ascii="Maiandra GD" w:hAnsi="Maiandra GD"/>
      <w:sz w:val="28"/>
    </w:rPr>
  </w:style>
  <w:style w:type="character" w:styleId="Hyperlink">
    <w:name w:val="Hyperlink"/>
    <w:uiPriority w:val="99"/>
    <w:rsid w:val="00CA7D8A"/>
    <w:rPr>
      <w:rFonts w:cs="Times New Roman"/>
      <w:color w:val="0000FF"/>
      <w:u w:val="single"/>
    </w:rPr>
  </w:style>
  <w:style w:type="paragraph" w:styleId="TOC1">
    <w:name w:val="toc 1"/>
    <w:basedOn w:val="Normal"/>
    <w:next w:val="Normal"/>
    <w:autoRedefine/>
    <w:uiPriority w:val="39"/>
    <w:unhideWhenUsed/>
    <w:rsid w:val="00CA7D8A"/>
    <w:pPr>
      <w:widowControl/>
      <w:spacing w:after="100" w:line="276" w:lineRule="auto"/>
    </w:pPr>
    <w:rPr>
      <w:rFonts w:asciiTheme="minorHAnsi" w:eastAsiaTheme="minorHAnsi" w:hAnsiTheme="minorHAnsi" w:cstheme="minorBidi"/>
    </w:rPr>
  </w:style>
  <w:style w:type="paragraph" w:styleId="TOC2">
    <w:name w:val="toc 2"/>
    <w:basedOn w:val="Normal"/>
    <w:next w:val="Normal"/>
    <w:autoRedefine/>
    <w:uiPriority w:val="39"/>
    <w:unhideWhenUsed/>
    <w:rsid w:val="00CA7D8A"/>
    <w:pPr>
      <w:widowControl/>
      <w:spacing w:after="100" w:line="276" w:lineRule="auto"/>
      <w:ind w:left="220"/>
    </w:pPr>
    <w:rPr>
      <w:rFonts w:asciiTheme="minorHAnsi" w:eastAsiaTheme="minorHAnsi" w:hAnsiTheme="minorHAnsi" w:cstheme="minorBidi"/>
    </w:rPr>
  </w:style>
  <w:style w:type="paragraph" w:styleId="TOC3">
    <w:name w:val="toc 3"/>
    <w:basedOn w:val="Normal"/>
    <w:next w:val="Normal"/>
    <w:autoRedefine/>
    <w:uiPriority w:val="39"/>
    <w:unhideWhenUsed/>
    <w:rsid w:val="00CA7D8A"/>
    <w:pPr>
      <w:widowControl/>
      <w:spacing w:after="100" w:line="276" w:lineRule="auto"/>
      <w:ind w:left="440"/>
    </w:pPr>
    <w:rPr>
      <w:rFonts w:asciiTheme="minorHAnsi" w:eastAsiaTheme="minorHAnsi" w:hAnsiTheme="minorHAnsi" w:cstheme="minorBidi"/>
    </w:rPr>
  </w:style>
  <w:style w:type="paragraph" w:customStyle="1" w:styleId="TableHeadingText">
    <w:name w:val="Table Heading Text"/>
    <w:basedOn w:val="Normal"/>
    <w:link w:val="TableHeadingTextChar"/>
    <w:rsid w:val="00CA7D8A"/>
    <w:pPr>
      <w:keepNext/>
      <w:widowControl/>
      <w:spacing w:before="40" w:after="40"/>
    </w:pPr>
    <w:rPr>
      <w:rFonts w:ascii="Arial" w:eastAsia="Times New Roman" w:hAnsi="Arial" w:cs="Arial"/>
      <w:b/>
      <w:sz w:val="18"/>
      <w:szCs w:val="20"/>
    </w:rPr>
  </w:style>
  <w:style w:type="paragraph" w:customStyle="1" w:styleId="TableText">
    <w:name w:val="Table Text"/>
    <w:basedOn w:val="Normal"/>
    <w:link w:val="TableTextChar"/>
    <w:rsid w:val="00CA7D8A"/>
    <w:pPr>
      <w:widowControl/>
      <w:spacing w:before="40" w:after="40"/>
    </w:pPr>
    <w:rPr>
      <w:rFonts w:ascii="Arial" w:eastAsia="Times New Roman" w:hAnsi="Arial" w:cs="Arial"/>
      <w:sz w:val="20"/>
      <w:szCs w:val="20"/>
    </w:rPr>
  </w:style>
  <w:style w:type="character" w:customStyle="1" w:styleId="TableTextChar">
    <w:name w:val="Table Text Char"/>
    <w:link w:val="TableText"/>
    <w:locked/>
    <w:rsid w:val="00CA7D8A"/>
    <w:rPr>
      <w:rFonts w:ascii="Arial" w:hAnsi="Arial" w:cs="Arial"/>
    </w:rPr>
  </w:style>
  <w:style w:type="character" w:customStyle="1" w:styleId="TableHeadingTextChar">
    <w:name w:val="Table Heading Text Char"/>
    <w:link w:val="TableHeadingText"/>
    <w:rsid w:val="00CA7D8A"/>
    <w:rPr>
      <w:rFonts w:ascii="Arial" w:hAnsi="Arial" w:cs="Arial"/>
      <w:b/>
      <w:sz w:val="18"/>
    </w:rPr>
  </w:style>
  <w:style w:type="paragraph" w:styleId="BalloonText">
    <w:name w:val="Balloon Text"/>
    <w:basedOn w:val="Normal"/>
    <w:link w:val="BalloonTextChar"/>
    <w:uiPriority w:val="99"/>
    <w:semiHidden/>
    <w:unhideWhenUsed/>
    <w:rsid w:val="00CA7D8A"/>
    <w:rPr>
      <w:rFonts w:ascii="Tahoma" w:hAnsi="Tahoma" w:cs="Tahoma"/>
      <w:sz w:val="16"/>
      <w:szCs w:val="16"/>
    </w:rPr>
  </w:style>
  <w:style w:type="character" w:customStyle="1" w:styleId="BalloonTextChar">
    <w:name w:val="Balloon Text Char"/>
    <w:basedOn w:val="DefaultParagraphFont"/>
    <w:link w:val="BalloonText"/>
    <w:uiPriority w:val="99"/>
    <w:semiHidden/>
    <w:rsid w:val="00CA7D8A"/>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A36F7B"/>
    <w:rPr>
      <w:rFonts w:ascii="Calibri" w:eastAsia="Calibri" w:hAnsi="Calibri"/>
      <w:b/>
      <w:bCs/>
      <w:sz w:val="20"/>
    </w:rPr>
  </w:style>
  <w:style w:type="character" w:customStyle="1" w:styleId="CommentSubjectChar">
    <w:name w:val="Comment Subject Char"/>
    <w:basedOn w:val="CommentTextChar"/>
    <w:link w:val="CommentSubject"/>
    <w:uiPriority w:val="99"/>
    <w:semiHidden/>
    <w:rsid w:val="00A36F7B"/>
    <w:rPr>
      <w:rFonts w:ascii="Calibri" w:eastAsia="Calibri" w:hAnsi="Calibri"/>
      <w:b/>
      <w:bCs/>
      <w:sz w:val="28"/>
    </w:rPr>
  </w:style>
  <w:style w:type="paragraph" w:styleId="Header">
    <w:name w:val="header"/>
    <w:basedOn w:val="Normal"/>
    <w:link w:val="HeaderChar"/>
    <w:uiPriority w:val="99"/>
    <w:unhideWhenUsed/>
    <w:rsid w:val="001B5F73"/>
    <w:pPr>
      <w:tabs>
        <w:tab w:val="center" w:pos="4680"/>
        <w:tab w:val="right" w:pos="9360"/>
      </w:tabs>
    </w:pPr>
  </w:style>
  <w:style w:type="character" w:customStyle="1" w:styleId="HeaderChar">
    <w:name w:val="Header Char"/>
    <w:basedOn w:val="DefaultParagraphFont"/>
    <w:link w:val="Header"/>
    <w:uiPriority w:val="99"/>
    <w:rsid w:val="001B5F73"/>
    <w:rPr>
      <w:rFonts w:ascii="Calibri" w:eastAsia="Calibri" w:hAnsi="Calibri"/>
      <w:sz w:val="22"/>
      <w:szCs w:val="22"/>
    </w:rPr>
  </w:style>
  <w:style w:type="paragraph" w:styleId="Footer">
    <w:name w:val="footer"/>
    <w:basedOn w:val="Normal"/>
    <w:link w:val="FooterChar"/>
    <w:uiPriority w:val="99"/>
    <w:unhideWhenUsed/>
    <w:rsid w:val="001B5F73"/>
    <w:pPr>
      <w:tabs>
        <w:tab w:val="center" w:pos="4680"/>
        <w:tab w:val="right" w:pos="9360"/>
      </w:tabs>
    </w:pPr>
  </w:style>
  <w:style w:type="character" w:customStyle="1" w:styleId="FooterChar">
    <w:name w:val="Footer Char"/>
    <w:basedOn w:val="DefaultParagraphFont"/>
    <w:link w:val="Footer"/>
    <w:uiPriority w:val="99"/>
    <w:rsid w:val="001B5F7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2773</Words>
  <Characters>15811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EOHHS</Company>
  <LinksUpToDate>false</LinksUpToDate>
  <CharactersWithSpaces>18547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EOHHS</dc:creator>
  <cp:lastModifiedBy>Eli Greenfield</cp:lastModifiedBy>
  <cp:revision>3</cp:revision>
  <cp:lastPrinted>2016-10-18T12:35:00Z</cp:lastPrinted>
  <dcterms:created xsi:type="dcterms:W3CDTF">2018-01-10T16:24:00Z</dcterms:created>
  <dcterms:modified xsi:type="dcterms:W3CDTF">2018-01-10T16:24:00Z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