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16EF15D6" w:rsidR="007D6522" w:rsidRPr="00FC25ED" w:rsidRDefault="65BC22A3" w:rsidP="00422469">
            <w:pPr>
              <w:pStyle w:val="MHCoverChart-Description"/>
              <w:spacing w:before="40" w:after="40" w:line="259" w:lineRule="auto"/>
              <w:contextualSpacing/>
              <w:rPr>
                <w:b w:val="0"/>
                <w:bCs/>
                <w:sz w:val="24"/>
                <w:szCs w:val="24"/>
              </w:rPr>
            </w:pPr>
            <w:r w:rsidRPr="00FC25ED">
              <w:rPr>
                <w:b w:val="0"/>
                <w:bCs/>
                <w:color w:val="FFFFFF" w:themeColor="background1"/>
                <w:sz w:val="24"/>
                <w:szCs w:val="24"/>
              </w:rPr>
              <w:t>CBHC</w:t>
            </w:r>
            <w:r w:rsidR="000F451E" w:rsidRPr="00FC25ED">
              <w:rPr>
                <w:b w:val="0"/>
                <w:bCs/>
                <w:color w:val="FFFFFF" w:themeColor="background1"/>
                <w:sz w:val="24"/>
                <w:szCs w:val="24"/>
              </w:rPr>
              <w:t xml:space="preserve">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369C7F6C" w:rsidR="009B4F17" w:rsidRPr="00FC25ED" w:rsidRDefault="00793E0D" w:rsidP="00077A0B">
            <w:pPr>
              <w:pStyle w:val="MHCoverChart-Description"/>
              <w:spacing w:before="40" w:after="40"/>
              <w:contextualSpacing/>
              <w:rPr>
                <w:color w:val="FFFFFF" w:themeColor="background1"/>
                <w:sz w:val="24"/>
                <w:szCs w:val="24"/>
              </w:rPr>
            </w:pPr>
            <w:r w:rsidRPr="00FC25ED">
              <w:rPr>
                <w:color w:val="FFFFFF" w:themeColor="background1"/>
                <w:sz w:val="24"/>
                <w:szCs w:val="24"/>
              </w:rPr>
              <w:t>PY1</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F43F475" w:rsidR="009B4F17" w:rsidRPr="00FC25ED" w:rsidRDefault="002457B9" w:rsidP="00077A0B">
            <w:pPr>
              <w:pStyle w:val="MHCoverChart-Description"/>
              <w:spacing w:before="40" w:after="40"/>
              <w:contextualSpacing/>
              <w:rPr>
                <w:color w:val="FFFFFF" w:themeColor="background1"/>
                <w:sz w:val="24"/>
                <w:szCs w:val="24"/>
              </w:rPr>
            </w:pPr>
            <w:r w:rsidRPr="00FC25ED">
              <w:rPr>
                <w:color w:val="FFFFFF" w:themeColor="background1"/>
                <w:sz w:val="24"/>
                <w:szCs w:val="24"/>
              </w:rPr>
              <w:t xml:space="preserve">Quality &amp; Equity Strategic Plan </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4C112BB0" w:rsidR="009B4F17" w:rsidRPr="00FC25ED" w:rsidRDefault="00FC25ED" w:rsidP="00077A0B">
            <w:pPr>
              <w:pStyle w:val="MHCoverChart-Description"/>
              <w:spacing w:before="40" w:after="40"/>
              <w:contextualSpacing/>
              <w:rPr>
                <w:color w:val="FFFFFF" w:themeColor="background1"/>
                <w:sz w:val="24"/>
                <w:szCs w:val="24"/>
              </w:rPr>
            </w:pPr>
            <w:r w:rsidRPr="00FC25ED">
              <w:rPr>
                <w:color w:val="FFFFFF" w:themeColor="background1"/>
                <w:sz w:val="24"/>
                <w:szCs w:val="24"/>
              </w:rPr>
              <w:t>OnBase</w:t>
            </w:r>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726108AE" w:rsidR="009B4F17" w:rsidRPr="00FC25ED" w:rsidRDefault="565444A0" w:rsidP="00422469">
            <w:pPr>
              <w:pStyle w:val="MHCoverChart-Description"/>
              <w:spacing w:before="40" w:after="40" w:line="259" w:lineRule="auto"/>
              <w:contextualSpacing/>
              <w:rPr>
                <w:sz w:val="24"/>
                <w:szCs w:val="24"/>
              </w:rPr>
            </w:pPr>
            <w:r w:rsidRPr="00FC25ED">
              <w:rPr>
                <w:color w:val="FFFFFF" w:themeColor="background1"/>
                <w:sz w:val="24"/>
                <w:szCs w:val="24"/>
              </w:rPr>
              <w:t>December 31, 2024</w:t>
            </w:r>
          </w:p>
        </w:tc>
      </w:tr>
      <w:tr w:rsidR="008F5EE6" w:rsidRPr="00C54786" w14:paraId="7A493A11"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396821D3" w:rsidR="008F5EE6" w:rsidRPr="00FC25ED" w:rsidRDefault="00FC25ED" w:rsidP="008F5EE6">
            <w:pPr>
              <w:pStyle w:val="MHCoverChart-Description"/>
              <w:spacing w:before="40" w:after="40"/>
              <w:contextualSpacing/>
              <w:rPr>
                <w:color w:val="FFFFFF" w:themeColor="background1"/>
                <w:sz w:val="24"/>
                <w:szCs w:val="24"/>
              </w:rPr>
            </w:pPr>
            <w:proofErr w:type="spellStart"/>
            <w:r w:rsidRPr="00FC25ED">
              <w:rPr>
                <w:color w:val="FFFFFF" w:themeColor="background1"/>
                <w:sz w:val="24"/>
                <w:szCs w:val="24"/>
              </w:rPr>
              <w:t>CBHC</w:t>
            </w:r>
            <w:r w:rsidR="008F5EE6" w:rsidRPr="00FC25ED">
              <w:rPr>
                <w:color w:val="FFFFFF" w:themeColor="background1"/>
                <w:sz w:val="24"/>
                <w:szCs w:val="24"/>
              </w:rPr>
              <w:t>Abbreviation_</w:t>
            </w:r>
            <w:r w:rsidR="00D577B3" w:rsidRPr="00FC25ED">
              <w:rPr>
                <w:color w:val="FFFFFF" w:themeColor="background1"/>
                <w:sz w:val="24"/>
                <w:szCs w:val="24"/>
              </w:rPr>
              <w:t>HQEStrategicPlan</w:t>
            </w:r>
            <w:r w:rsidR="008F5EE6" w:rsidRPr="00FC25ED">
              <w:rPr>
                <w:color w:val="FFFFFF" w:themeColor="background1"/>
                <w:sz w:val="24"/>
                <w:szCs w:val="24"/>
              </w:rPr>
              <w:t>_YYYYMMDD</w:t>
            </w:r>
            <w:proofErr w:type="spellEnd"/>
          </w:p>
        </w:tc>
      </w:tr>
      <w:tr w:rsidR="008F5EE6" w:rsidRPr="00C54786" w14:paraId="5B5EE7E1"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1FB9D62F" w:rsidR="008F5EE6" w:rsidRPr="00FC25ED" w:rsidRDefault="004E1B82" w:rsidP="008F5EE6">
            <w:pPr>
              <w:pStyle w:val="MHCoverChart-Description"/>
              <w:spacing w:before="40" w:after="40"/>
              <w:contextualSpacing/>
              <w:rPr>
                <w:color w:val="FFFFFF" w:themeColor="background1"/>
                <w:sz w:val="24"/>
                <w:szCs w:val="24"/>
              </w:rPr>
            </w:pPr>
            <w:r w:rsidRPr="00FC25ED">
              <w:rPr>
                <w:color w:val="FFFFFF" w:themeColor="background1"/>
                <w:sz w:val="24"/>
                <w:szCs w:val="24"/>
              </w:rPr>
              <w:t>5</w:t>
            </w:r>
            <w:r w:rsidR="00E60649" w:rsidRPr="00FC25ED">
              <w:rPr>
                <w:color w:val="FFFFFF" w:themeColor="background1"/>
                <w:sz w:val="24"/>
                <w:szCs w:val="24"/>
              </w:rPr>
              <w:t xml:space="preserve">-10 </w:t>
            </w:r>
            <w:r w:rsidR="008F5EE6" w:rsidRPr="00FC25ED">
              <w:rPr>
                <w:color w:val="FFFFFF" w:themeColor="background1"/>
                <w:sz w:val="24"/>
                <w:szCs w:val="24"/>
              </w:rPr>
              <w:t>pages</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C65711E" w:rsidR="009B4F17" w:rsidRPr="00AF2F7D" w:rsidRDefault="0039409B" w:rsidP="00AF2F7D">
      <w:pPr>
        <w:pStyle w:val="Heading1"/>
        <w:spacing w:after="0"/>
        <w:jc w:val="center"/>
        <w:rPr>
          <w:color w:val="002060"/>
        </w:rPr>
      </w:pPr>
      <w:r w:rsidRPr="00AF2F7D">
        <w:rPr>
          <w:color w:val="002060"/>
          <w:sz w:val="52"/>
          <w:szCs w:val="52"/>
        </w:rPr>
        <w:t>MassHealth</w:t>
      </w:r>
      <w:r w:rsidR="00FC25ED">
        <w:rPr>
          <w:color w:val="002060"/>
          <w:sz w:val="52"/>
          <w:szCs w:val="52"/>
        </w:rPr>
        <w:t xml:space="preserve"> Community Behavioral Health Center (CBHC)</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5BDBC83A" w:rsidR="002238A4" w:rsidRDefault="00422259"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6CEBB895">
                <wp:simplePos x="0" y="0"/>
                <wp:positionH relativeFrom="margin">
                  <wp:posOffset>713105</wp:posOffset>
                </wp:positionH>
                <wp:positionV relativeFrom="paragraph">
                  <wp:posOffset>116840</wp:posOffset>
                </wp:positionV>
                <wp:extent cx="5003800" cy="6350"/>
                <wp:effectExtent l="17780" t="15875" r="17145" b="15875"/>
                <wp:wrapNone/>
                <wp:docPr id="1987303812" name="Straight Connector 1293506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F626B8"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4201EE80" w14:textId="32A3DA4F" w:rsidR="002238A4" w:rsidRPr="006509ED" w:rsidRDefault="00894F39" w:rsidP="00422469">
      <w:pPr>
        <w:spacing w:before="0" w:after="0" w:line="240" w:lineRule="auto"/>
      </w:pPr>
      <w:r>
        <w:br w:type="page"/>
      </w:r>
    </w:p>
    <w:p w14:paraId="07788B93" w14:textId="1CE2C4ED" w:rsidR="00E461A7" w:rsidRPr="002354FC" w:rsidRDefault="00B97D92" w:rsidP="00AF2F7D">
      <w:pPr>
        <w:pStyle w:val="CalloutText-LtBlue"/>
      </w:pPr>
      <w:r>
        <w:lastRenderedPageBreak/>
        <w:t>Context</w:t>
      </w:r>
    </w:p>
    <w:p w14:paraId="0FDE8702" w14:textId="5D442D84" w:rsidR="00B97D92" w:rsidRPr="00B97D92" w:rsidRDefault="00B97D92" w:rsidP="00B97D92">
      <w:pPr>
        <w:pStyle w:val="paragraph"/>
        <w:spacing w:before="0" w:beforeAutospacing="0" w:after="240" w:afterAutospacing="0"/>
        <w:textAlignment w:val="baseline"/>
        <w:rPr>
          <w:rFonts w:asciiTheme="minorHAnsi" w:hAnsiTheme="minorHAnsi" w:cstheme="minorHAnsi"/>
          <w:sz w:val="16"/>
          <w:szCs w:val="16"/>
        </w:rPr>
      </w:pPr>
      <w:r w:rsidRPr="00B97D92">
        <w:rPr>
          <w:rStyle w:val="normaltextrun"/>
          <w:rFonts w:asciiTheme="minorHAnsi" w:hAnsiTheme="minorHAnsi" w:cstheme="minorHAnsi"/>
          <w:sz w:val="22"/>
          <w:szCs w:val="22"/>
          <w:shd w:val="clear" w:color="auto" w:fill="FFFFFF"/>
        </w:rPr>
        <w:t xml:space="preserve">One of MassHealth’s key goals in this demonstration period is to improve quality of care and advance health equity, with a focus on initiatives addressing health-related social needs and health disparities demonstrated by variation in quality performance. MassHealth has implemented the </w:t>
      </w:r>
      <w:r w:rsidR="6ECAB58A" w:rsidRPr="136DB3E1">
        <w:rPr>
          <w:rStyle w:val="normaltextrun"/>
          <w:rFonts w:asciiTheme="minorHAnsi" w:hAnsiTheme="minorHAnsi" w:cstheme="minorBidi"/>
          <w:sz w:val="22"/>
          <w:szCs w:val="22"/>
          <w:shd w:val="clear" w:color="auto" w:fill="FFFFFF"/>
        </w:rPr>
        <w:t xml:space="preserve">Community Behavioral </w:t>
      </w:r>
      <w:r w:rsidRPr="00B97D92">
        <w:rPr>
          <w:rStyle w:val="normaltextrun"/>
          <w:rFonts w:asciiTheme="minorHAnsi" w:hAnsiTheme="minorHAnsi" w:cstheme="minorHAnsi"/>
          <w:sz w:val="22"/>
          <w:szCs w:val="22"/>
          <w:shd w:val="clear" w:color="auto" w:fill="FFFFFF"/>
        </w:rPr>
        <w:t xml:space="preserve">Health </w:t>
      </w:r>
      <w:r w:rsidR="6ECAB58A" w:rsidRPr="136DB3E1">
        <w:rPr>
          <w:rStyle w:val="normaltextrun"/>
          <w:rFonts w:asciiTheme="minorHAnsi" w:hAnsiTheme="minorHAnsi" w:cstheme="minorBidi"/>
          <w:sz w:val="22"/>
          <w:szCs w:val="22"/>
          <w:shd w:val="clear" w:color="auto" w:fill="FFFFFF"/>
        </w:rPr>
        <w:t xml:space="preserve">Center </w:t>
      </w:r>
      <w:r w:rsidRPr="00B97D92">
        <w:rPr>
          <w:rStyle w:val="normaltextrun"/>
          <w:rFonts w:asciiTheme="minorHAnsi" w:hAnsiTheme="minorHAnsi" w:cstheme="minorHAnsi"/>
          <w:sz w:val="22"/>
          <w:szCs w:val="22"/>
          <w:shd w:val="clear" w:color="auto" w:fill="FFFFFF"/>
        </w:rPr>
        <w:t>Quality and Equity Incentive Program (“</w:t>
      </w:r>
      <w:r w:rsidR="35933DF3" w:rsidRPr="136DB3E1">
        <w:rPr>
          <w:rStyle w:val="normaltextrun"/>
          <w:rFonts w:asciiTheme="minorHAnsi" w:hAnsiTheme="minorHAnsi" w:cstheme="minorBidi"/>
          <w:sz w:val="22"/>
          <w:szCs w:val="22"/>
          <w:shd w:val="clear" w:color="auto" w:fill="FFFFFF"/>
        </w:rPr>
        <w:t>C</w:t>
      </w:r>
      <w:r w:rsidRPr="136DB3E1">
        <w:rPr>
          <w:rStyle w:val="normaltextrun"/>
          <w:rFonts w:asciiTheme="minorHAnsi" w:hAnsiTheme="minorHAnsi" w:cstheme="minorBidi"/>
          <w:sz w:val="22"/>
          <w:szCs w:val="22"/>
          <w:shd w:val="clear" w:color="auto" w:fill="FFFFFF"/>
        </w:rPr>
        <w:t>QEIP</w:t>
      </w:r>
      <w:r w:rsidRPr="00B97D92">
        <w:rPr>
          <w:rStyle w:val="normaltextrun"/>
          <w:rFonts w:asciiTheme="minorHAnsi" w:hAnsiTheme="minorHAnsi" w:cstheme="minorHAnsi"/>
          <w:sz w:val="22"/>
          <w:szCs w:val="22"/>
          <w:shd w:val="clear" w:color="auto" w:fill="FFFFFF"/>
        </w:rPr>
        <w:t xml:space="preserve">”) for Massachusetts </w:t>
      </w:r>
      <w:r w:rsidR="032F484C" w:rsidRPr="136DB3E1">
        <w:rPr>
          <w:rStyle w:val="normaltextrun"/>
          <w:rFonts w:asciiTheme="minorHAnsi" w:hAnsiTheme="minorHAnsi" w:cstheme="minorBidi"/>
          <w:sz w:val="22"/>
          <w:szCs w:val="22"/>
          <w:shd w:val="clear" w:color="auto" w:fill="FFFFFF"/>
        </w:rPr>
        <w:t>Community Behavioral Health Centers (</w:t>
      </w:r>
      <w:r w:rsidR="756F0BFB" w:rsidRPr="136DB3E1">
        <w:rPr>
          <w:rStyle w:val="normaltextrun"/>
          <w:rFonts w:asciiTheme="minorHAnsi" w:hAnsiTheme="minorHAnsi" w:cstheme="minorBidi"/>
          <w:sz w:val="22"/>
          <w:szCs w:val="22"/>
          <w:shd w:val="clear" w:color="auto" w:fill="FFFFFF"/>
        </w:rPr>
        <w:t>“</w:t>
      </w:r>
      <w:r w:rsidR="032F484C" w:rsidRPr="136DB3E1">
        <w:rPr>
          <w:rStyle w:val="normaltextrun"/>
          <w:rFonts w:asciiTheme="minorHAnsi" w:hAnsiTheme="minorHAnsi" w:cstheme="minorBidi"/>
          <w:sz w:val="22"/>
          <w:szCs w:val="22"/>
          <w:shd w:val="clear" w:color="auto" w:fill="FFFFFF"/>
        </w:rPr>
        <w:t>CBHCs</w:t>
      </w:r>
      <w:r w:rsidR="15AD7BB8" w:rsidRPr="136DB3E1">
        <w:rPr>
          <w:rStyle w:val="normaltextrun"/>
          <w:rFonts w:asciiTheme="minorHAnsi" w:hAnsiTheme="minorHAnsi" w:cstheme="minorBidi"/>
          <w:sz w:val="22"/>
          <w:szCs w:val="22"/>
          <w:shd w:val="clear" w:color="auto" w:fill="FFFFFF"/>
        </w:rPr>
        <w:t>”</w:t>
      </w:r>
      <w:r w:rsidR="032F484C" w:rsidRPr="136DB3E1">
        <w:rPr>
          <w:rStyle w:val="normaltextrun"/>
          <w:rFonts w:asciiTheme="minorHAnsi" w:hAnsiTheme="minorHAnsi" w:cstheme="minorBidi"/>
          <w:sz w:val="22"/>
          <w:szCs w:val="22"/>
          <w:shd w:val="clear" w:color="auto" w:fill="FFFFFF"/>
        </w:rPr>
        <w:t>)</w:t>
      </w:r>
      <w:r w:rsidRPr="00B97D92">
        <w:rPr>
          <w:rStyle w:val="normaltextrun"/>
          <w:rFonts w:asciiTheme="minorHAnsi" w:hAnsiTheme="minorHAnsi" w:cstheme="minorHAnsi"/>
          <w:sz w:val="22"/>
          <w:szCs w:val="22"/>
          <w:shd w:val="clear" w:color="auto" w:fill="FFFFFF"/>
        </w:rPr>
        <w:t xml:space="preserve"> participating in the MassHealth program</w:t>
      </w:r>
      <w:r w:rsidRPr="136DB3E1">
        <w:rPr>
          <w:rStyle w:val="normaltextrun"/>
          <w:rFonts w:asciiTheme="minorHAnsi" w:hAnsiTheme="minorHAnsi" w:cstheme="minorBidi"/>
          <w:sz w:val="22"/>
          <w:szCs w:val="22"/>
          <w:shd w:val="clear" w:color="auto" w:fill="FFFFFF"/>
        </w:rPr>
        <w:t xml:space="preserve">. </w:t>
      </w:r>
      <w:r w:rsidR="61CBE2C7" w:rsidRPr="136DB3E1">
        <w:rPr>
          <w:rStyle w:val="normaltextrun"/>
          <w:rFonts w:asciiTheme="minorHAnsi" w:hAnsiTheme="minorHAnsi" w:cstheme="minorBidi"/>
          <w:sz w:val="22"/>
          <w:szCs w:val="22"/>
          <w:shd w:val="clear" w:color="auto" w:fill="FFFFFF"/>
        </w:rPr>
        <w:t>CQEIP</w:t>
      </w:r>
      <w:r w:rsidRPr="00B97D92">
        <w:rPr>
          <w:rStyle w:val="normaltextrun"/>
          <w:rFonts w:asciiTheme="minorHAnsi" w:hAnsiTheme="minorHAnsi" w:cstheme="minorHAnsi"/>
          <w:sz w:val="22"/>
          <w:szCs w:val="22"/>
          <w:shd w:val="clear" w:color="auto" w:fill="FFFFFF"/>
        </w:rPr>
        <w:t xml:space="preserve"> aims to incentivize participating entities to achieve key goals </w:t>
      </w:r>
      <w:proofErr w:type="gramStart"/>
      <w:r w:rsidRPr="00B97D92">
        <w:rPr>
          <w:rStyle w:val="normaltextrun"/>
          <w:rFonts w:asciiTheme="minorHAnsi" w:hAnsiTheme="minorHAnsi" w:cstheme="minorHAnsi"/>
          <w:sz w:val="22"/>
          <w:szCs w:val="22"/>
          <w:shd w:val="clear" w:color="auto" w:fill="FFFFFF"/>
        </w:rPr>
        <w:t>by:</w:t>
      </w:r>
      <w:proofErr w:type="gramEnd"/>
      <w:r w:rsidRPr="00B97D92">
        <w:rPr>
          <w:rStyle w:val="normaltextrun"/>
          <w:rFonts w:asciiTheme="minorHAnsi" w:hAnsiTheme="minorHAnsi" w:cstheme="minorHAnsi"/>
          <w:sz w:val="22"/>
          <w:szCs w:val="22"/>
          <w:shd w:val="clear" w:color="auto" w:fill="FFFFFF"/>
        </w:rPr>
        <w:t xml:space="preserve"> 1) attaining complete, beneficiary-reported demographic and health-related social needs data, 2) identifying disparities and intervening to reduce disparities in access and quality, and 3) strengthening organizational capacity for health equity through collaboration with health system and community partners. </w:t>
      </w:r>
      <w:r w:rsidRPr="00B97D92">
        <w:rPr>
          <w:rStyle w:val="eop"/>
          <w:rFonts w:asciiTheme="minorHAnsi" w:hAnsiTheme="minorHAnsi" w:cstheme="minorHAnsi"/>
          <w:sz w:val="22"/>
          <w:szCs w:val="22"/>
        </w:rPr>
        <w:t> </w:t>
      </w:r>
    </w:p>
    <w:p w14:paraId="66EE1F65" w14:textId="11AE6EAF" w:rsidR="00B97D92" w:rsidRPr="00B97D92" w:rsidRDefault="00B97D92" w:rsidP="00B97D92">
      <w:pPr>
        <w:pStyle w:val="paragraph"/>
        <w:spacing w:before="0" w:beforeAutospacing="0" w:after="240" w:afterAutospacing="0"/>
        <w:textAlignment w:val="baseline"/>
        <w:rPr>
          <w:rFonts w:asciiTheme="minorHAnsi" w:hAnsiTheme="minorHAnsi" w:cstheme="minorHAnsi"/>
          <w:sz w:val="16"/>
          <w:szCs w:val="16"/>
        </w:rPr>
      </w:pPr>
      <w:r w:rsidRPr="00B97D92">
        <w:rPr>
          <w:rStyle w:val="normaltextrun"/>
          <w:rFonts w:asciiTheme="minorHAnsi" w:hAnsiTheme="minorHAnsi" w:cstheme="minorHAnsi"/>
          <w:sz w:val="22"/>
          <w:szCs w:val="22"/>
          <w:shd w:val="clear" w:color="auto" w:fill="FFFFFF"/>
        </w:rPr>
        <w:t xml:space="preserve">The </w:t>
      </w:r>
      <w:r w:rsidR="4E1D2823" w:rsidRPr="136DB3E1">
        <w:rPr>
          <w:rStyle w:val="normaltextrun"/>
          <w:rFonts w:asciiTheme="minorHAnsi" w:hAnsiTheme="minorHAnsi" w:cstheme="minorBidi"/>
          <w:sz w:val="22"/>
          <w:szCs w:val="22"/>
          <w:shd w:val="clear" w:color="auto" w:fill="FFFFFF"/>
        </w:rPr>
        <w:t>C</w:t>
      </w:r>
      <w:r w:rsidRPr="136DB3E1">
        <w:rPr>
          <w:rStyle w:val="normaltextrun"/>
          <w:rFonts w:asciiTheme="minorHAnsi" w:hAnsiTheme="minorHAnsi" w:cstheme="minorBidi"/>
          <w:sz w:val="22"/>
          <w:szCs w:val="22"/>
          <w:shd w:val="clear" w:color="auto" w:fill="FFFFFF"/>
        </w:rPr>
        <w:t>QEIP</w:t>
      </w:r>
      <w:r w:rsidRPr="00B97D92">
        <w:rPr>
          <w:rStyle w:val="normaltextrun"/>
          <w:rFonts w:asciiTheme="minorHAnsi" w:hAnsiTheme="minorHAnsi" w:cstheme="minorHAnsi"/>
          <w:sz w:val="22"/>
          <w:szCs w:val="22"/>
          <w:shd w:val="clear" w:color="auto" w:fill="FFFFFF"/>
        </w:rPr>
        <w:t xml:space="preserve"> requires, among other things, that </w:t>
      </w:r>
      <w:r w:rsidR="78161EEA" w:rsidRPr="136DB3E1">
        <w:rPr>
          <w:rStyle w:val="normaltextrun"/>
          <w:rFonts w:asciiTheme="minorHAnsi" w:hAnsiTheme="minorHAnsi" w:cstheme="minorBidi"/>
          <w:sz w:val="22"/>
          <w:szCs w:val="22"/>
          <w:shd w:val="clear" w:color="auto" w:fill="FFFFFF"/>
        </w:rPr>
        <w:t>CBHCs</w:t>
      </w:r>
      <w:r w:rsidRPr="00B97D92">
        <w:rPr>
          <w:rStyle w:val="normaltextrun"/>
          <w:rFonts w:asciiTheme="minorHAnsi" w:hAnsiTheme="minorHAnsi" w:cstheme="minorHAnsi"/>
          <w:sz w:val="22"/>
          <w:szCs w:val="22"/>
          <w:shd w:val="clear" w:color="auto" w:fill="FFFFFF"/>
        </w:rPr>
        <w:t xml:space="preserve"> complete and submit to MassHealth this Health Quality and Equity Strategic Plan (hereinafter, the “Strategic Plan”), which connects to important components of the </w:t>
      </w:r>
      <w:r w:rsidR="513D0615" w:rsidRPr="136DB3E1">
        <w:rPr>
          <w:rStyle w:val="normaltextrun"/>
          <w:rFonts w:asciiTheme="minorHAnsi" w:hAnsiTheme="minorHAnsi" w:cstheme="minorBidi"/>
          <w:sz w:val="22"/>
          <w:szCs w:val="22"/>
          <w:shd w:val="clear" w:color="auto" w:fill="FFFFFF"/>
        </w:rPr>
        <w:t>C</w:t>
      </w:r>
      <w:r w:rsidRPr="136DB3E1">
        <w:rPr>
          <w:rStyle w:val="normaltextrun"/>
          <w:rFonts w:asciiTheme="minorHAnsi" w:hAnsiTheme="minorHAnsi" w:cstheme="minorBidi"/>
          <w:sz w:val="22"/>
          <w:szCs w:val="22"/>
          <w:shd w:val="clear" w:color="auto" w:fill="FFFFFF"/>
        </w:rPr>
        <w:t>QEIP</w:t>
      </w:r>
      <w:r w:rsidRPr="00B97D92">
        <w:rPr>
          <w:rStyle w:val="normaltextrun"/>
          <w:rFonts w:asciiTheme="minorHAnsi" w:hAnsiTheme="minorHAnsi" w:cstheme="minorHAnsi"/>
          <w:sz w:val="22"/>
          <w:szCs w:val="22"/>
          <w:shd w:val="clear" w:color="auto" w:fill="FFFFFF"/>
        </w:rPr>
        <w:t xml:space="preserve">. This Strategic Plan serves as an opportunity for </w:t>
      </w:r>
      <w:r w:rsidR="4CAA4F03" w:rsidRPr="136DB3E1">
        <w:rPr>
          <w:rStyle w:val="normaltextrun"/>
          <w:rFonts w:asciiTheme="minorHAnsi" w:hAnsiTheme="minorHAnsi" w:cstheme="minorBidi"/>
          <w:sz w:val="22"/>
          <w:szCs w:val="22"/>
          <w:shd w:val="clear" w:color="auto" w:fill="FFFFFF"/>
        </w:rPr>
        <w:t>CBHCs</w:t>
      </w:r>
      <w:r w:rsidRPr="00B97D92">
        <w:rPr>
          <w:rStyle w:val="normaltextrun"/>
          <w:rFonts w:asciiTheme="minorHAnsi" w:hAnsiTheme="minorHAnsi" w:cstheme="minorHAnsi"/>
          <w:sz w:val="22"/>
          <w:szCs w:val="22"/>
          <w:shd w:val="clear" w:color="auto" w:fill="FFFFFF"/>
        </w:rPr>
        <w:t xml:space="preserve"> to create a plan that guides their implementation of health quality and equity activities over the next four years. To ensure an equitable and community-driven plan, </w:t>
      </w:r>
      <w:r w:rsidR="56910F93" w:rsidRPr="136DB3E1">
        <w:rPr>
          <w:rStyle w:val="normaltextrun"/>
          <w:rFonts w:asciiTheme="minorHAnsi" w:hAnsiTheme="minorHAnsi" w:cstheme="minorBidi"/>
          <w:sz w:val="22"/>
          <w:szCs w:val="22"/>
          <w:shd w:val="clear" w:color="auto" w:fill="FFFFFF"/>
        </w:rPr>
        <w:t>CBHC</w:t>
      </w:r>
      <w:r w:rsidRPr="136DB3E1">
        <w:rPr>
          <w:rStyle w:val="normaltextrun"/>
          <w:rFonts w:asciiTheme="minorHAnsi" w:hAnsiTheme="minorHAnsi" w:cstheme="minorBidi"/>
          <w:sz w:val="22"/>
          <w:szCs w:val="22"/>
          <w:shd w:val="clear" w:color="auto" w:fill="FFFFFF"/>
        </w:rPr>
        <w:t>s</w:t>
      </w:r>
      <w:r w:rsidRPr="00B97D92">
        <w:rPr>
          <w:rStyle w:val="normaltextrun"/>
          <w:rFonts w:asciiTheme="minorHAnsi" w:hAnsiTheme="minorHAnsi" w:cstheme="minorHAnsi"/>
          <w:sz w:val="22"/>
          <w:szCs w:val="22"/>
          <w:shd w:val="clear" w:color="auto" w:fill="FFFFFF"/>
        </w:rPr>
        <w:t xml:space="preserve"> are encouraged to collaborate with their Health Quality and Equity Committee to develop their Strategic Plan. </w:t>
      </w:r>
      <w:r w:rsidRPr="00B97D92">
        <w:rPr>
          <w:rStyle w:val="eop"/>
          <w:rFonts w:asciiTheme="minorHAnsi" w:hAnsiTheme="minorHAnsi" w:cstheme="minorHAnsi"/>
          <w:sz w:val="22"/>
          <w:szCs w:val="22"/>
        </w:rPr>
        <w:t> </w:t>
      </w:r>
    </w:p>
    <w:p w14:paraId="583748B5" w14:textId="77777777" w:rsidR="00B97D92" w:rsidRPr="00B97D92" w:rsidRDefault="00B97D92" w:rsidP="00B97D92">
      <w:pPr>
        <w:pStyle w:val="paragraph"/>
        <w:spacing w:before="0" w:beforeAutospacing="0" w:after="240" w:afterAutospacing="0"/>
        <w:textAlignment w:val="baseline"/>
        <w:rPr>
          <w:rFonts w:asciiTheme="minorHAnsi" w:hAnsiTheme="minorHAnsi" w:cstheme="minorHAnsi"/>
          <w:sz w:val="16"/>
          <w:szCs w:val="16"/>
        </w:rPr>
      </w:pPr>
      <w:r w:rsidRPr="00B97D92">
        <w:rPr>
          <w:rStyle w:val="normaltextrun"/>
          <w:rFonts w:asciiTheme="minorHAnsi" w:hAnsiTheme="minorHAnsi" w:cstheme="minorHAnsi"/>
          <w:sz w:val="22"/>
          <w:szCs w:val="22"/>
          <w:shd w:val="clear" w:color="auto" w:fill="FFFFFF"/>
        </w:rPr>
        <w:t>The Performance Year (PY) 1 Reconciliation Payment is contingent upon completion and submission of the Strategic Plan. </w:t>
      </w:r>
      <w:r w:rsidRPr="00B97D92">
        <w:rPr>
          <w:rStyle w:val="eop"/>
          <w:rFonts w:asciiTheme="minorHAnsi" w:hAnsiTheme="minorHAnsi" w:cstheme="minorHAnsi"/>
          <w:sz w:val="22"/>
          <w:szCs w:val="22"/>
        </w:rPr>
        <w:t> </w:t>
      </w:r>
    </w:p>
    <w:p w14:paraId="42C49E28" w14:textId="77777777" w:rsidR="00E461A7" w:rsidRDefault="4FD41A3F" w:rsidP="007D3755">
      <w:pPr>
        <w:pStyle w:val="Heading2"/>
      </w:pPr>
      <w:r>
        <w:t xml:space="preserve">Instructions  </w:t>
      </w:r>
    </w:p>
    <w:p w14:paraId="0BF42D11" w14:textId="77777777" w:rsidR="00E461A7" w:rsidRDefault="4FD41A3F" w:rsidP="00CD46BC">
      <w:pPr>
        <w:pStyle w:val="paragraph"/>
        <w:spacing w:before="0" w:beforeAutospacing="0" w:after="240" w:afterAutospacing="0"/>
        <w:rPr>
          <w:rStyle w:val="normaltextrun"/>
          <w:rFonts w:asciiTheme="minorHAnsi" w:hAnsiTheme="minorHAnsi" w:cstheme="minorBidi"/>
          <w:color w:val="000000" w:themeColor="text1"/>
          <w:sz w:val="22"/>
          <w:szCs w:val="22"/>
        </w:rPr>
      </w:pPr>
      <w:r w:rsidRPr="136DB3E1">
        <w:rPr>
          <w:rStyle w:val="normaltextrun"/>
          <w:rFonts w:asciiTheme="minorHAnsi" w:hAnsiTheme="minorHAnsi" w:cstheme="minorBidi"/>
          <w:sz w:val="22"/>
          <w:szCs w:val="22"/>
        </w:rPr>
        <w:t xml:space="preserve">Each CBHC's Tax Identification Number (TIN)-billing entity </w:t>
      </w:r>
      <w:r w:rsidRPr="136DB3E1">
        <w:rPr>
          <w:rStyle w:val="normaltextrun"/>
          <w:rFonts w:asciiTheme="minorHAnsi" w:hAnsiTheme="minorHAnsi" w:cstheme="minorBidi"/>
          <w:color w:val="000000" w:themeColor="text1"/>
          <w:sz w:val="22"/>
          <w:szCs w:val="22"/>
        </w:rPr>
        <w:t>will submit a Strategic Plan deliverable annually. CBHCs may cite relevant information from existing strategic plans or other relevant sources that directly pertains to prompts in this Strategic Plan template (the “Template”). Additionally, information submitted can be broader than activities within the CQEIP; however, the information should explicitly consider the MassHealth population.  </w:t>
      </w:r>
    </w:p>
    <w:p w14:paraId="3171920F" w14:textId="77777777" w:rsidR="00985EBD" w:rsidRDefault="00985EBD" w:rsidP="00CD46BC">
      <w:pPr>
        <w:pStyle w:val="paragraph"/>
        <w:spacing w:before="0" w:beforeAutospacing="0" w:after="240" w:afterAutospacing="0"/>
        <w:rPr>
          <w:rStyle w:val="normaltextrun"/>
          <w:rFonts w:asciiTheme="minorHAnsi" w:hAnsiTheme="minorHAnsi" w:cstheme="minorBidi"/>
          <w:color w:val="000000" w:themeColor="text1"/>
          <w:sz w:val="22"/>
          <w:szCs w:val="22"/>
        </w:rPr>
      </w:pPr>
      <w:r>
        <w:rPr>
          <w:rStyle w:val="normaltextrun"/>
          <w:rFonts w:asciiTheme="minorHAnsi" w:hAnsiTheme="minorHAnsi" w:cstheme="minorBidi"/>
          <w:color w:val="000000" w:themeColor="text1"/>
          <w:sz w:val="22"/>
          <w:szCs w:val="22"/>
        </w:rPr>
        <w:t>Each question</w:t>
      </w:r>
      <w:r w:rsidR="00CD08D2">
        <w:rPr>
          <w:rStyle w:val="normaltextrun"/>
          <w:rFonts w:asciiTheme="minorHAnsi" w:hAnsiTheme="minorHAnsi" w:cstheme="minorBidi"/>
          <w:color w:val="000000" w:themeColor="text1"/>
          <w:sz w:val="22"/>
          <w:szCs w:val="22"/>
        </w:rPr>
        <w:t xml:space="preserve"> and section</w:t>
      </w:r>
      <w:r>
        <w:rPr>
          <w:rStyle w:val="normaltextrun"/>
          <w:rFonts w:asciiTheme="minorHAnsi" w:hAnsiTheme="minorHAnsi" w:cstheme="minorBidi"/>
          <w:color w:val="000000" w:themeColor="text1"/>
          <w:sz w:val="22"/>
          <w:szCs w:val="22"/>
        </w:rPr>
        <w:t xml:space="preserve"> </w:t>
      </w:r>
      <w:r w:rsidR="001C5AB4">
        <w:rPr>
          <w:rStyle w:val="normaltextrun"/>
          <w:rFonts w:asciiTheme="minorHAnsi" w:hAnsiTheme="minorHAnsi" w:cstheme="minorBidi"/>
          <w:color w:val="000000" w:themeColor="text1"/>
          <w:sz w:val="22"/>
          <w:szCs w:val="22"/>
        </w:rPr>
        <w:t>require</w:t>
      </w:r>
      <w:r>
        <w:rPr>
          <w:rStyle w:val="normaltextrun"/>
          <w:rFonts w:asciiTheme="minorHAnsi" w:hAnsiTheme="minorHAnsi" w:cstheme="minorBidi"/>
          <w:color w:val="000000" w:themeColor="text1"/>
          <w:sz w:val="22"/>
          <w:szCs w:val="22"/>
        </w:rPr>
        <w:t xml:space="preserve"> an answer to be considered complete. If the question is not applicable, please write NA or otherwise indicate that the question is not applicable</w:t>
      </w:r>
      <w:r w:rsidR="00CD08D2">
        <w:rPr>
          <w:rStyle w:val="normaltextrun"/>
          <w:rFonts w:asciiTheme="minorHAnsi" w:hAnsiTheme="minorHAnsi" w:cstheme="minorBidi"/>
          <w:color w:val="000000" w:themeColor="text1"/>
          <w:sz w:val="22"/>
          <w:szCs w:val="22"/>
        </w:rPr>
        <w:t>. Questions and sections left blank will be asked to be redone.</w:t>
      </w:r>
    </w:p>
    <w:p w14:paraId="2D7810A3" w14:textId="451D4C9E" w:rsidR="00E461A7" w:rsidRPr="00422469" w:rsidRDefault="004A10DC" w:rsidP="00422469">
      <w:pPr>
        <w:pStyle w:val="paragraph"/>
        <w:spacing w:before="0" w:beforeAutospacing="0" w:after="240" w:afterAutospacing="0"/>
        <w:textAlignment w:val="baseline"/>
        <w:rPr>
          <w:sz w:val="16"/>
        </w:rPr>
      </w:pPr>
      <w:r w:rsidRPr="136DB3E1">
        <w:rPr>
          <w:rStyle w:val="normaltextrun"/>
          <w:rFonts w:asciiTheme="minorHAnsi" w:hAnsiTheme="minorHAnsi" w:cstheme="minorBidi"/>
          <w:sz w:val="22"/>
          <w:szCs w:val="22"/>
          <w:shd w:val="clear" w:color="auto" w:fill="FFFFFF"/>
        </w:rPr>
        <w:t>This Strategic Plan is to be completed, in accordance with this Template by each CBHC TIN-billing entity and submitted to MassHealth by December 31, 202</w:t>
      </w:r>
      <w:r>
        <w:rPr>
          <w:rStyle w:val="normaltextrun"/>
          <w:rFonts w:asciiTheme="minorHAnsi" w:hAnsiTheme="minorHAnsi" w:cstheme="minorBidi"/>
          <w:sz w:val="22"/>
          <w:szCs w:val="22"/>
          <w:shd w:val="clear" w:color="auto" w:fill="FFFFFF"/>
        </w:rPr>
        <w:t>4</w:t>
      </w:r>
      <w:r w:rsidR="005B66FD" w:rsidRPr="005B66FD">
        <w:rPr>
          <w:rStyle w:val="normaltextrun"/>
          <w:rFonts w:asciiTheme="minorHAnsi" w:hAnsiTheme="minorHAnsi" w:cstheme="minorHAnsi"/>
          <w:sz w:val="22"/>
          <w:szCs w:val="22"/>
          <w:shd w:val="clear" w:color="auto" w:fill="FFFFFF"/>
        </w:rPr>
        <w:t xml:space="preserve">. </w:t>
      </w:r>
      <w:r w:rsidR="005B66FD" w:rsidRPr="005B66FD">
        <w:rPr>
          <w:rStyle w:val="normaltextrun"/>
          <w:rFonts w:asciiTheme="minorHAnsi" w:hAnsiTheme="minorHAnsi" w:cstheme="minorHAnsi"/>
          <w:b/>
          <w:bCs/>
          <w:sz w:val="22"/>
          <w:szCs w:val="22"/>
          <w:shd w:val="clear" w:color="auto" w:fill="FFFFFF"/>
        </w:rPr>
        <w:t>All completed Strategic Plans must be submitted via OnBase. </w:t>
      </w:r>
      <w:r w:rsidR="005B66FD" w:rsidRPr="005B66FD">
        <w:rPr>
          <w:rStyle w:val="eop"/>
          <w:rFonts w:asciiTheme="minorHAnsi" w:hAnsiTheme="minorHAnsi" w:cstheme="minorHAnsi"/>
          <w:sz w:val="22"/>
          <w:szCs w:val="22"/>
        </w:rPr>
        <w:t> </w:t>
      </w:r>
    </w:p>
    <w:p w14:paraId="656C2AB7" w14:textId="04E7613D" w:rsidR="00240F61" w:rsidRPr="00255FF0" w:rsidRDefault="00240F61" w:rsidP="00E334C3">
      <w:pPr>
        <w:pStyle w:val="Heading2"/>
      </w:pPr>
      <w:r w:rsidRPr="00255FF0">
        <w:lastRenderedPageBreak/>
        <w:t>Reporting Template</w:t>
      </w:r>
    </w:p>
    <w:p w14:paraId="01AF98BC" w14:textId="77777777" w:rsidR="00240F61" w:rsidRPr="00240F61" w:rsidRDefault="00240F61" w:rsidP="00E334C3">
      <w:pPr>
        <w:pStyle w:val="Heading3"/>
      </w:pPr>
      <w:r w:rsidRPr="00240F61">
        <w:t>Contact Information</w:t>
      </w:r>
    </w:p>
    <w:tbl>
      <w:tblPr>
        <w:tblStyle w:val="MHLeftHeaderTable"/>
        <w:tblW w:w="10075" w:type="dxa"/>
        <w:tblLook w:val="06A0" w:firstRow="1" w:lastRow="0" w:firstColumn="1" w:lastColumn="0" w:noHBand="1" w:noVBand="1"/>
      </w:tblPr>
      <w:tblGrid>
        <w:gridCol w:w="3685"/>
        <w:gridCol w:w="6390"/>
      </w:tblGrid>
      <w:tr w:rsidR="009D3A5F" w:rsidRPr="009D3A5F" w14:paraId="06F9A89D" w14:textId="77777777" w:rsidTr="00FC25ED">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8830723" w14:textId="77777777" w:rsidR="002354FC" w:rsidRPr="00836C7F" w:rsidRDefault="002354FC" w:rsidP="00B554E5">
            <w:pPr>
              <w:pStyle w:val="MH-ChartContentText"/>
            </w:pPr>
            <w:r w:rsidRPr="00836C7F">
              <w:t>Point of Contact Name:</w:t>
            </w:r>
          </w:p>
        </w:tc>
        <w:tc>
          <w:tcPr>
            <w:tcW w:w="6390" w:type="dxa"/>
          </w:tcPr>
          <w:p w14:paraId="65B5B550"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5E988854" w14:textId="77777777" w:rsidTr="00FC25ED">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2C64DC0" w14:textId="77777777" w:rsidR="002354FC" w:rsidRPr="00836C7F" w:rsidRDefault="002354FC" w:rsidP="00B554E5">
            <w:pPr>
              <w:pStyle w:val="MH-ChartContentText"/>
            </w:pPr>
            <w:r w:rsidRPr="00836C7F">
              <w:t>Organization Name:</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49FB5A23" w14:textId="77777777" w:rsidTr="00FC25ED">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2354FC" w:rsidRPr="00836C7F" w:rsidRDefault="002354FC" w:rsidP="00B554E5">
            <w:pPr>
              <w:pStyle w:val="MH-ChartContentText"/>
            </w:pPr>
            <w:r w:rsidRPr="00836C7F">
              <w:t>Point of Contact Email Address:</w:t>
            </w:r>
          </w:p>
        </w:tc>
        <w:tc>
          <w:tcPr>
            <w:tcW w:w="6390" w:type="dxa"/>
          </w:tcPr>
          <w:p w14:paraId="151461DF"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527F4C6A" w14:textId="5166729B" w:rsidR="00D27598" w:rsidRDefault="00D27598">
      <w:pPr>
        <w:spacing w:before="0" w:after="0" w:line="240" w:lineRule="auto"/>
        <w:rPr>
          <w:rFonts w:asciiTheme="majorHAnsi" w:eastAsiaTheme="majorEastAsia" w:hAnsiTheme="majorHAnsi" w:cstheme="majorBidi"/>
          <w:b/>
          <w:bCs/>
          <w:color w:val="14558F" w:themeColor="accent1"/>
          <w:sz w:val="30"/>
          <w:szCs w:val="26"/>
        </w:rPr>
      </w:pPr>
    </w:p>
    <w:p w14:paraId="78A35E0A" w14:textId="483A4086" w:rsidR="002354FC" w:rsidRDefault="002354FC" w:rsidP="00E334C3">
      <w:pPr>
        <w:pStyle w:val="Heading3"/>
      </w:pPr>
      <w:bookmarkStart w:id="0" w:name="_Ref153365899"/>
      <w:r>
        <w:t xml:space="preserve">Section 1: </w:t>
      </w:r>
      <w:bookmarkEnd w:id="0"/>
      <w:r w:rsidR="4A599242">
        <w:t>CBHC</w:t>
      </w:r>
      <w:r w:rsidR="006C4851">
        <w:t xml:space="preserve"> Commitment to Equity </w:t>
      </w:r>
    </w:p>
    <w:p w14:paraId="7F56D955" w14:textId="7DCA2A9E" w:rsidR="0032702B" w:rsidRPr="0032702B" w:rsidRDefault="0032702B" w:rsidP="0032702B">
      <w:r>
        <w:t xml:space="preserve">Respond to </w:t>
      </w:r>
      <w:r>
        <w:rPr>
          <w:rStyle w:val="normaltextrun"/>
          <w:color w:val="000000"/>
          <w:bdr w:val="none" w:sz="0" w:space="0" w:color="auto" w:frame="1"/>
        </w:rPr>
        <w:t xml:space="preserve">the following prompts related to the </w:t>
      </w:r>
      <w:r w:rsidR="15365246">
        <w:rPr>
          <w:rStyle w:val="normaltextrun"/>
          <w:color w:val="000000"/>
          <w:bdr w:val="none" w:sz="0" w:space="0" w:color="auto" w:frame="1"/>
        </w:rPr>
        <w:t>CBHC’s</w:t>
      </w:r>
      <w:r>
        <w:rPr>
          <w:rStyle w:val="normaltextrun"/>
          <w:color w:val="000000"/>
          <w:bdr w:val="none" w:sz="0" w:space="0" w:color="auto" w:frame="1"/>
        </w:rPr>
        <w:t xml:space="preserve"> commitment to equity:</w:t>
      </w:r>
    </w:p>
    <w:p w14:paraId="069BE403" w14:textId="4FD1FCB6" w:rsidR="0032702B" w:rsidRPr="00564B48" w:rsidRDefault="0032702B" w:rsidP="00564B48">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422469">
        <w:rPr>
          <w:rStyle w:val="normaltextrun"/>
          <w:rFonts w:asciiTheme="minorHAnsi" w:hAnsiTheme="minorHAnsi"/>
          <w:color w:val="000000" w:themeColor="text1"/>
          <w:sz w:val="22"/>
        </w:rPr>
        <w:t xml:space="preserve">Does the </w:t>
      </w:r>
      <w:r w:rsidR="18F24987" w:rsidRPr="136DB3E1">
        <w:rPr>
          <w:rStyle w:val="normaltextrun"/>
          <w:rFonts w:asciiTheme="minorHAnsi" w:hAnsiTheme="minorHAnsi" w:cstheme="minorBidi"/>
          <w:color w:val="000000" w:themeColor="text1"/>
          <w:sz w:val="22"/>
          <w:szCs w:val="22"/>
        </w:rPr>
        <w:t>CBHC</w:t>
      </w:r>
      <w:r w:rsidRPr="00422469">
        <w:rPr>
          <w:rStyle w:val="normaltextrun"/>
          <w:rFonts w:asciiTheme="minorHAnsi" w:hAnsiTheme="minorHAnsi"/>
          <w:color w:val="000000" w:themeColor="text1"/>
          <w:sz w:val="22"/>
        </w:rPr>
        <w:t xml:space="preserve"> currently have a public statement of commitment to equity? </w:t>
      </w:r>
      <w:r w:rsidRPr="00422469">
        <w:rPr>
          <w:rStyle w:val="eop"/>
          <w:rFonts w:asciiTheme="minorHAnsi" w:hAnsiTheme="minorHAnsi"/>
          <w:color w:val="000000" w:themeColor="text1"/>
          <w:sz w:val="22"/>
        </w:rPr>
        <w:t> </w:t>
      </w:r>
    </w:p>
    <w:p w14:paraId="2586EE94" w14:textId="77777777" w:rsidR="0032702B" w:rsidRPr="00564B48" w:rsidRDefault="0032702B" w:rsidP="0032702B">
      <w:pPr>
        <w:pStyle w:val="paragraph"/>
        <w:spacing w:before="0" w:beforeAutospacing="0" w:after="0" w:afterAutospacing="0"/>
        <w:ind w:left="1800"/>
        <w:textAlignment w:val="baseline"/>
        <w:rPr>
          <w:rFonts w:asciiTheme="minorHAnsi" w:hAnsiTheme="minorHAnsi" w:cstheme="minorHAnsi"/>
          <w:sz w:val="22"/>
          <w:szCs w:val="22"/>
        </w:rPr>
      </w:pPr>
      <w:r w:rsidRPr="00564B48">
        <w:rPr>
          <w:rStyle w:val="contentcontrolboundarysink"/>
          <w:rFonts w:asciiTheme="minorHAnsi" w:hAnsiTheme="minorHAnsi" w:cstheme="minorHAnsi"/>
          <w:sz w:val="22"/>
          <w:szCs w:val="22"/>
        </w:rPr>
        <w:t>​​</w:t>
      </w:r>
      <w:r w:rsidRPr="00564B48">
        <w:rPr>
          <w:rStyle w:val="normaltextrun"/>
          <w:rFonts w:ascii="Segoe UI Symbol" w:eastAsia="MS Gothic" w:hAnsi="Segoe UI Symbol" w:cs="Segoe UI Symbol"/>
          <w:sz w:val="22"/>
          <w:szCs w:val="22"/>
        </w:rPr>
        <w:t>☐</w:t>
      </w:r>
      <w:r w:rsidRPr="00564B48">
        <w:rPr>
          <w:rStyle w:val="contentcontrolboundarysink"/>
          <w:rFonts w:asciiTheme="minorHAnsi" w:hAnsiTheme="minorHAnsi" w:cstheme="minorHAnsi"/>
          <w:sz w:val="22"/>
          <w:szCs w:val="22"/>
        </w:rPr>
        <w:t>​</w:t>
      </w:r>
      <w:r w:rsidRPr="00564B48">
        <w:rPr>
          <w:rStyle w:val="normaltextrun"/>
          <w:rFonts w:asciiTheme="minorHAnsi" w:hAnsiTheme="minorHAnsi" w:cstheme="minorHAnsi"/>
          <w:sz w:val="22"/>
          <w:szCs w:val="22"/>
        </w:rPr>
        <w:t xml:space="preserve"> Yes. Please provide the public statement if it exists below:</w:t>
      </w:r>
      <w:r w:rsidRPr="00564B48">
        <w:rPr>
          <w:rStyle w:val="eop"/>
          <w:rFonts w:asciiTheme="minorHAnsi" w:hAnsiTheme="minorHAnsi" w:cstheme="minorHAnsi"/>
          <w:sz w:val="22"/>
          <w:szCs w:val="22"/>
        </w:rPr>
        <w:t> </w:t>
      </w:r>
    </w:p>
    <w:p w14:paraId="447B730A" w14:textId="77777777" w:rsidR="0032702B" w:rsidRPr="00564B48" w:rsidRDefault="0032702B" w:rsidP="0032702B">
      <w:pPr>
        <w:pStyle w:val="paragraph"/>
        <w:spacing w:before="0" w:beforeAutospacing="0" w:after="0" w:afterAutospacing="0"/>
        <w:ind w:left="1800"/>
        <w:textAlignment w:val="baseline"/>
        <w:rPr>
          <w:rFonts w:asciiTheme="minorHAnsi" w:hAnsiTheme="minorHAnsi" w:cstheme="minorHAnsi"/>
          <w:sz w:val="22"/>
          <w:szCs w:val="22"/>
        </w:rPr>
      </w:pPr>
      <w:r w:rsidRPr="00564B48">
        <w:rPr>
          <w:rStyle w:val="contentcontrolboundarysink"/>
          <w:rFonts w:asciiTheme="minorHAnsi" w:hAnsiTheme="minorHAnsi" w:cstheme="minorHAnsi"/>
          <w:sz w:val="22"/>
          <w:szCs w:val="22"/>
        </w:rPr>
        <w:t>​​</w:t>
      </w:r>
      <w:r w:rsidRPr="00564B48">
        <w:rPr>
          <w:rStyle w:val="normaltextrun"/>
          <w:rFonts w:ascii="Segoe UI Symbol" w:eastAsia="MS Gothic" w:hAnsi="Segoe UI Symbol" w:cs="Segoe UI Symbol"/>
          <w:sz w:val="22"/>
          <w:szCs w:val="22"/>
        </w:rPr>
        <w:t>☐</w:t>
      </w:r>
      <w:r w:rsidRPr="00564B48">
        <w:rPr>
          <w:rStyle w:val="contentcontrolboundarysink"/>
          <w:rFonts w:asciiTheme="minorHAnsi" w:hAnsiTheme="minorHAnsi" w:cstheme="minorHAnsi"/>
          <w:sz w:val="22"/>
          <w:szCs w:val="22"/>
        </w:rPr>
        <w:t>​</w:t>
      </w:r>
      <w:r w:rsidRPr="00564B48">
        <w:rPr>
          <w:rStyle w:val="normaltextrun"/>
          <w:rFonts w:asciiTheme="minorHAnsi" w:hAnsiTheme="minorHAnsi" w:cstheme="minorHAnsi"/>
          <w:sz w:val="22"/>
          <w:szCs w:val="22"/>
        </w:rPr>
        <w:t xml:space="preserve"> No</w:t>
      </w:r>
      <w:r w:rsidRPr="00564B48">
        <w:rPr>
          <w:rStyle w:val="eop"/>
          <w:rFonts w:asciiTheme="minorHAnsi" w:hAnsiTheme="minorHAnsi" w:cstheme="minorHAnsi"/>
          <w:sz w:val="22"/>
          <w:szCs w:val="22"/>
        </w:rPr>
        <w:t> </w:t>
      </w:r>
    </w:p>
    <w:p w14:paraId="4EF92737" w14:textId="62DFE33D" w:rsidR="0032702B" w:rsidRPr="00564B48" w:rsidRDefault="0032702B" w:rsidP="0032702B">
      <w:pPr>
        <w:pStyle w:val="paragraph"/>
        <w:spacing w:before="0" w:beforeAutospacing="0" w:after="0" w:afterAutospacing="0"/>
        <w:ind w:left="1800"/>
        <w:textAlignment w:val="baseline"/>
        <w:rPr>
          <w:rFonts w:asciiTheme="minorHAnsi" w:hAnsiTheme="minorHAnsi" w:cstheme="minorHAnsi"/>
          <w:sz w:val="22"/>
          <w:szCs w:val="22"/>
        </w:rPr>
      </w:pPr>
      <w:r w:rsidRPr="00564B48">
        <w:rPr>
          <w:rStyle w:val="scxw133397335"/>
          <w:rFonts w:asciiTheme="minorHAnsi" w:eastAsiaTheme="minorEastAsia" w:hAnsiTheme="minorHAnsi" w:cstheme="minorHAnsi"/>
          <w:sz w:val="22"/>
          <w:szCs w:val="22"/>
        </w:rPr>
        <w:t> </w:t>
      </w:r>
      <w:r w:rsidRPr="00564B48">
        <w:rPr>
          <w:rFonts w:asciiTheme="minorHAnsi" w:hAnsiTheme="minorHAnsi" w:cstheme="minorHAnsi"/>
          <w:sz w:val="22"/>
          <w:szCs w:val="22"/>
        </w:rPr>
        <w:br/>
      </w:r>
      <w:r w:rsidRPr="00564B48">
        <w:rPr>
          <w:rStyle w:val="normaltextrun"/>
          <w:rFonts w:asciiTheme="minorHAnsi" w:hAnsiTheme="minorHAnsi" w:cstheme="minorHAnsi"/>
          <w:sz w:val="22"/>
          <w:szCs w:val="22"/>
        </w:rPr>
        <w:t>Public statement of commitment to equity:</w:t>
      </w:r>
      <w:r w:rsidRPr="00564B48">
        <w:rPr>
          <w:rStyle w:val="eop"/>
          <w:rFonts w:asciiTheme="minorHAnsi" w:hAnsiTheme="minorHAnsi" w:cstheme="minorHAnsi"/>
          <w:sz w:val="22"/>
          <w:szCs w:val="22"/>
        </w:rPr>
        <w:t> </w:t>
      </w:r>
      <w:r w:rsidR="008A7112">
        <w:rPr>
          <w:rStyle w:val="eop"/>
          <w:rFonts w:asciiTheme="minorHAnsi" w:hAnsiTheme="minorHAnsi" w:cstheme="minorHAnsi"/>
          <w:sz w:val="22"/>
          <w:szCs w:val="22"/>
        </w:rPr>
        <w:br/>
      </w:r>
    </w:p>
    <w:p w14:paraId="1A927910" w14:textId="77777777" w:rsidR="00DA5A8D" w:rsidRPr="00DA5A8D" w:rsidRDefault="0032702B" w:rsidP="00DA5A8D">
      <w:pPr>
        <w:pStyle w:val="paragraph"/>
        <w:numPr>
          <w:ilvl w:val="0"/>
          <w:numId w:val="20"/>
        </w:numPr>
        <w:spacing w:before="240" w:beforeAutospacing="0" w:after="0" w:afterAutospacing="0"/>
        <w:textAlignment w:val="baseline"/>
        <w:rPr>
          <w:rStyle w:val="scxw133397335"/>
          <w:rFonts w:asciiTheme="minorHAnsi" w:hAnsiTheme="minorHAnsi" w:cstheme="minorHAnsi"/>
        </w:rPr>
      </w:pPr>
      <w:r w:rsidRPr="00DA5A8D">
        <w:rPr>
          <w:rStyle w:val="normaltextrun"/>
          <w:rFonts w:asciiTheme="minorHAnsi" w:hAnsiTheme="minorHAnsi" w:cstheme="minorHAnsi"/>
          <w:color w:val="000000"/>
          <w:sz w:val="22"/>
          <w:szCs w:val="22"/>
        </w:rPr>
        <w:t xml:space="preserve">Please describe the composition of the teams contributing to health equity at the organization and where they sit within the organization. </w:t>
      </w:r>
    </w:p>
    <w:p w14:paraId="4DF437B1" w14:textId="45D8C223" w:rsidR="0032702B" w:rsidRPr="00DA5A8D" w:rsidRDefault="0032702B" w:rsidP="00DA5A8D">
      <w:pPr>
        <w:pStyle w:val="paragraph"/>
        <w:numPr>
          <w:ilvl w:val="0"/>
          <w:numId w:val="20"/>
        </w:numPr>
        <w:spacing w:before="240" w:beforeAutospacing="0" w:after="0" w:afterAutospacing="0"/>
        <w:textAlignment w:val="baseline"/>
        <w:rPr>
          <w:rFonts w:asciiTheme="minorHAnsi" w:hAnsiTheme="minorHAnsi" w:cstheme="minorHAnsi"/>
          <w:sz w:val="22"/>
          <w:szCs w:val="22"/>
        </w:rPr>
      </w:pPr>
      <w:r w:rsidRPr="00DA5A8D">
        <w:rPr>
          <w:rStyle w:val="normaltextrun"/>
          <w:rFonts w:asciiTheme="minorHAnsi" w:hAnsiTheme="minorHAnsi" w:cstheme="minorHAnsi"/>
          <w:sz w:val="22"/>
          <w:szCs w:val="22"/>
        </w:rPr>
        <w:t xml:space="preserve">Do health equity initiatives at the </w:t>
      </w:r>
      <w:r w:rsidR="79142EA8" w:rsidRPr="136DB3E1">
        <w:rPr>
          <w:rStyle w:val="normaltextrun"/>
          <w:rFonts w:asciiTheme="minorHAnsi" w:hAnsiTheme="minorHAnsi" w:cstheme="minorBidi"/>
          <w:sz w:val="22"/>
          <w:szCs w:val="22"/>
        </w:rPr>
        <w:t>CBHC</w:t>
      </w:r>
      <w:r w:rsidRPr="00DA5A8D">
        <w:rPr>
          <w:rStyle w:val="normaltextrun"/>
          <w:rFonts w:asciiTheme="minorHAnsi" w:hAnsiTheme="minorHAnsi" w:cstheme="minorHAnsi"/>
          <w:sz w:val="22"/>
          <w:szCs w:val="22"/>
        </w:rPr>
        <w:t xml:space="preserve"> have one or more executive-level leads and/or sponsors?</w:t>
      </w:r>
      <w:r w:rsidRPr="00DA5A8D">
        <w:rPr>
          <w:rStyle w:val="scxw133397335"/>
          <w:rFonts w:eastAsiaTheme="minorEastAsia"/>
        </w:rPr>
        <w:t> </w:t>
      </w:r>
      <w:r>
        <w:br/>
      </w:r>
      <w:r w:rsidRPr="00DA5A8D">
        <w:rPr>
          <w:rStyle w:val="scxw133397335"/>
          <w:rFonts w:eastAsiaTheme="minorEastAsia"/>
        </w:rPr>
        <w:t> </w:t>
      </w:r>
      <w:r>
        <w:br/>
      </w:r>
      <w:r w:rsidRPr="00DA5A8D">
        <w:rPr>
          <w:rStyle w:val="normaltextrun"/>
          <w:rFonts w:ascii="MS Gothic" w:eastAsia="MS Gothic" w:hAnsi="MS Gothic" w:hint="eastAsia"/>
        </w:rPr>
        <w:t xml:space="preserve">      </w:t>
      </w:r>
      <w:r w:rsidRPr="00DA5A8D">
        <w:rPr>
          <w:rStyle w:val="contentcontrolboundarysink"/>
          <w:rFonts w:asciiTheme="minorHAnsi" w:eastAsia="MS Gothic" w:hAnsiTheme="minorHAnsi" w:cstheme="minorHAnsi"/>
          <w:sz w:val="22"/>
          <w:szCs w:val="22"/>
        </w:rPr>
        <w:t>​</w:t>
      </w:r>
      <w:r w:rsidRPr="00DA5A8D">
        <w:rPr>
          <w:rStyle w:val="normaltextrun"/>
          <w:rFonts w:ascii="Segoe UI Symbol" w:eastAsia="MS Gothic" w:hAnsi="Segoe UI Symbol" w:cs="Segoe UI Symbol"/>
          <w:sz w:val="22"/>
          <w:szCs w:val="22"/>
        </w:rPr>
        <w:t>☐</w:t>
      </w:r>
      <w:r w:rsidRPr="00DA5A8D">
        <w:rPr>
          <w:rStyle w:val="contentcontrolboundarysink"/>
          <w:rFonts w:asciiTheme="minorHAnsi" w:eastAsia="MS Gothic" w:hAnsiTheme="minorHAnsi" w:cstheme="minorHAnsi"/>
          <w:sz w:val="22"/>
          <w:szCs w:val="22"/>
        </w:rPr>
        <w:t>​</w:t>
      </w:r>
      <w:r w:rsidRPr="00DA5A8D">
        <w:rPr>
          <w:rStyle w:val="normaltextrun"/>
          <w:rFonts w:asciiTheme="minorHAnsi" w:hAnsiTheme="minorHAnsi" w:cstheme="minorHAnsi"/>
          <w:sz w:val="22"/>
          <w:szCs w:val="22"/>
        </w:rPr>
        <w:t xml:space="preserve"> Yes, please describe.</w:t>
      </w:r>
      <w:r w:rsidRPr="00DA5A8D">
        <w:rPr>
          <w:rStyle w:val="eop"/>
          <w:rFonts w:asciiTheme="minorHAnsi" w:hAnsiTheme="minorHAnsi" w:cstheme="minorHAnsi"/>
          <w:sz w:val="22"/>
          <w:szCs w:val="22"/>
        </w:rPr>
        <w:t> </w:t>
      </w:r>
    </w:p>
    <w:p w14:paraId="2D09669B" w14:textId="01155C0B" w:rsidR="0032702B" w:rsidRPr="00DA5A8D" w:rsidRDefault="008A7112" w:rsidP="00422469">
      <w:pPr>
        <w:pStyle w:val="paragraph"/>
        <w:spacing w:before="0" w:beforeAutospacing="0" w:after="0" w:afterAutospacing="0"/>
        <w:ind w:left="1080"/>
        <w:textAlignment w:val="baseline"/>
        <w:rPr>
          <w:rFonts w:asciiTheme="minorHAnsi" w:hAnsiTheme="minorHAnsi" w:cstheme="minorHAnsi"/>
          <w:sz w:val="22"/>
          <w:szCs w:val="22"/>
        </w:rPr>
      </w:pPr>
      <w:r>
        <w:rPr>
          <w:rStyle w:val="normaltextrun"/>
          <w:rFonts w:ascii="Segoe UI Symbol" w:eastAsia="MS Gothic" w:hAnsi="Segoe UI Symbol" w:cs="Segoe UI Symbol"/>
          <w:sz w:val="22"/>
          <w:szCs w:val="22"/>
        </w:rPr>
        <w:t xml:space="preserve">     </w:t>
      </w:r>
      <w:r w:rsidR="7FFB0186" w:rsidRPr="136DB3E1">
        <w:rPr>
          <w:rStyle w:val="normaltextrun"/>
          <w:rFonts w:ascii="Segoe UI Symbol" w:eastAsia="MS Gothic" w:hAnsi="Segoe UI Symbol" w:cs="Segoe UI Symbol"/>
          <w:sz w:val="22"/>
          <w:szCs w:val="22"/>
        </w:rPr>
        <w:t xml:space="preserve"> </w:t>
      </w:r>
      <w:r w:rsidR="0032702B" w:rsidRPr="00DA5A8D">
        <w:rPr>
          <w:rStyle w:val="normaltextrun"/>
          <w:rFonts w:ascii="Segoe UI Symbol" w:eastAsia="MS Gothic" w:hAnsi="Segoe UI Symbol" w:cs="Segoe UI Symbol"/>
          <w:sz w:val="22"/>
          <w:szCs w:val="22"/>
        </w:rPr>
        <w:t>☐</w:t>
      </w:r>
      <w:r w:rsidR="0032702B" w:rsidRPr="00DA5A8D">
        <w:rPr>
          <w:rStyle w:val="contentcontrolboundarysink"/>
          <w:rFonts w:asciiTheme="minorHAnsi" w:hAnsiTheme="minorHAnsi" w:cstheme="minorHAnsi"/>
          <w:sz w:val="22"/>
          <w:szCs w:val="22"/>
        </w:rPr>
        <w:t>​</w:t>
      </w:r>
      <w:r w:rsidR="0032702B" w:rsidRPr="00DA5A8D">
        <w:rPr>
          <w:rStyle w:val="normaltextrun"/>
          <w:rFonts w:asciiTheme="minorHAnsi" w:hAnsiTheme="minorHAnsi" w:cstheme="minorHAnsi"/>
          <w:sz w:val="22"/>
          <w:szCs w:val="22"/>
        </w:rPr>
        <w:t xml:space="preserve"> No, please describe. </w:t>
      </w:r>
      <w:r w:rsidR="0032702B" w:rsidRPr="00DA5A8D">
        <w:rPr>
          <w:rStyle w:val="eop"/>
          <w:rFonts w:asciiTheme="minorHAnsi" w:hAnsiTheme="minorHAnsi" w:cstheme="minorHAnsi"/>
          <w:sz w:val="22"/>
          <w:szCs w:val="22"/>
        </w:rPr>
        <w:t> </w:t>
      </w:r>
    </w:p>
    <w:p w14:paraId="5CB211F6" w14:textId="77777777" w:rsidR="0032702B" w:rsidRDefault="0032702B" w:rsidP="0032702B">
      <w:pPr>
        <w:pStyle w:val="paragraph"/>
        <w:spacing w:before="0" w:beforeAutospacing="0" w:after="0" w:afterAutospacing="0"/>
        <w:ind w:left="1080"/>
        <w:textAlignment w:val="baseline"/>
      </w:pPr>
      <w:r>
        <w:rPr>
          <w:rStyle w:val="eop"/>
          <w:color w:val="000000"/>
        </w:rPr>
        <w:t> </w:t>
      </w:r>
    </w:p>
    <w:p w14:paraId="3667F969" w14:textId="3A1CE0E0" w:rsidR="0032702B" w:rsidRPr="00DA5A8D" w:rsidRDefault="0032702B" w:rsidP="00DA5A8D">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DA5A8D">
        <w:rPr>
          <w:rStyle w:val="normaltextrun"/>
          <w:rFonts w:asciiTheme="minorHAnsi" w:hAnsiTheme="minorHAnsi" w:cstheme="minorHAnsi"/>
          <w:sz w:val="22"/>
          <w:szCs w:val="22"/>
        </w:rPr>
        <w:t xml:space="preserve">Does the </w:t>
      </w:r>
      <w:r w:rsidR="78A09884" w:rsidRPr="136DB3E1">
        <w:rPr>
          <w:rStyle w:val="normaltextrun"/>
          <w:rFonts w:asciiTheme="minorHAnsi" w:hAnsiTheme="minorHAnsi" w:cstheme="minorBidi"/>
          <w:sz w:val="22"/>
          <w:szCs w:val="22"/>
        </w:rPr>
        <w:t>CBHC</w:t>
      </w:r>
      <w:r w:rsidRPr="00DA5A8D">
        <w:rPr>
          <w:rStyle w:val="normaltextrun"/>
          <w:rFonts w:asciiTheme="minorHAnsi" w:hAnsiTheme="minorHAnsi" w:cstheme="minorHAnsi"/>
          <w:sz w:val="22"/>
          <w:szCs w:val="22"/>
        </w:rPr>
        <w:t xml:space="preserve"> have a Health Quality and Equity Committee (HQEC)?</w:t>
      </w:r>
      <w:r w:rsidRPr="00DA5A8D">
        <w:rPr>
          <w:rStyle w:val="eop"/>
          <w:rFonts w:asciiTheme="minorHAnsi" w:hAnsiTheme="minorHAnsi" w:cstheme="minorHAnsi"/>
          <w:sz w:val="22"/>
          <w:szCs w:val="22"/>
        </w:rPr>
        <w:t> </w:t>
      </w:r>
    </w:p>
    <w:p w14:paraId="4DD81253" w14:textId="77777777" w:rsidR="0032702B" w:rsidRPr="00DA5A8D" w:rsidRDefault="0032702B" w:rsidP="0032702B">
      <w:pPr>
        <w:pStyle w:val="paragraph"/>
        <w:spacing w:before="0" w:beforeAutospacing="0" w:after="0" w:afterAutospacing="0"/>
        <w:ind w:left="1800"/>
        <w:textAlignment w:val="baseline"/>
        <w:rPr>
          <w:rFonts w:asciiTheme="minorHAnsi" w:hAnsiTheme="minorHAnsi" w:cstheme="minorHAnsi"/>
          <w:sz w:val="22"/>
          <w:szCs w:val="22"/>
        </w:rPr>
      </w:pPr>
      <w:r w:rsidRPr="00DA5A8D">
        <w:rPr>
          <w:rStyle w:val="contentcontrolboundarysink"/>
          <w:rFonts w:asciiTheme="minorHAnsi" w:hAnsiTheme="minorHAnsi" w:cstheme="minorHAnsi"/>
          <w:sz w:val="22"/>
          <w:szCs w:val="22"/>
        </w:rPr>
        <w:t>​​</w:t>
      </w:r>
      <w:r w:rsidRPr="00DA5A8D">
        <w:rPr>
          <w:rStyle w:val="normaltextrun"/>
          <w:rFonts w:ascii="Segoe UI Symbol" w:hAnsi="Segoe UI Symbol" w:cs="Segoe UI Symbol"/>
          <w:sz w:val="22"/>
          <w:szCs w:val="22"/>
        </w:rPr>
        <w:t>☐</w:t>
      </w:r>
      <w:r w:rsidRPr="00DA5A8D">
        <w:rPr>
          <w:rStyle w:val="contentcontrolboundarysink"/>
          <w:rFonts w:asciiTheme="minorHAnsi" w:hAnsiTheme="minorHAnsi" w:cstheme="minorHAnsi"/>
          <w:sz w:val="22"/>
          <w:szCs w:val="22"/>
        </w:rPr>
        <w:t>​</w:t>
      </w:r>
      <w:r w:rsidRPr="00DA5A8D">
        <w:rPr>
          <w:rStyle w:val="normaltextrun"/>
          <w:rFonts w:asciiTheme="minorHAnsi" w:hAnsiTheme="minorHAnsi" w:cstheme="minorHAnsi"/>
          <w:sz w:val="22"/>
          <w:szCs w:val="22"/>
        </w:rPr>
        <w:t>Yes</w:t>
      </w:r>
      <w:r w:rsidRPr="00DA5A8D">
        <w:rPr>
          <w:rStyle w:val="eop"/>
          <w:rFonts w:asciiTheme="minorHAnsi" w:hAnsiTheme="minorHAnsi" w:cstheme="minorHAnsi"/>
          <w:sz w:val="22"/>
          <w:szCs w:val="22"/>
        </w:rPr>
        <w:t> </w:t>
      </w:r>
    </w:p>
    <w:p w14:paraId="7543EA8B" w14:textId="6E8149F0" w:rsidR="0032702B" w:rsidRPr="00DA5A8D" w:rsidRDefault="0032702B" w:rsidP="0032702B">
      <w:pPr>
        <w:pStyle w:val="paragraph"/>
        <w:spacing w:before="0" w:beforeAutospacing="0" w:after="0" w:afterAutospacing="0"/>
        <w:ind w:left="1800"/>
        <w:textAlignment w:val="baseline"/>
        <w:rPr>
          <w:rFonts w:asciiTheme="minorHAnsi" w:hAnsiTheme="minorHAnsi" w:cstheme="minorBidi"/>
          <w:sz w:val="22"/>
          <w:szCs w:val="22"/>
        </w:rPr>
      </w:pPr>
      <w:r w:rsidRPr="6275A0E8">
        <w:rPr>
          <w:rStyle w:val="contentcontrolboundarysink"/>
          <w:rFonts w:asciiTheme="minorHAnsi" w:hAnsiTheme="minorHAnsi" w:cstheme="minorBidi"/>
          <w:sz w:val="22"/>
          <w:szCs w:val="22"/>
        </w:rPr>
        <w:t>​​</w:t>
      </w:r>
      <w:r w:rsidRPr="00DA5A8D">
        <w:rPr>
          <w:rStyle w:val="normaltextrun"/>
          <w:rFonts w:ascii="Segoe UI Symbol" w:hAnsi="Segoe UI Symbol" w:cs="Segoe UI Symbol"/>
          <w:sz w:val="22"/>
          <w:szCs w:val="22"/>
        </w:rPr>
        <w:t>☐</w:t>
      </w:r>
      <w:r w:rsidRPr="6275A0E8">
        <w:rPr>
          <w:rStyle w:val="contentcontrolboundarysink"/>
          <w:rFonts w:asciiTheme="minorHAnsi" w:hAnsiTheme="minorHAnsi" w:cstheme="minorBidi"/>
          <w:sz w:val="22"/>
          <w:szCs w:val="22"/>
        </w:rPr>
        <w:t>​</w:t>
      </w:r>
      <w:r w:rsidRPr="6275A0E8">
        <w:rPr>
          <w:rStyle w:val="normaltextrun"/>
          <w:rFonts w:asciiTheme="minorHAnsi" w:hAnsiTheme="minorHAnsi" w:cstheme="minorBidi"/>
          <w:sz w:val="22"/>
          <w:szCs w:val="22"/>
        </w:rPr>
        <w:t xml:space="preserve">No, please describe below the </w:t>
      </w:r>
      <w:r w:rsidR="22357B62" w:rsidRPr="136DB3E1">
        <w:rPr>
          <w:rStyle w:val="normaltextrun"/>
          <w:rFonts w:asciiTheme="minorHAnsi" w:hAnsiTheme="minorHAnsi" w:cstheme="minorBidi"/>
          <w:sz w:val="22"/>
          <w:szCs w:val="22"/>
        </w:rPr>
        <w:t>CBHC’s</w:t>
      </w:r>
      <w:r w:rsidRPr="6275A0E8">
        <w:rPr>
          <w:rStyle w:val="normaltextrun"/>
          <w:rFonts w:asciiTheme="minorHAnsi" w:hAnsiTheme="minorHAnsi" w:cstheme="minorBidi"/>
          <w:sz w:val="22"/>
          <w:szCs w:val="22"/>
        </w:rPr>
        <w:t xml:space="preserve"> plan to establish and maintain a HQEC in </w:t>
      </w:r>
      <w:r w:rsidRPr="136DB3E1">
        <w:rPr>
          <w:rStyle w:val="normaltextrun"/>
          <w:rFonts w:asciiTheme="minorHAnsi" w:hAnsiTheme="minorHAnsi" w:cstheme="minorBidi"/>
          <w:sz w:val="22"/>
          <w:szCs w:val="22"/>
        </w:rPr>
        <w:t>CY2</w:t>
      </w:r>
      <w:r w:rsidR="62720AF0" w:rsidRPr="136DB3E1">
        <w:rPr>
          <w:rStyle w:val="normaltextrun"/>
          <w:rFonts w:asciiTheme="minorHAnsi" w:hAnsiTheme="minorHAnsi" w:cstheme="minorBidi"/>
          <w:sz w:val="22"/>
          <w:szCs w:val="22"/>
        </w:rPr>
        <w:t>5</w:t>
      </w:r>
      <w:r w:rsidRPr="6275A0E8">
        <w:rPr>
          <w:rStyle w:val="normaltextrun"/>
          <w:rFonts w:asciiTheme="minorHAnsi" w:hAnsiTheme="minorHAnsi" w:cstheme="minorBidi"/>
          <w:sz w:val="22"/>
          <w:szCs w:val="22"/>
        </w:rPr>
        <w:t>:</w:t>
      </w:r>
    </w:p>
    <w:p w14:paraId="0AE39F69" w14:textId="068EA910" w:rsidR="6275A0E8" w:rsidRDefault="6275A0E8" w:rsidP="6275A0E8">
      <w:pPr>
        <w:pStyle w:val="paragraph"/>
        <w:spacing w:before="0" w:beforeAutospacing="0" w:after="0" w:afterAutospacing="0"/>
        <w:ind w:left="1800"/>
        <w:rPr>
          <w:rStyle w:val="normaltextrun"/>
          <w:rFonts w:asciiTheme="minorHAnsi" w:hAnsiTheme="minorHAnsi" w:cstheme="minorBidi"/>
          <w:sz w:val="22"/>
          <w:szCs w:val="22"/>
        </w:rPr>
      </w:pPr>
    </w:p>
    <w:p w14:paraId="7FAC3950" w14:textId="59E0C24A" w:rsidR="4B00125A" w:rsidRDefault="4B00125A" w:rsidP="6275A0E8">
      <w:pPr>
        <w:pStyle w:val="paragraph"/>
        <w:numPr>
          <w:ilvl w:val="0"/>
          <w:numId w:val="20"/>
        </w:numPr>
        <w:spacing w:before="0" w:beforeAutospacing="0" w:after="0" w:afterAutospacing="0"/>
        <w:rPr>
          <w:rFonts w:asciiTheme="minorHAnsi" w:hAnsiTheme="minorHAnsi" w:cstheme="minorBidi"/>
          <w:sz w:val="22"/>
          <w:szCs w:val="22"/>
        </w:rPr>
      </w:pPr>
      <w:r w:rsidRPr="6275A0E8">
        <w:rPr>
          <w:rStyle w:val="normaltextrun"/>
          <w:rFonts w:asciiTheme="minorHAnsi" w:hAnsiTheme="minorHAnsi" w:cstheme="minorBidi"/>
          <w:sz w:val="22"/>
          <w:szCs w:val="22"/>
        </w:rPr>
        <w:t>Does the CBHC have a Community Accountability Board (CAB)? </w:t>
      </w:r>
    </w:p>
    <w:p w14:paraId="01A97458" w14:textId="77777777" w:rsidR="4B00125A" w:rsidRDefault="4B00125A" w:rsidP="6275A0E8">
      <w:pPr>
        <w:pStyle w:val="paragraph"/>
        <w:spacing w:before="0" w:beforeAutospacing="0" w:after="0" w:afterAutospacing="0"/>
        <w:ind w:left="1800"/>
        <w:rPr>
          <w:rFonts w:asciiTheme="minorHAnsi" w:hAnsiTheme="minorHAnsi" w:cstheme="minorBidi"/>
          <w:sz w:val="22"/>
          <w:szCs w:val="22"/>
        </w:rPr>
      </w:pPr>
      <w:r w:rsidRPr="6275A0E8">
        <w:rPr>
          <w:rStyle w:val="contentcontrolboundarysink"/>
          <w:rFonts w:asciiTheme="minorHAnsi" w:hAnsiTheme="minorHAnsi" w:cstheme="minorBidi"/>
          <w:sz w:val="22"/>
          <w:szCs w:val="22"/>
        </w:rPr>
        <w:t>​​</w:t>
      </w:r>
      <w:r w:rsidRPr="6275A0E8">
        <w:rPr>
          <w:rStyle w:val="normaltextrun"/>
          <w:rFonts w:ascii="Segoe UI Symbol" w:hAnsi="Segoe UI Symbol" w:cs="Segoe UI Symbol"/>
          <w:sz w:val="22"/>
          <w:szCs w:val="22"/>
        </w:rPr>
        <w:t>☐</w:t>
      </w:r>
      <w:r w:rsidRPr="6275A0E8">
        <w:rPr>
          <w:rStyle w:val="contentcontrolboundarysink"/>
          <w:rFonts w:asciiTheme="minorHAnsi" w:hAnsiTheme="minorHAnsi" w:cstheme="minorBidi"/>
          <w:sz w:val="22"/>
          <w:szCs w:val="22"/>
        </w:rPr>
        <w:t>​Yes </w:t>
      </w:r>
    </w:p>
    <w:p w14:paraId="69FF7FEE" w14:textId="0A82E42F" w:rsidR="00FC25ED" w:rsidRDefault="4B00125A" w:rsidP="00FC25ED">
      <w:pPr>
        <w:pStyle w:val="paragraph"/>
        <w:spacing w:before="0" w:beforeAutospacing="0" w:after="0" w:afterAutospacing="0"/>
        <w:ind w:left="1800"/>
        <w:rPr>
          <w:rStyle w:val="normaltextrun"/>
          <w:rFonts w:asciiTheme="minorHAnsi" w:hAnsiTheme="minorHAnsi" w:cstheme="minorBidi"/>
          <w:sz w:val="22"/>
          <w:szCs w:val="22"/>
        </w:rPr>
      </w:pPr>
      <w:r w:rsidRPr="6275A0E8">
        <w:rPr>
          <w:rStyle w:val="contentcontrolboundarysink"/>
          <w:rFonts w:asciiTheme="minorHAnsi" w:hAnsiTheme="minorHAnsi" w:cstheme="minorBidi"/>
          <w:sz w:val="22"/>
          <w:szCs w:val="22"/>
        </w:rPr>
        <w:t>​​</w:t>
      </w:r>
      <w:r w:rsidRPr="6275A0E8">
        <w:rPr>
          <w:rStyle w:val="normaltextrun"/>
          <w:rFonts w:ascii="Segoe UI Symbol" w:hAnsi="Segoe UI Symbol" w:cs="Segoe UI Symbol"/>
          <w:sz w:val="22"/>
          <w:szCs w:val="22"/>
        </w:rPr>
        <w:t>☐</w:t>
      </w:r>
      <w:r w:rsidRPr="6275A0E8">
        <w:rPr>
          <w:rStyle w:val="contentcontrolboundarysink"/>
          <w:rFonts w:asciiTheme="minorHAnsi" w:hAnsiTheme="minorHAnsi" w:cstheme="minorBidi"/>
          <w:sz w:val="22"/>
          <w:szCs w:val="22"/>
        </w:rPr>
        <w:t xml:space="preserve">​No, please describe below the </w:t>
      </w:r>
      <w:r w:rsidRPr="6275A0E8">
        <w:rPr>
          <w:rStyle w:val="normaltextrun"/>
          <w:rFonts w:asciiTheme="minorHAnsi" w:hAnsiTheme="minorHAnsi" w:cstheme="minorBidi"/>
          <w:sz w:val="22"/>
          <w:szCs w:val="22"/>
        </w:rPr>
        <w:t>CBHC’s plan to establish and maintain a CAB in CY25:</w:t>
      </w:r>
      <w:bookmarkStart w:id="1" w:name="_Ref153365940"/>
    </w:p>
    <w:p w14:paraId="78C0762F" w14:textId="1C972178" w:rsidR="008C334C" w:rsidRPr="00FC25ED" w:rsidRDefault="00FC25ED" w:rsidP="00FC25ED">
      <w:pPr>
        <w:spacing w:before="0" w:after="0" w:line="240" w:lineRule="auto"/>
        <w:rPr>
          <w:rFonts w:eastAsia="Times New Roman"/>
          <w14:ligatures w14:val="none"/>
        </w:rPr>
      </w:pPr>
      <w:r>
        <w:rPr>
          <w:rStyle w:val="normaltextrun"/>
        </w:rPr>
        <w:br w:type="page"/>
      </w:r>
    </w:p>
    <w:p w14:paraId="24DD159D" w14:textId="7CE876AF" w:rsidR="00E6382E" w:rsidRDefault="002354FC" w:rsidP="00FA6C52">
      <w:pPr>
        <w:pStyle w:val="Heading3"/>
      </w:pPr>
      <w:r w:rsidRPr="008C334C">
        <w:lastRenderedPageBreak/>
        <w:t xml:space="preserve">Section 2: </w:t>
      </w:r>
      <w:bookmarkEnd w:id="1"/>
      <w:r w:rsidR="00AB4E2E">
        <w:t>Executive Summary</w:t>
      </w:r>
    </w:p>
    <w:p w14:paraId="7282367D" w14:textId="70FE6F20" w:rsidR="00AB4E2E" w:rsidRPr="00AB4E2E" w:rsidRDefault="00AB4E2E" w:rsidP="00AB4E2E">
      <w:pPr>
        <w:rPr>
          <w:i/>
          <w:iCs/>
        </w:rPr>
      </w:pPr>
      <w:r>
        <w:rPr>
          <w:i/>
          <w:iCs/>
        </w:rPr>
        <w:t>Suggested Page Count: 1-</w:t>
      </w:r>
      <w:r w:rsidR="00E60649">
        <w:rPr>
          <w:i/>
          <w:iCs/>
        </w:rPr>
        <w:t xml:space="preserve">2 </w:t>
      </w:r>
      <w:r>
        <w:rPr>
          <w:i/>
          <w:iCs/>
        </w:rPr>
        <w:t>pages</w:t>
      </w:r>
    </w:p>
    <w:p w14:paraId="5021A171" w14:textId="77777777" w:rsidR="001F3A7D" w:rsidRPr="00C2772B" w:rsidRDefault="00136F08" w:rsidP="00C2772B">
      <w:pPr>
        <w:pStyle w:val="ListNumber"/>
        <w:numPr>
          <w:ilvl w:val="0"/>
          <w:numId w:val="9"/>
        </w:numPr>
        <w:spacing w:before="0" w:after="0"/>
        <w:contextualSpacing/>
        <w:rPr>
          <w:rStyle w:val="normaltextrun"/>
        </w:rPr>
      </w:pPr>
      <w:r>
        <w:rPr>
          <w:rStyle w:val="normaltextrun"/>
          <w:color w:val="000000"/>
          <w:shd w:val="clear" w:color="auto" w:fill="FFFFFF"/>
        </w:rPr>
        <w:t>Provide an Executive Summary of key sections of this Strategic Plan. Include the following information in the Executive Summary:</w:t>
      </w:r>
    </w:p>
    <w:p w14:paraId="0646DC3C" w14:textId="77777777" w:rsidR="00C2772B" w:rsidRPr="001F3A7D" w:rsidRDefault="00C2772B" w:rsidP="00C2772B">
      <w:pPr>
        <w:pStyle w:val="ListNumber"/>
        <w:numPr>
          <w:ilvl w:val="0"/>
          <w:numId w:val="0"/>
        </w:numPr>
        <w:spacing w:before="0" w:after="0"/>
        <w:ind w:left="720"/>
        <w:contextualSpacing/>
        <w:rPr>
          <w:rStyle w:val="normaltextrun"/>
        </w:rPr>
      </w:pPr>
    </w:p>
    <w:p w14:paraId="655376ED" w14:textId="6BFA1C6D" w:rsidR="001F3A7D" w:rsidRPr="001F3A7D" w:rsidRDefault="0DD0E8A1" w:rsidP="001F3A7D">
      <w:pPr>
        <w:pStyle w:val="ListNumber"/>
        <w:numPr>
          <w:ilvl w:val="1"/>
          <w:numId w:val="9"/>
        </w:numPr>
        <w:spacing w:before="0" w:after="120"/>
        <w:contextualSpacing/>
        <w:rPr>
          <w:rStyle w:val="eop"/>
        </w:rPr>
      </w:pPr>
      <w:r w:rsidRPr="136DB3E1">
        <w:rPr>
          <w:rStyle w:val="normaltextrun"/>
          <w:color w:val="000000" w:themeColor="text1"/>
        </w:rPr>
        <w:t>CBHC</w:t>
      </w:r>
      <w:r w:rsidR="00136F08" w:rsidRPr="00422469">
        <w:rPr>
          <w:rStyle w:val="normaltextrun"/>
          <w:color w:val="000000" w:themeColor="text1"/>
        </w:rPr>
        <w:t xml:space="preserve"> name.</w:t>
      </w:r>
      <w:r w:rsidR="00136F08" w:rsidRPr="00422469">
        <w:rPr>
          <w:rStyle w:val="eop"/>
          <w:color w:val="000000" w:themeColor="text1"/>
        </w:rPr>
        <w:t> </w:t>
      </w:r>
    </w:p>
    <w:p w14:paraId="4ED0A03A" w14:textId="752180E6" w:rsidR="001F3A7D" w:rsidRPr="001F3A7D" w:rsidRDefault="00136F08" w:rsidP="001F3A7D">
      <w:pPr>
        <w:pStyle w:val="ListNumber"/>
        <w:numPr>
          <w:ilvl w:val="1"/>
          <w:numId w:val="9"/>
        </w:numPr>
        <w:spacing w:before="0" w:after="120"/>
        <w:contextualSpacing/>
        <w:rPr>
          <w:rStyle w:val="eop"/>
        </w:rPr>
      </w:pPr>
      <w:r w:rsidRPr="00422469">
        <w:rPr>
          <w:rStyle w:val="normaltextrun"/>
          <w:color w:val="000000" w:themeColor="text1"/>
        </w:rPr>
        <w:t xml:space="preserve">How the </w:t>
      </w:r>
      <w:r w:rsidR="7A8A839E" w:rsidRPr="136DB3E1">
        <w:rPr>
          <w:rStyle w:val="normaltextrun"/>
          <w:color w:val="000000" w:themeColor="text1"/>
        </w:rPr>
        <w:t>CBHC</w:t>
      </w:r>
      <w:r w:rsidRPr="00422469">
        <w:rPr>
          <w:rStyle w:val="normaltextrun"/>
          <w:color w:val="000000" w:themeColor="text1"/>
        </w:rPr>
        <w:t xml:space="preserve"> defines health equity.</w:t>
      </w:r>
      <w:r w:rsidRPr="00422469">
        <w:rPr>
          <w:rStyle w:val="eop"/>
          <w:color w:val="000000" w:themeColor="text1"/>
        </w:rPr>
        <w:t> </w:t>
      </w:r>
    </w:p>
    <w:p w14:paraId="594C211C" w14:textId="215AE8C6" w:rsidR="006432A2" w:rsidRPr="006432A2" w:rsidRDefault="00136F08" w:rsidP="006432A2">
      <w:pPr>
        <w:pStyle w:val="ListNumber"/>
        <w:numPr>
          <w:ilvl w:val="1"/>
          <w:numId w:val="9"/>
        </w:numPr>
        <w:spacing w:before="0" w:after="120"/>
        <w:contextualSpacing/>
        <w:rPr>
          <w:rStyle w:val="eop"/>
        </w:rPr>
      </w:pPr>
      <w:r w:rsidRPr="00422469">
        <w:rPr>
          <w:rStyle w:val="normaltextrun"/>
          <w:color w:val="000000" w:themeColor="text1"/>
        </w:rPr>
        <w:t xml:space="preserve">What the </w:t>
      </w:r>
      <w:r w:rsidR="6AB45920" w:rsidRPr="136DB3E1">
        <w:rPr>
          <w:rStyle w:val="normaltextrun"/>
          <w:color w:val="000000" w:themeColor="text1"/>
        </w:rPr>
        <w:t>CBHC</w:t>
      </w:r>
      <w:r w:rsidRPr="00422469">
        <w:rPr>
          <w:rStyle w:val="normaltextrun"/>
          <w:color w:val="000000" w:themeColor="text1"/>
        </w:rPr>
        <w:t xml:space="preserve"> hopes to achieve in the next four years related to health equity.</w:t>
      </w:r>
      <w:r w:rsidRPr="00422469">
        <w:rPr>
          <w:rStyle w:val="eop"/>
          <w:color w:val="000000" w:themeColor="text1"/>
        </w:rPr>
        <w:t> </w:t>
      </w:r>
    </w:p>
    <w:p w14:paraId="5F42CF08" w14:textId="37A0B917" w:rsidR="00136F08" w:rsidRDefault="00136F08" w:rsidP="006432A2">
      <w:pPr>
        <w:pStyle w:val="ListNumber"/>
        <w:numPr>
          <w:ilvl w:val="1"/>
          <w:numId w:val="9"/>
        </w:numPr>
        <w:spacing w:before="0" w:after="120"/>
        <w:contextualSpacing/>
      </w:pPr>
      <w:r w:rsidRPr="00422469">
        <w:rPr>
          <w:rStyle w:val="normaltextrun"/>
          <w:color w:val="000000" w:themeColor="text1"/>
        </w:rPr>
        <w:t xml:space="preserve">How the </w:t>
      </w:r>
      <w:r w:rsidR="05E99734" w:rsidRPr="136DB3E1">
        <w:rPr>
          <w:rStyle w:val="normaltextrun"/>
          <w:color w:val="000000" w:themeColor="text1"/>
        </w:rPr>
        <w:t>CBHC</w:t>
      </w:r>
      <w:r w:rsidRPr="00422469">
        <w:rPr>
          <w:rStyle w:val="normaltextrun"/>
          <w:color w:val="000000" w:themeColor="text1"/>
        </w:rPr>
        <w:t xml:space="preserve"> incorporates member and community voices into its health equity strategic planning and implementation efforts.</w:t>
      </w:r>
      <w:r w:rsidRPr="00422469">
        <w:rPr>
          <w:rStyle w:val="eop"/>
          <w:color w:val="000000" w:themeColor="text1"/>
        </w:rPr>
        <w:t> </w:t>
      </w:r>
    </w:p>
    <w:p w14:paraId="2439EF54" w14:textId="77777777" w:rsidR="00716F99" w:rsidRDefault="00716F99" w:rsidP="00716F99">
      <w:pPr>
        <w:pStyle w:val="ListNumber"/>
        <w:numPr>
          <w:ilvl w:val="0"/>
          <w:numId w:val="0"/>
        </w:numPr>
        <w:spacing w:before="0" w:after="120"/>
        <w:ind w:left="720" w:firstLine="360"/>
        <w:contextualSpacing/>
        <w:rPr>
          <w:u w:val="single"/>
        </w:rPr>
      </w:pPr>
    </w:p>
    <w:p w14:paraId="7A23246C" w14:textId="287F76EE" w:rsidR="002354FC" w:rsidRDefault="002354FC" w:rsidP="00E334C3">
      <w:pPr>
        <w:pStyle w:val="Heading3"/>
      </w:pPr>
      <w:bookmarkStart w:id="2" w:name="_Ref153365950"/>
      <w:bookmarkStart w:id="3" w:name="_Ref153538392"/>
      <w:r w:rsidRPr="001C7863">
        <w:t xml:space="preserve">Section 3: </w:t>
      </w:r>
      <w:bookmarkEnd w:id="2"/>
      <w:bookmarkEnd w:id="3"/>
      <w:r w:rsidR="00F62F79">
        <w:t xml:space="preserve">Introduction </w:t>
      </w:r>
    </w:p>
    <w:p w14:paraId="1BD04032" w14:textId="7D93D244" w:rsidR="00F62F79" w:rsidRPr="00F62F79" w:rsidRDefault="00F62F79" w:rsidP="00F62F79">
      <w:pPr>
        <w:rPr>
          <w:i/>
          <w:iCs/>
        </w:rPr>
      </w:pPr>
      <w:r>
        <w:rPr>
          <w:i/>
          <w:iCs/>
        </w:rPr>
        <w:t xml:space="preserve">Suggested Page Count: 1-2 pages </w:t>
      </w:r>
    </w:p>
    <w:p w14:paraId="3139417D" w14:textId="2F2669E1" w:rsidR="002354FC" w:rsidRPr="004116C5" w:rsidRDefault="00724321" w:rsidP="00FA6C52">
      <w:pPr>
        <w:pStyle w:val="ListNumber"/>
        <w:numPr>
          <w:ilvl w:val="0"/>
          <w:numId w:val="11"/>
        </w:numPr>
        <w:rPr>
          <w:rStyle w:val="normaltextrun"/>
        </w:rPr>
      </w:pPr>
      <w:r>
        <w:t xml:space="preserve">Provide </w:t>
      </w:r>
      <w:r w:rsidR="004116C5">
        <w:rPr>
          <w:rStyle w:val="normaltextrun"/>
          <w:color w:val="000000"/>
          <w:shd w:val="clear" w:color="auto" w:fill="FFFFFF"/>
        </w:rPr>
        <w:t>a brief introduction to the Strategic Plan. Include:</w:t>
      </w:r>
    </w:p>
    <w:p w14:paraId="46DD2884" w14:textId="0D85B9F2" w:rsidR="004116C5" w:rsidRPr="004116C5" w:rsidRDefault="004116C5" w:rsidP="004116C5">
      <w:pPr>
        <w:pStyle w:val="ListNumber"/>
        <w:numPr>
          <w:ilvl w:val="1"/>
          <w:numId w:val="11"/>
        </w:numPr>
        <w:rPr>
          <w:rStyle w:val="normaltextrun"/>
        </w:rPr>
      </w:pPr>
      <w:r>
        <w:rPr>
          <w:rStyle w:val="normaltextrun"/>
          <w:color w:val="000000"/>
          <w:shd w:val="clear" w:color="auto" w:fill="FFFFFF"/>
        </w:rPr>
        <w:t xml:space="preserve">The </w:t>
      </w:r>
      <w:r w:rsidR="79DF4C74">
        <w:rPr>
          <w:rStyle w:val="normaltextrun"/>
          <w:color w:val="000000"/>
          <w:shd w:val="clear" w:color="auto" w:fill="FFFFFF"/>
        </w:rPr>
        <w:t>CBHC’s</w:t>
      </w:r>
      <w:r>
        <w:rPr>
          <w:rStyle w:val="normaltextrun"/>
          <w:color w:val="000000"/>
          <w:shd w:val="clear" w:color="auto" w:fill="FFFFFF"/>
        </w:rPr>
        <w:t xml:space="preserve"> vision and mission statements, as well as any relevant existing guiding strategies related to health equity.</w:t>
      </w:r>
    </w:p>
    <w:p w14:paraId="64E98CE2" w14:textId="08BC1ED9" w:rsidR="008A3304" w:rsidRPr="00422469" w:rsidRDefault="004116C5" w:rsidP="004116C5">
      <w:pPr>
        <w:pStyle w:val="ListNumber"/>
        <w:numPr>
          <w:ilvl w:val="1"/>
          <w:numId w:val="11"/>
        </w:numPr>
        <w:rPr>
          <w:rStyle w:val="normaltextrun"/>
          <w:color w:val="000000" w:themeColor="text1"/>
        </w:rPr>
      </w:pPr>
      <w:r>
        <w:rPr>
          <w:rStyle w:val="normaltextrun"/>
          <w:color w:val="000000"/>
          <w:shd w:val="clear" w:color="auto" w:fill="FFFFFF"/>
        </w:rPr>
        <w:t xml:space="preserve">Describe the process used for developing the Strategic Plan and/or related strategic planning efforts that have contributed to this plan. MassHealth encourages </w:t>
      </w:r>
      <w:r w:rsidR="28577CE9">
        <w:rPr>
          <w:rStyle w:val="normaltextrun"/>
          <w:color w:val="000000"/>
          <w:shd w:val="clear" w:color="auto" w:fill="FFFFFF"/>
        </w:rPr>
        <w:t>CBHCs</w:t>
      </w:r>
      <w:r>
        <w:rPr>
          <w:rStyle w:val="normaltextrun"/>
          <w:color w:val="000000"/>
          <w:shd w:val="clear" w:color="auto" w:fill="FFFFFF"/>
        </w:rPr>
        <w:t xml:space="preserve"> to consider doing the following activities as part of the planning process: key planning sessions, any activities used to develop the Strategic Plan, and meetings with the Health Quality and Equity Committee (if already established), the </w:t>
      </w:r>
      <w:r w:rsidR="6DF80094">
        <w:rPr>
          <w:rStyle w:val="normaltextrun"/>
          <w:color w:val="000000"/>
          <w:shd w:val="clear" w:color="auto" w:fill="FFFFFF"/>
        </w:rPr>
        <w:t>Community</w:t>
      </w:r>
      <w:r>
        <w:rPr>
          <w:rStyle w:val="normaltextrun"/>
          <w:color w:val="000000"/>
          <w:shd w:val="clear" w:color="auto" w:fill="FFFFFF"/>
        </w:rPr>
        <w:t xml:space="preserve"> A</w:t>
      </w:r>
      <w:r w:rsidR="006509ED">
        <w:rPr>
          <w:rStyle w:val="normaltextrun"/>
          <w:color w:val="000000"/>
          <w:shd w:val="clear" w:color="auto" w:fill="FFFFFF"/>
        </w:rPr>
        <w:t>ccountability</w:t>
      </w:r>
      <w:r>
        <w:rPr>
          <w:rStyle w:val="normaltextrun"/>
          <w:color w:val="000000"/>
          <w:shd w:val="clear" w:color="auto" w:fill="FFFFFF"/>
        </w:rPr>
        <w:t xml:space="preserve"> </w:t>
      </w:r>
      <w:r w:rsidR="6DF80094">
        <w:rPr>
          <w:rStyle w:val="normaltextrun"/>
          <w:color w:val="000000"/>
          <w:shd w:val="clear" w:color="auto" w:fill="FFFFFF"/>
        </w:rPr>
        <w:t>Board (CAB</w:t>
      </w:r>
      <w:r>
        <w:rPr>
          <w:rStyle w:val="normaltextrun"/>
          <w:color w:val="000000"/>
          <w:shd w:val="clear" w:color="auto" w:fill="FFFFFF"/>
        </w:rPr>
        <w:t xml:space="preserve">), other methods of soliciting patient input, and providers representing the population served by the </w:t>
      </w:r>
      <w:r w:rsidR="590362A4">
        <w:rPr>
          <w:rStyle w:val="normaltextrun"/>
          <w:color w:val="000000"/>
          <w:shd w:val="clear" w:color="auto" w:fill="FFFFFF"/>
        </w:rPr>
        <w:t>CBHC</w:t>
      </w:r>
      <w:r>
        <w:rPr>
          <w:rStyle w:val="normaltextrun"/>
          <w:color w:val="000000"/>
          <w:shd w:val="clear" w:color="auto" w:fill="FFFFFF"/>
        </w:rPr>
        <w:t xml:space="preserve"> such as other community hospitals, other community-based providers, Community Partners, members, and members’ families.</w:t>
      </w:r>
    </w:p>
    <w:p w14:paraId="6DB22D7B" w14:textId="1D6BA963" w:rsidR="002354FC" w:rsidRDefault="002354FC" w:rsidP="00E334C3">
      <w:pPr>
        <w:pStyle w:val="Heading3"/>
      </w:pPr>
      <w:bookmarkStart w:id="4" w:name="_Ref153365995"/>
      <w:r>
        <w:t xml:space="preserve">Section 4: </w:t>
      </w:r>
      <w:bookmarkEnd w:id="4"/>
      <w:r w:rsidR="004116C5">
        <w:t>Needs Assessment and Analysis</w:t>
      </w:r>
    </w:p>
    <w:p w14:paraId="6A3B2FB2" w14:textId="56EB9A89" w:rsidR="00222AE1" w:rsidRPr="00222AE1" w:rsidRDefault="00222AE1" w:rsidP="00222AE1">
      <w:pPr>
        <w:rPr>
          <w:i/>
          <w:iCs/>
        </w:rPr>
      </w:pPr>
      <w:r>
        <w:rPr>
          <w:i/>
          <w:iCs/>
        </w:rPr>
        <w:t xml:space="preserve">Suggested Page Count: </w:t>
      </w:r>
      <w:r w:rsidR="00E44050">
        <w:rPr>
          <w:i/>
          <w:iCs/>
        </w:rPr>
        <w:t>1-</w:t>
      </w:r>
      <w:r w:rsidR="00E60649">
        <w:rPr>
          <w:i/>
          <w:iCs/>
        </w:rPr>
        <w:t>2</w:t>
      </w:r>
      <w:r>
        <w:rPr>
          <w:i/>
          <w:iCs/>
        </w:rPr>
        <w:t xml:space="preserve"> pages </w:t>
      </w:r>
    </w:p>
    <w:p w14:paraId="7CD4279E" w14:textId="27945017" w:rsidR="00FB4821" w:rsidRPr="00FB4821" w:rsidRDefault="00824878" w:rsidP="00FB4821">
      <w:pPr>
        <w:pStyle w:val="ListNumber"/>
        <w:numPr>
          <w:ilvl w:val="0"/>
          <w:numId w:val="13"/>
        </w:numPr>
        <w:spacing w:before="0" w:after="120"/>
        <w:contextualSpacing/>
        <w:rPr>
          <w:rStyle w:val="eop"/>
        </w:rPr>
      </w:pPr>
      <w:r>
        <w:rPr>
          <w:rStyle w:val="normaltextrun"/>
          <w:color w:val="000000"/>
          <w:shd w:val="clear" w:color="auto" w:fill="FFFFFF"/>
        </w:rPr>
        <w:t xml:space="preserve">Describe how the </w:t>
      </w:r>
      <w:r w:rsidR="00AE0E86">
        <w:rPr>
          <w:rStyle w:val="normaltextrun"/>
          <w:color w:val="000000"/>
          <w:shd w:val="clear" w:color="auto" w:fill="FFFFFF"/>
        </w:rPr>
        <w:t>CBHC</w:t>
      </w:r>
      <w:r>
        <w:rPr>
          <w:rStyle w:val="normaltextrun"/>
          <w:color w:val="000000"/>
          <w:shd w:val="clear" w:color="auto" w:fill="FFFFFF"/>
        </w:rPr>
        <w:t xml:space="preserve"> has assessed the health equity needs of </w:t>
      </w:r>
      <w:proofErr w:type="gramStart"/>
      <w:r>
        <w:rPr>
          <w:rStyle w:val="normaltextrun"/>
          <w:color w:val="000000"/>
          <w:shd w:val="clear" w:color="auto" w:fill="FFFFFF"/>
        </w:rPr>
        <w:t>its</w:t>
      </w:r>
      <w:proofErr w:type="gramEnd"/>
      <w:r>
        <w:rPr>
          <w:rStyle w:val="normaltextrun"/>
          <w:color w:val="000000"/>
          <w:shd w:val="clear" w:color="auto" w:fill="FFFFFF"/>
        </w:rPr>
        <w:t xml:space="preserve"> served MassHealth population. Include the following information for the served MassHealth population: </w:t>
      </w:r>
      <w:r>
        <w:rPr>
          <w:rStyle w:val="eop"/>
          <w:color w:val="000000"/>
          <w:shd w:val="clear" w:color="auto" w:fill="FFFFFF"/>
        </w:rPr>
        <w:t> </w:t>
      </w:r>
    </w:p>
    <w:p w14:paraId="77A0EE51" w14:textId="77777777" w:rsidR="00FB4821" w:rsidRPr="00FB4821" w:rsidRDefault="00FB4821" w:rsidP="00FB4821">
      <w:pPr>
        <w:pStyle w:val="ListNumber"/>
        <w:numPr>
          <w:ilvl w:val="0"/>
          <w:numId w:val="0"/>
        </w:numPr>
        <w:spacing w:before="0" w:after="120"/>
        <w:ind w:left="720"/>
        <w:contextualSpacing/>
        <w:rPr>
          <w:rStyle w:val="eop"/>
        </w:rPr>
      </w:pPr>
    </w:p>
    <w:p w14:paraId="44BC1188" w14:textId="21244AE2" w:rsidR="00FB4821" w:rsidRDefault="00FB4821" w:rsidP="00FB4821">
      <w:pPr>
        <w:pStyle w:val="ListNumber"/>
        <w:numPr>
          <w:ilvl w:val="1"/>
          <w:numId w:val="13"/>
        </w:numPr>
        <w:spacing w:before="0" w:after="120"/>
        <w:contextualSpacing/>
        <w:rPr>
          <w:rStyle w:val="eop"/>
        </w:rPr>
      </w:pPr>
      <w:r>
        <w:rPr>
          <w:rStyle w:val="normaltextrun"/>
        </w:rPr>
        <w:t>Demographic characteristics, including but not limited to age, race, ethnicity, languages spoken, disability status, sexual orientation, gender identity.</w:t>
      </w:r>
      <w:r>
        <w:rPr>
          <w:rStyle w:val="eop"/>
        </w:rPr>
        <w:t> </w:t>
      </w:r>
      <w:r w:rsidR="00742D64">
        <w:rPr>
          <w:rStyle w:val="eop"/>
        </w:rPr>
        <w:br/>
      </w:r>
    </w:p>
    <w:p w14:paraId="552DA635" w14:textId="3B134BA0" w:rsidR="00FB4821" w:rsidRDefault="00FB4821" w:rsidP="00FB4821">
      <w:pPr>
        <w:pStyle w:val="ListNumber"/>
        <w:numPr>
          <w:ilvl w:val="1"/>
          <w:numId w:val="13"/>
        </w:numPr>
        <w:spacing w:before="0" w:after="120"/>
        <w:contextualSpacing/>
        <w:rPr>
          <w:rStyle w:val="eop"/>
        </w:rPr>
      </w:pPr>
      <w:r>
        <w:rPr>
          <w:rStyle w:val="normaltextrun"/>
        </w:rPr>
        <w:t>Significant health needs</w:t>
      </w:r>
      <w:r w:rsidR="00742D64">
        <w:rPr>
          <w:rStyle w:val="normaltextrun"/>
        </w:rPr>
        <w:t>.</w:t>
      </w:r>
      <w:r w:rsidRPr="136DB3E1">
        <w:rPr>
          <w:rStyle w:val="normaltextrun"/>
        </w:rPr>
        <w:t> </w:t>
      </w:r>
      <w:r w:rsidRPr="136DB3E1">
        <w:rPr>
          <w:rStyle w:val="eop"/>
        </w:rPr>
        <w:t> </w:t>
      </w:r>
      <w:r w:rsidR="00742D64">
        <w:rPr>
          <w:rStyle w:val="eop"/>
        </w:rPr>
        <w:br/>
      </w:r>
    </w:p>
    <w:p w14:paraId="5AE4DA32" w14:textId="24EA8CF0" w:rsidR="00FB4821" w:rsidRDefault="00FB4821" w:rsidP="00FB4821">
      <w:pPr>
        <w:pStyle w:val="ListNumber"/>
        <w:numPr>
          <w:ilvl w:val="1"/>
          <w:numId w:val="13"/>
        </w:numPr>
        <w:spacing w:before="0" w:after="120"/>
        <w:contextualSpacing/>
      </w:pPr>
      <w:r>
        <w:rPr>
          <w:rStyle w:val="normaltextrun"/>
        </w:rPr>
        <w:lastRenderedPageBreak/>
        <w:t>To the degree known at this time, observed differences in health and health care quality outcomes defined by race, ethnicity, language, disability status, sexual orientation, gender identity (RELDSOGI) and health-related social needs (HRSN); including intersectionality between one or more of these factors.</w:t>
      </w:r>
      <w:r>
        <w:rPr>
          <w:rStyle w:val="eop"/>
        </w:rPr>
        <w:t> </w:t>
      </w:r>
    </w:p>
    <w:p w14:paraId="61954C32" w14:textId="77777777" w:rsidR="00824878" w:rsidRDefault="00824878" w:rsidP="00FB4821">
      <w:pPr>
        <w:pStyle w:val="ListNumber"/>
        <w:numPr>
          <w:ilvl w:val="0"/>
          <w:numId w:val="0"/>
        </w:numPr>
        <w:spacing w:before="0" w:after="120"/>
        <w:contextualSpacing/>
      </w:pPr>
    </w:p>
    <w:p w14:paraId="4AEB929E" w14:textId="3FF6AE83" w:rsidR="00B8000D" w:rsidRDefault="0027614B" w:rsidP="0027614B">
      <w:pPr>
        <w:pStyle w:val="ListNumber"/>
        <w:numPr>
          <w:ilvl w:val="0"/>
          <w:numId w:val="0"/>
        </w:numPr>
        <w:spacing w:before="0" w:after="120"/>
        <w:ind w:left="360"/>
        <w:contextualSpacing/>
      </w:pPr>
      <w:r>
        <w:rPr>
          <w:rStyle w:val="normaltextrun"/>
          <w:color w:val="000000"/>
          <w:shd w:val="clear" w:color="auto" w:fill="FFFFFF"/>
        </w:rPr>
        <w:t xml:space="preserve">Responses </w:t>
      </w:r>
      <w:r w:rsidR="2292CC73">
        <w:rPr>
          <w:rStyle w:val="normaltextrun"/>
          <w:color w:val="000000"/>
          <w:shd w:val="clear" w:color="auto" w:fill="FFFFFF"/>
        </w:rPr>
        <w:t>may</w:t>
      </w:r>
      <w:r>
        <w:rPr>
          <w:rStyle w:val="normaltextrun"/>
          <w:color w:val="000000"/>
          <w:shd w:val="clear" w:color="auto" w:fill="FFFFFF"/>
        </w:rPr>
        <w:t xml:space="preserve"> incorporate relevant information from </w:t>
      </w:r>
      <w:r w:rsidR="4D4A732D">
        <w:rPr>
          <w:rStyle w:val="normaltextrun"/>
          <w:color w:val="000000"/>
          <w:shd w:val="clear" w:color="auto" w:fill="FFFFFF"/>
        </w:rPr>
        <w:t>relevant needs assessments conducted by the CBHC. For example, needs assessments may include</w:t>
      </w:r>
      <w:r>
        <w:rPr>
          <w:rStyle w:val="normaltextrun"/>
          <w:color w:val="000000"/>
          <w:shd w:val="clear" w:color="auto" w:fill="FFFFFF"/>
        </w:rPr>
        <w:t xml:space="preserve"> Community Health Needs Assessment (CHNA)</w:t>
      </w:r>
      <w:r w:rsidR="1B86439C">
        <w:rPr>
          <w:rStyle w:val="normaltextrun"/>
          <w:color w:val="000000"/>
          <w:shd w:val="clear" w:color="auto" w:fill="FFFFFF"/>
        </w:rPr>
        <w:t xml:space="preserve"> and/or</w:t>
      </w:r>
      <w:r>
        <w:rPr>
          <w:rStyle w:val="normaltextrun"/>
          <w:color w:val="000000"/>
          <w:shd w:val="clear" w:color="auto" w:fill="FFFFFF"/>
        </w:rPr>
        <w:t xml:space="preserve"> Community Health Improvement Plan (CHIP)</w:t>
      </w:r>
      <w:r w:rsidR="5C7C089F">
        <w:rPr>
          <w:rStyle w:val="normaltextrun"/>
          <w:color w:val="000000"/>
          <w:shd w:val="clear" w:color="auto" w:fill="FFFFFF"/>
        </w:rPr>
        <w:t>.</w:t>
      </w:r>
      <w:r>
        <w:rPr>
          <w:rStyle w:val="normaltextrun"/>
          <w:color w:val="000000"/>
          <w:shd w:val="clear" w:color="auto" w:fill="FFFFFF"/>
        </w:rPr>
        <w:t xml:space="preserve"> Please specify the timeframe of when the CHNA</w:t>
      </w:r>
      <w:r w:rsidR="6CF6CCAE">
        <w:rPr>
          <w:rStyle w:val="normaltextrun"/>
          <w:color w:val="000000"/>
          <w:shd w:val="clear" w:color="auto" w:fill="FFFFFF"/>
        </w:rPr>
        <w:t>, CHIP,</w:t>
      </w:r>
      <w:r>
        <w:rPr>
          <w:rStyle w:val="normaltextrun"/>
          <w:color w:val="000000"/>
          <w:shd w:val="clear" w:color="auto" w:fill="FFFFFF"/>
        </w:rPr>
        <w:t xml:space="preserve"> or any other needs assessments were conducted and include time periods for all data points in the narrative.</w:t>
      </w:r>
      <w:r>
        <w:rPr>
          <w:rStyle w:val="eop"/>
          <w:color w:val="000000"/>
          <w:shd w:val="clear" w:color="auto" w:fill="FFFFFF"/>
        </w:rPr>
        <w:t> </w:t>
      </w:r>
      <w:r w:rsidR="00B8000D">
        <w:t xml:space="preserve"> </w:t>
      </w:r>
    </w:p>
    <w:p w14:paraId="60D45D69" w14:textId="77777777" w:rsidR="006A5165" w:rsidRDefault="006A5165" w:rsidP="0027614B">
      <w:pPr>
        <w:pStyle w:val="ListNumber"/>
        <w:numPr>
          <w:ilvl w:val="0"/>
          <w:numId w:val="0"/>
        </w:numPr>
        <w:spacing w:before="0" w:after="120"/>
        <w:ind w:left="360"/>
        <w:contextualSpacing/>
      </w:pPr>
    </w:p>
    <w:p w14:paraId="5B1BC521" w14:textId="4A931BCE" w:rsidR="006A5165" w:rsidRDefault="006A5165" w:rsidP="006A5165">
      <w:pPr>
        <w:pStyle w:val="Heading3"/>
      </w:pPr>
      <w:r>
        <w:t>Section 5: Member and Community Engagement</w:t>
      </w:r>
    </w:p>
    <w:p w14:paraId="5366672B" w14:textId="0ACAFB16" w:rsidR="006A5165" w:rsidRPr="00222AE1" w:rsidRDefault="006A5165" w:rsidP="006A5165">
      <w:pPr>
        <w:rPr>
          <w:i/>
          <w:iCs/>
        </w:rPr>
      </w:pPr>
      <w:r>
        <w:rPr>
          <w:i/>
          <w:iCs/>
        </w:rPr>
        <w:t xml:space="preserve">Suggested Page Count: </w:t>
      </w:r>
      <w:r w:rsidR="00256496">
        <w:rPr>
          <w:i/>
          <w:iCs/>
        </w:rPr>
        <w:t>1</w:t>
      </w:r>
      <w:r>
        <w:rPr>
          <w:i/>
          <w:iCs/>
        </w:rPr>
        <w:t xml:space="preserve">page </w:t>
      </w:r>
    </w:p>
    <w:p w14:paraId="1836E7FF" w14:textId="280F3EF4" w:rsidR="006348C9" w:rsidRPr="006348C9" w:rsidRDefault="00256496" w:rsidP="006348C9">
      <w:pPr>
        <w:pStyle w:val="ListNumber"/>
        <w:numPr>
          <w:ilvl w:val="0"/>
          <w:numId w:val="30"/>
        </w:numPr>
        <w:spacing w:before="0" w:after="120"/>
        <w:contextualSpacing/>
        <w:rPr>
          <w:rStyle w:val="eop"/>
        </w:rPr>
      </w:pPr>
      <w:r>
        <w:rPr>
          <w:rStyle w:val="normaltextrun"/>
          <w:color w:val="000000"/>
          <w:shd w:val="clear" w:color="auto" w:fill="FFFFFF"/>
        </w:rPr>
        <w:t>Please answer the following question</w:t>
      </w:r>
      <w:r w:rsidR="4A64F921">
        <w:rPr>
          <w:rStyle w:val="normaltextrun"/>
          <w:color w:val="000000"/>
          <w:shd w:val="clear" w:color="auto" w:fill="FFFFFF"/>
        </w:rPr>
        <w:t>s</w:t>
      </w:r>
      <w:r>
        <w:rPr>
          <w:rStyle w:val="normaltextrun"/>
          <w:color w:val="000000"/>
          <w:shd w:val="clear" w:color="auto" w:fill="FFFFFF"/>
        </w:rPr>
        <w:t xml:space="preserve"> if applicable. </w:t>
      </w:r>
      <w:r>
        <w:rPr>
          <w:rStyle w:val="eop"/>
          <w:color w:val="000000"/>
          <w:shd w:val="clear" w:color="auto" w:fill="FFFFFF"/>
        </w:rPr>
        <w:t> </w:t>
      </w:r>
    </w:p>
    <w:p w14:paraId="0F0CF135" w14:textId="77777777" w:rsidR="006348C9" w:rsidRPr="006348C9" w:rsidRDefault="006348C9" w:rsidP="006348C9">
      <w:pPr>
        <w:pStyle w:val="ListNumber"/>
        <w:numPr>
          <w:ilvl w:val="0"/>
          <w:numId w:val="0"/>
        </w:numPr>
        <w:spacing w:before="0" w:after="120"/>
        <w:ind w:left="1080"/>
        <w:contextualSpacing/>
        <w:rPr>
          <w:rStyle w:val="eop"/>
        </w:rPr>
      </w:pPr>
    </w:p>
    <w:p w14:paraId="2E708D31" w14:textId="6BEEE6D0" w:rsidR="006348C9" w:rsidRDefault="006348C9" w:rsidP="006348C9">
      <w:pPr>
        <w:pStyle w:val="ListNumber"/>
        <w:numPr>
          <w:ilvl w:val="1"/>
          <w:numId w:val="30"/>
        </w:numPr>
        <w:spacing w:before="0" w:after="120"/>
        <w:contextualSpacing/>
        <w:rPr>
          <w:rStyle w:val="eop"/>
        </w:rPr>
      </w:pPr>
      <w:r>
        <w:rPr>
          <w:rStyle w:val="normaltextrun"/>
        </w:rPr>
        <w:t xml:space="preserve">How does the </w:t>
      </w:r>
      <w:r w:rsidR="4F898145" w:rsidRPr="136DB3E1">
        <w:rPr>
          <w:rStyle w:val="normaltextrun"/>
        </w:rPr>
        <w:t>CBHC</w:t>
      </w:r>
      <w:r>
        <w:rPr>
          <w:rStyle w:val="normaltextrun"/>
        </w:rPr>
        <w:t xml:space="preserve"> engage with its town/city, neighboring areas, and community members? </w:t>
      </w:r>
      <w:r>
        <w:rPr>
          <w:rStyle w:val="eop"/>
        </w:rPr>
        <w:t> </w:t>
      </w:r>
      <w:r w:rsidR="00742D64">
        <w:rPr>
          <w:rStyle w:val="eop"/>
        </w:rPr>
        <w:br/>
      </w:r>
    </w:p>
    <w:p w14:paraId="7362BFB9" w14:textId="4719A10A" w:rsidR="006348C9" w:rsidRPr="00256496" w:rsidRDefault="006348C9" w:rsidP="006348C9">
      <w:pPr>
        <w:pStyle w:val="ListNumber"/>
        <w:numPr>
          <w:ilvl w:val="1"/>
          <w:numId w:val="30"/>
        </w:numPr>
        <w:spacing w:before="0" w:after="120"/>
        <w:contextualSpacing/>
        <w:rPr>
          <w:rStyle w:val="eop"/>
        </w:rPr>
      </w:pPr>
      <w:r w:rsidRPr="00422469">
        <w:rPr>
          <w:rStyle w:val="normaltextrun"/>
          <w:color w:val="000000" w:themeColor="text1"/>
        </w:rPr>
        <w:t xml:space="preserve">How does the </w:t>
      </w:r>
      <w:r w:rsidR="2E335A2B" w:rsidRPr="136DB3E1">
        <w:rPr>
          <w:rStyle w:val="normaltextrun"/>
          <w:color w:val="000000" w:themeColor="text1"/>
        </w:rPr>
        <w:t>CBHC</w:t>
      </w:r>
      <w:r w:rsidRPr="00422469">
        <w:rPr>
          <w:rStyle w:val="normaltextrun"/>
          <w:color w:val="000000" w:themeColor="text1"/>
        </w:rPr>
        <w:t xml:space="preserve"> incorporate MassHealth member and community voices into its health equity strategic planning and implementation efforts?</w:t>
      </w:r>
      <w:r w:rsidRPr="00422469">
        <w:rPr>
          <w:rStyle w:val="eop"/>
          <w:color w:val="000000" w:themeColor="text1"/>
        </w:rPr>
        <w:t> </w:t>
      </w:r>
    </w:p>
    <w:p w14:paraId="5C35C002" w14:textId="77777777" w:rsidR="00256496" w:rsidRDefault="00256496" w:rsidP="00256496">
      <w:pPr>
        <w:pStyle w:val="ListNumber"/>
        <w:numPr>
          <w:ilvl w:val="0"/>
          <w:numId w:val="0"/>
        </w:numPr>
        <w:spacing w:before="0" w:after="120"/>
        <w:ind w:left="360" w:hanging="360"/>
        <w:contextualSpacing/>
        <w:rPr>
          <w:rStyle w:val="eop"/>
          <w:color w:val="000000"/>
          <w:shd w:val="clear" w:color="auto" w:fill="FFFFFF"/>
        </w:rPr>
      </w:pPr>
    </w:p>
    <w:p w14:paraId="121193BB" w14:textId="68F46611" w:rsidR="00256496" w:rsidRDefault="00256496" w:rsidP="00256496">
      <w:pPr>
        <w:pStyle w:val="Heading3"/>
      </w:pPr>
      <w:r>
        <w:t xml:space="preserve">Section 6: </w:t>
      </w:r>
      <w:r w:rsidR="0062197E">
        <w:t xml:space="preserve">Health Equity Strategic Goals </w:t>
      </w:r>
    </w:p>
    <w:p w14:paraId="475D1E63" w14:textId="7C1D0A6E" w:rsidR="00256496" w:rsidRPr="00222AE1" w:rsidRDefault="00256496" w:rsidP="00256496">
      <w:pPr>
        <w:rPr>
          <w:i/>
          <w:iCs/>
        </w:rPr>
      </w:pPr>
      <w:r>
        <w:rPr>
          <w:i/>
          <w:iCs/>
        </w:rPr>
        <w:t xml:space="preserve">Suggested Page Count: </w:t>
      </w:r>
      <w:r w:rsidR="00D5514E">
        <w:rPr>
          <w:i/>
          <w:iCs/>
        </w:rPr>
        <w:t>3</w:t>
      </w:r>
      <w:r>
        <w:rPr>
          <w:i/>
          <w:iCs/>
        </w:rPr>
        <w:t>-</w:t>
      </w:r>
      <w:r w:rsidR="00D5514E">
        <w:rPr>
          <w:i/>
          <w:iCs/>
        </w:rPr>
        <w:t>5</w:t>
      </w:r>
      <w:r>
        <w:rPr>
          <w:i/>
          <w:iCs/>
        </w:rPr>
        <w:t xml:space="preserve"> pages </w:t>
      </w:r>
    </w:p>
    <w:p w14:paraId="5A63914F" w14:textId="4506665D" w:rsidR="00256496" w:rsidRPr="00F43FB8" w:rsidRDefault="00187E56" w:rsidP="00256496">
      <w:pPr>
        <w:pStyle w:val="ListNumber"/>
        <w:numPr>
          <w:ilvl w:val="0"/>
          <w:numId w:val="31"/>
        </w:numPr>
        <w:spacing w:before="0" w:after="120"/>
        <w:contextualSpacing/>
        <w:rPr>
          <w:rStyle w:val="normaltextrun"/>
        </w:rPr>
      </w:pPr>
      <w:r>
        <w:rPr>
          <w:rStyle w:val="normaltextrun"/>
          <w:color w:val="000000"/>
          <w:shd w:val="clear" w:color="auto" w:fill="FFFFFF"/>
        </w:rPr>
        <w:t>Complete the table below by p</w:t>
      </w:r>
      <w:r w:rsidR="00D5514E">
        <w:rPr>
          <w:rStyle w:val="normaltextrun"/>
          <w:color w:val="000000"/>
          <w:shd w:val="clear" w:color="auto" w:fill="FFFFFF"/>
        </w:rPr>
        <w:t>rovid</w:t>
      </w:r>
      <w:r>
        <w:rPr>
          <w:rStyle w:val="normaltextrun"/>
          <w:color w:val="000000"/>
          <w:shd w:val="clear" w:color="auto" w:fill="FFFFFF"/>
        </w:rPr>
        <w:t>ing</w:t>
      </w:r>
      <w:r w:rsidR="00D5514E">
        <w:rPr>
          <w:rStyle w:val="normaltextrun"/>
          <w:color w:val="000000"/>
          <w:shd w:val="clear" w:color="auto" w:fill="FFFFFF"/>
        </w:rPr>
        <w:t xml:space="preserve"> 3-5 preliminary health equity strategic goals for the period of 202</w:t>
      </w:r>
      <w:r>
        <w:rPr>
          <w:rStyle w:val="normaltextrun"/>
          <w:color w:val="000000"/>
          <w:shd w:val="clear" w:color="auto" w:fill="FFFFFF"/>
        </w:rPr>
        <w:t>4</w:t>
      </w:r>
      <w:r w:rsidR="00D5514E">
        <w:rPr>
          <w:rStyle w:val="normaltextrun"/>
          <w:color w:val="000000"/>
          <w:shd w:val="clear" w:color="auto" w:fill="FFFFFF"/>
        </w:rPr>
        <w:t>-202</w:t>
      </w:r>
      <w:r>
        <w:rPr>
          <w:rStyle w:val="normaltextrun"/>
          <w:color w:val="000000"/>
          <w:shd w:val="clear" w:color="auto" w:fill="FFFFFF"/>
        </w:rPr>
        <w:t>8</w:t>
      </w:r>
      <w:r w:rsidR="00D5514E">
        <w:rPr>
          <w:rStyle w:val="normaltextrun"/>
          <w:color w:val="000000"/>
          <w:shd w:val="clear" w:color="auto" w:fill="FFFFFF"/>
        </w:rPr>
        <w:t xml:space="preserve"> for the MassHealth population served at the </w:t>
      </w:r>
      <w:r w:rsidR="589239ED">
        <w:rPr>
          <w:rStyle w:val="normaltextrun"/>
          <w:color w:val="000000"/>
          <w:shd w:val="clear" w:color="auto" w:fill="FFFFFF"/>
        </w:rPr>
        <w:t>CBHC</w:t>
      </w:r>
      <w:r w:rsidR="00D5514E">
        <w:rPr>
          <w:rStyle w:val="normaltextrun"/>
          <w:color w:val="000000"/>
          <w:shd w:val="clear" w:color="auto" w:fill="FFFFFF"/>
        </w:rPr>
        <w:t xml:space="preserve">. Strategic goals should be directly informed by identified needs and inequities described in Section C and other organizational strategic goals related to health equity. In annual iterations of this Strategic Plan, </w:t>
      </w:r>
      <w:r w:rsidR="627D71CF">
        <w:rPr>
          <w:rStyle w:val="normaltextrun"/>
          <w:color w:val="000000"/>
          <w:shd w:val="clear" w:color="auto" w:fill="FFFFFF"/>
        </w:rPr>
        <w:t>CBHCs</w:t>
      </w:r>
      <w:r w:rsidR="00D5514E">
        <w:rPr>
          <w:rStyle w:val="normaltextrun"/>
          <w:color w:val="000000"/>
          <w:shd w:val="clear" w:color="auto" w:fill="FFFFFF"/>
        </w:rPr>
        <w:t xml:space="preserve"> will report on progress towards these goals, and potentially </w:t>
      </w:r>
      <w:proofErr w:type="gramStart"/>
      <w:r w:rsidR="00D5514E">
        <w:rPr>
          <w:rStyle w:val="normaltextrun"/>
          <w:color w:val="000000"/>
          <w:shd w:val="clear" w:color="auto" w:fill="FFFFFF"/>
        </w:rPr>
        <w:t>have the opportunity to</w:t>
      </w:r>
      <w:proofErr w:type="gramEnd"/>
      <w:r w:rsidR="00D5514E">
        <w:rPr>
          <w:rStyle w:val="normaltextrun"/>
          <w:color w:val="000000"/>
          <w:shd w:val="clear" w:color="auto" w:fill="FFFFFF"/>
        </w:rPr>
        <w:t xml:space="preserve"> modify goals over time.</w:t>
      </w:r>
    </w:p>
    <w:p w14:paraId="3C503787" w14:textId="77777777" w:rsidR="00F43FB8" w:rsidRDefault="00F43FB8" w:rsidP="00F43FB8">
      <w:pPr>
        <w:pStyle w:val="ListNumber"/>
        <w:numPr>
          <w:ilvl w:val="0"/>
          <w:numId w:val="0"/>
        </w:numPr>
        <w:spacing w:before="0" w:after="120"/>
        <w:ind w:left="1080"/>
        <w:contextualSpacing/>
        <w:rPr>
          <w:rStyle w:val="normaltextrun"/>
          <w:color w:val="000000"/>
          <w:shd w:val="clear" w:color="auto" w:fill="FFFFFF"/>
        </w:rPr>
      </w:pPr>
    </w:p>
    <w:p w14:paraId="34B0A2B1" w14:textId="77777777" w:rsidR="008B6EE9" w:rsidRDefault="00F43FB8" w:rsidP="008B6EE9">
      <w:pPr>
        <w:pStyle w:val="ListNumber"/>
        <w:numPr>
          <w:ilvl w:val="0"/>
          <w:numId w:val="0"/>
        </w:numPr>
        <w:spacing w:before="0" w:after="120"/>
        <w:ind w:left="1080"/>
        <w:contextualSpacing/>
        <w:rPr>
          <w:rStyle w:val="normaltextrun"/>
          <w:color w:val="000000"/>
          <w:shd w:val="clear" w:color="auto" w:fill="FFFFFF"/>
        </w:rPr>
      </w:pPr>
      <w:r>
        <w:rPr>
          <w:rStyle w:val="normaltextrun"/>
          <w:color w:val="000000"/>
          <w:shd w:val="clear" w:color="auto" w:fill="FFFFFF"/>
        </w:rPr>
        <w:t xml:space="preserve">For each strategic goal, describe: </w:t>
      </w:r>
    </w:p>
    <w:p w14:paraId="32AFAB8E" w14:textId="4DD5A45C" w:rsidR="008B6EE9" w:rsidRPr="008B6EE9" w:rsidRDefault="008B6EE9" w:rsidP="008B6EE9">
      <w:pPr>
        <w:pStyle w:val="ListNumber"/>
        <w:numPr>
          <w:ilvl w:val="1"/>
          <w:numId w:val="31"/>
        </w:numPr>
        <w:spacing w:before="0" w:after="120"/>
        <w:contextualSpacing/>
        <w:rPr>
          <w:rStyle w:val="eop"/>
          <w:color w:val="000000"/>
          <w:shd w:val="clear" w:color="auto" w:fill="FFFFFF"/>
        </w:rPr>
      </w:pPr>
      <w:r>
        <w:rPr>
          <w:rStyle w:val="normaltextrun"/>
        </w:rPr>
        <w:t>Strengths, weaknesses, opportunities, and threats to achieving the goal</w:t>
      </w:r>
      <w:r>
        <w:rPr>
          <w:rStyle w:val="eop"/>
        </w:rPr>
        <w:t> </w:t>
      </w:r>
      <w:r w:rsidR="00742D64">
        <w:rPr>
          <w:rStyle w:val="eop"/>
        </w:rPr>
        <w:br/>
      </w:r>
    </w:p>
    <w:p w14:paraId="08B3EC35" w14:textId="180F3B16" w:rsidR="008B6EE9" w:rsidRPr="008B6EE9" w:rsidRDefault="008B6EE9" w:rsidP="008B6EE9">
      <w:pPr>
        <w:pStyle w:val="ListNumber"/>
        <w:numPr>
          <w:ilvl w:val="1"/>
          <w:numId w:val="31"/>
        </w:numPr>
        <w:spacing w:before="0" w:after="120"/>
        <w:contextualSpacing/>
        <w:rPr>
          <w:rStyle w:val="eop"/>
          <w:color w:val="000000"/>
          <w:shd w:val="clear" w:color="auto" w:fill="FFFFFF"/>
        </w:rPr>
      </w:pPr>
      <w:r>
        <w:rPr>
          <w:rStyle w:val="normaltextrun"/>
        </w:rPr>
        <w:t>Anticipated actions in the upcoming year to make progress towards the goal</w:t>
      </w:r>
      <w:r>
        <w:rPr>
          <w:rStyle w:val="eop"/>
        </w:rPr>
        <w:t> </w:t>
      </w:r>
      <w:r w:rsidR="00742D64">
        <w:rPr>
          <w:rStyle w:val="eop"/>
        </w:rPr>
        <w:br/>
      </w:r>
    </w:p>
    <w:p w14:paraId="350EDEBD" w14:textId="77977FE6" w:rsidR="008B6EE9" w:rsidRPr="00422469" w:rsidRDefault="008B6EE9" w:rsidP="008B6EE9">
      <w:pPr>
        <w:pStyle w:val="ListNumber"/>
        <w:numPr>
          <w:ilvl w:val="1"/>
          <w:numId w:val="31"/>
        </w:numPr>
        <w:spacing w:before="0" w:after="120"/>
        <w:contextualSpacing/>
        <w:rPr>
          <w:rStyle w:val="eop"/>
        </w:rPr>
      </w:pPr>
      <w:r>
        <w:rPr>
          <w:rStyle w:val="normaltextrun"/>
        </w:rPr>
        <w:t xml:space="preserve">Key performance indicators </w:t>
      </w:r>
      <w:r w:rsidR="00671170">
        <w:rPr>
          <w:rStyle w:val="normaltextrun"/>
        </w:rPr>
        <w:t>(KPIs)</w:t>
      </w:r>
      <w:r>
        <w:rPr>
          <w:rStyle w:val="normaltextrun"/>
        </w:rPr>
        <w:t xml:space="preserve"> that will be used to track progress towards the goal</w:t>
      </w:r>
      <w:r>
        <w:rPr>
          <w:rStyle w:val="eop"/>
        </w:rPr>
        <w:t> </w:t>
      </w:r>
      <w:r w:rsidR="00734A32">
        <w:rPr>
          <w:rStyle w:val="eop"/>
        </w:rPr>
        <w:br/>
      </w:r>
    </w:p>
    <w:p w14:paraId="0A12A241" w14:textId="77777777" w:rsidR="00734A32" w:rsidRPr="008B6EE9" w:rsidRDefault="00734A32" w:rsidP="00734A32">
      <w:pPr>
        <w:pStyle w:val="ListNumber"/>
        <w:numPr>
          <w:ilvl w:val="0"/>
          <w:numId w:val="0"/>
        </w:numPr>
        <w:spacing w:before="0" w:after="120"/>
        <w:ind w:left="1080" w:hanging="360"/>
        <w:contextualSpacing/>
        <w:rPr>
          <w:color w:val="000000"/>
          <w:shd w:val="clear" w:color="auto" w:fill="FFFFFF"/>
        </w:rPr>
      </w:pPr>
      <w:r>
        <w:rPr>
          <w:color w:val="000000"/>
          <w:shd w:val="clear" w:color="auto" w:fill="FFFFFF"/>
        </w:rPr>
        <w:lastRenderedPageBreak/>
        <w:t>Add rows and tables as necessary.</w:t>
      </w:r>
    </w:p>
    <w:p w14:paraId="07E7494B" w14:textId="77777777" w:rsidR="00F43FB8" w:rsidRDefault="00F43FB8" w:rsidP="008B6EE9">
      <w:pPr>
        <w:pStyle w:val="ListNumber"/>
        <w:numPr>
          <w:ilvl w:val="0"/>
          <w:numId w:val="0"/>
        </w:numPr>
        <w:spacing w:before="0" w:after="120"/>
        <w:ind w:left="360" w:hanging="360"/>
        <w:contextualSpacing/>
      </w:pPr>
    </w:p>
    <w:tbl>
      <w:tblPr>
        <w:tblStyle w:val="TableGrid"/>
        <w:tblW w:w="11416" w:type="dxa"/>
        <w:tblInd w:w="-768" w:type="dxa"/>
        <w:tblLook w:val="04A0" w:firstRow="1" w:lastRow="0" w:firstColumn="1" w:lastColumn="0" w:noHBand="0" w:noVBand="1"/>
      </w:tblPr>
      <w:tblGrid>
        <w:gridCol w:w="1439"/>
        <w:gridCol w:w="1761"/>
        <w:gridCol w:w="1970"/>
        <w:gridCol w:w="2011"/>
        <w:gridCol w:w="1480"/>
        <w:gridCol w:w="1489"/>
        <w:gridCol w:w="1266"/>
      </w:tblGrid>
      <w:tr w:rsidR="0097511D" w14:paraId="2925DABE" w14:textId="77777777" w:rsidTr="00671170">
        <w:trPr>
          <w:trHeight w:val="968"/>
        </w:trPr>
        <w:tc>
          <w:tcPr>
            <w:tcW w:w="1439" w:type="dxa"/>
          </w:tcPr>
          <w:p w14:paraId="4EF38621" w14:textId="77777777" w:rsidR="00671170" w:rsidRPr="00671170" w:rsidRDefault="00671170" w:rsidP="008B6EE9">
            <w:pPr>
              <w:pStyle w:val="ListNumber"/>
              <w:numPr>
                <w:ilvl w:val="0"/>
                <w:numId w:val="0"/>
              </w:numPr>
              <w:spacing w:before="0" w:after="120"/>
              <w:contextualSpacing/>
              <w:rPr>
                <w:b/>
                <w:bCs/>
              </w:rPr>
            </w:pPr>
            <w:r w:rsidRPr="00671170">
              <w:rPr>
                <w:b/>
                <w:bCs/>
              </w:rPr>
              <w:t>Goal 1</w:t>
            </w:r>
          </w:p>
        </w:tc>
        <w:tc>
          <w:tcPr>
            <w:tcW w:w="1761" w:type="dxa"/>
          </w:tcPr>
          <w:p w14:paraId="6F6D8F8E" w14:textId="77777777" w:rsidR="00671170" w:rsidRPr="00671170" w:rsidRDefault="00671170" w:rsidP="008B6EE9">
            <w:pPr>
              <w:pStyle w:val="ListNumber"/>
              <w:numPr>
                <w:ilvl w:val="0"/>
                <w:numId w:val="0"/>
              </w:numPr>
              <w:spacing w:before="0" w:after="120"/>
              <w:contextualSpacing/>
              <w:rPr>
                <w:b/>
                <w:bCs/>
              </w:rPr>
            </w:pPr>
            <w:r w:rsidRPr="00671170">
              <w:rPr>
                <w:b/>
                <w:bCs/>
              </w:rPr>
              <w:t>Strengths</w:t>
            </w:r>
          </w:p>
        </w:tc>
        <w:tc>
          <w:tcPr>
            <w:tcW w:w="1970" w:type="dxa"/>
          </w:tcPr>
          <w:p w14:paraId="5929262F" w14:textId="77777777" w:rsidR="00671170" w:rsidRPr="00671170" w:rsidRDefault="00671170" w:rsidP="008B6EE9">
            <w:pPr>
              <w:pStyle w:val="ListNumber"/>
              <w:numPr>
                <w:ilvl w:val="0"/>
                <w:numId w:val="0"/>
              </w:numPr>
              <w:spacing w:before="0" w:after="120"/>
              <w:contextualSpacing/>
              <w:rPr>
                <w:b/>
                <w:bCs/>
              </w:rPr>
            </w:pPr>
            <w:r w:rsidRPr="00671170">
              <w:rPr>
                <w:b/>
                <w:bCs/>
              </w:rPr>
              <w:t>Weaknesses</w:t>
            </w:r>
          </w:p>
        </w:tc>
        <w:tc>
          <w:tcPr>
            <w:tcW w:w="2011" w:type="dxa"/>
          </w:tcPr>
          <w:p w14:paraId="1AAAAC9F" w14:textId="77777777" w:rsidR="00671170" w:rsidRPr="00671170" w:rsidRDefault="00671170" w:rsidP="008B6EE9">
            <w:pPr>
              <w:pStyle w:val="ListNumber"/>
              <w:numPr>
                <w:ilvl w:val="0"/>
                <w:numId w:val="0"/>
              </w:numPr>
              <w:spacing w:before="0" w:after="120"/>
              <w:contextualSpacing/>
              <w:rPr>
                <w:b/>
                <w:bCs/>
              </w:rPr>
            </w:pPr>
            <w:r w:rsidRPr="00671170">
              <w:rPr>
                <w:b/>
                <w:bCs/>
              </w:rPr>
              <w:t>Opportunities</w:t>
            </w:r>
          </w:p>
        </w:tc>
        <w:tc>
          <w:tcPr>
            <w:tcW w:w="1480" w:type="dxa"/>
          </w:tcPr>
          <w:p w14:paraId="20AD178C" w14:textId="77777777" w:rsidR="00671170" w:rsidRPr="00671170" w:rsidRDefault="00671170" w:rsidP="008B6EE9">
            <w:pPr>
              <w:pStyle w:val="ListNumber"/>
              <w:numPr>
                <w:ilvl w:val="0"/>
                <w:numId w:val="0"/>
              </w:numPr>
              <w:spacing w:before="0" w:after="120"/>
              <w:contextualSpacing/>
              <w:rPr>
                <w:b/>
                <w:bCs/>
              </w:rPr>
            </w:pPr>
            <w:r w:rsidRPr="00671170">
              <w:rPr>
                <w:b/>
                <w:bCs/>
              </w:rPr>
              <w:t>Threats</w:t>
            </w:r>
          </w:p>
        </w:tc>
        <w:tc>
          <w:tcPr>
            <w:tcW w:w="1489" w:type="dxa"/>
          </w:tcPr>
          <w:p w14:paraId="2B6D09C9" w14:textId="77777777" w:rsidR="00671170" w:rsidRPr="00671170" w:rsidRDefault="00671170" w:rsidP="008B6EE9">
            <w:pPr>
              <w:pStyle w:val="ListNumber"/>
              <w:numPr>
                <w:ilvl w:val="0"/>
                <w:numId w:val="0"/>
              </w:numPr>
              <w:spacing w:before="0" w:after="120"/>
              <w:contextualSpacing/>
              <w:rPr>
                <w:b/>
                <w:bCs/>
              </w:rPr>
            </w:pPr>
            <w:r w:rsidRPr="00671170">
              <w:rPr>
                <w:b/>
                <w:bCs/>
              </w:rPr>
              <w:t>Anticipated Actions</w:t>
            </w:r>
          </w:p>
        </w:tc>
        <w:tc>
          <w:tcPr>
            <w:tcW w:w="1266" w:type="dxa"/>
          </w:tcPr>
          <w:p w14:paraId="111D3924" w14:textId="77777777" w:rsidR="00671170" w:rsidRPr="00671170" w:rsidRDefault="00671170" w:rsidP="008B6EE9">
            <w:pPr>
              <w:pStyle w:val="ListNumber"/>
              <w:numPr>
                <w:ilvl w:val="0"/>
                <w:numId w:val="0"/>
              </w:numPr>
              <w:spacing w:before="0" w:after="120"/>
              <w:contextualSpacing/>
              <w:rPr>
                <w:b/>
                <w:bCs/>
              </w:rPr>
            </w:pPr>
            <w:r w:rsidRPr="00671170">
              <w:rPr>
                <w:b/>
                <w:bCs/>
              </w:rPr>
              <w:t>KPIs</w:t>
            </w:r>
          </w:p>
        </w:tc>
      </w:tr>
      <w:tr w:rsidR="0097511D" w14:paraId="11002A81" w14:textId="77777777" w:rsidTr="00671170">
        <w:trPr>
          <w:trHeight w:val="686"/>
        </w:trPr>
        <w:tc>
          <w:tcPr>
            <w:tcW w:w="1439" w:type="dxa"/>
          </w:tcPr>
          <w:p w14:paraId="2C457B7F" w14:textId="77777777" w:rsidR="00671170" w:rsidRDefault="00671170" w:rsidP="008B6EE9">
            <w:pPr>
              <w:pStyle w:val="ListNumber"/>
              <w:numPr>
                <w:ilvl w:val="0"/>
                <w:numId w:val="0"/>
              </w:numPr>
              <w:spacing w:before="0" w:after="120"/>
              <w:contextualSpacing/>
            </w:pPr>
          </w:p>
        </w:tc>
        <w:tc>
          <w:tcPr>
            <w:tcW w:w="1761" w:type="dxa"/>
          </w:tcPr>
          <w:p w14:paraId="009F9420" w14:textId="77777777" w:rsidR="00671170" w:rsidRDefault="00671170" w:rsidP="008B6EE9">
            <w:pPr>
              <w:pStyle w:val="ListNumber"/>
              <w:numPr>
                <w:ilvl w:val="0"/>
                <w:numId w:val="0"/>
              </w:numPr>
              <w:spacing w:before="0" w:after="120"/>
              <w:contextualSpacing/>
            </w:pPr>
          </w:p>
        </w:tc>
        <w:tc>
          <w:tcPr>
            <w:tcW w:w="1970" w:type="dxa"/>
          </w:tcPr>
          <w:p w14:paraId="05025310" w14:textId="77777777" w:rsidR="00671170" w:rsidRDefault="00671170" w:rsidP="008B6EE9">
            <w:pPr>
              <w:pStyle w:val="ListNumber"/>
              <w:numPr>
                <w:ilvl w:val="0"/>
                <w:numId w:val="0"/>
              </w:numPr>
              <w:spacing w:before="0" w:after="120"/>
              <w:contextualSpacing/>
            </w:pPr>
          </w:p>
        </w:tc>
        <w:tc>
          <w:tcPr>
            <w:tcW w:w="2011" w:type="dxa"/>
          </w:tcPr>
          <w:p w14:paraId="45395292" w14:textId="77777777" w:rsidR="00671170" w:rsidRDefault="00671170" w:rsidP="008B6EE9">
            <w:pPr>
              <w:pStyle w:val="ListNumber"/>
              <w:numPr>
                <w:ilvl w:val="0"/>
                <w:numId w:val="0"/>
              </w:numPr>
              <w:spacing w:before="0" w:after="120"/>
              <w:contextualSpacing/>
            </w:pPr>
          </w:p>
        </w:tc>
        <w:tc>
          <w:tcPr>
            <w:tcW w:w="1480" w:type="dxa"/>
          </w:tcPr>
          <w:p w14:paraId="4321947F" w14:textId="77777777" w:rsidR="00671170" w:rsidRDefault="00671170" w:rsidP="008B6EE9">
            <w:pPr>
              <w:pStyle w:val="ListNumber"/>
              <w:numPr>
                <w:ilvl w:val="0"/>
                <w:numId w:val="0"/>
              </w:numPr>
              <w:spacing w:before="0" w:after="120"/>
              <w:contextualSpacing/>
            </w:pPr>
          </w:p>
        </w:tc>
        <w:tc>
          <w:tcPr>
            <w:tcW w:w="1489" w:type="dxa"/>
          </w:tcPr>
          <w:p w14:paraId="7A4AA479" w14:textId="77777777" w:rsidR="00671170" w:rsidRDefault="00671170" w:rsidP="008B6EE9">
            <w:pPr>
              <w:pStyle w:val="ListNumber"/>
              <w:numPr>
                <w:ilvl w:val="0"/>
                <w:numId w:val="0"/>
              </w:numPr>
              <w:spacing w:before="0" w:after="120"/>
              <w:contextualSpacing/>
            </w:pPr>
          </w:p>
        </w:tc>
        <w:tc>
          <w:tcPr>
            <w:tcW w:w="1266" w:type="dxa"/>
          </w:tcPr>
          <w:p w14:paraId="1C94BC15" w14:textId="77777777" w:rsidR="00671170" w:rsidRDefault="00671170" w:rsidP="008B6EE9">
            <w:pPr>
              <w:pStyle w:val="ListNumber"/>
              <w:numPr>
                <w:ilvl w:val="0"/>
                <w:numId w:val="0"/>
              </w:numPr>
              <w:spacing w:before="0" w:after="120"/>
              <w:contextualSpacing/>
            </w:pPr>
          </w:p>
        </w:tc>
      </w:tr>
      <w:tr w:rsidR="0097511D" w14:paraId="43F483D9" w14:textId="77777777" w:rsidTr="00671170">
        <w:trPr>
          <w:trHeight w:val="686"/>
        </w:trPr>
        <w:tc>
          <w:tcPr>
            <w:tcW w:w="1439" w:type="dxa"/>
          </w:tcPr>
          <w:p w14:paraId="4E6B452B" w14:textId="77777777" w:rsidR="00671170" w:rsidRDefault="00671170" w:rsidP="008B6EE9">
            <w:pPr>
              <w:pStyle w:val="ListNumber"/>
              <w:numPr>
                <w:ilvl w:val="0"/>
                <w:numId w:val="0"/>
              </w:numPr>
              <w:spacing w:before="0" w:after="120"/>
              <w:contextualSpacing/>
            </w:pPr>
          </w:p>
        </w:tc>
        <w:tc>
          <w:tcPr>
            <w:tcW w:w="1761" w:type="dxa"/>
          </w:tcPr>
          <w:p w14:paraId="04496634" w14:textId="77777777" w:rsidR="00671170" w:rsidRDefault="00671170" w:rsidP="008B6EE9">
            <w:pPr>
              <w:pStyle w:val="ListNumber"/>
              <w:numPr>
                <w:ilvl w:val="0"/>
                <w:numId w:val="0"/>
              </w:numPr>
              <w:spacing w:before="0" w:after="120"/>
              <w:contextualSpacing/>
            </w:pPr>
          </w:p>
        </w:tc>
        <w:tc>
          <w:tcPr>
            <w:tcW w:w="1970" w:type="dxa"/>
          </w:tcPr>
          <w:p w14:paraId="0EE29BBB" w14:textId="77777777" w:rsidR="00671170" w:rsidRDefault="00671170" w:rsidP="008B6EE9">
            <w:pPr>
              <w:pStyle w:val="ListNumber"/>
              <w:numPr>
                <w:ilvl w:val="0"/>
                <w:numId w:val="0"/>
              </w:numPr>
              <w:spacing w:before="0" w:after="120"/>
              <w:contextualSpacing/>
            </w:pPr>
          </w:p>
        </w:tc>
        <w:tc>
          <w:tcPr>
            <w:tcW w:w="2011" w:type="dxa"/>
          </w:tcPr>
          <w:p w14:paraId="267D094F" w14:textId="77777777" w:rsidR="00671170" w:rsidRDefault="00671170" w:rsidP="008B6EE9">
            <w:pPr>
              <w:pStyle w:val="ListNumber"/>
              <w:numPr>
                <w:ilvl w:val="0"/>
                <w:numId w:val="0"/>
              </w:numPr>
              <w:spacing w:before="0" w:after="120"/>
              <w:contextualSpacing/>
            </w:pPr>
          </w:p>
        </w:tc>
        <w:tc>
          <w:tcPr>
            <w:tcW w:w="1480" w:type="dxa"/>
          </w:tcPr>
          <w:p w14:paraId="25DAF444" w14:textId="77777777" w:rsidR="00671170" w:rsidRDefault="00671170" w:rsidP="008B6EE9">
            <w:pPr>
              <w:pStyle w:val="ListNumber"/>
              <w:numPr>
                <w:ilvl w:val="0"/>
                <w:numId w:val="0"/>
              </w:numPr>
              <w:spacing w:before="0" w:after="120"/>
              <w:contextualSpacing/>
            </w:pPr>
          </w:p>
        </w:tc>
        <w:tc>
          <w:tcPr>
            <w:tcW w:w="1489" w:type="dxa"/>
          </w:tcPr>
          <w:p w14:paraId="5BD9A300" w14:textId="77777777" w:rsidR="00671170" w:rsidRDefault="00671170" w:rsidP="008B6EE9">
            <w:pPr>
              <w:pStyle w:val="ListNumber"/>
              <w:numPr>
                <w:ilvl w:val="0"/>
                <w:numId w:val="0"/>
              </w:numPr>
              <w:spacing w:before="0" w:after="120"/>
              <w:contextualSpacing/>
            </w:pPr>
          </w:p>
        </w:tc>
        <w:tc>
          <w:tcPr>
            <w:tcW w:w="1266" w:type="dxa"/>
          </w:tcPr>
          <w:p w14:paraId="474F3016" w14:textId="77777777" w:rsidR="00671170" w:rsidRDefault="00671170" w:rsidP="008B6EE9">
            <w:pPr>
              <w:pStyle w:val="ListNumber"/>
              <w:numPr>
                <w:ilvl w:val="0"/>
                <w:numId w:val="0"/>
              </w:numPr>
              <w:spacing w:before="0" w:after="120"/>
              <w:contextualSpacing/>
            </w:pPr>
          </w:p>
        </w:tc>
      </w:tr>
    </w:tbl>
    <w:p w14:paraId="1672FD18" w14:textId="77777777" w:rsidR="00CD46BC" w:rsidRDefault="00CD46BC" w:rsidP="008B6EE9">
      <w:pPr>
        <w:pStyle w:val="ListNumber"/>
        <w:numPr>
          <w:ilvl w:val="0"/>
          <w:numId w:val="0"/>
        </w:numPr>
        <w:spacing w:before="0" w:after="120"/>
        <w:ind w:left="360" w:hanging="360"/>
        <w:contextualSpacing/>
      </w:pPr>
    </w:p>
    <w:tbl>
      <w:tblPr>
        <w:tblStyle w:val="TableGrid"/>
        <w:tblW w:w="11416" w:type="dxa"/>
        <w:tblInd w:w="-768" w:type="dxa"/>
        <w:tblLook w:val="04A0" w:firstRow="1" w:lastRow="0" w:firstColumn="1" w:lastColumn="0" w:noHBand="0" w:noVBand="1"/>
      </w:tblPr>
      <w:tblGrid>
        <w:gridCol w:w="1439"/>
        <w:gridCol w:w="1761"/>
        <w:gridCol w:w="1970"/>
        <w:gridCol w:w="2011"/>
        <w:gridCol w:w="1480"/>
        <w:gridCol w:w="1489"/>
        <w:gridCol w:w="1266"/>
      </w:tblGrid>
      <w:tr w:rsidR="0097511D" w14:paraId="229FAD79" w14:textId="77777777" w:rsidTr="00E20805">
        <w:trPr>
          <w:trHeight w:val="968"/>
        </w:trPr>
        <w:tc>
          <w:tcPr>
            <w:tcW w:w="1439" w:type="dxa"/>
          </w:tcPr>
          <w:p w14:paraId="54642C5A" w14:textId="77777777" w:rsidR="00187E56" w:rsidRPr="00671170" w:rsidRDefault="00187E56" w:rsidP="00E20805">
            <w:pPr>
              <w:pStyle w:val="ListNumber"/>
              <w:numPr>
                <w:ilvl w:val="0"/>
                <w:numId w:val="0"/>
              </w:numPr>
              <w:spacing w:before="0" w:after="120"/>
              <w:contextualSpacing/>
              <w:rPr>
                <w:b/>
                <w:bCs/>
              </w:rPr>
            </w:pPr>
            <w:r w:rsidRPr="00671170">
              <w:rPr>
                <w:b/>
                <w:bCs/>
              </w:rPr>
              <w:t xml:space="preserve">Goal </w:t>
            </w:r>
            <w:r>
              <w:rPr>
                <w:b/>
                <w:bCs/>
              </w:rPr>
              <w:t>2</w:t>
            </w:r>
          </w:p>
        </w:tc>
        <w:tc>
          <w:tcPr>
            <w:tcW w:w="1761" w:type="dxa"/>
          </w:tcPr>
          <w:p w14:paraId="22066019" w14:textId="77777777" w:rsidR="00187E56" w:rsidRPr="00671170" w:rsidRDefault="00187E56" w:rsidP="00E20805">
            <w:pPr>
              <w:pStyle w:val="ListNumber"/>
              <w:numPr>
                <w:ilvl w:val="0"/>
                <w:numId w:val="0"/>
              </w:numPr>
              <w:spacing w:before="0" w:after="120"/>
              <w:contextualSpacing/>
              <w:rPr>
                <w:b/>
                <w:bCs/>
              </w:rPr>
            </w:pPr>
            <w:r w:rsidRPr="00671170">
              <w:rPr>
                <w:b/>
                <w:bCs/>
              </w:rPr>
              <w:t>Strengths</w:t>
            </w:r>
          </w:p>
        </w:tc>
        <w:tc>
          <w:tcPr>
            <w:tcW w:w="1970" w:type="dxa"/>
          </w:tcPr>
          <w:p w14:paraId="69A16C08" w14:textId="77777777" w:rsidR="00187E56" w:rsidRPr="00671170" w:rsidRDefault="00187E56" w:rsidP="00E20805">
            <w:pPr>
              <w:pStyle w:val="ListNumber"/>
              <w:numPr>
                <w:ilvl w:val="0"/>
                <w:numId w:val="0"/>
              </w:numPr>
              <w:spacing w:before="0" w:after="120"/>
              <w:contextualSpacing/>
              <w:rPr>
                <w:b/>
                <w:bCs/>
              </w:rPr>
            </w:pPr>
            <w:r w:rsidRPr="00671170">
              <w:rPr>
                <w:b/>
                <w:bCs/>
              </w:rPr>
              <w:t>Weaknesses</w:t>
            </w:r>
          </w:p>
        </w:tc>
        <w:tc>
          <w:tcPr>
            <w:tcW w:w="2011" w:type="dxa"/>
          </w:tcPr>
          <w:p w14:paraId="70BA5DA6" w14:textId="77777777" w:rsidR="00187E56" w:rsidRPr="00671170" w:rsidRDefault="00187E56" w:rsidP="00E20805">
            <w:pPr>
              <w:pStyle w:val="ListNumber"/>
              <w:numPr>
                <w:ilvl w:val="0"/>
                <w:numId w:val="0"/>
              </w:numPr>
              <w:spacing w:before="0" w:after="120"/>
              <w:contextualSpacing/>
              <w:rPr>
                <w:b/>
                <w:bCs/>
              </w:rPr>
            </w:pPr>
            <w:r w:rsidRPr="00671170">
              <w:rPr>
                <w:b/>
                <w:bCs/>
              </w:rPr>
              <w:t>Opportunities</w:t>
            </w:r>
          </w:p>
        </w:tc>
        <w:tc>
          <w:tcPr>
            <w:tcW w:w="1480" w:type="dxa"/>
          </w:tcPr>
          <w:p w14:paraId="38A794FA" w14:textId="77777777" w:rsidR="00187E56" w:rsidRPr="00671170" w:rsidRDefault="00187E56" w:rsidP="00E20805">
            <w:pPr>
              <w:pStyle w:val="ListNumber"/>
              <w:numPr>
                <w:ilvl w:val="0"/>
                <w:numId w:val="0"/>
              </w:numPr>
              <w:spacing w:before="0" w:after="120"/>
              <w:contextualSpacing/>
              <w:rPr>
                <w:b/>
                <w:bCs/>
              </w:rPr>
            </w:pPr>
            <w:r w:rsidRPr="00671170">
              <w:rPr>
                <w:b/>
                <w:bCs/>
              </w:rPr>
              <w:t>Threats</w:t>
            </w:r>
          </w:p>
        </w:tc>
        <w:tc>
          <w:tcPr>
            <w:tcW w:w="1489" w:type="dxa"/>
          </w:tcPr>
          <w:p w14:paraId="100B1569" w14:textId="77777777" w:rsidR="00187E56" w:rsidRPr="00671170" w:rsidRDefault="00187E56" w:rsidP="00E20805">
            <w:pPr>
              <w:pStyle w:val="ListNumber"/>
              <w:numPr>
                <w:ilvl w:val="0"/>
                <w:numId w:val="0"/>
              </w:numPr>
              <w:spacing w:before="0" w:after="120"/>
              <w:contextualSpacing/>
              <w:rPr>
                <w:b/>
                <w:bCs/>
              </w:rPr>
            </w:pPr>
            <w:r w:rsidRPr="00671170">
              <w:rPr>
                <w:b/>
                <w:bCs/>
              </w:rPr>
              <w:t>Anticipated Actions</w:t>
            </w:r>
          </w:p>
        </w:tc>
        <w:tc>
          <w:tcPr>
            <w:tcW w:w="1266" w:type="dxa"/>
          </w:tcPr>
          <w:p w14:paraId="144127C7" w14:textId="77777777" w:rsidR="00187E56" w:rsidRPr="00671170" w:rsidRDefault="00187E56" w:rsidP="00E20805">
            <w:pPr>
              <w:pStyle w:val="ListNumber"/>
              <w:numPr>
                <w:ilvl w:val="0"/>
                <w:numId w:val="0"/>
              </w:numPr>
              <w:spacing w:before="0" w:after="120"/>
              <w:contextualSpacing/>
              <w:rPr>
                <w:b/>
                <w:bCs/>
              </w:rPr>
            </w:pPr>
            <w:r w:rsidRPr="00671170">
              <w:rPr>
                <w:b/>
                <w:bCs/>
              </w:rPr>
              <w:t>KPIs</w:t>
            </w:r>
          </w:p>
        </w:tc>
      </w:tr>
      <w:tr w:rsidR="0097511D" w14:paraId="6DB17D25" w14:textId="77777777" w:rsidTr="00E20805">
        <w:trPr>
          <w:trHeight w:val="686"/>
        </w:trPr>
        <w:tc>
          <w:tcPr>
            <w:tcW w:w="1439" w:type="dxa"/>
          </w:tcPr>
          <w:p w14:paraId="62CECCED" w14:textId="77777777" w:rsidR="00187E56" w:rsidRDefault="00187E56" w:rsidP="00E20805">
            <w:pPr>
              <w:pStyle w:val="ListNumber"/>
              <w:numPr>
                <w:ilvl w:val="0"/>
                <w:numId w:val="0"/>
              </w:numPr>
              <w:spacing w:before="0" w:after="120"/>
              <w:contextualSpacing/>
            </w:pPr>
          </w:p>
        </w:tc>
        <w:tc>
          <w:tcPr>
            <w:tcW w:w="1761" w:type="dxa"/>
          </w:tcPr>
          <w:p w14:paraId="3298955D" w14:textId="77777777" w:rsidR="00187E56" w:rsidRDefault="00187E56" w:rsidP="00E20805">
            <w:pPr>
              <w:pStyle w:val="ListNumber"/>
              <w:numPr>
                <w:ilvl w:val="0"/>
                <w:numId w:val="0"/>
              </w:numPr>
              <w:spacing w:before="0" w:after="120"/>
              <w:contextualSpacing/>
            </w:pPr>
          </w:p>
        </w:tc>
        <w:tc>
          <w:tcPr>
            <w:tcW w:w="1970" w:type="dxa"/>
          </w:tcPr>
          <w:p w14:paraId="22A6CE87" w14:textId="77777777" w:rsidR="00187E56" w:rsidRDefault="00187E56" w:rsidP="00E20805">
            <w:pPr>
              <w:pStyle w:val="ListNumber"/>
              <w:numPr>
                <w:ilvl w:val="0"/>
                <w:numId w:val="0"/>
              </w:numPr>
              <w:spacing w:before="0" w:after="120"/>
              <w:contextualSpacing/>
            </w:pPr>
          </w:p>
        </w:tc>
        <w:tc>
          <w:tcPr>
            <w:tcW w:w="2011" w:type="dxa"/>
          </w:tcPr>
          <w:p w14:paraId="744DDE4B" w14:textId="77777777" w:rsidR="00187E56" w:rsidRDefault="00187E56" w:rsidP="00E20805">
            <w:pPr>
              <w:pStyle w:val="ListNumber"/>
              <w:numPr>
                <w:ilvl w:val="0"/>
                <w:numId w:val="0"/>
              </w:numPr>
              <w:spacing w:before="0" w:after="120"/>
              <w:contextualSpacing/>
            </w:pPr>
          </w:p>
        </w:tc>
        <w:tc>
          <w:tcPr>
            <w:tcW w:w="1480" w:type="dxa"/>
          </w:tcPr>
          <w:p w14:paraId="6A55C77F" w14:textId="77777777" w:rsidR="00187E56" w:rsidRDefault="00187E56" w:rsidP="00E20805">
            <w:pPr>
              <w:pStyle w:val="ListNumber"/>
              <w:numPr>
                <w:ilvl w:val="0"/>
                <w:numId w:val="0"/>
              </w:numPr>
              <w:spacing w:before="0" w:after="120"/>
              <w:contextualSpacing/>
            </w:pPr>
          </w:p>
        </w:tc>
        <w:tc>
          <w:tcPr>
            <w:tcW w:w="1489" w:type="dxa"/>
          </w:tcPr>
          <w:p w14:paraId="77D354D6" w14:textId="77777777" w:rsidR="00187E56" w:rsidRDefault="00187E56" w:rsidP="00E20805">
            <w:pPr>
              <w:pStyle w:val="ListNumber"/>
              <w:numPr>
                <w:ilvl w:val="0"/>
                <w:numId w:val="0"/>
              </w:numPr>
              <w:spacing w:before="0" w:after="120"/>
              <w:contextualSpacing/>
            </w:pPr>
          </w:p>
        </w:tc>
        <w:tc>
          <w:tcPr>
            <w:tcW w:w="1266" w:type="dxa"/>
          </w:tcPr>
          <w:p w14:paraId="016A7FB2" w14:textId="77777777" w:rsidR="00187E56" w:rsidRDefault="00187E56" w:rsidP="00E20805">
            <w:pPr>
              <w:pStyle w:val="ListNumber"/>
              <w:numPr>
                <w:ilvl w:val="0"/>
                <w:numId w:val="0"/>
              </w:numPr>
              <w:spacing w:before="0" w:after="120"/>
              <w:contextualSpacing/>
            </w:pPr>
          </w:p>
        </w:tc>
      </w:tr>
      <w:tr w:rsidR="0097511D" w14:paraId="124C662E" w14:textId="77777777" w:rsidTr="00E20805">
        <w:trPr>
          <w:trHeight w:val="686"/>
        </w:trPr>
        <w:tc>
          <w:tcPr>
            <w:tcW w:w="1439" w:type="dxa"/>
          </w:tcPr>
          <w:p w14:paraId="4D1AD819" w14:textId="77777777" w:rsidR="00187E56" w:rsidRDefault="00187E56" w:rsidP="00E20805">
            <w:pPr>
              <w:pStyle w:val="ListNumber"/>
              <w:numPr>
                <w:ilvl w:val="0"/>
                <w:numId w:val="0"/>
              </w:numPr>
              <w:spacing w:before="0" w:after="120"/>
              <w:contextualSpacing/>
            </w:pPr>
          </w:p>
        </w:tc>
        <w:tc>
          <w:tcPr>
            <w:tcW w:w="1761" w:type="dxa"/>
          </w:tcPr>
          <w:p w14:paraId="19E10C6E" w14:textId="77777777" w:rsidR="00187E56" w:rsidRDefault="00187E56" w:rsidP="00E20805">
            <w:pPr>
              <w:pStyle w:val="ListNumber"/>
              <w:numPr>
                <w:ilvl w:val="0"/>
                <w:numId w:val="0"/>
              </w:numPr>
              <w:spacing w:before="0" w:after="120"/>
              <w:contextualSpacing/>
            </w:pPr>
          </w:p>
        </w:tc>
        <w:tc>
          <w:tcPr>
            <w:tcW w:w="1970" w:type="dxa"/>
          </w:tcPr>
          <w:p w14:paraId="69A6872A" w14:textId="77777777" w:rsidR="00187E56" w:rsidRDefault="00187E56" w:rsidP="00E20805">
            <w:pPr>
              <w:pStyle w:val="ListNumber"/>
              <w:numPr>
                <w:ilvl w:val="0"/>
                <w:numId w:val="0"/>
              </w:numPr>
              <w:spacing w:before="0" w:after="120"/>
              <w:contextualSpacing/>
            </w:pPr>
          </w:p>
        </w:tc>
        <w:tc>
          <w:tcPr>
            <w:tcW w:w="2011" w:type="dxa"/>
          </w:tcPr>
          <w:p w14:paraId="349C40BB" w14:textId="77777777" w:rsidR="00187E56" w:rsidRDefault="00187E56" w:rsidP="00E20805">
            <w:pPr>
              <w:pStyle w:val="ListNumber"/>
              <w:numPr>
                <w:ilvl w:val="0"/>
                <w:numId w:val="0"/>
              </w:numPr>
              <w:spacing w:before="0" w:after="120"/>
              <w:contextualSpacing/>
            </w:pPr>
          </w:p>
        </w:tc>
        <w:tc>
          <w:tcPr>
            <w:tcW w:w="1480" w:type="dxa"/>
          </w:tcPr>
          <w:p w14:paraId="696C240B" w14:textId="77777777" w:rsidR="00187E56" w:rsidRDefault="00187E56" w:rsidP="00E20805">
            <w:pPr>
              <w:pStyle w:val="ListNumber"/>
              <w:numPr>
                <w:ilvl w:val="0"/>
                <w:numId w:val="0"/>
              </w:numPr>
              <w:spacing w:before="0" w:after="120"/>
              <w:contextualSpacing/>
            </w:pPr>
          </w:p>
        </w:tc>
        <w:tc>
          <w:tcPr>
            <w:tcW w:w="1489" w:type="dxa"/>
          </w:tcPr>
          <w:p w14:paraId="74AF993A" w14:textId="77777777" w:rsidR="00187E56" w:rsidRDefault="00187E56" w:rsidP="00E20805">
            <w:pPr>
              <w:pStyle w:val="ListNumber"/>
              <w:numPr>
                <w:ilvl w:val="0"/>
                <w:numId w:val="0"/>
              </w:numPr>
              <w:spacing w:before="0" w:after="120"/>
              <w:contextualSpacing/>
            </w:pPr>
          </w:p>
        </w:tc>
        <w:tc>
          <w:tcPr>
            <w:tcW w:w="1266" w:type="dxa"/>
          </w:tcPr>
          <w:p w14:paraId="0F96411B" w14:textId="77777777" w:rsidR="00187E56" w:rsidRDefault="00187E56" w:rsidP="00E20805">
            <w:pPr>
              <w:pStyle w:val="ListNumber"/>
              <w:numPr>
                <w:ilvl w:val="0"/>
                <w:numId w:val="0"/>
              </w:numPr>
              <w:spacing w:before="0" w:after="120"/>
              <w:contextualSpacing/>
            </w:pPr>
          </w:p>
        </w:tc>
      </w:tr>
    </w:tbl>
    <w:p w14:paraId="17F89D20" w14:textId="77777777" w:rsidR="00187E56" w:rsidRDefault="00187E56">
      <w:pPr>
        <w:spacing w:before="0" w:after="0" w:line="240" w:lineRule="auto"/>
      </w:pPr>
    </w:p>
    <w:tbl>
      <w:tblPr>
        <w:tblStyle w:val="TableGrid"/>
        <w:tblW w:w="11416" w:type="dxa"/>
        <w:tblInd w:w="-768" w:type="dxa"/>
        <w:tblLook w:val="04A0" w:firstRow="1" w:lastRow="0" w:firstColumn="1" w:lastColumn="0" w:noHBand="0" w:noVBand="1"/>
      </w:tblPr>
      <w:tblGrid>
        <w:gridCol w:w="1439"/>
        <w:gridCol w:w="1761"/>
        <w:gridCol w:w="1970"/>
        <w:gridCol w:w="2011"/>
        <w:gridCol w:w="1480"/>
        <w:gridCol w:w="1489"/>
        <w:gridCol w:w="1266"/>
      </w:tblGrid>
      <w:tr w:rsidR="0097511D" w14:paraId="4EB194F7" w14:textId="77777777" w:rsidTr="00E20805">
        <w:trPr>
          <w:trHeight w:val="968"/>
        </w:trPr>
        <w:tc>
          <w:tcPr>
            <w:tcW w:w="1439" w:type="dxa"/>
          </w:tcPr>
          <w:p w14:paraId="37B080C2" w14:textId="77777777" w:rsidR="00187E56" w:rsidRPr="00671170" w:rsidRDefault="00187E56" w:rsidP="00E20805">
            <w:pPr>
              <w:pStyle w:val="ListNumber"/>
              <w:numPr>
                <w:ilvl w:val="0"/>
                <w:numId w:val="0"/>
              </w:numPr>
              <w:spacing w:before="0" w:after="120"/>
              <w:contextualSpacing/>
              <w:rPr>
                <w:b/>
                <w:bCs/>
              </w:rPr>
            </w:pPr>
            <w:r w:rsidRPr="00671170">
              <w:rPr>
                <w:b/>
                <w:bCs/>
              </w:rPr>
              <w:t xml:space="preserve">Goal </w:t>
            </w:r>
            <w:r>
              <w:rPr>
                <w:b/>
                <w:bCs/>
              </w:rPr>
              <w:t>3</w:t>
            </w:r>
          </w:p>
        </w:tc>
        <w:tc>
          <w:tcPr>
            <w:tcW w:w="1761" w:type="dxa"/>
          </w:tcPr>
          <w:p w14:paraId="09486BCB" w14:textId="77777777" w:rsidR="00187E56" w:rsidRPr="00671170" w:rsidRDefault="00187E56" w:rsidP="00E20805">
            <w:pPr>
              <w:pStyle w:val="ListNumber"/>
              <w:numPr>
                <w:ilvl w:val="0"/>
                <w:numId w:val="0"/>
              </w:numPr>
              <w:spacing w:before="0" w:after="120"/>
              <w:contextualSpacing/>
              <w:rPr>
                <w:b/>
                <w:bCs/>
              </w:rPr>
            </w:pPr>
            <w:r w:rsidRPr="00671170">
              <w:rPr>
                <w:b/>
                <w:bCs/>
              </w:rPr>
              <w:t>Strengths</w:t>
            </w:r>
          </w:p>
        </w:tc>
        <w:tc>
          <w:tcPr>
            <w:tcW w:w="1970" w:type="dxa"/>
          </w:tcPr>
          <w:p w14:paraId="3A5C1201" w14:textId="77777777" w:rsidR="00187E56" w:rsidRPr="00671170" w:rsidRDefault="00187E56" w:rsidP="00E20805">
            <w:pPr>
              <w:pStyle w:val="ListNumber"/>
              <w:numPr>
                <w:ilvl w:val="0"/>
                <w:numId w:val="0"/>
              </w:numPr>
              <w:spacing w:before="0" w:after="120"/>
              <w:contextualSpacing/>
              <w:rPr>
                <w:b/>
                <w:bCs/>
              </w:rPr>
            </w:pPr>
            <w:r w:rsidRPr="00671170">
              <w:rPr>
                <w:b/>
                <w:bCs/>
              </w:rPr>
              <w:t>Weaknesses</w:t>
            </w:r>
          </w:p>
        </w:tc>
        <w:tc>
          <w:tcPr>
            <w:tcW w:w="2011" w:type="dxa"/>
          </w:tcPr>
          <w:p w14:paraId="792B803C" w14:textId="77777777" w:rsidR="00187E56" w:rsidRPr="00671170" w:rsidRDefault="00187E56" w:rsidP="00E20805">
            <w:pPr>
              <w:pStyle w:val="ListNumber"/>
              <w:numPr>
                <w:ilvl w:val="0"/>
                <w:numId w:val="0"/>
              </w:numPr>
              <w:spacing w:before="0" w:after="120"/>
              <w:contextualSpacing/>
              <w:rPr>
                <w:b/>
                <w:bCs/>
              </w:rPr>
            </w:pPr>
            <w:r w:rsidRPr="00671170">
              <w:rPr>
                <w:b/>
                <w:bCs/>
              </w:rPr>
              <w:t>Opportunities</w:t>
            </w:r>
          </w:p>
        </w:tc>
        <w:tc>
          <w:tcPr>
            <w:tcW w:w="1480" w:type="dxa"/>
          </w:tcPr>
          <w:p w14:paraId="14E36FC4" w14:textId="77777777" w:rsidR="00187E56" w:rsidRPr="00671170" w:rsidRDefault="00187E56" w:rsidP="00E20805">
            <w:pPr>
              <w:pStyle w:val="ListNumber"/>
              <w:numPr>
                <w:ilvl w:val="0"/>
                <w:numId w:val="0"/>
              </w:numPr>
              <w:spacing w:before="0" w:after="120"/>
              <w:contextualSpacing/>
              <w:rPr>
                <w:b/>
                <w:bCs/>
              </w:rPr>
            </w:pPr>
            <w:r w:rsidRPr="00671170">
              <w:rPr>
                <w:b/>
                <w:bCs/>
              </w:rPr>
              <w:t>Threats</w:t>
            </w:r>
          </w:p>
        </w:tc>
        <w:tc>
          <w:tcPr>
            <w:tcW w:w="1489" w:type="dxa"/>
          </w:tcPr>
          <w:p w14:paraId="74437051" w14:textId="77777777" w:rsidR="00187E56" w:rsidRPr="00671170" w:rsidRDefault="00187E56" w:rsidP="00E20805">
            <w:pPr>
              <w:pStyle w:val="ListNumber"/>
              <w:numPr>
                <w:ilvl w:val="0"/>
                <w:numId w:val="0"/>
              </w:numPr>
              <w:spacing w:before="0" w:after="120"/>
              <w:contextualSpacing/>
              <w:rPr>
                <w:b/>
                <w:bCs/>
              </w:rPr>
            </w:pPr>
            <w:r w:rsidRPr="00671170">
              <w:rPr>
                <w:b/>
                <w:bCs/>
              </w:rPr>
              <w:t>Anticipated Actions</w:t>
            </w:r>
          </w:p>
        </w:tc>
        <w:tc>
          <w:tcPr>
            <w:tcW w:w="1266" w:type="dxa"/>
          </w:tcPr>
          <w:p w14:paraId="5A38C384" w14:textId="77777777" w:rsidR="00187E56" w:rsidRPr="00671170" w:rsidRDefault="00187E56" w:rsidP="00E20805">
            <w:pPr>
              <w:pStyle w:val="ListNumber"/>
              <w:numPr>
                <w:ilvl w:val="0"/>
                <w:numId w:val="0"/>
              </w:numPr>
              <w:spacing w:before="0" w:after="120"/>
              <w:contextualSpacing/>
              <w:rPr>
                <w:b/>
                <w:bCs/>
              </w:rPr>
            </w:pPr>
            <w:r w:rsidRPr="00671170">
              <w:rPr>
                <w:b/>
                <w:bCs/>
              </w:rPr>
              <w:t>KPIs</w:t>
            </w:r>
          </w:p>
        </w:tc>
      </w:tr>
      <w:tr w:rsidR="0097511D" w14:paraId="08E3D848" w14:textId="77777777" w:rsidTr="00E20805">
        <w:trPr>
          <w:trHeight w:val="686"/>
        </w:trPr>
        <w:tc>
          <w:tcPr>
            <w:tcW w:w="1439" w:type="dxa"/>
          </w:tcPr>
          <w:p w14:paraId="0DACA4CB" w14:textId="77777777" w:rsidR="00187E56" w:rsidRDefault="00187E56" w:rsidP="00E20805">
            <w:pPr>
              <w:pStyle w:val="ListNumber"/>
              <w:numPr>
                <w:ilvl w:val="0"/>
                <w:numId w:val="0"/>
              </w:numPr>
              <w:spacing w:before="0" w:after="120"/>
              <w:contextualSpacing/>
            </w:pPr>
          </w:p>
        </w:tc>
        <w:tc>
          <w:tcPr>
            <w:tcW w:w="1761" w:type="dxa"/>
          </w:tcPr>
          <w:p w14:paraId="333ACA27" w14:textId="77777777" w:rsidR="00187E56" w:rsidRDefault="00187E56" w:rsidP="00E20805">
            <w:pPr>
              <w:pStyle w:val="ListNumber"/>
              <w:numPr>
                <w:ilvl w:val="0"/>
                <w:numId w:val="0"/>
              </w:numPr>
              <w:spacing w:before="0" w:after="120"/>
              <w:contextualSpacing/>
            </w:pPr>
          </w:p>
        </w:tc>
        <w:tc>
          <w:tcPr>
            <w:tcW w:w="1970" w:type="dxa"/>
          </w:tcPr>
          <w:p w14:paraId="7169FBCD" w14:textId="77777777" w:rsidR="00187E56" w:rsidRDefault="00187E56" w:rsidP="00E20805">
            <w:pPr>
              <w:pStyle w:val="ListNumber"/>
              <w:numPr>
                <w:ilvl w:val="0"/>
                <w:numId w:val="0"/>
              </w:numPr>
              <w:spacing w:before="0" w:after="120"/>
              <w:contextualSpacing/>
            </w:pPr>
          </w:p>
        </w:tc>
        <w:tc>
          <w:tcPr>
            <w:tcW w:w="2011" w:type="dxa"/>
          </w:tcPr>
          <w:p w14:paraId="09EDEC2D" w14:textId="77777777" w:rsidR="00187E56" w:rsidRDefault="00187E56" w:rsidP="00E20805">
            <w:pPr>
              <w:pStyle w:val="ListNumber"/>
              <w:numPr>
                <w:ilvl w:val="0"/>
                <w:numId w:val="0"/>
              </w:numPr>
              <w:spacing w:before="0" w:after="120"/>
              <w:contextualSpacing/>
            </w:pPr>
          </w:p>
        </w:tc>
        <w:tc>
          <w:tcPr>
            <w:tcW w:w="1480" w:type="dxa"/>
          </w:tcPr>
          <w:p w14:paraId="078A21D7" w14:textId="77777777" w:rsidR="00187E56" w:rsidRDefault="00187E56" w:rsidP="00E20805">
            <w:pPr>
              <w:pStyle w:val="ListNumber"/>
              <w:numPr>
                <w:ilvl w:val="0"/>
                <w:numId w:val="0"/>
              </w:numPr>
              <w:spacing w:before="0" w:after="120"/>
              <w:contextualSpacing/>
            </w:pPr>
          </w:p>
        </w:tc>
        <w:tc>
          <w:tcPr>
            <w:tcW w:w="1489" w:type="dxa"/>
          </w:tcPr>
          <w:p w14:paraId="5940DE04" w14:textId="77777777" w:rsidR="00187E56" w:rsidRDefault="00187E56" w:rsidP="00E20805">
            <w:pPr>
              <w:pStyle w:val="ListNumber"/>
              <w:numPr>
                <w:ilvl w:val="0"/>
                <w:numId w:val="0"/>
              </w:numPr>
              <w:spacing w:before="0" w:after="120"/>
              <w:contextualSpacing/>
            </w:pPr>
          </w:p>
        </w:tc>
        <w:tc>
          <w:tcPr>
            <w:tcW w:w="1266" w:type="dxa"/>
          </w:tcPr>
          <w:p w14:paraId="2892200A" w14:textId="77777777" w:rsidR="00187E56" w:rsidRDefault="00187E56" w:rsidP="00E20805">
            <w:pPr>
              <w:pStyle w:val="ListNumber"/>
              <w:numPr>
                <w:ilvl w:val="0"/>
                <w:numId w:val="0"/>
              </w:numPr>
              <w:spacing w:before="0" w:after="120"/>
              <w:contextualSpacing/>
            </w:pPr>
          </w:p>
        </w:tc>
      </w:tr>
      <w:tr w:rsidR="0097511D" w14:paraId="19381916" w14:textId="77777777" w:rsidTr="00E20805">
        <w:trPr>
          <w:trHeight w:val="686"/>
        </w:trPr>
        <w:tc>
          <w:tcPr>
            <w:tcW w:w="1439" w:type="dxa"/>
          </w:tcPr>
          <w:p w14:paraId="27ED01EC" w14:textId="77777777" w:rsidR="00187E56" w:rsidRDefault="00187E56" w:rsidP="00E20805">
            <w:pPr>
              <w:pStyle w:val="ListNumber"/>
              <w:numPr>
                <w:ilvl w:val="0"/>
                <w:numId w:val="0"/>
              </w:numPr>
              <w:spacing w:before="0" w:after="120"/>
              <w:contextualSpacing/>
            </w:pPr>
          </w:p>
        </w:tc>
        <w:tc>
          <w:tcPr>
            <w:tcW w:w="1761" w:type="dxa"/>
          </w:tcPr>
          <w:p w14:paraId="4A6F8450" w14:textId="77777777" w:rsidR="00187E56" w:rsidRDefault="00187E56" w:rsidP="00E20805">
            <w:pPr>
              <w:pStyle w:val="ListNumber"/>
              <w:numPr>
                <w:ilvl w:val="0"/>
                <w:numId w:val="0"/>
              </w:numPr>
              <w:spacing w:before="0" w:after="120"/>
              <w:contextualSpacing/>
            </w:pPr>
          </w:p>
        </w:tc>
        <w:tc>
          <w:tcPr>
            <w:tcW w:w="1970" w:type="dxa"/>
          </w:tcPr>
          <w:p w14:paraId="3333D924" w14:textId="77777777" w:rsidR="00187E56" w:rsidRDefault="00187E56" w:rsidP="00E20805">
            <w:pPr>
              <w:pStyle w:val="ListNumber"/>
              <w:numPr>
                <w:ilvl w:val="0"/>
                <w:numId w:val="0"/>
              </w:numPr>
              <w:spacing w:before="0" w:after="120"/>
              <w:contextualSpacing/>
            </w:pPr>
          </w:p>
        </w:tc>
        <w:tc>
          <w:tcPr>
            <w:tcW w:w="2011" w:type="dxa"/>
          </w:tcPr>
          <w:p w14:paraId="671DF904" w14:textId="77777777" w:rsidR="00187E56" w:rsidRDefault="00187E56" w:rsidP="00E20805">
            <w:pPr>
              <w:pStyle w:val="ListNumber"/>
              <w:numPr>
                <w:ilvl w:val="0"/>
                <w:numId w:val="0"/>
              </w:numPr>
              <w:spacing w:before="0" w:after="120"/>
              <w:contextualSpacing/>
            </w:pPr>
          </w:p>
        </w:tc>
        <w:tc>
          <w:tcPr>
            <w:tcW w:w="1480" w:type="dxa"/>
          </w:tcPr>
          <w:p w14:paraId="03E6FE7A" w14:textId="77777777" w:rsidR="00187E56" w:rsidRDefault="00187E56" w:rsidP="00E20805">
            <w:pPr>
              <w:pStyle w:val="ListNumber"/>
              <w:numPr>
                <w:ilvl w:val="0"/>
                <w:numId w:val="0"/>
              </w:numPr>
              <w:spacing w:before="0" w:after="120"/>
              <w:contextualSpacing/>
            </w:pPr>
          </w:p>
        </w:tc>
        <w:tc>
          <w:tcPr>
            <w:tcW w:w="1489" w:type="dxa"/>
          </w:tcPr>
          <w:p w14:paraId="4FBD30A3" w14:textId="77777777" w:rsidR="00187E56" w:rsidRDefault="00187E56" w:rsidP="00E20805">
            <w:pPr>
              <w:pStyle w:val="ListNumber"/>
              <w:numPr>
                <w:ilvl w:val="0"/>
                <w:numId w:val="0"/>
              </w:numPr>
              <w:spacing w:before="0" w:after="120"/>
              <w:contextualSpacing/>
            </w:pPr>
          </w:p>
        </w:tc>
        <w:tc>
          <w:tcPr>
            <w:tcW w:w="1266" w:type="dxa"/>
          </w:tcPr>
          <w:p w14:paraId="27FFBE66" w14:textId="77777777" w:rsidR="00187E56" w:rsidRDefault="00187E56" w:rsidP="00E20805">
            <w:pPr>
              <w:pStyle w:val="ListNumber"/>
              <w:numPr>
                <w:ilvl w:val="0"/>
                <w:numId w:val="0"/>
              </w:numPr>
              <w:spacing w:before="0" w:after="120"/>
              <w:contextualSpacing/>
            </w:pPr>
          </w:p>
        </w:tc>
      </w:tr>
    </w:tbl>
    <w:p w14:paraId="1EFBA393" w14:textId="18272627" w:rsidR="00F43FB8" w:rsidRPr="00422469" w:rsidRDefault="00734A32" w:rsidP="00422469">
      <w:pPr>
        <w:spacing w:before="0" w:after="0" w:line="240" w:lineRule="auto"/>
        <w:rPr>
          <w:rFonts w:asciiTheme="majorHAnsi" w:hAnsiTheme="majorHAnsi"/>
          <w:b/>
          <w:color w:val="535353" w:themeColor="text2"/>
          <w:sz w:val="24"/>
        </w:rPr>
      </w:pPr>
      <w:r>
        <w:br w:type="page"/>
      </w:r>
    </w:p>
    <w:p w14:paraId="3EE22991" w14:textId="25984396" w:rsidR="008B6EE9" w:rsidRDefault="008B6EE9" w:rsidP="008B6EE9">
      <w:pPr>
        <w:pStyle w:val="Heading3"/>
      </w:pPr>
      <w:r>
        <w:lastRenderedPageBreak/>
        <w:t xml:space="preserve">Appendix A: Other Information  </w:t>
      </w:r>
    </w:p>
    <w:p w14:paraId="05616F67" w14:textId="2191CDF6" w:rsidR="008B6EE9" w:rsidRPr="00541677" w:rsidRDefault="00541677" w:rsidP="008B6EE9">
      <w:r>
        <w:rPr>
          <w:rStyle w:val="normaltextrun"/>
          <w:color w:val="000000"/>
          <w:shd w:val="clear" w:color="auto" w:fill="FFFFFF"/>
        </w:rPr>
        <w:t xml:space="preserve">Please provide additional information the </w:t>
      </w:r>
      <w:r w:rsidR="7A4884B2">
        <w:rPr>
          <w:rStyle w:val="normaltextrun"/>
          <w:color w:val="000000"/>
          <w:shd w:val="clear" w:color="auto" w:fill="FFFFFF"/>
        </w:rPr>
        <w:t>CBHC</w:t>
      </w:r>
      <w:r>
        <w:rPr>
          <w:rStyle w:val="normaltextrun"/>
          <w:color w:val="000000"/>
          <w:shd w:val="clear" w:color="auto" w:fill="FFFFFF"/>
        </w:rPr>
        <w:t xml:space="preserve"> would like to share with MassHealth regarding its Strategic Plan. </w:t>
      </w:r>
    </w:p>
    <w:p w14:paraId="38F109CB" w14:textId="77777777" w:rsidR="00256496" w:rsidRDefault="00256496" w:rsidP="00256496">
      <w:pPr>
        <w:pStyle w:val="ListNumber"/>
        <w:numPr>
          <w:ilvl w:val="0"/>
          <w:numId w:val="0"/>
        </w:numPr>
        <w:spacing w:before="0" w:after="120"/>
        <w:ind w:left="360" w:hanging="360"/>
        <w:contextualSpacing/>
      </w:pPr>
    </w:p>
    <w:sectPr w:rsidR="00256496" w:rsidSect="0096191C">
      <w:headerReference w:type="default" r:id="rId13"/>
      <w:footerReference w:type="default" r:id="rId14"/>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B0570" w14:textId="77777777" w:rsidR="00FB104C" w:rsidRDefault="00FB104C" w:rsidP="00240F61">
      <w:pPr>
        <w:spacing w:before="0" w:after="0" w:line="240" w:lineRule="auto"/>
      </w:pPr>
      <w:r>
        <w:separator/>
      </w:r>
    </w:p>
  </w:endnote>
  <w:endnote w:type="continuationSeparator" w:id="0">
    <w:p w14:paraId="71F88D3F" w14:textId="77777777" w:rsidR="00FB104C" w:rsidRDefault="00FB104C" w:rsidP="00240F61">
      <w:pPr>
        <w:spacing w:before="0" w:after="0" w:line="240" w:lineRule="auto"/>
      </w:pPr>
      <w:r>
        <w:continuationSeparator/>
      </w:r>
    </w:p>
  </w:endnote>
  <w:endnote w:type="continuationNotice" w:id="1">
    <w:p w14:paraId="74099F72" w14:textId="77777777" w:rsidR="00FB104C" w:rsidRDefault="00FB10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31402FEE" w:rsidR="00835064" w:rsidRDefault="00422259" w:rsidP="009E0327">
        <w:pPr>
          <w:pStyle w:val="Footer"/>
          <w:ind w:left="-1080" w:right="-1080"/>
        </w:pPr>
        <w:r>
          <w:rPr>
            <w:noProof/>
          </w:rPr>
          <mc:AlternateContent>
            <mc:Choice Requires="wpg">
              <w:drawing>
                <wp:inline distT="0" distB="0" distL="0" distR="0" wp14:anchorId="256EEA3C" wp14:editId="02BD3FAB">
                  <wp:extent cx="7772400" cy="182880"/>
                  <wp:effectExtent l="0" t="2540" r="0" b="0"/>
                  <wp:docPr id="1348897755"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69936328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24142188"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6245405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665113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3A39E0D3"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&#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DfikpQBQMAACUNAAAOAAAAAAAAAAAAAAAAAC4CAABkcnMvZTJvRG9jLnhtbFBL&#10;AQItABQABgAIAAAAIQAnu0EE3AAAAAUBAAAPAAAAAAAAAAAAAAAAAF8FAABkcnMvZG93bnJldi54&#10;bWxQSwUGAAAAAAQABADzAAAAaAY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" fillcolor="#388557 [3205]" stroked="f">
                    <v:textbox inset="2.59156mm,1.2958mm,2.59156mm,1.2958mm"/>
                  </v:rect>
                  <w10:anchorlock/>
                </v:group>
              </w:pict>
            </mc:Fallback>
          </mc:AlternateContent>
        </w:r>
      </w:p>
      <w:p w14:paraId="30078F27" w14:textId="38762C3E" w:rsidR="00240F61" w:rsidRDefault="00FC25ED" w:rsidP="00005B75">
        <w:pPr>
          <w:pStyle w:val="Footer"/>
          <w:tabs>
            <w:tab w:val="clear" w:pos="4680"/>
            <w:tab w:val="right" w:pos="9630"/>
          </w:tabs>
          <w:spacing w:after="0"/>
          <w:jc w:val="left"/>
          <w:rPr>
            <w:noProof/>
          </w:rPr>
        </w:pPr>
        <w:r w:rsidRPr="00FC25ED">
          <w:t xml:space="preserve">MassHealth Community Behavioral Health Centers (CBHC) Quality and Equity Incentive Program (CQEIP): Performance Year 1: </w:t>
        </w:r>
        <w:r>
          <w:t xml:space="preserve">Quality and Equity Strategic Plan </w:t>
        </w:r>
        <w:r w:rsidRPr="00FC25ED">
          <w:t>–</w:t>
        </w:r>
        <w:r>
          <w:t xml:space="preserve"> </w:t>
        </w:r>
        <w:r w:rsidR="136DB3E1">
          <w:t>December 31,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D1A50" w14:textId="77777777" w:rsidR="00FB104C" w:rsidRDefault="00FB104C" w:rsidP="00240F61">
      <w:pPr>
        <w:spacing w:before="0" w:after="0" w:line="240" w:lineRule="auto"/>
      </w:pPr>
      <w:r>
        <w:separator/>
      </w:r>
    </w:p>
  </w:footnote>
  <w:footnote w:type="continuationSeparator" w:id="0">
    <w:p w14:paraId="39B53F7B" w14:textId="77777777" w:rsidR="00FB104C" w:rsidRDefault="00FB104C" w:rsidP="00240F61">
      <w:pPr>
        <w:spacing w:before="0" w:after="0" w:line="240" w:lineRule="auto"/>
      </w:pPr>
      <w:r>
        <w:continuationSeparator/>
      </w:r>
    </w:p>
  </w:footnote>
  <w:footnote w:type="continuationNotice" w:id="1">
    <w:p w14:paraId="375C03BE" w14:textId="77777777" w:rsidR="00FB104C" w:rsidRDefault="00FB10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1B12527"/>
    <w:multiLevelType w:val="multilevel"/>
    <w:tmpl w:val="039E1E9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6466166"/>
    <w:multiLevelType w:val="multilevel"/>
    <w:tmpl w:val="973A26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A091FAF"/>
    <w:multiLevelType w:val="multilevel"/>
    <w:tmpl w:val="68DC37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EB90096"/>
    <w:multiLevelType w:val="multilevel"/>
    <w:tmpl w:val="3E1409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FA0D7E"/>
    <w:multiLevelType w:val="hybridMultilevel"/>
    <w:tmpl w:val="E564E4E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09319D5"/>
    <w:multiLevelType w:val="multilevel"/>
    <w:tmpl w:val="4F40E4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3DF0"/>
    <w:multiLevelType w:val="multilevel"/>
    <w:tmpl w:val="A964F5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7605D"/>
    <w:multiLevelType w:val="multilevel"/>
    <w:tmpl w:val="1176416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8A6778B"/>
    <w:multiLevelType w:val="multilevel"/>
    <w:tmpl w:val="E86274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BE328FE"/>
    <w:multiLevelType w:val="multilevel"/>
    <w:tmpl w:val="B38C6E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E52019A"/>
    <w:multiLevelType w:val="multilevel"/>
    <w:tmpl w:val="35F446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2740F93"/>
    <w:multiLevelType w:val="multilevel"/>
    <w:tmpl w:val="462C666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5715463"/>
    <w:multiLevelType w:val="multilevel"/>
    <w:tmpl w:val="4D8675E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D2A1114"/>
    <w:multiLevelType w:val="hybridMultilevel"/>
    <w:tmpl w:val="4B80C2C8"/>
    <w:lvl w:ilvl="0" w:tplc="06261AD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747CE"/>
    <w:multiLevelType w:val="hybridMultilevel"/>
    <w:tmpl w:val="E564E4E6"/>
    <w:lvl w:ilvl="0" w:tplc="F35E1A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6B26D9"/>
    <w:multiLevelType w:val="multilevel"/>
    <w:tmpl w:val="2CB22C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1967364"/>
    <w:multiLevelType w:val="multilevel"/>
    <w:tmpl w:val="4C6050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5175E0A"/>
    <w:multiLevelType w:val="hybridMultilevel"/>
    <w:tmpl w:val="BDF4DBCE"/>
    <w:lvl w:ilvl="0" w:tplc="ACA00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124B0"/>
    <w:multiLevelType w:val="multilevel"/>
    <w:tmpl w:val="4AD068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407BB9"/>
    <w:multiLevelType w:val="multilevel"/>
    <w:tmpl w:val="8E2EEC5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9574F68"/>
    <w:multiLevelType w:val="multilevel"/>
    <w:tmpl w:val="2DA20F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9"/>
  </w:num>
  <w:num w:numId="8" w16cid:durableId="1515455133">
    <w:abstractNumId w:val="29"/>
  </w:num>
  <w:num w:numId="9" w16cid:durableId="499809990">
    <w:abstractNumId w:val="25"/>
  </w:num>
  <w:num w:numId="10" w16cid:durableId="1128818273">
    <w:abstractNumId w:val="20"/>
  </w:num>
  <w:num w:numId="11" w16cid:durableId="1408457815">
    <w:abstractNumId w:val="28"/>
  </w:num>
  <w:num w:numId="12" w16cid:durableId="1533494201">
    <w:abstractNumId w:val="1"/>
  </w:num>
  <w:num w:numId="13" w16cid:durableId="265891810">
    <w:abstractNumId w:val="6"/>
  </w:num>
  <w:num w:numId="14" w16cid:durableId="712461963">
    <w:abstractNumId w:val="1"/>
  </w:num>
  <w:num w:numId="15" w16cid:durableId="496922652">
    <w:abstractNumId w:val="11"/>
  </w:num>
  <w:num w:numId="16" w16cid:durableId="1718704718">
    <w:abstractNumId w:val="14"/>
  </w:num>
  <w:num w:numId="17" w16cid:durableId="560333248">
    <w:abstractNumId w:val="12"/>
  </w:num>
  <w:num w:numId="18" w16cid:durableId="1706829609">
    <w:abstractNumId w:val="16"/>
  </w:num>
  <w:num w:numId="19" w16cid:durableId="1867209581">
    <w:abstractNumId w:val="2"/>
  </w:num>
  <w:num w:numId="20" w16cid:durableId="484976019">
    <w:abstractNumId w:val="18"/>
  </w:num>
  <w:num w:numId="21" w16cid:durableId="106436697">
    <w:abstractNumId w:val="8"/>
  </w:num>
  <w:num w:numId="22" w16cid:durableId="912660867">
    <w:abstractNumId w:val="13"/>
  </w:num>
  <w:num w:numId="23" w16cid:durableId="1180051320">
    <w:abstractNumId w:val="22"/>
  </w:num>
  <w:num w:numId="24" w16cid:durableId="358244741">
    <w:abstractNumId w:val="21"/>
  </w:num>
  <w:num w:numId="25" w16cid:durableId="1576089974">
    <w:abstractNumId w:val="27"/>
  </w:num>
  <w:num w:numId="26" w16cid:durableId="713046292">
    <w:abstractNumId w:val="10"/>
  </w:num>
  <w:num w:numId="27" w16cid:durableId="1647006194">
    <w:abstractNumId w:val="26"/>
  </w:num>
  <w:num w:numId="28" w16cid:durableId="369917371">
    <w:abstractNumId w:val="4"/>
  </w:num>
  <w:num w:numId="29" w16cid:durableId="717319367">
    <w:abstractNumId w:val="23"/>
  </w:num>
  <w:num w:numId="30" w16cid:durableId="1069424748">
    <w:abstractNumId w:val="19"/>
  </w:num>
  <w:num w:numId="31" w16cid:durableId="1250850269">
    <w:abstractNumId w:val="7"/>
  </w:num>
  <w:num w:numId="32" w16cid:durableId="571085741">
    <w:abstractNumId w:val="5"/>
  </w:num>
  <w:num w:numId="33" w16cid:durableId="1129590137">
    <w:abstractNumId w:val="3"/>
  </w:num>
  <w:num w:numId="34" w16cid:durableId="555513138">
    <w:abstractNumId w:val="24"/>
  </w:num>
  <w:num w:numId="35" w16cid:durableId="1395278700">
    <w:abstractNumId w:val="17"/>
  </w:num>
  <w:num w:numId="36" w16cid:durableId="860775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23E3F"/>
    <w:rsid w:val="00041679"/>
    <w:rsid w:val="0004303D"/>
    <w:rsid w:val="00054885"/>
    <w:rsid w:val="0005626E"/>
    <w:rsid w:val="00077A0B"/>
    <w:rsid w:val="00082B0C"/>
    <w:rsid w:val="000941E8"/>
    <w:rsid w:val="000C224B"/>
    <w:rsid w:val="000C4A30"/>
    <w:rsid w:val="000C6A20"/>
    <w:rsid w:val="000D0BC6"/>
    <w:rsid w:val="000D1834"/>
    <w:rsid w:val="000F3F75"/>
    <w:rsid w:val="000F451E"/>
    <w:rsid w:val="00132EE9"/>
    <w:rsid w:val="00136F08"/>
    <w:rsid w:val="00154D46"/>
    <w:rsid w:val="00187E56"/>
    <w:rsid w:val="00192ED8"/>
    <w:rsid w:val="001B4969"/>
    <w:rsid w:val="001C5AB4"/>
    <w:rsid w:val="001C7863"/>
    <w:rsid w:val="001E2439"/>
    <w:rsid w:val="001F3A7D"/>
    <w:rsid w:val="001F7654"/>
    <w:rsid w:val="00200EBB"/>
    <w:rsid w:val="002062E3"/>
    <w:rsid w:val="002210CB"/>
    <w:rsid w:val="00222AE1"/>
    <w:rsid w:val="002238A4"/>
    <w:rsid w:val="00230490"/>
    <w:rsid w:val="00234457"/>
    <w:rsid w:val="002354FC"/>
    <w:rsid w:val="00236392"/>
    <w:rsid w:val="00240F61"/>
    <w:rsid w:val="002457B9"/>
    <w:rsid w:val="00245BE9"/>
    <w:rsid w:val="00255FF0"/>
    <w:rsid w:val="00256496"/>
    <w:rsid w:val="002673E3"/>
    <w:rsid w:val="0027614B"/>
    <w:rsid w:val="002B26E8"/>
    <w:rsid w:val="002C560E"/>
    <w:rsid w:val="002F3029"/>
    <w:rsid w:val="002F3DFB"/>
    <w:rsid w:val="002F718B"/>
    <w:rsid w:val="002F724D"/>
    <w:rsid w:val="00302123"/>
    <w:rsid w:val="0031136F"/>
    <w:rsid w:val="00315C9A"/>
    <w:rsid w:val="003167AA"/>
    <w:rsid w:val="0032702B"/>
    <w:rsid w:val="0034318B"/>
    <w:rsid w:val="00356223"/>
    <w:rsid w:val="0036122F"/>
    <w:rsid w:val="00367FD9"/>
    <w:rsid w:val="003823AE"/>
    <w:rsid w:val="00391EE0"/>
    <w:rsid w:val="0039409B"/>
    <w:rsid w:val="003B5051"/>
    <w:rsid w:val="003C5285"/>
    <w:rsid w:val="003E2151"/>
    <w:rsid w:val="0040477D"/>
    <w:rsid w:val="004116C5"/>
    <w:rsid w:val="00422259"/>
    <w:rsid w:val="00422469"/>
    <w:rsid w:val="0043283E"/>
    <w:rsid w:val="00464D43"/>
    <w:rsid w:val="00472E33"/>
    <w:rsid w:val="004825B3"/>
    <w:rsid w:val="0049411F"/>
    <w:rsid w:val="004A10DC"/>
    <w:rsid w:val="004B16DD"/>
    <w:rsid w:val="004B2756"/>
    <w:rsid w:val="004C5AFA"/>
    <w:rsid w:val="004E1B82"/>
    <w:rsid w:val="004F0CEC"/>
    <w:rsid w:val="004F3A09"/>
    <w:rsid w:val="0052652E"/>
    <w:rsid w:val="00534366"/>
    <w:rsid w:val="00541677"/>
    <w:rsid w:val="00543DB6"/>
    <w:rsid w:val="00546BD2"/>
    <w:rsid w:val="0055010F"/>
    <w:rsid w:val="0055279F"/>
    <w:rsid w:val="00564B48"/>
    <w:rsid w:val="0057472F"/>
    <w:rsid w:val="005908E6"/>
    <w:rsid w:val="00593147"/>
    <w:rsid w:val="005A6F76"/>
    <w:rsid w:val="005B3C3A"/>
    <w:rsid w:val="005B66FD"/>
    <w:rsid w:val="005C60C6"/>
    <w:rsid w:val="005D2D90"/>
    <w:rsid w:val="005E6BDE"/>
    <w:rsid w:val="00606CFC"/>
    <w:rsid w:val="00610476"/>
    <w:rsid w:val="00610905"/>
    <w:rsid w:val="0061435F"/>
    <w:rsid w:val="0062197E"/>
    <w:rsid w:val="00626A9A"/>
    <w:rsid w:val="006348C9"/>
    <w:rsid w:val="006432A2"/>
    <w:rsid w:val="006509ED"/>
    <w:rsid w:val="0065620B"/>
    <w:rsid w:val="00671170"/>
    <w:rsid w:val="0067303B"/>
    <w:rsid w:val="006738C7"/>
    <w:rsid w:val="00676574"/>
    <w:rsid w:val="00677DB9"/>
    <w:rsid w:val="006869B1"/>
    <w:rsid w:val="0069550C"/>
    <w:rsid w:val="006A5165"/>
    <w:rsid w:val="006A6A5A"/>
    <w:rsid w:val="006C09BD"/>
    <w:rsid w:val="006C43F7"/>
    <w:rsid w:val="006C4851"/>
    <w:rsid w:val="006C7185"/>
    <w:rsid w:val="006E1992"/>
    <w:rsid w:val="006F5A1B"/>
    <w:rsid w:val="007073E3"/>
    <w:rsid w:val="00716F99"/>
    <w:rsid w:val="0072131A"/>
    <w:rsid w:val="00724321"/>
    <w:rsid w:val="00734A32"/>
    <w:rsid w:val="00734F47"/>
    <w:rsid w:val="00742D64"/>
    <w:rsid w:val="00746BCD"/>
    <w:rsid w:val="00755B62"/>
    <w:rsid w:val="00761328"/>
    <w:rsid w:val="00762856"/>
    <w:rsid w:val="00765D40"/>
    <w:rsid w:val="00793E0D"/>
    <w:rsid w:val="007A1754"/>
    <w:rsid w:val="007B4C32"/>
    <w:rsid w:val="007C5B25"/>
    <w:rsid w:val="007D3755"/>
    <w:rsid w:val="007D6522"/>
    <w:rsid w:val="007E06B3"/>
    <w:rsid w:val="00805F28"/>
    <w:rsid w:val="00811E5F"/>
    <w:rsid w:val="00814D63"/>
    <w:rsid w:val="00824878"/>
    <w:rsid w:val="00835064"/>
    <w:rsid w:val="00836C7F"/>
    <w:rsid w:val="00864964"/>
    <w:rsid w:val="00881308"/>
    <w:rsid w:val="00894F39"/>
    <w:rsid w:val="008A3304"/>
    <w:rsid w:val="008A7112"/>
    <w:rsid w:val="008B6EE9"/>
    <w:rsid w:val="008C334C"/>
    <w:rsid w:val="008F5EE6"/>
    <w:rsid w:val="008F68D2"/>
    <w:rsid w:val="00907A48"/>
    <w:rsid w:val="00907B9C"/>
    <w:rsid w:val="00916DE4"/>
    <w:rsid w:val="00925DF8"/>
    <w:rsid w:val="00926131"/>
    <w:rsid w:val="00934215"/>
    <w:rsid w:val="009354E3"/>
    <w:rsid w:val="00946040"/>
    <w:rsid w:val="00946229"/>
    <w:rsid w:val="0096191C"/>
    <w:rsid w:val="0097511D"/>
    <w:rsid w:val="00980067"/>
    <w:rsid w:val="00985EBD"/>
    <w:rsid w:val="009936E7"/>
    <w:rsid w:val="00995D9F"/>
    <w:rsid w:val="009A246F"/>
    <w:rsid w:val="009B04CB"/>
    <w:rsid w:val="009B4F17"/>
    <w:rsid w:val="009B7BF7"/>
    <w:rsid w:val="009C43F8"/>
    <w:rsid w:val="009C5CFF"/>
    <w:rsid w:val="009D3A5F"/>
    <w:rsid w:val="009E0327"/>
    <w:rsid w:val="009E3E82"/>
    <w:rsid w:val="009F468A"/>
    <w:rsid w:val="009F7D4D"/>
    <w:rsid w:val="00A02C79"/>
    <w:rsid w:val="00A10FDA"/>
    <w:rsid w:val="00A13608"/>
    <w:rsid w:val="00A45434"/>
    <w:rsid w:val="00AA1C6C"/>
    <w:rsid w:val="00AA71A5"/>
    <w:rsid w:val="00AB4E2E"/>
    <w:rsid w:val="00AC5385"/>
    <w:rsid w:val="00AD64E2"/>
    <w:rsid w:val="00AE0E86"/>
    <w:rsid w:val="00AE5A23"/>
    <w:rsid w:val="00AF21DD"/>
    <w:rsid w:val="00AF2F7D"/>
    <w:rsid w:val="00AF62BA"/>
    <w:rsid w:val="00B02A6D"/>
    <w:rsid w:val="00B03319"/>
    <w:rsid w:val="00B15B0F"/>
    <w:rsid w:val="00B305DC"/>
    <w:rsid w:val="00B33230"/>
    <w:rsid w:val="00B35AFC"/>
    <w:rsid w:val="00B44386"/>
    <w:rsid w:val="00B554E5"/>
    <w:rsid w:val="00B6570C"/>
    <w:rsid w:val="00B67D57"/>
    <w:rsid w:val="00B704D6"/>
    <w:rsid w:val="00B8000D"/>
    <w:rsid w:val="00B83015"/>
    <w:rsid w:val="00B85C3F"/>
    <w:rsid w:val="00B93229"/>
    <w:rsid w:val="00B97D92"/>
    <w:rsid w:val="00BA45A3"/>
    <w:rsid w:val="00BA45DF"/>
    <w:rsid w:val="00BC2A9F"/>
    <w:rsid w:val="00BC2B6A"/>
    <w:rsid w:val="00BC3C72"/>
    <w:rsid w:val="00BC5B71"/>
    <w:rsid w:val="00BF0E8C"/>
    <w:rsid w:val="00C14448"/>
    <w:rsid w:val="00C20585"/>
    <w:rsid w:val="00C2177F"/>
    <w:rsid w:val="00C2772B"/>
    <w:rsid w:val="00C41257"/>
    <w:rsid w:val="00C63599"/>
    <w:rsid w:val="00C75704"/>
    <w:rsid w:val="00C806A3"/>
    <w:rsid w:val="00C93DDB"/>
    <w:rsid w:val="00C949D2"/>
    <w:rsid w:val="00CB0B52"/>
    <w:rsid w:val="00CD08D2"/>
    <w:rsid w:val="00CD46BC"/>
    <w:rsid w:val="00CF381A"/>
    <w:rsid w:val="00D218A1"/>
    <w:rsid w:val="00D2704C"/>
    <w:rsid w:val="00D27598"/>
    <w:rsid w:val="00D43488"/>
    <w:rsid w:val="00D4552A"/>
    <w:rsid w:val="00D5514E"/>
    <w:rsid w:val="00D577B3"/>
    <w:rsid w:val="00D7016E"/>
    <w:rsid w:val="00D7719F"/>
    <w:rsid w:val="00D7781A"/>
    <w:rsid w:val="00D82122"/>
    <w:rsid w:val="00DA5A8D"/>
    <w:rsid w:val="00DB15B9"/>
    <w:rsid w:val="00DB1E63"/>
    <w:rsid w:val="00DF1335"/>
    <w:rsid w:val="00DF43E0"/>
    <w:rsid w:val="00E273D3"/>
    <w:rsid w:val="00E27C86"/>
    <w:rsid w:val="00E31EEF"/>
    <w:rsid w:val="00E334C3"/>
    <w:rsid w:val="00E40D60"/>
    <w:rsid w:val="00E44050"/>
    <w:rsid w:val="00E461A7"/>
    <w:rsid w:val="00E47A73"/>
    <w:rsid w:val="00E53D73"/>
    <w:rsid w:val="00E60649"/>
    <w:rsid w:val="00E61B3F"/>
    <w:rsid w:val="00E637CA"/>
    <w:rsid w:val="00E6382E"/>
    <w:rsid w:val="00E935AB"/>
    <w:rsid w:val="00E93DF7"/>
    <w:rsid w:val="00EA0BEE"/>
    <w:rsid w:val="00EA45D7"/>
    <w:rsid w:val="00EB5830"/>
    <w:rsid w:val="00ED2DEE"/>
    <w:rsid w:val="00EE2DC7"/>
    <w:rsid w:val="00EE6F05"/>
    <w:rsid w:val="00F00742"/>
    <w:rsid w:val="00F1229A"/>
    <w:rsid w:val="00F1322B"/>
    <w:rsid w:val="00F160CC"/>
    <w:rsid w:val="00F32E32"/>
    <w:rsid w:val="00F43FB8"/>
    <w:rsid w:val="00F537F0"/>
    <w:rsid w:val="00F54AA4"/>
    <w:rsid w:val="00F62F79"/>
    <w:rsid w:val="00F667AC"/>
    <w:rsid w:val="00F72FDD"/>
    <w:rsid w:val="00F7651E"/>
    <w:rsid w:val="00F80DFC"/>
    <w:rsid w:val="00F90532"/>
    <w:rsid w:val="00F97C11"/>
    <w:rsid w:val="00FA017A"/>
    <w:rsid w:val="00FA1068"/>
    <w:rsid w:val="00FA14D3"/>
    <w:rsid w:val="00FA354F"/>
    <w:rsid w:val="00FA6C52"/>
    <w:rsid w:val="00FB09EB"/>
    <w:rsid w:val="00FB104C"/>
    <w:rsid w:val="00FB2619"/>
    <w:rsid w:val="00FB380C"/>
    <w:rsid w:val="00FB4821"/>
    <w:rsid w:val="00FC1991"/>
    <w:rsid w:val="00FC25ED"/>
    <w:rsid w:val="00FE0B5A"/>
    <w:rsid w:val="0204EFBF"/>
    <w:rsid w:val="032F484C"/>
    <w:rsid w:val="05E99734"/>
    <w:rsid w:val="06A132A2"/>
    <w:rsid w:val="07100713"/>
    <w:rsid w:val="077FBEAF"/>
    <w:rsid w:val="0B6C01A4"/>
    <w:rsid w:val="0DD0E8A1"/>
    <w:rsid w:val="0FCD69A3"/>
    <w:rsid w:val="136DB3E1"/>
    <w:rsid w:val="13DE4B63"/>
    <w:rsid w:val="15365246"/>
    <w:rsid w:val="15AD7BB8"/>
    <w:rsid w:val="1807C92A"/>
    <w:rsid w:val="18F24987"/>
    <w:rsid w:val="1B86439C"/>
    <w:rsid w:val="22175F55"/>
    <w:rsid w:val="22357B62"/>
    <w:rsid w:val="2292CC73"/>
    <w:rsid w:val="238019C5"/>
    <w:rsid w:val="2843E2E8"/>
    <w:rsid w:val="28577CE9"/>
    <w:rsid w:val="2C6068AB"/>
    <w:rsid w:val="2D1152FA"/>
    <w:rsid w:val="2E335A2B"/>
    <w:rsid w:val="2EAA3ED9"/>
    <w:rsid w:val="31D19CD1"/>
    <w:rsid w:val="33313329"/>
    <w:rsid w:val="35933DF3"/>
    <w:rsid w:val="35A8D2FB"/>
    <w:rsid w:val="369A0E23"/>
    <w:rsid w:val="3B055BB6"/>
    <w:rsid w:val="3C7C7265"/>
    <w:rsid w:val="3D4CF926"/>
    <w:rsid w:val="3D7AF2B3"/>
    <w:rsid w:val="3E1FA636"/>
    <w:rsid w:val="3FBB7697"/>
    <w:rsid w:val="408499E8"/>
    <w:rsid w:val="41213A56"/>
    <w:rsid w:val="426C30B7"/>
    <w:rsid w:val="42DB838E"/>
    <w:rsid w:val="447753EF"/>
    <w:rsid w:val="46F80951"/>
    <w:rsid w:val="4A599242"/>
    <w:rsid w:val="4A64F921"/>
    <w:rsid w:val="4B00125A"/>
    <w:rsid w:val="4CAA4F03"/>
    <w:rsid w:val="4D4A732D"/>
    <w:rsid w:val="4E1D2823"/>
    <w:rsid w:val="4E801494"/>
    <w:rsid w:val="4F898145"/>
    <w:rsid w:val="4FD41A3F"/>
    <w:rsid w:val="513D0615"/>
    <w:rsid w:val="565444A0"/>
    <w:rsid w:val="56910F93"/>
    <w:rsid w:val="57E499CC"/>
    <w:rsid w:val="589239ED"/>
    <w:rsid w:val="590362A4"/>
    <w:rsid w:val="5C7C089F"/>
    <w:rsid w:val="5DD9FABF"/>
    <w:rsid w:val="618FA9F7"/>
    <w:rsid w:val="61CBE2C7"/>
    <w:rsid w:val="62720AF0"/>
    <w:rsid w:val="6275A0E8"/>
    <w:rsid w:val="627D71CF"/>
    <w:rsid w:val="65B9DB0F"/>
    <w:rsid w:val="65BC22A3"/>
    <w:rsid w:val="6821F645"/>
    <w:rsid w:val="6AB45920"/>
    <w:rsid w:val="6CF6CCAE"/>
    <w:rsid w:val="6DF80094"/>
    <w:rsid w:val="6ECAB58A"/>
    <w:rsid w:val="71ADBB47"/>
    <w:rsid w:val="74180AD3"/>
    <w:rsid w:val="74F34CFC"/>
    <w:rsid w:val="756F0BFB"/>
    <w:rsid w:val="75C5DCFD"/>
    <w:rsid w:val="75F51F7A"/>
    <w:rsid w:val="78161EEA"/>
    <w:rsid w:val="78A09884"/>
    <w:rsid w:val="79142EA8"/>
    <w:rsid w:val="79DF4C74"/>
    <w:rsid w:val="7A4884B2"/>
    <w:rsid w:val="7A8A839E"/>
    <w:rsid w:val="7FFB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861066C2-610F-40AD-A21B-652FBB2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paragraph" w:customStyle="1" w:styleId="paragraph">
    <w:name w:val="paragraph"/>
    <w:basedOn w:val="Normal"/>
    <w:rsid w:val="00B97D92"/>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B97D92"/>
  </w:style>
  <w:style w:type="character" w:customStyle="1" w:styleId="eop">
    <w:name w:val="eop"/>
    <w:basedOn w:val="DefaultParagraphFont"/>
    <w:rsid w:val="00B97D92"/>
  </w:style>
  <w:style w:type="character" w:customStyle="1" w:styleId="contentcontrolboundarysink">
    <w:name w:val="contentcontrolboundarysink"/>
    <w:basedOn w:val="DefaultParagraphFont"/>
    <w:rsid w:val="0032702B"/>
  </w:style>
  <w:style w:type="character" w:customStyle="1" w:styleId="scxw133397335">
    <w:name w:val="scxw133397335"/>
    <w:basedOn w:val="DefaultParagraphFont"/>
    <w:rsid w:val="0032702B"/>
  </w:style>
  <w:style w:type="character" w:customStyle="1" w:styleId="superscript">
    <w:name w:val="superscript"/>
    <w:basedOn w:val="DefaultParagraphFont"/>
    <w:rsid w:val="00D5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278556">
      <w:bodyDiv w:val="1"/>
      <w:marLeft w:val="0"/>
      <w:marRight w:val="0"/>
      <w:marTop w:val="0"/>
      <w:marBottom w:val="0"/>
      <w:divBdr>
        <w:top w:val="none" w:sz="0" w:space="0" w:color="auto"/>
        <w:left w:val="none" w:sz="0" w:space="0" w:color="auto"/>
        <w:bottom w:val="none" w:sz="0" w:space="0" w:color="auto"/>
        <w:right w:val="none" w:sz="0" w:space="0" w:color="auto"/>
      </w:divBdr>
      <w:divsChild>
        <w:div w:id="2074310649">
          <w:marLeft w:val="0"/>
          <w:marRight w:val="0"/>
          <w:marTop w:val="0"/>
          <w:marBottom w:val="0"/>
          <w:divBdr>
            <w:top w:val="none" w:sz="0" w:space="0" w:color="auto"/>
            <w:left w:val="none" w:sz="0" w:space="0" w:color="auto"/>
            <w:bottom w:val="none" w:sz="0" w:space="0" w:color="auto"/>
            <w:right w:val="none" w:sz="0" w:space="0" w:color="auto"/>
          </w:divBdr>
        </w:div>
        <w:div w:id="795022918">
          <w:marLeft w:val="0"/>
          <w:marRight w:val="0"/>
          <w:marTop w:val="0"/>
          <w:marBottom w:val="0"/>
          <w:divBdr>
            <w:top w:val="none" w:sz="0" w:space="0" w:color="auto"/>
            <w:left w:val="none" w:sz="0" w:space="0" w:color="auto"/>
            <w:bottom w:val="none" w:sz="0" w:space="0" w:color="auto"/>
            <w:right w:val="none" w:sz="0" w:space="0" w:color="auto"/>
          </w:divBdr>
        </w:div>
      </w:divsChild>
    </w:div>
    <w:div w:id="576549080">
      <w:bodyDiv w:val="1"/>
      <w:marLeft w:val="0"/>
      <w:marRight w:val="0"/>
      <w:marTop w:val="0"/>
      <w:marBottom w:val="0"/>
      <w:divBdr>
        <w:top w:val="none" w:sz="0" w:space="0" w:color="auto"/>
        <w:left w:val="none" w:sz="0" w:space="0" w:color="auto"/>
        <w:bottom w:val="none" w:sz="0" w:space="0" w:color="auto"/>
        <w:right w:val="none" w:sz="0" w:space="0" w:color="auto"/>
      </w:divBdr>
    </w:div>
    <w:div w:id="870189769">
      <w:bodyDiv w:val="1"/>
      <w:marLeft w:val="0"/>
      <w:marRight w:val="0"/>
      <w:marTop w:val="0"/>
      <w:marBottom w:val="0"/>
      <w:divBdr>
        <w:top w:val="none" w:sz="0" w:space="0" w:color="auto"/>
        <w:left w:val="none" w:sz="0" w:space="0" w:color="auto"/>
        <w:bottom w:val="none" w:sz="0" w:space="0" w:color="auto"/>
        <w:right w:val="none" w:sz="0" w:space="0" w:color="auto"/>
      </w:divBdr>
    </w:div>
    <w:div w:id="1058092030">
      <w:bodyDiv w:val="1"/>
      <w:marLeft w:val="0"/>
      <w:marRight w:val="0"/>
      <w:marTop w:val="0"/>
      <w:marBottom w:val="0"/>
      <w:divBdr>
        <w:top w:val="none" w:sz="0" w:space="0" w:color="auto"/>
        <w:left w:val="none" w:sz="0" w:space="0" w:color="auto"/>
        <w:bottom w:val="none" w:sz="0" w:space="0" w:color="auto"/>
        <w:right w:val="none" w:sz="0" w:space="0" w:color="auto"/>
      </w:divBdr>
    </w:div>
    <w:div w:id="1069302956">
      <w:bodyDiv w:val="1"/>
      <w:marLeft w:val="0"/>
      <w:marRight w:val="0"/>
      <w:marTop w:val="0"/>
      <w:marBottom w:val="0"/>
      <w:divBdr>
        <w:top w:val="none" w:sz="0" w:space="0" w:color="auto"/>
        <w:left w:val="none" w:sz="0" w:space="0" w:color="auto"/>
        <w:bottom w:val="none" w:sz="0" w:space="0" w:color="auto"/>
        <w:right w:val="none" w:sz="0" w:space="0" w:color="auto"/>
      </w:divBdr>
      <w:divsChild>
        <w:div w:id="492986199">
          <w:marLeft w:val="0"/>
          <w:marRight w:val="0"/>
          <w:marTop w:val="0"/>
          <w:marBottom w:val="0"/>
          <w:divBdr>
            <w:top w:val="none" w:sz="0" w:space="0" w:color="auto"/>
            <w:left w:val="none" w:sz="0" w:space="0" w:color="auto"/>
            <w:bottom w:val="none" w:sz="0" w:space="0" w:color="auto"/>
            <w:right w:val="none" w:sz="0" w:space="0" w:color="auto"/>
          </w:divBdr>
        </w:div>
        <w:div w:id="508448105">
          <w:marLeft w:val="0"/>
          <w:marRight w:val="0"/>
          <w:marTop w:val="0"/>
          <w:marBottom w:val="0"/>
          <w:divBdr>
            <w:top w:val="none" w:sz="0" w:space="0" w:color="auto"/>
            <w:left w:val="none" w:sz="0" w:space="0" w:color="auto"/>
            <w:bottom w:val="none" w:sz="0" w:space="0" w:color="auto"/>
            <w:right w:val="none" w:sz="0" w:space="0" w:color="auto"/>
          </w:divBdr>
        </w:div>
        <w:div w:id="1593049837">
          <w:marLeft w:val="0"/>
          <w:marRight w:val="0"/>
          <w:marTop w:val="0"/>
          <w:marBottom w:val="0"/>
          <w:divBdr>
            <w:top w:val="none" w:sz="0" w:space="0" w:color="auto"/>
            <w:left w:val="none" w:sz="0" w:space="0" w:color="auto"/>
            <w:bottom w:val="none" w:sz="0" w:space="0" w:color="auto"/>
            <w:right w:val="none" w:sz="0" w:space="0" w:color="auto"/>
          </w:divBdr>
        </w:div>
      </w:divsChild>
    </w:div>
    <w:div w:id="1335255757">
      <w:bodyDiv w:val="1"/>
      <w:marLeft w:val="0"/>
      <w:marRight w:val="0"/>
      <w:marTop w:val="0"/>
      <w:marBottom w:val="0"/>
      <w:divBdr>
        <w:top w:val="none" w:sz="0" w:space="0" w:color="auto"/>
        <w:left w:val="none" w:sz="0" w:space="0" w:color="auto"/>
        <w:bottom w:val="none" w:sz="0" w:space="0" w:color="auto"/>
        <w:right w:val="none" w:sz="0" w:space="0" w:color="auto"/>
      </w:divBdr>
    </w:div>
    <w:div w:id="1525947604">
      <w:bodyDiv w:val="1"/>
      <w:marLeft w:val="0"/>
      <w:marRight w:val="0"/>
      <w:marTop w:val="0"/>
      <w:marBottom w:val="0"/>
      <w:divBdr>
        <w:top w:val="none" w:sz="0" w:space="0" w:color="auto"/>
        <w:left w:val="none" w:sz="0" w:space="0" w:color="auto"/>
        <w:bottom w:val="none" w:sz="0" w:space="0" w:color="auto"/>
        <w:right w:val="none" w:sz="0" w:space="0" w:color="auto"/>
      </w:divBdr>
    </w:div>
    <w:div w:id="2099060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5" ma:contentTypeDescription="Create a new document." ma:contentTypeScope="" ma:versionID="970f4821bf9c49571657f92c6f91de89">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2029fa409855677364b6c4f2f609bb1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Filice, Clara (EHS)</DisplayName>
        <AccountId>6</AccountId>
        <AccountType/>
      </UserInfo>
      <UserInfo>
        <DisplayName>Qin, Sarah (EHS)</DisplayName>
        <AccountId>9</AccountId>
        <AccountType/>
      </UserInfo>
      <UserInfo>
        <DisplayName>Siegel, Rachel (EHS)</DisplayName>
        <AccountId>246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8754-FD8D-47E6-9203-E1E606EDD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7</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Briggs, Debby (EHS)</cp:lastModifiedBy>
  <cp:revision>2</cp:revision>
  <dcterms:created xsi:type="dcterms:W3CDTF">2024-07-16T23:09:00Z</dcterms:created>
  <dcterms:modified xsi:type="dcterms:W3CDTF">2024-07-16T23:09:00Z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